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1F1" w:rsidRDefault="00371CFE" w:rsidP="00001A6E">
      <w:r w:rsidRPr="00426C6C">
        <w:rPr>
          <w:noProof/>
          <w:lang w:eastAsia="en-AU"/>
        </w:rPr>
        <w:drawing>
          <wp:anchor distT="0" distB="0" distL="114300" distR="114300" simplePos="0" relativeHeight="251658245" behindDoc="1" locked="0" layoutInCell="1" allowOverlap="1" wp14:anchorId="3EAC5492" wp14:editId="74353955">
            <wp:simplePos x="0" y="0"/>
            <wp:positionH relativeFrom="column">
              <wp:posOffset>-922020</wp:posOffset>
            </wp:positionH>
            <wp:positionV relativeFrom="paragraph">
              <wp:posOffset>-819785</wp:posOffset>
            </wp:positionV>
            <wp:extent cx="7581265" cy="10720705"/>
            <wp:effectExtent l="19050" t="19050" r="19685" b="23495"/>
            <wp:wrapNone/>
            <wp:docPr id="2" name="Picture 2"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4_0001 EMP Word Template navy_01-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81265" cy="10720705"/>
                    </a:xfrm>
                    <a:prstGeom prst="rect">
                      <a:avLst/>
                    </a:prstGeom>
                    <a:ln>
                      <a:solidFill>
                        <a:schemeClr val="tx2"/>
                      </a:solidFill>
                    </a:ln>
                  </pic:spPr>
                </pic:pic>
              </a:graphicData>
            </a:graphic>
            <wp14:sizeRelH relativeFrom="margin">
              <wp14:pctWidth>0</wp14:pctWidth>
            </wp14:sizeRelH>
            <wp14:sizeRelV relativeFrom="margin">
              <wp14:pctHeight>0</wp14:pctHeight>
            </wp14:sizeRelV>
          </wp:anchor>
        </w:drawing>
      </w:r>
    </w:p>
    <w:p w:rsidR="00BF10F4" w:rsidRPr="003A4B00" w:rsidRDefault="00666CED" w:rsidP="00001A6E">
      <w:r>
        <w:rPr>
          <w:noProof/>
          <w:lang w:eastAsia="en-AU"/>
        </w:rPr>
        <w:drawing>
          <wp:inline distT="0" distB="0" distL="0" distR="0" wp14:anchorId="1F049D2F" wp14:editId="0B379B4D">
            <wp:extent cx="3616938" cy="647700"/>
            <wp:effectExtent l="0" t="0" r="3175" b="0"/>
            <wp:docPr id="4" name="Picture 4" descr="Department of Jobs and Small Busine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t-Employment_Inline_Rev.png"/>
                    <pic:cNvPicPr/>
                  </pic:nvPicPr>
                  <pic:blipFill>
                    <a:blip r:embed="rId12">
                      <a:extLst>
                        <a:ext uri="{28A0092B-C50C-407E-A947-70E740481C1C}">
                          <a14:useLocalDpi xmlns:a14="http://schemas.microsoft.com/office/drawing/2010/main" val="0"/>
                        </a:ext>
                      </a:extLst>
                    </a:blip>
                    <a:stretch>
                      <a:fillRect/>
                    </a:stretch>
                  </pic:blipFill>
                  <pic:spPr>
                    <a:xfrm>
                      <a:off x="0" y="0"/>
                      <a:ext cx="3622752" cy="648741"/>
                    </a:xfrm>
                    <a:prstGeom prst="rect">
                      <a:avLst/>
                    </a:prstGeom>
                  </pic:spPr>
                </pic:pic>
              </a:graphicData>
            </a:graphic>
          </wp:inline>
        </w:drawing>
      </w:r>
    </w:p>
    <w:p w:rsidR="00996B6F" w:rsidRPr="003A4B00" w:rsidRDefault="00996B6F" w:rsidP="00001A6E">
      <w:pPr>
        <w:pStyle w:val="Title"/>
        <w:sectPr w:rsidR="00996B6F" w:rsidRPr="003A4B00" w:rsidSect="00996B6F">
          <w:footerReference w:type="default" r:id="rId13"/>
          <w:pgSz w:w="11906" w:h="16838"/>
          <w:pgMar w:top="1276" w:right="1274" w:bottom="1134" w:left="1440" w:header="708" w:footer="708" w:gutter="0"/>
          <w:pgNumType w:fmt="lowerRoman" w:start="1"/>
          <w:cols w:space="708"/>
          <w:docGrid w:linePitch="360"/>
        </w:sectPr>
      </w:pPr>
    </w:p>
    <w:p w:rsidR="00E32253" w:rsidRDefault="00E32253" w:rsidP="0082328E">
      <w:pPr>
        <w:spacing w:before="2160" w:after="1600"/>
        <w:jc w:val="center"/>
        <w:rPr>
          <w:color w:val="FFFFFF" w:themeColor="background2"/>
          <w:sz w:val="56"/>
          <w:szCs w:val="56"/>
        </w:rPr>
      </w:pPr>
      <w:bookmarkStart w:id="0" w:name="_GoBack"/>
      <w:r w:rsidRPr="003A4B00">
        <w:rPr>
          <w:color w:val="FFFFFF" w:themeColor="background2"/>
          <w:sz w:val="56"/>
          <w:szCs w:val="56"/>
        </w:rPr>
        <w:t xml:space="preserve">Job Commitment Bonus </w:t>
      </w:r>
      <w:r w:rsidR="00C531DB">
        <w:rPr>
          <w:color w:val="FFFFFF" w:themeColor="background2"/>
          <w:sz w:val="56"/>
          <w:szCs w:val="56"/>
        </w:rPr>
        <w:br/>
      </w:r>
      <w:r w:rsidRPr="003A4B00">
        <w:rPr>
          <w:color w:val="FFFFFF" w:themeColor="background2"/>
          <w:sz w:val="56"/>
          <w:szCs w:val="56"/>
        </w:rPr>
        <w:t>for Young Australians</w:t>
      </w:r>
      <w:r w:rsidR="00710654">
        <w:rPr>
          <w:color w:val="FFFFFF" w:themeColor="background2"/>
          <w:sz w:val="56"/>
          <w:szCs w:val="56"/>
        </w:rPr>
        <w:t xml:space="preserve"> Evaluation</w:t>
      </w:r>
    </w:p>
    <w:bookmarkEnd w:id="0"/>
    <w:p w:rsidR="0082328E" w:rsidRPr="0082328E" w:rsidRDefault="0082328E" w:rsidP="0082328E">
      <w:pPr>
        <w:spacing w:before="6000"/>
        <w:jc w:val="right"/>
        <w:rPr>
          <w:color w:val="FFFFFF" w:themeColor="background2"/>
          <w:sz w:val="36"/>
          <w:szCs w:val="36"/>
        </w:rPr>
      </w:pPr>
    </w:p>
    <w:p w:rsidR="00996B6F" w:rsidRPr="003A4B00" w:rsidRDefault="00996B6F" w:rsidP="005648B9">
      <w:pPr>
        <w:spacing w:before="720"/>
        <w:jc w:val="center"/>
        <w:sectPr w:rsidR="00996B6F" w:rsidRPr="003A4B00" w:rsidSect="005E1673">
          <w:headerReference w:type="even" r:id="rId14"/>
          <w:headerReference w:type="default" r:id="rId15"/>
          <w:footerReference w:type="default" r:id="rId16"/>
          <w:headerReference w:type="first" r:id="rId17"/>
          <w:type w:val="continuous"/>
          <w:pgSz w:w="11906" w:h="16838"/>
          <w:pgMar w:top="1985" w:right="1440" w:bottom="1440" w:left="1440" w:header="708" w:footer="1011" w:gutter="0"/>
          <w:cols w:space="708"/>
          <w:docGrid w:linePitch="360"/>
        </w:sectPr>
      </w:pPr>
    </w:p>
    <w:p w:rsidR="00117DD3" w:rsidRPr="00117DD3" w:rsidRDefault="00117DD3" w:rsidP="00117DD3">
      <w:pPr>
        <w:spacing w:before="1600"/>
        <w:rPr>
          <w:b/>
          <w:noProof/>
        </w:rPr>
      </w:pPr>
      <w:bookmarkStart w:id="1" w:name="_Toc400093470"/>
      <w:bookmarkStart w:id="2" w:name="_Toc400104763"/>
      <w:bookmarkStart w:id="3" w:name="_Toc400110875"/>
      <w:bookmarkStart w:id="4" w:name="_Toc401826401"/>
      <w:bookmarkStart w:id="5" w:name="_Toc402180655"/>
      <w:bookmarkStart w:id="6" w:name="_Toc402180681"/>
      <w:bookmarkStart w:id="7" w:name="_Toc402446064"/>
      <w:bookmarkStart w:id="8" w:name="_Toc403721725"/>
      <w:bookmarkStart w:id="9" w:name="_Toc403723732"/>
      <w:bookmarkStart w:id="10" w:name="_Toc404332382"/>
      <w:bookmarkStart w:id="11" w:name="_Toc405450716"/>
      <w:bookmarkStart w:id="12" w:name="_Toc466537968"/>
      <w:bookmarkStart w:id="13" w:name="_Toc473715583"/>
      <w:bookmarkStart w:id="14" w:name="_Toc473727397"/>
      <w:bookmarkStart w:id="15" w:name="_Toc473808798"/>
      <w:bookmarkStart w:id="16" w:name="_Toc474249133"/>
      <w:bookmarkStart w:id="17" w:name="_Toc474251372"/>
      <w:bookmarkStart w:id="18" w:name="_Toc474313688"/>
      <w:bookmarkStart w:id="19" w:name="_Toc474313818"/>
      <w:bookmarkStart w:id="20" w:name="_Toc474405182"/>
      <w:bookmarkStart w:id="21" w:name="_Toc475026221"/>
      <w:bookmarkStart w:id="22" w:name="_Toc475458928"/>
      <w:bookmarkStart w:id="23" w:name="_Toc476557710"/>
      <w:bookmarkStart w:id="24" w:name="_Toc476557801"/>
      <w:bookmarkStart w:id="25" w:name="_Toc476558048"/>
      <w:bookmarkStart w:id="26" w:name="_Toc476558179"/>
      <w:bookmarkStart w:id="27" w:name="_Toc477336449"/>
      <w:bookmarkStart w:id="28" w:name="_Toc477336485"/>
      <w:bookmarkStart w:id="29" w:name="_Toc478031975"/>
      <w:r w:rsidRPr="00117DD3">
        <w:rPr>
          <w:b/>
          <w:noProof/>
        </w:rPr>
        <w:lastRenderedPageBreak/>
        <w:t>Evaluation team</w:t>
      </w:r>
    </w:p>
    <w:p w:rsidR="00117DD3" w:rsidRPr="00117DD3" w:rsidRDefault="00117DD3" w:rsidP="00117DD3">
      <w:pPr>
        <w:spacing w:after="0"/>
        <w:rPr>
          <w:noProof/>
        </w:rPr>
      </w:pPr>
      <w:r w:rsidRPr="00117DD3">
        <w:rPr>
          <w:noProof/>
        </w:rPr>
        <w:t>Shelley Evans</w:t>
      </w:r>
    </w:p>
    <w:p w:rsidR="00117DD3" w:rsidRPr="00117DD3" w:rsidRDefault="00117DD3" w:rsidP="00117DD3">
      <w:pPr>
        <w:spacing w:after="0"/>
        <w:rPr>
          <w:noProof/>
        </w:rPr>
      </w:pPr>
      <w:r w:rsidRPr="00117DD3">
        <w:rPr>
          <w:noProof/>
        </w:rPr>
        <w:t>Karen Costanzo</w:t>
      </w:r>
    </w:p>
    <w:p w:rsidR="00117DD3" w:rsidRDefault="00117DD3" w:rsidP="00117DD3">
      <w:pPr>
        <w:spacing w:after="0"/>
        <w:rPr>
          <w:noProof/>
        </w:rPr>
      </w:pPr>
      <w:r>
        <w:rPr>
          <w:noProof/>
        </w:rPr>
        <w:t>Anthony Flint</w:t>
      </w:r>
    </w:p>
    <w:p w:rsidR="00A1472D" w:rsidRDefault="00A1472D" w:rsidP="00117DD3">
      <w:pPr>
        <w:spacing w:after="0"/>
        <w:rPr>
          <w:noProof/>
        </w:rPr>
      </w:pPr>
      <w:r>
        <w:rPr>
          <w:noProof/>
        </w:rPr>
        <w:t>Bradley McKenzie</w:t>
      </w:r>
    </w:p>
    <w:p w:rsidR="00117DD3" w:rsidRDefault="00117DD3" w:rsidP="00117DD3">
      <w:pPr>
        <w:spacing w:after="0"/>
        <w:rPr>
          <w:noProof/>
        </w:rPr>
      </w:pPr>
      <w:r>
        <w:rPr>
          <w:noProof/>
        </w:rPr>
        <w:t>Julia Radcliffe</w:t>
      </w:r>
    </w:p>
    <w:p w:rsidR="00245911" w:rsidRDefault="00245911" w:rsidP="00245911">
      <w:pPr>
        <w:spacing w:before="240" w:after="0" w:line="300" w:lineRule="auto"/>
        <w:rPr>
          <w:rFonts w:ascii="Calibri" w:hAnsi="Calibri" w:cs="Calibri"/>
        </w:rPr>
      </w:pPr>
      <w:r>
        <w:rPr>
          <w:rFonts w:ascii="Calibri" w:hAnsi="Calibri" w:cs="Calibri"/>
        </w:rPr>
        <w:t>The authors acknowledge the contribution</w:t>
      </w:r>
      <w:r w:rsidR="007C439C">
        <w:rPr>
          <w:rFonts w:ascii="Calibri" w:hAnsi="Calibri" w:cs="Calibri"/>
        </w:rPr>
        <w:t xml:space="preserve"> </w:t>
      </w:r>
      <w:r>
        <w:rPr>
          <w:rFonts w:ascii="Calibri" w:hAnsi="Calibri" w:cs="Calibri"/>
        </w:rPr>
        <w:t>of:</w:t>
      </w:r>
    </w:p>
    <w:p w:rsidR="00245911" w:rsidRDefault="00245911" w:rsidP="00245911">
      <w:pPr>
        <w:spacing w:after="0" w:line="300" w:lineRule="auto"/>
        <w:ind w:left="426"/>
        <w:rPr>
          <w:rFonts w:ascii="Calibri" w:hAnsi="Calibri" w:cs="Calibri"/>
        </w:rPr>
      </w:pPr>
      <w:r>
        <w:rPr>
          <w:rFonts w:ascii="Calibri" w:hAnsi="Calibri" w:cs="Calibri"/>
        </w:rPr>
        <w:t>Market Access Consulting and Research</w:t>
      </w:r>
    </w:p>
    <w:p w:rsidR="00245911" w:rsidRDefault="00245911" w:rsidP="00245911">
      <w:pPr>
        <w:spacing w:after="0" w:line="300" w:lineRule="auto"/>
        <w:ind w:left="426"/>
        <w:rPr>
          <w:rFonts w:ascii="Calibri" w:hAnsi="Calibri" w:cs="Calibri"/>
        </w:rPr>
      </w:pPr>
      <w:r>
        <w:rPr>
          <w:rFonts w:ascii="Calibri" w:hAnsi="Calibri" w:cs="Calibri"/>
        </w:rPr>
        <w:t xml:space="preserve">Alliance Strategic Research </w:t>
      </w:r>
    </w:p>
    <w:p w:rsidR="00710654" w:rsidRDefault="00245911" w:rsidP="00710654">
      <w:pPr>
        <w:spacing w:after="0" w:line="300" w:lineRule="auto"/>
        <w:ind w:left="426"/>
        <w:rPr>
          <w:rFonts w:ascii="Calibri" w:hAnsi="Calibri" w:cs="Calibri"/>
        </w:rPr>
      </w:pPr>
      <w:r>
        <w:rPr>
          <w:rFonts w:ascii="Calibri" w:hAnsi="Calibri" w:cs="Calibri"/>
        </w:rPr>
        <w:t>Social Research Centre.</w:t>
      </w:r>
    </w:p>
    <w:p w:rsidR="00117DD3" w:rsidRPr="00710654" w:rsidRDefault="00117DD3" w:rsidP="003F1AAC">
      <w:pPr>
        <w:spacing w:before="2400" w:after="0" w:line="300" w:lineRule="auto"/>
        <w:rPr>
          <w:rFonts w:ascii="Calibri" w:hAnsi="Calibri" w:cs="Calibri"/>
        </w:rPr>
      </w:pPr>
      <w:r w:rsidRPr="00117DD3">
        <w:rPr>
          <w:noProof/>
        </w:rPr>
        <w:t>ISBN</w:t>
      </w:r>
    </w:p>
    <w:p w:rsidR="00E21D7F" w:rsidRDefault="00E21D7F" w:rsidP="00117DD3">
      <w:pPr>
        <w:rPr>
          <w:rFonts w:ascii="Arial" w:hAnsi="Arial" w:cs="Arial"/>
          <w:sz w:val="20"/>
          <w:szCs w:val="20"/>
          <w:lang w:eastAsia="en-AU"/>
        </w:rPr>
      </w:pPr>
    </w:p>
    <w:p w:rsidR="00117DD3" w:rsidRPr="00117DD3" w:rsidRDefault="00E21D7F" w:rsidP="00117DD3">
      <w:pPr>
        <w:rPr>
          <w:noProof/>
          <w:szCs w:val="20"/>
        </w:rPr>
      </w:pPr>
      <w:r>
        <w:rPr>
          <w:rFonts w:ascii="Arial" w:hAnsi="Arial" w:cs="Arial"/>
          <w:sz w:val="20"/>
          <w:szCs w:val="20"/>
          <w:lang w:eastAsia="en-AU"/>
        </w:rPr>
        <w:t>978-1-76051-634-5</w:t>
      </w:r>
      <w:r w:rsidRPr="00117DD3">
        <w:rPr>
          <w:noProof/>
          <w:szCs w:val="20"/>
        </w:rPr>
        <w:t xml:space="preserve"> </w:t>
      </w:r>
      <w:r w:rsidR="00117DD3" w:rsidRPr="00117DD3">
        <w:rPr>
          <w:noProof/>
          <w:szCs w:val="20"/>
        </w:rPr>
        <w:t>[PDF]</w:t>
      </w:r>
      <w:r w:rsidR="00117DD3" w:rsidRPr="00117DD3">
        <w:rPr>
          <w:noProof/>
          <w:szCs w:val="20"/>
        </w:rPr>
        <w:br/>
      </w:r>
      <w:r>
        <w:rPr>
          <w:rFonts w:ascii="Arial" w:hAnsi="Arial" w:cs="Arial"/>
          <w:sz w:val="20"/>
          <w:szCs w:val="20"/>
          <w:lang w:eastAsia="en-AU"/>
        </w:rPr>
        <w:t>978-1-76051-635-2</w:t>
      </w:r>
      <w:r w:rsidRPr="00117DD3">
        <w:rPr>
          <w:noProof/>
          <w:szCs w:val="20"/>
        </w:rPr>
        <w:t xml:space="preserve"> </w:t>
      </w:r>
      <w:r w:rsidR="00117DD3" w:rsidRPr="00117DD3">
        <w:rPr>
          <w:noProof/>
          <w:szCs w:val="20"/>
        </w:rPr>
        <w:t>[DOCX]</w:t>
      </w:r>
    </w:p>
    <w:p w:rsidR="00117DD3" w:rsidRPr="00117DD3" w:rsidRDefault="00117DD3" w:rsidP="00117DD3">
      <w:pPr>
        <w:tabs>
          <w:tab w:val="left" w:pos="720"/>
        </w:tabs>
        <w:spacing w:after="0" w:line="240" w:lineRule="auto"/>
        <w:rPr>
          <w:rFonts w:ascii="Calibri" w:eastAsiaTheme="minorHAnsi" w:hAnsi="Calibri" w:cs="Calibri"/>
          <w:noProof/>
          <w:sz w:val="20"/>
          <w:szCs w:val="20"/>
          <w:lang w:eastAsia="en-AU"/>
        </w:rPr>
      </w:pPr>
      <w:r w:rsidRPr="00117DD3">
        <w:rPr>
          <w:rFonts w:ascii="Calibri" w:eastAsiaTheme="minorHAnsi" w:hAnsi="Calibri" w:cs="Calibri"/>
          <w:noProof/>
          <w:sz w:val="20"/>
          <w:szCs w:val="20"/>
          <w:lang w:eastAsia="en-AU"/>
        </w:rPr>
        <w:drawing>
          <wp:inline distT="0" distB="0" distL="0" distR="0" wp14:anchorId="7D33103A" wp14:editId="2B0270CA">
            <wp:extent cx="847725" cy="285750"/>
            <wp:effectExtent l="0" t="0" r="9525" b="0"/>
            <wp:docPr id="18" name="Picture 1" descr="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C5B5E.C6C84990"/>
                    <pic:cNvPicPr>
                      <a:picLocks noChangeAspect="1" noChangeArrowheads="1"/>
                    </pic:cNvPicPr>
                  </pic:nvPicPr>
                  <pic:blipFill>
                    <a:blip r:embed="rId18" r:link="rId19" cstate="print"/>
                    <a:srcRect/>
                    <a:stretch>
                      <a:fillRect/>
                    </a:stretch>
                  </pic:blipFill>
                  <pic:spPr bwMode="auto">
                    <a:xfrm>
                      <a:off x="0" y="0"/>
                      <a:ext cx="847725" cy="285750"/>
                    </a:xfrm>
                    <a:prstGeom prst="rect">
                      <a:avLst/>
                    </a:prstGeom>
                    <a:noFill/>
                    <a:ln w="9525">
                      <a:noFill/>
                      <a:miter lim="800000"/>
                      <a:headEnd/>
                      <a:tailEnd/>
                    </a:ln>
                  </pic:spPr>
                </pic:pic>
              </a:graphicData>
            </a:graphic>
          </wp:inline>
        </w:drawing>
      </w:r>
    </w:p>
    <w:p w:rsidR="00117DD3" w:rsidRPr="00117DD3" w:rsidRDefault="00117DD3" w:rsidP="00117DD3">
      <w:pPr>
        <w:rPr>
          <w:noProof/>
        </w:rPr>
      </w:pPr>
      <w:r w:rsidRPr="00117DD3">
        <w:rPr>
          <w:noProof/>
        </w:rPr>
        <w:t xml:space="preserve">With the exception of the Commonwealth Coat of Arms, the Department’s logo, any material protected by a trade mark and where otherwise noted all material presented in this document is provided under a </w:t>
      </w:r>
      <w:hyperlink r:id="rId20" w:history="1">
        <w:r w:rsidRPr="00117DD3">
          <w:rPr>
            <w:noProof/>
            <w:color w:val="165788" w:themeColor="hyperlink"/>
            <w:u w:val="single"/>
          </w:rPr>
          <w:t>Creative Commons Attribution 3.0 Australia</w:t>
        </w:r>
      </w:hyperlink>
      <w:r w:rsidRPr="00117DD3">
        <w:rPr>
          <w:noProof/>
        </w:rPr>
        <w:t xml:space="preserve"> (http://creativecommons.org/licenses/by/3.0/au/) licence. </w:t>
      </w:r>
    </w:p>
    <w:p w:rsidR="00117DD3" w:rsidRPr="00117DD3" w:rsidRDefault="00117DD3" w:rsidP="00117DD3">
      <w:pPr>
        <w:rPr>
          <w:noProof/>
        </w:rPr>
      </w:pPr>
      <w:r w:rsidRPr="00117DD3">
        <w:rPr>
          <w:noProof/>
        </w:rPr>
        <w:t xml:space="preserve">The details of the relevant licence conditions are available on the Creative Commons website (accessible using the links provided) as is the full legal code for the </w:t>
      </w:r>
      <w:hyperlink r:id="rId21" w:history="1">
        <w:r w:rsidRPr="00117DD3">
          <w:rPr>
            <w:noProof/>
            <w:color w:val="165788" w:themeColor="hyperlink"/>
            <w:u w:val="single"/>
          </w:rPr>
          <w:t>CC BY 3.0 AU licence</w:t>
        </w:r>
      </w:hyperlink>
      <w:r w:rsidRPr="00117DD3">
        <w:rPr>
          <w:noProof/>
        </w:rPr>
        <w:t xml:space="preserve"> (http://creativecommons.org/licenses/by/3.0/au/legalcode). </w:t>
      </w:r>
    </w:p>
    <w:p w:rsidR="00117DD3" w:rsidRPr="00117DD3" w:rsidRDefault="00117DD3" w:rsidP="00117DD3">
      <w:pPr>
        <w:rPr>
          <w:noProof/>
        </w:rPr>
      </w:pPr>
      <w:r w:rsidRPr="00117DD3">
        <w:rPr>
          <w:noProof/>
        </w:rPr>
        <w:t xml:space="preserve">The document must be attributed as The </w:t>
      </w:r>
      <w:r>
        <w:rPr>
          <w:noProof/>
        </w:rPr>
        <w:t xml:space="preserve">Job Commitment Bonus for Young Australians </w:t>
      </w:r>
      <w:r w:rsidRPr="00117DD3">
        <w:rPr>
          <w:noProof/>
        </w:rPr>
        <w:t>Evaluation</w:t>
      </w:r>
      <w:r>
        <w:rPr>
          <w:noProof/>
        </w:rPr>
        <w:t xml:space="preserve"> </w:t>
      </w:r>
      <w:r w:rsidR="004B7208">
        <w:rPr>
          <w:noProof/>
        </w:rPr>
        <w:t>report</w:t>
      </w:r>
      <w:r w:rsidRPr="00117DD3">
        <w:rPr>
          <w:noProof/>
        </w:rPr>
        <w:t>.</w:t>
      </w:r>
    </w:p>
    <w:p w:rsidR="00117DD3" w:rsidRDefault="00117DD3">
      <w:pPr>
        <w:rPr>
          <w:rFonts w:ascii="Calibri" w:eastAsiaTheme="majorEastAsia" w:hAnsi="Calibri" w:cstheme="majorBidi"/>
          <w:b/>
          <w:bCs/>
          <w:color w:val="1E3D6B"/>
          <w:sz w:val="36"/>
          <w:szCs w:val="28"/>
        </w:rPr>
      </w:pPr>
      <w:r>
        <w:br w:type="page"/>
      </w:r>
    </w:p>
    <w:p w:rsidR="00E0470D" w:rsidRDefault="00D47081" w:rsidP="005648B9">
      <w:pPr>
        <w:pStyle w:val="Heading1"/>
      </w:pPr>
      <w:bookmarkStart w:id="30" w:name="_Toc478117535"/>
      <w:bookmarkStart w:id="31" w:name="_Toc484005737"/>
      <w:bookmarkStart w:id="32" w:name="_Toc485388659"/>
      <w:bookmarkStart w:id="33" w:name="_Toc485911707"/>
      <w:bookmarkStart w:id="34" w:name="_Toc490647338"/>
      <w:bookmarkStart w:id="35" w:name="_Toc490647484"/>
      <w:bookmarkStart w:id="36" w:name="_Toc492306868"/>
      <w:bookmarkStart w:id="37" w:name="_Toc495332369"/>
      <w:bookmarkStart w:id="38" w:name="_Toc506371848"/>
      <w:bookmarkStart w:id="39" w:name="_Toc506371904"/>
      <w:bookmarkStart w:id="40" w:name="_Toc506805178"/>
      <w:bookmarkStart w:id="41" w:name="_Toc507600216"/>
      <w:r w:rsidRPr="003A4B00">
        <w:lastRenderedPageBreak/>
        <w:t xml:space="preserve">Table of </w:t>
      </w:r>
      <w:bookmarkEnd w:id="1"/>
      <w:bookmarkEnd w:id="2"/>
      <w:bookmarkEnd w:id="3"/>
      <w:bookmarkEnd w:id="4"/>
      <w:bookmarkEnd w:id="5"/>
      <w:bookmarkEnd w:id="6"/>
      <w:bookmarkEnd w:id="7"/>
      <w:bookmarkEnd w:id="8"/>
      <w:bookmarkEnd w:id="9"/>
      <w:bookmarkEnd w:id="10"/>
      <w:bookmarkEnd w:id="11"/>
      <w:bookmarkEnd w:id="12"/>
      <w:r w:rsidR="002E76FB">
        <w:t>c</w:t>
      </w:r>
      <w:r w:rsidR="002E76FB" w:rsidRPr="003A4B00">
        <w:t>ontents</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bookmarkStart w:id="42" w:name="_Toc478117536"/>
    <w:p w:rsidR="00B55D4D" w:rsidRDefault="005114E3">
      <w:pPr>
        <w:pStyle w:val="TOC1"/>
        <w:rPr>
          <w:rFonts w:cstheme="minorBidi"/>
          <w:b w:val="0"/>
          <w:bCs w:val="0"/>
          <w:noProof/>
          <w:sz w:val="22"/>
          <w:szCs w:val="22"/>
          <w:lang w:eastAsia="en-AU"/>
        </w:rPr>
      </w:pPr>
      <w:r>
        <w:fldChar w:fldCharType="begin"/>
      </w:r>
      <w:r>
        <w:instrText xml:space="preserve"> TOC \o "1-2" \h \z \u </w:instrText>
      </w:r>
      <w:r>
        <w:fldChar w:fldCharType="separate"/>
      </w:r>
      <w:hyperlink w:anchor="_Toc507600216" w:history="1">
        <w:r w:rsidR="00B55D4D" w:rsidRPr="00FE6A49">
          <w:rPr>
            <w:rStyle w:val="Hyperlink"/>
            <w:noProof/>
          </w:rPr>
          <w:t>Table of contents</w:t>
        </w:r>
        <w:r w:rsidR="00B55D4D">
          <w:rPr>
            <w:noProof/>
            <w:webHidden/>
          </w:rPr>
          <w:tab/>
        </w:r>
        <w:r w:rsidR="00B55D4D">
          <w:rPr>
            <w:noProof/>
            <w:webHidden/>
          </w:rPr>
          <w:fldChar w:fldCharType="begin"/>
        </w:r>
        <w:r w:rsidR="00B55D4D">
          <w:rPr>
            <w:noProof/>
            <w:webHidden/>
          </w:rPr>
          <w:instrText xml:space="preserve"> PAGEREF _Toc507600216 \h </w:instrText>
        </w:r>
        <w:r w:rsidR="00B55D4D">
          <w:rPr>
            <w:noProof/>
            <w:webHidden/>
          </w:rPr>
        </w:r>
        <w:r w:rsidR="00B55D4D">
          <w:rPr>
            <w:noProof/>
            <w:webHidden/>
          </w:rPr>
          <w:fldChar w:fldCharType="separate"/>
        </w:r>
        <w:r w:rsidR="00B55D4D">
          <w:rPr>
            <w:noProof/>
            <w:webHidden/>
          </w:rPr>
          <w:t>ii</w:t>
        </w:r>
        <w:r w:rsidR="00B55D4D">
          <w:rPr>
            <w:noProof/>
            <w:webHidden/>
          </w:rPr>
          <w:fldChar w:fldCharType="end"/>
        </w:r>
      </w:hyperlink>
    </w:p>
    <w:p w:rsidR="00B55D4D" w:rsidRDefault="0027008F">
      <w:pPr>
        <w:pStyle w:val="TOC1"/>
        <w:rPr>
          <w:rFonts w:cstheme="minorBidi"/>
          <w:b w:val="0"/>
          <w:bCs w:val="0"/>
          <w:noProof/>
          <w:sz w:val="22"/>
          <w:szCs w:val="22"/>
          <w:lang w:eastAsia="en-AU"/>
        </w:rPr>
      </w:pPr>
      <w:hyperlink w:anchor="_Toc507600217" w:history="1">
        <w:r w:rsidR="00B55D4D" w:rsidRPr="00FE6A49">
          <w:rPr>
            <w:rStyle w:val="Hyperlink"/>
            <w:noProof/>
          </w:rPr>
          <w:t>List of figures</w:t>
        </w:r>
        <w:r w:rsidR="00B55D4D">
          <w:rPr>
            <w:noProof/>
            <w:webHidden/>
          </w:rPr>
          <w:tab/>
        </w:r>
        <w:r w:rsidR="00B55D4D">
          <w:rPr>
            <w:noProof/>
            <w:webHidden/>
          </w:rPr>
          <w:fldChar w:fldCharType="begin"/>
        </w:r>
        <w:r w:rsidR="00B55D4D">
          <w:rPr>
            <w:noProof/>
            <w:webHidden/>
          </w:rPr>
          <w:instrText xml:space="preserve"> PAGEREF _Toc507600217 \h </w:instrText>
        </w:r>
        <w:r w:rsidR="00B55D4D">
          <w:rPr>
            <w:noProof/>
            <w:webHidden/>
          </w:rPr>
        </w:r>
        <w:r w:rsidR="00B55D4D">
          <w:rPr>
            <w:noProof/>
            <w:webHidden/>
          </w:rPr>
          <w:fldChar w:fldCharType="separate"/>
        </w:r>
        <w:r w:rsidR="00B55D4D">
          <w:rPr>
            <w:noProof/>
            <w:webHidden/>
          </w:rPr>
          <w:t>v</w:t>
        </w:r>
        <w:r w:rsidR="00B55D4D">
          <w:rPr>
            <w:noProof/>
            <w:webHidden/>
          </w:rPr>
          <w:fldChar w:fldCharType="end"/>
        </w:r>
      </w:hyperlink>
    </w:p>
    <w:p w:rsidR="00B55D4D" w:rsidRDefault="0027008F">
      <w:pPr>
        <w:pStyle w:val="TOC1"/>
        <w:rPr>
          <w:rFonts w:cstheme="minorBidi"/>
          <w:b w:val="0"/>
          <w:bCs w:val="0"/>
          <w:noProof/>
          <w:sz w:val="22"/>
          <w:szCs w:val="22"/>
          <w:lang w:eastAsia="en-AU"/>
        </w:rPr>
      </w:pPr>
      <w:hyperlink w:anchor="_Toc507600218" w:history="1">
        <w:r w:rsidR="00B55D4D" w:rsidRPr="00FE6A49">
          <w:rPr>
            <w:rStyle w:val="Hyperlink"/>
            <w:noProof/>
          </w:rPr>
          <w:t>List of tables</w:t>
        </w:r>
        <w:r w:rsidR="00B55D4D">
          <w:rPr>
            <w:noProof/>
            <w:webHidden/>
          </w:rPr>
          <w:tab/>
        </w:r>
        <w:r w:rsidR="00B55D4D">
          <w:rPr>
            <w:noProof/>
            <w:webHidden/>
          </w:rPr>
          <w:fldChar w:fldCharType="begin"/>
        </w:r>
        <w:r w:rsidR="00B55D4D">
          <w:rPr>
            <w:noProof/>
            <w:webHidden/>
          </w:rPr>
          <w:instrText xml:space="preserve"> PAGEREF _Toc507600218 \h </w:instrText>
        </w:r>
        <w:r w:rsidR="00B55D4D">
          <w:rPr>
            <w:noProof/>
            <w:webHidden/>
          </w:rPr>
        </w:r>
        <w:r w:rsidR="00B55D4D">
          <w:rPr>
            <w:noProof/>
            <w:webHidden/>
          </w:rPr>
          <w:fldChar w:fldCharType="separate"/>
        </w:r>
        <w:r w:rsidR="00B55D4D">
          <w:rPr>
            <w:noProof/>
            <w:webHidden/>
          </w:rPr>
          <w:t>vi</w:t>
        </w:r>
        <w:r w:rsidR="00B55D4D">
          <w:rPr>
            <w:noProof/>
            <w:webHidden/>
          </w:rPr>
          <w:fldChar w:fldCharType="end"/>
        </w:r>
      </w:hyperlink>
    </w:p>
    <w:p w:rsidR="00B55D4D" w:rsidRDefault="0027008F">
      <w:pPr>
        <w:pStyle w:val="TOC1"/>
        <w:rPr>
          <w:rFonts w:cstheme="minorBidi"/>
          <w:b w:val="0"/>
          <w:bCs w:val="0"/>
          <w:noProof/>
          <w:sz w:val="22"/>
          <w:szCs w:val="22"/>
          <w:lang w:eastAsia="en-AU"/>
        </w:rPr>
      </w:pPr>
      <w:hyperlink w:anchor="_Toc507600219" w:history="1">
        <w:r w:rsidR="00B55D4D" w:rsidRPr="00FE6A49">
          <w:rPr>
            <w:rStyle w:val="Hyperlink"/>
            <w:noProof/>
          </w:rPr>
          <w:t>List of acronyms</w:t>
        </w:r>
        <w:r w:rsidR="00B55D4D">
          <w:rPr>
            <w:noProof/>
            <w:webHidden/>
          </w:rPr>
          <w:tab/>
        </w:r>
        <w:r w:rsidR="00B55D4D">
          <w:rPr>
            <w:noProof/>
            <w:webHidden/>
          </w:rPr>
          <w:fldChar w:fldCharType="begin"/>
        </w:r>
        <w:r w:rsidR="00B55D4D">
          <w:rPr>
            <w:noProof/>
            <w:webHidden/>
          </w:rPr>
          <w:instrText xml:space="preserve"> PAGEREF _Toc507600219 \h </w:instrText>
        </w:r>
        <w:r w:rsidR="00B55D4D">
          <w:rPr>
            <w:noProof/>
            <w:webHidden/>
          </w:rPr>
        </w:r>
        <w:r w:rsidR="00B55D4D">
          <w:rPr>
            <w:noProof/>
            <w:webHidden/>
          </w:rPr>
          <w:fldChar w:fldCharType="separate"/>
        </w:r>
        <w:r w:rsidR="00B55D4D">
          <w:rPr>
            <w:noProof/>
            <w:webHidden/>
          </w:rPr>
          <w:t>viii</w:t>
        </w:r>
        <w:r w:rsidR="00B55D4D">
          <w:rPr>
            <w:noProof/>
            <w:webHidden/>
          </w:rPr>
          <w:fldChar w:fldCharType="end"/>
        </w:r>
      </w:hyperlink>
    </w:p>
    <w:p w:rsidR="00B55D4D" w:rsidRDefault="0027008F">
      <w:pPr>
        <w:pStyle w:val="TOC1"/>
        <w:rPr>
          <w:rFonts w:cstheme="minorBidi"/>
          <w:b w:val="0"/>
          <w:bCs w:val="0"/>
          <w:noProof/>
          <w:sz w:val="22"/>
          <w:szCs w:val="22"/>
          <w:lang w:eastAsia="en-AU"/>
        </w:rPr>
      </w:pPr>
      <w:hyperlink w:anchor="_Toc507600220" w:history="1">
        <w:r w:rsidR="00B55D4D" w:rsidRPr="00FE6A49">
          <w:rPr>
            <w:rStyle w:val="Hyperlink"/>
            <w:noProof/>
          </w:rPr>
          <w:t>Executive summary</w:t>
        </w:r>
        <w:r w:rsidR="00B55D4D">
          <w:rPr>
            <w:noProof/>
            <w:webHidden/>
          </w:rPr>
          <w:tab/>
        </w:r>
        <w:r w:rsidR="00B55D4D">
          <w:rPr>
            <w:noProof/>
            <w:webHidden/>
          </w:rPr>
          <w:fldChar w:fldCharType="begin"/>
        </w:r>
        <w:r w:rsidR="00B55D4D">
          <w:rPr>
            <w:noProof/>
            <w:webHidden/>
          </w:rPr>
          <w:instrText xml:space="preserve"> PAGEREF _Toc507600220 \h </w:instrText>
        </w:r>
        <w:r w:rsidR="00B55D4D">
          <w:rPr>
            <w:noProof/>
            <w:webHidden/>
          </w:rPr>
        </w:r>
        <w:r w:rsidR="00B55D4D">
          <w:rPr>
            <w:noProof/>
            <w:webHidden/>
          </w:rPr>
          <w:fldChar w:fldCharType="separate"/>
        </w:r>
        <w:r w:rsidR="00B55D4D">
          <w:rPr>
            <w:noProof/>
            <w:webHidden/>
          </w:rPr>
          <w:t>1</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21" w:history="1">
        <w:r w:rsidR="00B55D4D" w:rsidRPr="00FE6A49">
          <w:rPr>
            <w:rStyle w:val="Hyperlink"/>
            <w:noProof/>
          </w:rPr>
          <w:t>Background</w:t>
        </w:r>
        <w:r w:rsidR="00B55D4D">
          <w:rPr>
            <w:noProof/>
            <w:webHidden/>
          </w:rPr>
          <w:tab/>
        </w:r>
        <w:r w:rsidR="00B55D4D">
          <w:rPr>
            <w:noProof/>
            <w:webHidden/>
          </w:rPr>
          <w:fldChar w:fldCharType="begin"/>
        </w:r>
        <w:r w:rsidR="00B55D4D">
          <w:rPr>
            <w:noProof/>
            <w:webHidden/>
          </w:rPr>
          <w:instrText xml:space="preserve"> PAGEREF _Toc507600221 \h </w:instrText>
        </w:r>
        <w:r w:rsidR="00B55D4D">
          <w:rPr>
            <w:noProof/>
            <w:webHidden/>
          </w:rPr>
        </w:r>
        <w:r w:rsidR="00B55D4D">
          <w:rPr>
            <w:noProof/>
            <w:webHidden/>
          </w:rPr>
          <w:fldChar w:fldCharType="separate"/>
        </w:r>
        <w:r w:rsidR="00B55D4D">
          <w:rPr>
            <w:noProof/>
            <w:webHidden/>
          </w:rPr>
          <w:t>1</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22" w:history="1">
        <w:r w:rsidR="00B55D4D" w:rsidRPr="00FE6A49">
          <w:rPr>
            <w:rStyle w:val="Hyperlink"/>
            <w:noProof/>
          </w:rPr>
          <w:t>JCB claims</w:t>
        </w:r>
        <w:r w:rsidR="00B55D4D">
          <w:rPr>
            <w:noProof/>
            <w:webHidden/>
          </w:rPr>
          <w:tab/>
        </w:r>
        <w:r w:rsidR="00B55D4D">
          <w:rPr>
            <w:noProof/>
            <w:webHidden/>
          </w:rPr>
          <w:fldChar w:fldCharType="begin"/>
        </w:r>
        <w:r w:rsidR="00B55D4D">
          <w:rPr>
            <w:noProof/>
            <w:webHidden/>
          </w:rPr>
          <w:instrText xml:space="preserve"> PAGEREF _Toc507600222 \h </w:instrText>
        </w:r>
        <w:r w:rsidR="00B55D4D">
          <w:rPr>
            <w:noProof/>
            <w:webHidden/>
          </w:rPr>
        </w:r>
        <w:r w:rsidR="00B55D4D">
          <w:rPr>
            <w:noProof/>
            <w:webHidden/>
          </w:rPr>
          <w:fldChar w:fldCharType="separate"/>
        </w:r>
        <w:r w:rsidR="00B55D4D">
          <w:rPr>
            <w:noProof/>
            <w:webHidden/>
          </w:rPr>
          <w:t>2</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23" w:history="1">
        <w:r w:rsidR="00B55D4D" w:rsidRPr="00FE6A49">
          <w:rPr>
            <w:rStyle w:val="Hyperlink"/>
            <w:noProof/>
          </w:rPr>
          <w:t>The motivational effect of JCB</w:t>
        </w:r>
        <w:r w:rsidR="00B55D4D">
          <w:rPr>
            <w:noProof/>
            <w:webHidden/>
          </w:rPr>
          <w:tab/>
        </w:r>
        <w:r w:rsidR="00B55D4D">
          <w:rPr>
            <w:noProof/>
            <w:webHidden/>
          </w:rPr>
          <w:fldChar w:fldCharType="begin"/>
        </w:r>
        <w:r w:rsidR="00B55D4D">
          <w:rPr>
            <w:noProof/>
            <w:webHidden/>
          </w:rPr>
          <w:instrText xml:space="preserve"> PAGEREF _Toc507600223 \h </w:instrText>
        </w:r>
        <w:r w:rsidR="00B55D4D">
          <w:rPr>
            <w:noProof/>
            <w:webHidden/>
          </w:rPr>
        </w:r>
        <w:r w:rsidR="00B55D4D">
          <w:rPr>
            <w:noProof/>
            <w:webHidden/>
          </w:rPr>
          <w:fldChar w:fldCharType="separate"/>
        </w:r>
        <w:r w:rsidR="00B55D4D">
          <w:rPr>
            <w:noProof/>
            <w:webHidden/>
          </w:rPr>
          <w:t>3</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24" w:history="1">
        <w:r w:rsidR="00B55D4D" w:rsidRPr="00FE6A49">
          <w:rPr>
            <w:rStyle w:val="Hyperlink"/>
            <w:noProof/>
          </w:rPr>
          <w:t>Quantitative analyses</w:t>
        </w:r>
        <w:r w:rsidR="00B55D4D">
          <w:rPr>
            <w:noProof/>
            <w:webHidden/>
          </w:rPr>
          <w:tab/>
        </w:r>
        <w:r w:rsidR="00B55D4D">
          <w:rPr>
            <w:noProof/>
            <w:webHidden/>
          </w:rPr>
          <w:fldChar w:fldCharType="begin"/>
        </w:r>
        <w:r w:rsidR="00B55D4D">
          <w:rPr>
            <w:noProof/>
            <w:webHidden/>
          </w:rPr>
          <w:instrText xml:space="preserve"> PAGEREF _Toc507600224 \h </w:instrText>
        </w:r>
        <w:r w:rsidR="00B55D4D">
          <w:rPr>
            <w:noProof/>
            <w:webHidden/>
          </w:rPr>
        </w:r>
        <w:r w:rsidR="00B55D4D">
          <w:rPr>
            <w:noProof/>
            <w:webHidden/>
          </w:rPr>
          <w:fldChar w:fldCharType="separate"/>
        </w:r>
        <w:r w:rsidR="00B55D4D">
          <w:rPr>
            <w:noProof/>
            <w:webHidden/>
          </w:rPr>
          <w:t>4</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25" w:history="1">
        <w:r w:rsidR="00B55D4D" w:rsidRPr="00FE6A49">
          <w:rPr>
            <w:rStyle w:val="Hyperlink"/>
            <w:noProof/>
          </w:rPr>
          <w:t>Job seeker behaviour</w:t>
        </w:r>
        <w:r w:rsidR="00B55D4D">
          <w:rPr>
            <w:noProof/>
            <w:webHidden/>
          </w:rPr>
          <w:tab/>
        </w:r>
        <w:r w:rsidR="00B55D4D">
          <w:rPr>
            <w:noProof/>
            <w:webHidden/>
          </w:rPr>
          <w:fldChar w:fldCharType="begin"/>
        </w:r>
        <w:r w:rsidR="00B55D4D">
          <w:rPr>
            <w:noProof/>
            <w:webHidden/>
          </w:rPr>
          <w:instrText xml:space="preserve"> PAGEREF _Toc507600225 \h </w:instrText>
        </w:r>
        <w:r w:rsidR="00B55D4D">
          <w:rPr>
            <w:noProof/>
            <w:webHidden/>
          </w:rPr>
        </w:r>
        <w:r w:rsidR="00B55D4D">
          <w:rPr>
            <w:noProof/>
            <w:webHidden/>
          </w:rPr>
          <w:fldChar w:fldCharType="separate"/>
        </w:r>
        <w:r w:rsidR="00B55D4D">
          <w:rPr>
            <w:noProof/>
            <w:webHidden/>
          </w:rPr>
          <w:t>5</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26" w:history="1">
        <w:r w:rsidR="00B55D4D" w:rsidRPr="00FE6A49">
          <w:rPr>
            <w:rStyle w:val="Hyperlink"/>
            <w:noProof/>
          </w:rPr>
          <w:t>Recommendations</w:t>
        </w:r>
        <w:r w:rsidR="00B55D4D">
          <w:rPr>
            <w:noProof/>
            <w:webHidden/>
          </w:rPr>
          <w:tab/>
        </w:r>
        <w:r w:rsidR="00B55D4D">
          <w:rPr>
            <w:noProof/>
            <w:webHidden/>
          </w:rPr>
          <w:fldChar w:fldCharType="begin"/>
        </w:r>
        <w:r w:rsidR="00B55D4D">
          <w:rPr>
            <w:noProof/>
            <w:webHidden/>
          </w:rPr>
          <w:instrText xml:space="preserve"> PAGEREF _Toc507600226 \h </w:instrText>
        </w:r>
        <w:r w:rsidR="00B55D4D">
          <w:rPr>
            <w:noProof/>
            <w:webHidden/>
          </w:rPr>
        </w:r>
        <w:r w:rsidR="00B55D4D">
          <w:rPr>
            <w:noProof/>
            <w:webHidden/>
          </w:rPr>
          <w:fldChar w:fldCharType="separate"/>
        </w:r>
        <w:r w:rsidR="00B55D4D">
          <w:rPr>
            <w:noProof/>
            <w:webHidden/>
          </w:rPr>
          <w:t>6</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27" w:history="1">
        <w:r w:rsidR="00B55D4D" w:rsidRPr="00FE6A49">
          <w:rPr>
            <w:rStyle w:val="Hyperlink"/>
            <w:noProof/>
          </w:rPr>
          <w:t>Conclusion</w:t>
        </w:r>
        <w:r w:rsidR="00B55D4D">
          <w:rPr>
            <w:noProof/>
            <w:webHidden/>
          </w:rPr>
          <w:tab/>
        </w:r>
        <w:r w:rsidR="00B55D4D">
          <w:rPr>
            <w:noProof/>
            <w:webHidden/>
          </w:rPr>
          <w:fldChar w:fldCharType="begin"/>
        </w:r>
        <w:r w:rsidR="00B55D4D">
          <w:rPr>
            <w:noProof/>
            <w:webHidden/>
          </w:rPr>
          <w:instrText xml:space="preserve"> PAGEREF _Toc507600227 \h </w:instrText>
        </w:r>
        <w:r w:rsidR="00B55D4D">
          <w:rPr>
            <w:noProof/>
            <w:webHidden/>
          </w:rPr>
        </w:r>
        <w:r w:rsidR="00B55D4D">
          <w:rPr>
            <w:noProof/>
            <w:webHidden/>
          </w:rPr>
          <w:fldChar w:fldCharType="separate"/>
        </w:r>
        <w:r w:rsidR="00B55D4D">
          <w:rPr>
            <w:noProof/>
            <w:webHidden/>
          </w:rPr>
          <w:t>7</w:t>
        </w:r>
        <w:r w:rsidR="00B55D4D">
          <w:rPr>
            <w:noProof/>
            <w:webHidden/>
          </w:rPr>
          <w:fldChar w:fldCharType="end"/>
        </w:r>
      </w:hyperlink>
    </w:p>
    <w:p w:rsidR="00B55D4D" w:rsidRDefault="0027008F">
      <w:pPr>
        <w:pStyle w:val="TOC1"/>
        <w:rPr>
          <w:rFonts w:cstheme="minorBidi"/>
          <w:b w:val="0"/>
          <w:bCs w:val="0"/>
          <w:noProof/>
          <w:sz w:val="22"/>
          <w:szCs w:val="22"/>
          <w:lang w:eastAsia="en-AU"/>
        </w:rPr>
      </w:pPr>
      <w:hyperlink w:anchor="_Toc507600228" w:history="1">
        <w:r w:rsidR="00B55D4D" w:rsidRPr="00FE6A49">
          <w:rPr>
            <w:rStyle w:val="Hyperlink"/>
            <w:noProof/>
          </w:rPr>
          <w:t>1</w:t>
        </w:r>
        <w:r w:rsidR="00B55D4D">
          <w:rPr>
            <w:rFonts w:cstheme="minorBidi"/>
            <w:b w:val="0"/>
            <w:bCs w:val="0"/>
            <w:noProof/>
            <w:sz w:val="22"/>
            <w:szCs w:val="22"/>
            <w:lang w:eastAsia="en-AU"/>
          </w:rPr>
          <w:tab/>
        </w:r>
        <w:r w:rsidR="00B55D4D" w:rsidRPr="00FE6A49">
          <w:rPr>
            <w:rStyle w:val="Hyperlink"/>
            <w:noProof/>
          </w:rPr>
          <w:t>Introduction</w:t>
        </w:r>
        <w:r w:rsidR="00B55D4D">
          <w:rPr>
            <w:noProof/>
            <w:webHidden/>
          </w:rPr>
          <w:tab/>
        </w:r>
        <w:r w:rsidR="00B55D4D">
          <w:rPr>
            <w:noProof/>
            <w:webHidden/>
          </w:rPr>
          <w:fldChar w:fldCharType="begin"/>
        </w:r>
        <w:r w:rsidR="00B55D4D">
          <w:rPr>
            <w:noProof/>
            <w:webHidden/>
          </w:rPr>
          <w:instrText xml:space="preserve"> PAGEREF _Toc507600228 \h </w:instrText>
        </w:r>
        <w:r w:rsidR="00B55D4D">
          <w:rPr>
            <w:noProof/>
            <w:webHidden/>
          </w:rPr>
        </w:r>
        <w:r w:rsidR="00B55D4D">
          <w:rPr>
            <w:noProof/>
            <w:webHidden/>
          </w:rPr>
          <w:fldChar w:fldCharType="separate"/>
        </w:r>
        <w:r w:rsidR="00B55D4D">
          <w:rPr>
            <w:noProof/>
            <w:webHidden/>
          </w:rPr>
          <w:t>9</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29" w:history="1">
        <w:r w:rsidR="00B55D4D" w:rsidRPr="00FE6A49">
          <w:rPr>
            <w:rStyle w:val="Hyperlink"/>
            <w:noProof/>
          </w:rPr>
          <w:t>1.1</w:t>
        </w:r>
        <w:r w:rsidR="00B55D4D">
          <w:rPr>
            <w:rFonts w:cstheme="minorBidi"/>
            <w:noProof/>
            <w:sz w:val="22"/>
            <w:szCs w:val="22"/>
            <w:lang w:eastAsia="en-AU"/>
          </w:rPr>
          <w:tab/>
        </w:r>
        <w:r w:rsidR="00B55D4D" w:rsidRPr="00FE6A49">
          <w:rPr>
            <w:rStyle w:val="Hyperlink"/>
            <w:noProof/>
          </w:rPr>
          <w:t>The Job Commitment Bonus for Young Australians program</w:t>
        </w:r>
        <w:r w:rsidR="00B55D4D">
          <w:rPr>
            <w:noProof/>
            <w:webHidden/>
          </w:rPr>
          <w:tab/>
        </w:r>
        <w:r w:rsidR="00B55D4D">
          <w:rPr>
            <w:noProof/>
            <w:webHidden/>
          </w:rPr>
          <w:fldChar w:fldCharType="begin"/>
        </w:r>
        <w:r w:rsidR="00B55D4D">
          <w:rPr>
            <w:noProof/>
            <w:webHidden/>
          </w:rPr>
          <w:instrText xml:space="preserve"> PAGEREF _Toc507600229 \h </w:instrText>
        </w:r>
        <w:r w:rsidR="00B55D4D">
          <w:rPr>
            <w:noProof/>
            <w:webHidden/>
          </w:rPr>
        </w:r>
        <w:r w:rsidR="00B55D4D">
          <w:rPr>
            <w:noProof/>
            <w:webHidden/>
          </w:rPr>
          <w:fldChar w:fldCharType="separate"/>
        </w:r>
        <w:r w:rsidR="00B55D4D">
          <w:rPr>
            <w:noProof/>
            <w:webHidden/>
          </w:rPr>
          <w:t>9</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30" w:history="1">
        <w:r w:rsidR="00B55D4D" w:rsidRPr="00FE6A49">
          <w:rPr>
            <w:rStyle w:val="Hyperlink"/>
            <w:noProof/>
          </w:rPr>
          <w:t>1.2</w:t>
        </w:r>
        <w:r w:rsidR="00B55D4D">
          <w:rPr>
            <w:rFonts w:cstheme="minorBidi"/>
            <w:noProof/>
            <w:sz w:val="22"/>
            <w:szCs w:val="22"/>
            <w:lang w:eastAsia="en-AU"/>
          </w:rPr>
          <w:tab/>
        </w:r>
        <w:r w:rsidR="00B55D4D" w:rsidRPr="00FE6A49">
          <w:rPr>
            <w:rStyle w:val="Hyperlink"/>
            <w:noProof/>
          </w:rPr>
          <w:t>Labour market conditions</w:t>
        </w:r>
        <w:r w:rsidR="00B55D4D">
          <w:rPr>
            <w:noProof/>
            <w:webHidden/>
          </w:rPr>
          <w:tab/>
        </w:r>
        <w:r w:rsidR="00B55D4D">
          <w:rPr>
            <w:noProof/>
            <w:webHidden/>
          </w:rPr>
          <w:fldChar w:fldCharType="begin"/>
        </w:r>
        <w:r w:rsidR="00B55D4D">
          <w:rPr>
            <w:noProof/>
            <w:webHidden/>
          </w:rPr>
          <w:instrText xml:space="preserve"> PAGEREF _Toc507600230 \h </w:instrText>
        </w:r>
        <w:r w:rsidR="00B55D4D">
          <w:rPr>
            <w:noProof/>
            <w:webHidden/>
          </w:rPr>
        </w:r>
        <w:r w:rsidR="00B55D4D">
          <w:rPr>
            <w:noProof/>
            <w:webHidden/>
          </w:rPr>
          <w:fldChar w:fldCharType="separate"/>
        </w:r>
        <w:r w:rsidR="00B55D4D">
          <w:rPr>
            <w:noProof/>
            <w:webHidden/>
          </w:rPr>
          <w:t>10</w:t>
        </w:r>
        <w:r w:rsidR="00B55D4D">
          <w:rPr>
            <w:noProof/>
            <w:webHidden/>
          </w:rPr>
          <w:fldChar w:fldCharType="end"/>
        </w:r>
      </w:hyperlink>
    </w:p>
    <w:p w:rsidR="00B55D4D" w:rsidRDefault="0027008F">
      <w:pPr>
        <w:pStyle w:val="TOC1"/>
        <w:rPr>
          <w:rFonts w:cstheme="minorBidi"/>
          <w:b w:val="0"/>
          <w:bCs w:val="0"/>
          <w:noProof/>
          <w:sz w:val="22"/>
          <w:szCs w:val="22"/>
          <w:lang w:eastAsia="en-AU"/>
        </w:rPr>
      </w:pPr>
      <w:hyperlink w:anchor="_Toc507600231" w:history="1">
        <w:r w:rsidR="00B55D4D" w:rsidRPr="00FE6A49">
          <w:rPr>
            <w:rStyle w:val="Hyperlink"/>
            <w:noProof/>
          </w:rPr>
          <w:t>2</w:t>
        </w:r>
        <w:r w:rsidR="00B55D4D">
          <w:rPr>
            <w:rFonts w:cstheme="minorBidi"/>
            <w:b w:val="0"/>
            <w:bCs w:val="0"/>
            <w:noProof/>
            <w:sz w:val="22"/>
            <w:szCs w:val="22"/>
            <w:lang w:eastAsia="en-AU"/>
          </w:rPr>
          <w:tab/>
        </w:r>
        <w:r w:rsidR="00B55D4D" w:rsidRPr="00FE6A49">
          <w:rPr>
            <w:rStyle w:val="Hyperlink"/>
            <w:noProof/>
          </w:rPr>
          <w:t>Evaluation approach</w:t>
        </w:r>
        <w:r w:rsidR="00B55D4D">
          <w:rPr>
            <w:noProof/>
            <w:webHidden/>
          </w:rPr>
          <w:tab/>
        </w:r>
        <w:r w:rsidR="00B55D4D">
          <w:rPr>
            <w:noProof/>
            <w:webHidden/>
          </w:rPr>
          <w:fldChar w:fldCharType="begin"/>
        </w:r>
        <w:r w:rsidR="00B55D4D">
          <w:rPr>
            <w:noProof/>
            <w:webHidden/>
          </w:rPr>
          <w:instrText xml:space="preserve"> PAGEREF _Toc507600231 \h </w:instrText>
        </w:r>
        <w:r w:rsidR="00B55D4D">
          <w:rPr>
            <w:noProof/>
            <w:webHidden/>
          </w:rPr>
        </w:r>
        <w:r w:rsidR="00B55D4D">
          <w:rPr>
            <w:noProof/>
            <w:webHidden/>
          </w:rPr>
          <w:fldChar w:fldCharType="separate"/>
        </w:r>
        <w:r w:rsidR="00B55D4D">
          <w:rPr>
            <w:noProof/>
            <w:webHidden/>
          </w:rPr>
          <w:t>17</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32" w:history="1">
        <w:r w:rsidR="00B55D4D" w:rsidRPr="00FE6A49">
          <w:rPr>
            <w:rStyle w:val="Hyperlink"/>
            <w:noProof/>
          </w:rPr>
          <w:t>2.1</w:t>
        </w:r>
        <w:r w:rsidR="00B55D4D">
          <w:rPr>
            <w:rFonts w:cstheme="minorBidi"/>
            <w:noProof/>
            <w:sz w:val="22"/>
            <w:szCs w:val="22"/>
            <w:lang w:eastAsia="en-AU"/>
          </w:rPr>
          <w:tab/>
        </w:r>
        <w:r w:rsidR="00B55D4D" w:rsidRPr="00FE6A49">
          <w:rPr>
            <w:rStyle w:val="Hyperlink"/>
            <w:noProof/>
          </w:rPr>
          <w:t>Key evaluation questions</w:t>
        </w:r>
        <w:r w:rsidR="00B55D4D">
          <w:rPr>
            <w:noProof/>
            <w:webHidden/>
          </w:rPr>
          <w:tab/>
        </w:r>
        <w:r w:rsidR="00B55D4D">
          <w:rPr>
            <w:noProof/>
            <w:webHidden/>
          </w:rPr>
          <w:fldChar w:fldCharType="begin"/>
        </w:r>
        <w:r w:rsidR="00B55D4D">
          <w:rPr>
            <w:noProof/>
            <w:webHidden/>
          </w:rPr>
          <w:instrText xml:space="preserve"> PAGEREF _Toc507600232 \h </w:instrText>
        </w:r>
        <w:r w:rsidR="00B55D4D">
          <w:rPr>
            <w:noProof/>
            <w:webHidden/>
          </w:rPr>
        </w:r>
        <w:r w:rsidR="00B55D4D">
          <w:rPr>
            <w:noProof/>
            <w:webHidden/>
          </w:rPr>
          <w:fldChar w:fldCharType="separate"/>
        </w:r>
        <w:r w:rsidR="00B55D4D">
          <w:rPr>
            <w:noProof/>
            <w:webHidden/>
          </w:rPr>
          <w:t>17</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33" w:history="1">
        <w:r w:rsidR="00B55D4D" w:rsidRPr="00FE6A49">
          <w:rPr>
            <w:rStyle w:val="Hyperlink"/>
            <w:noProof/>
          </w:rPr>
          <w:t>2.2</w:t>
        </w:r>
        <w:r w:rsidR="00B55D4D">
          <w:rPr>
            <w:rFonts w:cstheme="minorBidi"/>
            <w:noProof/>
            <w:sz w:val="22"/>
            <w:szCs w:val="22"/>
            <w:lang w:eastAsia="en-AU"/>
          </w:rPr>
          <w:tab/>
        </w:r>
        <w:r w:rsidR="00B55D4D" w:rsidRPr="00FE6A49">
          <w:rPr>
            <w:rStyle w:val="Hyperlink"/>
            <w:noProof/>
          </w:rPr>
          <w:t>Scope</w:t>
        </w:r>
        <w:r w:rsidR="00B55D4D">
          <w:rPr>
            <w:noProof/>
            <w:webHidden/>
          </w:rPr>
          <w:tab/>
        </w:r>
        <w:r w:rsidR="00B55D4D">
          <w:rPr>
            <w:noProof/>
            <w:webHidden/>
          </w:rPr>
          <w:fldChar w:fldCharType="begin"/>
        </w:r>
        <w:r w:rsidR="00B55D4D">
          <w:rPr>
            <w:noProof/>
            <w:webHidden/>
          </w:rPr>
          <w:instrText xml:space="preserve"> PAGEREF _Toc507600233 \h </w:instrText>
        </w:r>
        <w:r w:rsidR="00B55D4D">
          <w:rPr>
            <w:noProof/>
            <w:webHidden/>
          </w:rPr>
        </w:r>
        <w:r w:rsidR="00B55D4D">
          <w:rPr>
            <w:noProof/>
            <w:webHidden/>
          </w:rPr>
          <w:fldChar w:fldCharType="separate"/>
        </w:r>
        <w:r w:rsidR="00B55D4D">
          <w:rPr>
            <w:noProof/>
            <w:webHidden/>
          </w:rPr>
          <w:t>17</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34" w:history="1">
        <w:r w:rsidR="00B55D4D" w:rsidRPr="00FE6A49">
          <w:rPr>
            <w:rStyle w:val="Hyperlink"/>
            <w:noProof/>
          </w:rPr>
          <w:t>2.3</w:t>
        </w:r>
        <w:r w:rsidR="00B55D4D">
          <w:rPr>
            <w:rFonts w:cstheme="minorBidi"/>
            <w:noProof/>
            <w:sz w:val="22"/>
            <w:szCs w:val="22"/>
            <w:lang w:eastAsia="en-AU"/>
          </w:rPr>
          <w:tab/>
        </w:r>
        <w:r w:rsidR="00B55D4D" w:rsidRPr="00FE6A49">
          <w:rPr>
            <w:rStyle w:val="Hyperlink"/>
            <w:noProof/>
          </w:rPr>
          <w:t>Limitations</w:t>
        </w:r>
        <w:r w:rsidR="00B55D4D">
          <w:rPr>
            <w:noProof/>
            <w:webHidden/>
          </w:rPr>
          <w:tab/>
        </w:r>
        <w:r w:rsidR="00B55D4D">
          <w:rPr>
            <w:noProof/>
            <w:webHidden/>
          </w:rPr>
          <w:fldChar w:fldCharType="begin"/>
        </w:r>
        <w:r w:rsidR="00B55D4D">
          <w:rPr>
            <w:noProof/>
            <w:webHidden/>
          </w:rPr>
          <w:instrText xml:space="preserve"> PAGEREF _Toc507600234 \h </w:instrText>
        </w:r>
        <w:r w:rsidR="00B55D4D">
          <w:rPr>
            <w:noProof/>
            <w:webHidden/>
          </w:rPr>
        </w:r>
        <w:r w:rsidR="00B55D4D">
          <w:rPr>
            <w:noProof/>
            <w:webHidden/>
          </w:rPr>
          <w:fldChar w:fldCharType="separate"/>
        </w:r>
        <w:r w:rsidR="00B55D4D">
          <w:rPr>
            <w:noProof/>
            <w:webHidden/>
          </w:rPr>
          <w:t>17</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35" w:history="1">
        <w:r w:rsidR="00B55D4D" w:rsidRPr="00FE6A49">
          <w:rPr>
            <w:rStyle w:val="Hyperlink"/>
            <w:noProof/>
          </w:rPr>
          <w:t>2.4</w:t>
        </w:r>
        <w:r w:rsidR="00B55D4D">
          <w:rPr>
            <w:rFonts w:cstheme="minorBidi"/>
            <w:noProof/>
            <w:sz w:val="22"/>
            <w:szCs w:val="22"/>
            <w:lang w:eastAsia="en-AU"/>
          </w:rPr>
          <w:tab/>
        </w:r>
        <w:r w:rsidR="00B55D4D" w:rsidRPr="00FE6A49">
          <w:rPr>
            <w:rStyle w:val="Hyperlink"/>
            <w:noProof/>
          </w:rPr>
          <w:t>Data sources</w:t>
        </w:r>
        <w:r w:rsidR="00B55D4D">
          <w:rPr>
            <w:noProof/>
            <w:webHidden/>
          </w:rPr>
          <w:tab/>
        </w:r>
        <w:r w:rsidR="00B55D4D">
          <w:rPr>
            <w:noProof/>
            <w:webHidden/>
          </w:rPr>
          <w:fldChar w:fldCharType="begin"/>
        </w:r>
        <w:r w:rsidR="00B55D4D">
          <w:rPr>
            <w:noProof/>
            <w:webHidden/>
          </w:rPr>
          <w:instrText xml:space="preserve"> PAGEREF _Toc507600235 \h </w:instrText>
        </w:r>
        <w:r w:rsidR="00B55D4D">
          <w:rPr>
            <w:noProof/>
            <w:webHidden/>
          </w:rPr>
        </w:r>
        <w:r w:rsidR="00B55D4D">
          <w:rPr>
            <w:noProof/>
            <w:webHidden/>
          </w:rPr>
          <w:fldChar w:fldCharType="separate"/>
        </w:r>
        <w:r w:rsidR="00B55D4D">
          <w:rPr>
            <w:noProof/>
            <w:webHidden/>
          </w:rPr>
          <w:t>18</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36" w:history="1">
        <w:r w:rsidR="00B55D4D" w:rsidRPr="00FE6A49">
          <w:rPr>
            <w:rStyle w:val="Hyperlink"/>
            <w:noProof/>
          </w:rPr>
          <w:t>2.5</w:t>
        </w:r>
        <w:r w:rsidR="00B55D4D">
          <w:rPr>
            <w:rFonts w:cstheme="minorBidi"/>
            <w:noProof/>
            <w:sz w:val="22"/>
            <w:szCs w:val="22"/>
            <w:lang w:eastAsia="en-AU"/>
          </w:rPr>
          <w:tab/>
        </w:r>
        <w:r w:rsidR="00B55D4D" w:rsidRPr="00FE6A49">
          <w:rPr>
            <w:rStyle w:val="Hyperlink"/>
            <w:noProof/>
          </w:rPr>
          <w:t>Administrative data analysis</w:t>
        </w:r>
        <w:r w:rsidR="00B55D4D">
          <w:rPr>
            <w:noProof/>
            <w:webHidden/>
          </w:rPr>
          <w:tab/>
        </w:r>
        <w:r w:rsidR="00B55D4D">
          <w:rPr>
            <w:noProof/>
            <w:webHidden/>
          </w:rPr>
          <w:fldChar w:fldCharType="begin"/>
        </w:r>
        <w:r w:rsidR="00B55D4D">
          <w:rPr>
            <w:noProof/>
            <w:webHidden/>
          </w:rPr>
          <w:instrText xml:space="preserve"> PAGEREF _Toc507600236 \h </w:instrText>
        </w:r>
        <w:r w:rsidR="00B55D4D">
          <w:rPr>
            <w:noProof/>
            <w:webHidden/>
          </w:rPr>
        </w:r>
        <w:r w:rsidR="00B55D4D">
          <w:rPr>
            <w:noProof/>
            <w:webHidden/>
          </w:rPr>
          <w:fldChar w:fldCharType="separate"/>
        </w:r>
        <w:r w:rsidR="00B55D4D">
          <w:rPr>
            <w:noProof/>
            <w:webHidden/>
          </w:rPr>
          <w:t>18</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37" w:history="1">
        <w:r w:rsidR="00B55D4D" w:rsidRPr="00FE6A49">
          <w:rPr>
            <w:rStyle w:val="Hyperlink"/>
            <w:noProof/>
          </w:rPr>
          <w:t>2.6</w:t>
        </w:r>
        <w:r w:rsidR="00B55D4D">
          <w:rPr>
            <w:rFonts w:cstheme="minorBidi"/>
            <w:noProof/>
            <w:sz w:val="22"/>
            <w:szCs w:val="22"/>
            <w:lang w:eastAsia="en-AU"/>
          </w:rPr>
          <w:tab/>
        </w:r>
        <w:r w:rsidR="00B55D4D" w:rsidRPr="00FE6A49">
          <w:rPr>
            <w:rStyle w:val="Hyperlink"/>
            <w:noProof/>
          </w:rPr>
          <w:t>Behavioural change model</w:t>
        </w:r>
        <w:r w:rsidR="00B55D4D">
          <w:rPr>
            <w:noProof/>
            <w:webHidden/>
          </w:rPr>
          <w:tab/>
        </w:r>
        <w:r w:rsidR="00B55D4D">
          <w:rPr>
            <w:noProof/>
            <w:webHidden/>
          </w:rPr>
          <w:fldChar w:fldCharType="begin"/>
        </w:r>
        <w:r w:rsidR="00B55D4D">
          <w:rPr>
            <w:noProof/>
            <w:webHidden/>
          </w:rPr>
          <w:instrText xml:space="preserve"> PAGEREF _Toc507600237 \h </w:instrText>
        </w:r>
        <w:r w:rsidR="00B55D4D">
          <w:rPr>
            <w:noProof/>
            <w:webHidden/>
          </w:rPr>
        </w:r>
        <w:r w:rsidR="00B55D4D">
          <w:rPr>
            <w:noProof/>
            <w:webHidden/>
          </w:rPr>
          <w:fldChar w:fldCharType="separate"/>
        </w:r>
        <w:r w:rsidR="00B55D4D">
          <w:rPr>
            <w:noProof/>
            <w:webHidden/>
          </w:rPr>
          <w:t>19</w:t>
        </w:r>
        <w:r w:rsidR="00B55D4D">
          <w:rPr>
            <w:noProof/>
            <w:webHidden/>
          </w:rPr>
          <w:fldChar w:fldCharType="end"/>
        </w:r>
      </w:hyperlink>
    </w:p>
    <w:p w:rsidR="00B55D4D" w:rsidRDefault="0027008F">
      <w:pPr>
        <w:pStyle w:val="TOC1"/>
        <w:rPr>
          <w:rFonts w:cstheme="minorBidi"/>
          <w:b w:val="0"/>
          <w:bCs w:val="0"/>
          <w:noProof/>
          <w:sz w:val="22"/>
          <w:szCs w:val="22"/>
          <w:lang w:eastAsia="en-AU"/>
        </w:rPr>
      </w:pPr>
      <w:hyperlink w:anchor="_Toc507600238" w:history="1">
        <w:r w:rsidR="00B55D4D" w:rsidRPr="00FE6A49">
          <w:rPr>
            <w:rStyle w:val="Hyperlink"/>
            <w:noProof/>
          </w:rPr>
          <w:t>3.</w:t>
        </w:r>
        <w:r w:rsidR="00B55D4D">
          <w:rPr>
            <w:rFonts w:cstheme="minorBidi"/>
            <w:b w:val="0"/>
            <w:bCs w:val="0"/>
            <w:noProof/>
            <w:sz w:val="22"/>
            <w:szCs w:val="22"/>
            <w:lang w:eastAsia="en-AU"/>
          </w:rPr>
          <w:tab/>
        </w:r>
        <w:r w:rsidR="00B55D4D" w:rsidRPr="00FE6A49">
          <w:rPr>
            <w:rStyle w:val="Hyperlink"/>
            <w:noProof/>
          </w:rPr>
          <w:t>Job Commitment Bonus results</w:t>
        </w:r>
        <w:r w:rsidR="00B55D4D">
          <w:rPr>
            <w:noProof/>
            <w:webHidden/>
          </w:rPr>
          <w:tab/>
        </w:r>
        <w:r w:rsidR="00B55D4D">
          <w:rPr>
            <w:noProof/>
            <w:webHidden/>
          </w:rPr>
          <w:fldChar w:fldCharType="begin"/>
        </w:r>
        <w:r w:rsidR="00B55D4D">
          <w:rPr>
            <w:noProof/>
            <w:webHidden/>
          </w:rPr>
          <w:instrText xml:space="preserve"> PAGEREF _Toc507600238 \h </w:instrText>
        </w:r>
        <w:r w:rsidR="00B55D4D">
          <w:rPr>
            <w:noProof/>
            <w:webHidden/>
          </w:rPr>
        </w:r>
        <w:r w:rsidR="00B55D4D">
          <w:rPr>
            <w:noProof/>
            <w:webHidden/>
          </w:rPr>
          <w:fldChar w:fldCharType="separate"/>
        </w:r>
        <w:r w:rsidR="00B55D4D">
          <w:rPr>
            <w:noProof/>
            <w:webHidden/>
          </w:rPr>
          <w:t>20</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39" w:history="1">
        <w:r w:rsidR="00B55D4D" w:rsidRPr="00FE6A49">
          <w:rPr>
            <w:rStyle w:val="Hyperlink"/>
            <w:noProof/>
          </w:rPr>
          <w:t>3.1</w:t>
        </w:r>
        <w:r w:rsidR="00B55D4D">
          <w:rPr>
            <w:rFonts w:cstheme="minorBidi"/>
            <w:noProof/>
            <w:sz w:val="22"/>
            <w:szCs w:val="22"/>
            <w:lang w:eastAsia="en-AU"/>
          </w:rPr>
          <w:tab/>
        </w:r>
        <w:r w:rsidR="00B55D4D" w:rsidRPr="00FE6A49">
          <w:rPr>
            <w:rStyle w:val="Hyperlink"/>
            <w:noProof/>
          </w:rPr>
          <w:t>Program design</w:t>
        </w:r>
        <w:r w:rsidR="00B55D4D">
          <w:rPr>
            <w:noProof/>
            <w:webHidden/>
          </w:rPr>
          <w:tab/>
        </w:r>
        <w:r w:rsidR="00B55D4D">
          <w:rPr>
            <w:noProof/>
            <w:webHidden/>
          </w:rPr>
          <w:fldChar w:fldCharType="begin"/>
        </w:r>
        <w:r w:rsidR="00B55D4D">
          <w:rPr>
            <w:noProof/>
            <w:webHidden/>
          </w:rPr>
          <w:instrText xml:space="preserve"> PAGEREF _Toc507600239 \h </w:instrText>
        </w:r>
        <w:r w:rsidR="00B55D4D">
          <w:rPr>
            <w:noProof/>
            <w:webHidden/>
          </w:rPr>
        </w:r>
        <w:r w:rsidR="00B55D4D">
          <w:rPr>
            <w:noProof/>
            <w:webHidden/>
          </w:rPr>
          <w:fldChar w:fldCharType="separate"/>
        </w:r>
        <w:r w:rsidR="00B55D4D">
          <w:rPr>
            <w:noProof/>
            <w:webHidden/>
          </w:rPr>
          <w:t>20</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40" w:history="1">
        <w:r w:rsidR="00B55D4D" w:rsidRPr="00FE6A49">
          <w:rPr>
            <w:rStyle w:val="Hyperlink"/>
            <w:noProof/>
          </w:rPr>
          <w:t>3.2</w:t>
        </w:r>
        <w:r w:rsidR="00B55D4D">
          <w:rPr>
            <w:rFonts w:cstheme="minorBidi"/>
            <w:noProof/>
            <w:sz w:val="22"/>
            <w:szCs w:val="22"/>
            <w:lang w:eastAsia="en-AU"/>
          </w:rPr>
          <w:tab/>
        </w:r>
        <w:r w:rsidR="00B55D4D" w:rsidRPr="00FE6A49">
          <w:rPr>
            <w:rStyle w:val="Hyperlink"/>
            <w:noProof/>
          </w:rPr>
          <w:t>Implementation of the online application system</w:t>
        </w:r>
        <w:r w:rsidR="00B55D4D">
          <w:rPr>
            <w:noProof/>
            <w:webHidden/>
          </w:rPr>
          <w:tab/>
        </w:r>
        <w:r w:rsidR="00B55D4D">
          <w:rPr>
            <w:noProof/>
            <w:webHidden/>
          </w:rPr>
          <w:fldChar w:fldCharType="begin"/>
        </w:r>
        <w:r w:rsidR="00B55D4D">
          <w:rPr>
            <w:noProof/>
            <w:webHidden/>
          </w:rPr>
          <w:instrText xml:space="preserve"> PAGEREF _Toc507600240 \h </w:instrText>
        </w:r>
        <w:r w:rsidR="00B55D4D">
          <w:rPr>
            <w:noProof/>
            <w:webHidden/>
          </w:rPr>
        </w:r>
        <w:r w:rsidR="00B55D4D">
          <w:rPr>
            <w:noProof/>
            <w:webHidden/>
          </w:rPr>
          <w:fldChar w:fldCharType="separate"/>
        </w:r>
        <w:r w:rsidR="00B55D4D">
          <w:rPr>
            <w:noProof/>
            <w:webHidden/>
          </w:rPr>
          <w:t>22</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41" w:history="1">
        <w:r w:rsidR="00B55D4D" w:rsidRPr="00FE6A49">
          <w:rPr>
            <w:rStyle w:val="Hyperlink"/>
            <w:noProof/>
          </w:rPr>
          <w:t>3.3</w:t>
        </w:r>
        <w:r w:rsidR="00B55D4D">
          <w:rPr>
            <w:rFonts w:cstheme="minorBidi"/>
            <w:noProof/>
            <w:sz w:val="22"/>
            <w:szCs w:val="22"/>
            <w:lang w:eastAsia="en-AU"/>
          </w:rPr>
          <w:tab/>
        </w:r>
        <w:r w:rsidR="00B55D4D" w:rsidRPr="00FE6A49">
          <w:rPr>
            <w:rStyle w:val="Hyperlink"/>
            <w:noProof/>
          </w:rPr>
          <w:t>Communication</w:t>
        </w:r>
        <w:r w:rsidR="00B55D4D">
          <w:rPr>
            <w:noProof/>
            <w:webHidden/>
          </w:rPr>
          <w:tab/>
        </w:r>
        <w:r w:rsidR="00B55D4D">
          <w:rPr>
            <w:noProof/>
            <w:webHidden/>
          </w:rPr>
          <w:fldChar w:fldCharType="begin"/>
        </w:r>
        <w:r w:rsidR="00B55D4D">
          <w:rPr>
            <w:noProof/>
            <w:webHidden/>
          </w:rPr>
          <w:instrText xml:space="preserve"> PAGEREF _Toc507600241 \h </w:instrText>
        </w:r>
        <w:r w:rsidR="00B55D4D">
          <w:rPr>
            <w:noProof/>
            <w:webHidden/>
          </w:rPr>
        </w:r>
        <w:r w:rsidR="00B55D4D">
          <w:rPr>
            <w:noProof/>
            <w:webHidden/>
          </w:rPr>
          <w:fldChar w:fldCharType="separate"/>
        </w:r>
        <w:r w:rsidR="00B55D4D">
          <w:rPr>
            <w:noProof/>
            <w:webHidden/>
          </w:rPr>
          <w:t>23</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42" w:history="1">
        <w:r w:rsidR="00B55D4D" w:rsidRPr="00FE6A49">
          <w:rPr>
            <w:rStyle w:val="Hyperlink"/>
            <w:noProof/>
          </w:rPr>
          <w:t>3.4</w:t>
        </w:r>
        <w:r w:rsidR="00B55D4D">
          <w:rPr>
            <w:rFonts w:cstheme="minorBidi"/>
            <w:noProof/>
            <w:sz w:val="22"/>
            <w:szCs w:val="22"/>
            <w:lang w:eastAsia="en-AU"/>
          </w:rPr>
          <w:tab/>
        </w:r>
        <w:r w:rsidR="00B55D4D" w:rsidRPr="00FE6A49">
          <w:rPr>
            <w:rStyle w:val="Hyperlink"/>
            <w:noProof/>
          </w:rPr>
          <w:t>Application process</w:t>
        </w:r>
        <w:r w:rsidR="00B55D4D">
          <w:rPr>
            <w:noProof/>
            <w:webHidden/>
          </w:rPr>
          <w:tab/>
        </w:r>
        <w:r w:rsidR="00B55D4D">
          <w:rPr>
            <w:noProof/>
            <w:webHidden/>
          </w:rPr>
          <w:fldChar w:fldCharType="begin"/>
        </w:r>
        <w:r w:rsidR="00B55D4D">
          <w:rPr>
            <w:noProof/>
            <w:webHidden/>
          </w:rPr>
          <w:instrText xml:space="preserve"> PAGEREF _Toc507600242 \h </w:instrText>
        </w:r>
        <w:r w:rsidR="00B55D4D">
          <w:rPr>
            <w:noProof/>
            <w:webHidden/>
          </w:rPr>
        </w:r>
        <w:r w:rsidR="00B55D4D">
          <w:rPr>
            <w:noProof/>
            <w:webHidden/>
          </w:rPr>
          <w:fldChar w:fldCharType="separate"/>
        </w:r>
        <w:r w:rsidR="00B55D4D">
          <w:rPr>
            <w:noProof/>
            <w:webHidden/>
          </w:rPr>
          <w:t>26</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43" w:history="1">
        <w:r w:rsidR="00B55D4D" w:rsidRPr="00FE6A49">
          <w:rPr>
            <w:rStyle w:val="Hyperlink"/>
            <w:noProof/>
          </w:rPr>
          <w:t>3.5</w:t>
        </w:r>
        <w:r w:rsidR="00B55D4D">
          <w:rPr>
            <w:rFonts w:cstheme="minorBidi"/>
            <w:noProof/>
            <w:sz w:val="22"/>
            <w:szCs w:val="22"/>
            <w:lang w:eastAsia="en-AU"/>
          </w:rPr>
          <w:tab/>
        </w:r>
        <w:r w:rsidR="00B55D4D" w:rsidRPr="00FE6A49">
          <w:rPr>
            <w:rStyle w:val="Hyperlink"/>
            <w:noProof/>
          </w:rPr>
          <w:t>Claims made, approval and rejection rates</w:t>
        </w:r>
        <w:r w:rsidR="00B55D4D">
          <w:rPr>
            <w:noProof/>
            <w:webHidden/>
          </w:rPr>
          <w:tab/>
        </w:r>
        <w:r w:rsidR="00B55D4D">
          <w:rPr>
            <w:noProof/>
            <w:webHidden/>
          </w:rPr>
          <w:fldChar w:fldCharType="begin"/>
        </w:r>
        <w:r w:rsidR="00B55D4D">
          <w:rPr>
            <w:noProof/>
            <w:webHidden/>
          </w:rPr>
          <w:instrText xml:space="preserve"> PAGEREF _Toc507600243 \h </w:instrText>
        </w:r>
        <w:r w:rsidR="00B55D4D">
          <w:rPr>
            <w:noProof/>
            <w:webHidden/>
          </w:rPr>
        </w:r>
        <w:r w:rsidR="00B55D4D">
          <w:rPr>
            <w:noProof/>
            <w:webHidden/>
          </w:rPr>
          <w:fldChar w:fldCharType="separate"/>
        </w:r>
        <w:r w:rsidR="00B55D4D">
          <w:rPr>
            <w:noProof/>
            <w:webHidden/>
          </w:rPr>
          <w:t>29</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44" w:history="1">
        <w:r w:rsidR="00B55D4D" w:rsidRPr="00FE6A49">
          <w:rPr>
            <w:rStyle w:val="Hyperlink"/>
            <w:noProof/>
          </w:rPr>
          <w:t>3.6</w:t>
        </w:r>
        <w:r w:rsidR="00B55D4D">
          <w:rPr>
            <w:rFonts w:cstheme="minorBidi"/>
            <w:noProof/>
            <w:sz w:val="22"/>
            <w:szCs w:val="22"/>
            <w:lang w:eastAsia="en-AU"/>
          </w:rPr>
          <w:tab/>
        </w:r>
        <w:r w:rsidR="00B55D4D" w:rsidRPr="00FE6A49">
          <w:rPr>
            <w:rStyle w:val="Hyperlink"/>
            <w:noProof/>
          </w:rPr>
          <w:t>Appeals</w:t>
        </w:r>
        <w:r w:rsidR="00B55D4D">
          <w:rPr>
            <w:noProof/>
            <w:webHidden/>
          </w:rPr>
          <w:tab/>
        </w:r>
        <w:r w:rsidR="00B55D4D">
          <w:rPr>
            <w:noProof/>
            <w:webHidden/>
          </w:rPr>
          <w:fldChar w:fldCharType="begin"/>
        </w:r>
        <w:r w:rsidR="00B55D4D">
          <w:rPr>
            <w:noProof/>
            <w:webHidden/>
          </w:rPr>
          <w:instrText xml:space="preserve"> PAGEREF _Toc507600244 \h </w:instrText>
        </w:r>
        <w:r w:rsidR="00B55D4D">
          <w:rPr>
            <w:noProof/>
            <w:webHidden/>
          </w:rPr>
        </w:r>
        <w:r w:rsidR="00B55D4D">
          <w:rPr>
            <w:noProof/>
            <w:webHidden/>
          </w:rPr>
          <w:fldChar w:fldCharType="separate"/>
        </w:r>
        <w:r w:rsidR="00B55D4D">
          <w:rPr>
            <w:noProof/>
            <w:webHidden/>
          </w:rPr>
          <w:t>41</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45" w:history="1">
        <w:r w:rsidR="00B55D4D" w:rsidRPr="00FE6A49">
          <w:rPr>
            <w:rStyle w:val="Hyperlink"/>
            <w:noProof/>
          </w:rPr>
          <w:t>3.7</w:t>
        </w:r>
        <w:r w:rsidR="00B55D4D">
          <w:rPr>
            <w:rFonts w:cstheme="minorBidi"/>
            <w:noProof/>
            <w:sz w:val="22"/>
            <w:szCs w:val="22"/>
            <w:lang w:eastAsia="en-AU"/>
          </w:rPr>
          <w:tab/>
        </w:r>
        <w:r w:rsidR="00B55D4D" w:rsidRPr="00FE6A49">
          <w:rPr>
            <w:rStyle w:val="Hyperlink"/>
            <w:noProof/>
          </w:rPr>
          <w:t>Issues affecting take-up rates</w:t>
        </w:r>
        <w:r w:rsidR="00B55D4D">
          <w:rPr>
            <w:noProof/>
            <w:webHidden/>
          </w:rPr>
          <w:tab/>
        </w:r>
        <w:r w:rsidR="00B55D4D">
          <w:rPr>
            <w:noProof/>
            <w:webHidden/>
          </w:rPr>
          <w:fldChar w:fldCharType="begin"/>
        </w:r>
        <w:r w:rsidR="00B55D4D">
          <w:rPr>
            <w:noProof/>
            <w:webHidden/>
          </w:rPr>
          <w:instrText xml:space="preserve"> PAGEREF _Toc507600245 \h </w:instrText>
        </w:r>
        <w:r w:rsidR="00B55D4D">
          <w:rPr>
            <w:noProof/>
            <w:webHidden/>
          </w:rPr>
        </w:r>
        <w:r w:rsidR="00B55D4D">
          <w:rPr>
            <w:noProof/>
            <w:webHidden/>
          </w:rPr>
          <w:fldChar w:fldCharType="separate"/>
        </w:r>
        <w:r w:rsidR="00B55D4D">
          <w:rPr>
            <w:noProof/>
            <w:webHidden/>
          </w:rPr>
          <w:t>43</w:t>
        </w:r>
        <w:r w:rsidR="00B55D4D">
          <w:rPr>
            <w:noProof/>
            <w:webHidden/>
          </w:rPr>
          <w:fldChar w:fldCharType="end"/>
        </w:r>
      </w:hyperlink>
    </w:p>
    <w:p w:rsidR="00B55D4D" w:rsidRDefault="0027008F">
      <w:pPr>
        <w:pStyle w:val="TOC1"/>
        <w:rPr>
          <w:rFonts w:cstheme="minorBidi"/>
          <w:b w:val="0"/>
          <w:bCs w:val="0"/>
          <w:noProof/>
          <w:sz w:val="22"/>
          <w:szCs w:val="22"/>
          <w:lang w:eastAsia="en-AU"/>
        </w:rPr>
      </w:pPr>
      <w:hyperlink w:anchor="_Toc507600246" w:history="1">
        <w:r w:rsidR="00B55D4D" w:rsidRPr="00FE6A49">
          <w:rPr>
            <w:rStyle w:val="Hyperlink"/>
            <w:noProof/>
          </w:rPr>
          <w:t>4</w:t>
        </w:r>
        <w:r w:rsidR="00B55D4D">
          <w:rPr>
            <w:rFonts w:cstheme="minorBidi"/>
            <w:b w:val="0"/>
            <w:bCs w:val="0"/>
            <w:noProof/>
            <w:sz w:val="22"/>
            <w:szCs w:val="22"/>
            <w:lang w:eastAsia="en-AU"/>
          </w:rPr>
          <w:tab/>
        </w:r>
        <w:r w:rsidR="00B55D4D" w:rsidRPr="00FE6A49">
          <w:rPr>
            <w:rStyle w:val="Hyperlink"/>
            <w:noProof/>
          </w:rPr>
          <w:t>Impact of the JCB</w:t>
        </w:r>
        <w:r w:rsidR="00B55D4D">
          <w:rPr>
            <w:noProof/>
            <w:webHidden/>
          </w:rPr>
          <w:tab/>
        </w:r>
        <w:r w:rsidR="00B55D4D">
          <w:rPr>
            <w:noProof/>
            <w:webHidden/>
          </w:rPr>
          <w:fldChar w:fldCharType="begin"/>
        </w:r>
        <w:r w:rsidR="00B55D4D">
          <w:rPr>
            <w:noProof/>
            <w:webHidden/>
          </w:rPr>
          <w:instrText xml:space="preserve"> PAGEREF _Toc507600246 \h </w:instrText>
        </w:r>
        <w:r w:rsidR="00B55D4D">
          <w:rPr>
            <w:noProof/>
            <w:webHidden/>
          </w:rPr>
        </w:r>
        <w:r w:rsidR="00B55D4D">
          <w:rPr>
            <w:noProof/>
            <w:webHidden/>
          </w:rPr>
          <w:fldChar w:fldCharType="separate"/>
        </w:r>
        <w:r w:rsidR="00B55D4D">
          <w:rPr>
            <w:noProof/>
            <w:webHidden/>
          </w:rPr>
          <w:t>56</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47" w:history="1">
        <w:r w:rsidR="00B55D4D" w:rsidRPr="00FE6A49">
          <w:rPr>
            <w:rStyle w:val="Hyperlink"/>
            <w:noProof/>
          </w:rPr>
          <w:t>4.1</w:t>
        </w:r>
        <w:r w:rsidR="00B55D4D">
          <w:rPr>
            <w:rFonts w:cstheme="minorBidi"/>
            <w:noProof/>
            <w:sz w:val="22"/>
            <w:szCs w:val="22"/>
            <w:lang w:eastAsia="en-AU"/>
          </w:rPr>
          <w:tab/>
        </w:r>
        <w:r w:rsidR="00B55D4D" w:rsidRPr="00FE6A49">
          <w:rPr>
            <w:rStyle w:val="Hyperlink"/>
            <w:noProof/>
          </w:rPr>
          <w:t>Impact on motivation and job search behaviour</w:t>
        </w:r>
        <w:r w:rsidR="00B55D4D">
          <w:rPr>
            <w:noProof/>
            <w:webHidden/>
          </w:rPr>
          <w:tab/>
        </w:r>
        <w:r w:rsidR="00B55D4D">
          <w:rPr>
            <w:noProof/>
            <w:webHidden/>
          </w:rPr>
          <w:fldChar w:fldCharType="begin"/>
        </w:r>
        <w:r w:rsidR="00B55D4D">
          <w:rPr>
            <w:noProof/>
            <w:webHidden/>
          </w:rPr>
          <w:instrText xml:space="preserve"> PAGEREF _Toc507600247 \h </w:instrText>
        </w:r>
        <w:r w:rsidR="00B55D4D">
          <w:rPr>
            <w:noProof/>
            <w:webHidden/>
          </w:rPr>
        </w:r>
        <w:r w:rsidR="00B55D4D">
          <w:rPr>
            <w:noProof/>
            <w:webHidden/>
          </w:rPr>
          <w:fldChar w:fldCharType="separate"/>
        </w:r>
        <w:r w:rsidR="00B55D4D">
          <w:rPr>
            <w:noProof/>
            <w:webHidden/>
          </w:rPr>
          <w:t>56</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48" w:history="1">
        <w:r w:rsidR="00B55D4D" w:rsidRPr="00FE6A49">
          <w:rPr>
            <w:rStyle w:val="Hyperlink"/>
            <w:noProof/>
          </w:rPr>
          <w:t>4.2</w:t>
        </w:r>
        <w:r w:rsidR="00B55D4D">
          <w:rPr>
            <w:rFonts w:cstheme="minorBidi"/>
            <w:noProof/>
            <w:sz w:val="22"/>
            <w:szCs w:val="22"/>
            <w:lang w:eastAsia="en-AU"/>
          </w:rPr>
          <w:tab/>
        </w:r>
        <w:r w:rsidR="00B55D4D" w:rsidRPr="00FE6A49">
          <w:rPr>
            <w:rStyle w:val="Hyperlink"/>
            <w:noProof/>
          </w:rPr>
          <w:t>Impact on job search – quantitative analysis</w:t>
        </w:r>
        <w:r w:rsidR="00B55D4D">
          <w:rPr>
            <w:noProof/>
            <w:webHidden/>
          </w:rPr>
          <w:tab/>
        </w:r>
        <w:r w:rsidR="00B55D4D">
          <w:rPr>
            <w:noProof/>
            <w:webHidden/>
          </w:rPr>
          <w:fldChar w:fldCharType="begin"/>
        </w:r>
        <w:r w:rsidR="00B55D4D">
          <w:rPr>
            <w:noProof/>
            <w:webHidden/>
          </w:rPr>
          <w:instrText xml:space="preserve"> PAGEREF _Toc507600248 \h </w:instrText>
        </w:r>
        <w:r w:rsidR="00B55D4D">
          <w:rPr>
            <w:noProof/>
            <w:webHidden/>
          </w:rPr>
        </w:r>
        <w:r w:rsidR="00B55D4D">
          <w:rPr>
            <w:noProof/>
            <w:webHidden/>
          </w:rPr>
          <w:fldChar w:fldCharType="separate"/>
        </w:r>
        <w:r w:rsidR="00B55D4D">
          <w:rPr>
            <w:noProof/>
            <w:webHidden/>
          </w:rPr>
          <w:t>67</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49" w:history="1">
        <w:r w:rsidR="00B55D4D" w:rsidRPr="00FE6A49">
          <w:rPr>
            <w:rStyle w:val="Hyperlink"/>
            <w:noProof/>
          </w:rPr>
          <w:t>4.3</w:t>
        </w:r>
        <w:r w:rsidR="00B55D4D">
          <w:rPr>
            <w:rFonts w:cstheme="minorBidi"/>
            <w:noProof/>
            <w:sz w:val="22"/>
            <w:szCs w:val="22"/>
            <w:lang w:eastAsia="en-AU"/>
          </w:rPr>
          <w:tab/>
        </w:r>
        <w:r w:rsidR="00B55D4D" w:rsidRPr="00FE6A49">
          <w:rPr>
            <w:rStyle w:val="Hyperlink"/>
            <w:noProof/>
          </w:rPr>
          <w:t>Impact on type of employment obtained</w:t>
        </w:r>
        <w:r w:rsidR="00B55D4D">
          <w:rPr>
            <w:noProof/>
            <w:webHidden/>
          </w:rPr>
          <w:tab/>
        </w:r>
        <w:r w:rsidR="00B55D4D">
          <w:rPr>
            <w:noProof/>
            <w:webHidden/>
          </w:rPr>
          <w:fldChar w:fldCharType="begin"/>
        </w:r>
        <w:r w:rsidR="00B55D4D">
          <w:rPr>
            <w:noProof/>
            <w:webHidden/>
          </w:rPr>
          <w:instrText xml:space="preserve"> PAGEREF _Toc507600249 \h </w:instrText>
        </w:r>
        <w:r w:rsidR="00B55D4D">
          <w:rPr>
            <w:noProof/>
            <w:webHidden/>
          </w:rPr>
        </w:r>
        <w:r w:rsidR="00B55D4D">
          <w:rPr>
            <w:noProof/>
            <w:webHidden/>
          </w:rPr>
          <w:fldChar w:fldCharType="separate"/>
        </w:r>
        <w:r w:rsidR="00B55D4D">
          <w:rPr>
            <w:noProof/>
            <w:webHidden/>
          </w:rPr>
          <w:t>72</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50" w:history="1">
        <w:r w:rsidR="00B55D4D" w:rsidRPr="00FE6A49">
          <w:rPr>
            <w:rStyle w:val="Hyperlink"/>
            <w:noProof/>
          </w:rPr>
          <w:t>4.4</w:t>
        </w:r>
        <w:r w:rsidR="00B55D4D">
          <w:rPr>
            <w:rFonts w:cstheme="minorBidi"/>
            <w:noProof/>
            <w:sz w:val="22"/>
            <w:szCs w:val="22"/>
            <w:lang w:eastAsia="en-AU"/>
          </w:rPr>
          <w:tab/>
        </w:r>
        <w:r w:rsidR="00B55D4D" w:rsidRPr="00FE6A49">
          <w:rPr>
            <w:rStyle w:val="Hyperlink"/>
            <w:noProof/>
          </w:rPr>
          <w:t>Impact on sustained employment</w:t>
        </w:r>
        <w:r w:rsidR="00B55D4D">
          <w:rPr>
            <w:noProof/>
            <w:webHidden/>
          </w:rPr>
          <w:tab/>
        </w:r>
        <w:r w:rsidR="00B55D4D">
          <w:rPr>
            <w:noProof/>
            <w:webHidden/>
          </w:rPr>
          <w:fldChar w:fldCharType="begin"/>
        </w:r>
        <w:r w:rsidR="00B55D4D">
          <w:rPr>
            <w:noProof/>
            <w:webHidden/>
          </w:rPr>
          <w:instrText xml:space="preserve"> PAGEREF _Toc507600250 \h </w:instrText>
        </w:r>
        <w:r w:rsidR="00B55D4D">
          <w:rPr>
            <w:noProof/>
            <w:webHidden/>
          </w:rPr>
        </w:r>
        <w:r w:rsidR="00B55D4D">
          <w:rPr>
            <w:noProof/>
            <w:webHidden/>
          </w:rPr>
          <w:fldChar w:fldCharType="separate"/>
        </w:r>
        <w:r w:rsidR="00B55D4D">
          <w:rPr>
            <w:noProof/>
            <w:webHidden/>
          </w:rPr>
          <w:t>76</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51" w:history="1">
        <w:r w:rsidR="00B55D4D" w:rsidRPr="00FE6A49">
          <w:rPr>
            <w:rStyle w:val="Hyperlink"/>
            <w:noProof/>
          </w:rPr>
          <w:t>4.5</w:t>
        </w:r>
        <w:r w:rsidR="00B55D4D">
          <w:rPr>
            <w:rFonts w:cstheme="minorBidi"/>
            <w:noProof/>
            <w:sz w:val="22"/>
            <w:szCs w:val="22"/>
            <w:lang w:eastAsia="en-AU"/>
          </w:rPr>
          <w:tab/>
        </w:r>
        <w:r w:rsidR="00B55D4D" w:rsidRPr="00FE6A49">
          <w:rPr>
            <w:rStyle w:val="Hyperlink"/>
            <w:noProof/>
          </w:rPr>
          <w:t>Other effectiveness and efficiency measures</w:t>
        </w:r>
        <w:r w:rsidR="00B55D4D">
          <w:rPr>
            <w:noProof/>
            <w:webHidden/>
          </w:rPr>
          <w:tab/>
        </w:r>
        <w:r w:rsidR="00B55D4D">
          <w:rPr>
            <w:noProof/>
            <w:webHidden/>
          </w:rPr>
          <w:fldChar w:fldCharType="begin"/>
        </w:r>
        <w:r w:rsidR="00B55D4D">
          <w:rPr>
            <w:noProof/>
            <w:webHidden/>
          </w:rPr>
          <w:instrText xml:space="preserve"> PAGEREF _Toc507600251 \h </w:instrText>
        </w:r>
        <w:r w:rsidR="00B55D4D">
          <w:rPr>
            <w:noProof/>
            <w:webHidden/>
          </w:rPr>
        </w:r>
        <w:r w:rsidR="00B55D4D">
          <w:rPr>
            <w:noProof/>
            <w:webHidden/>
          </w:rPr>
          <w:fldChar w:fldCharType="separate"/>
        </w:r>
        <w:r w:rsidR="00B55D4D">
          <w:rPr>
            <w:noProof/>
            <w:webHidden/>
          </w:rPr>
          <w:t>83</w:t>
        </w:r>
        <w:r w:rsidR="00B55D4D">
          <w:rPr>
            <w:noProof/>
            <w:webHidden/>
          </w:rPr>
          <w:fldChar w:fldCharType="end"/>
        </w:r>
      </w:hyperlink>
    </w:p>
    <w:p w:rsidR="00B55D4D" w:rsidRDefault="0027008F">
      <w:pPr>
        <w:pStyle w:val="TOC1"/>
        <w:rPr>
          <w:rFonts w:cstheme="minorBidi"/>
          <w:b w:val="0"/>
          <w:bCs w:val="0"/>
          <w:noProof/>
          <w:sz w:val="22"/>
          <w:szCs w:val="22"/>
          <w:lang w:eastAsia="en-AU"/>
        </w:rPr>
      </w:pPr>
      <w:hyperlink w:anchor="_Toc507600252" w:history="1">
        <w:r w:rsidR="00B55D4D" w:rsidRPr="00FE6A49">
          <w:rPr>
            <w:rStyle w:val="Hyperlink"/>
            <w:noProof/>
          </w:rPr>
          <w:t>5</w:t>
        </w:r>
        <w:r w:rsidR="00B55D4D">
          <w:rPr>
            <w:rFonts w:cstheme="minorBidi"/>
            <w:b w:val="0"/>
            <w:bCs w:val="0"/>
            <w:noProof/>
            <w:sz w:val="22"/>
            <w:szCs w:val="22"/>
            <w:lang w:eastAsia="en-AU"/>
          </w:rPr>
          <w:tab/>
        </w:r>
        <w:r w:rsidR="00B55D4D" w:rsidRPr="00FE6A49">
          <w:rPr>
            <w:rStyle w:val="Hyperlink"/>
            <w:noProof/>
          </w:rPr>
          <w:t>Discussion</w:t>
        </w:r>
        <w:r w:rsidR="00B55D4D">
          <w:rPr>
            <w:noProof/>
            <w:webHidden/>
          </w:rPr>
          <w:tab/>
        </w:r>
        <w:r w:rsidR="00B55D4D">
          <w:rPr>
            <w:noProof/>
            <w:webHidden/>
          </w:rPr>
          <w:fldChar w:fldCharType="begin"/>
        </w:r>
        <w:r w:rsidR="00B55D4D">
          <w:rPr>
            <w:noProof/>
            <w:webHidden/>
          </w:rPr>
          <w:instrText xml:space="preserve"> PAGEREF _Toc507600252 \h </w:instrText>
        </w:r>
        <w:r w:rsidR="00B55D4D">
          <w:rPr>
            <w:noProof/>
            <w:webHidden/>
          </w:rPr>
        </w:r>
        <w:r w:rsidR="00B55D4D">
          <w:rPr>
            <w:noProof/>
            <w:webHidden/>
          </w:rPr>
          <w:fldChar w:fldCharType="separate"/>
        </w:r>
        <w:r w:rsidR="00B55D4D">
          <w:rPr>
            <w:noProof/>
            <w:webHidden/>
          </w:rPr>
          <w:t>87</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53" w:history="1">
        <w:r w:rsidR="00B55D4D" w:rsidRPr="00FE6A49">
          <w:rPr>
            <w:rStyle w:val="Hyperlink"/>
            <w:noProof/>
          </w:rPr>
          <w:t>5.1</w:t>
        </w:r>
        <w:r w:rsidR="00B55D4D">
          <w:rPr>
            <w:rFonts w:cstheme="minorBidi"/>
            <w:noProof/>
            <w:sz w:val="22"/>
            <w:szCs w:val="22"/>
            <w:lang w:eastAsia="en-AU"/>
          </w:rPr>
          <w:tab/>
        </w:r>
        <w:r w:rsidR="00B55D4D" w:rsidRPr="00FE6A49">
          <w:rPr>
            <w:rStyle w:val="Hyperlink"/>
            <w:noProof/>
          </w:rPr>
          <w:t>Finding work</w:t>
        </w:r>
        <w:r w:rsidR="00B55D4D">
          <w:rPr>
            <w:noProof/>
            <w:webHidden/>
          </w:rPr>
          <w:tab/>
        </w:r>
        <w:r w:rsidR="00B55D4D">
          <w:rPr>
            <w:noProof/>
            <w:webHidden/>
          </w:rPr>
          <w:fldChar w:fldCharType="begin"/>
        </w:r>
        <w:r w:rsidR="00B55D4D">
          <w:rPr>
            <w:noProof/>
            <w:webHidden/>
          </w:rPr>
          <w:instrText xml:space="preserve"> PAGEREF _Toc507600253 \h </w:instrText>
        </w:r>
        <w:r w:rsidR="00B55D4D">
          <w:rPr>
            <w:noProof/>
            <w:webHidden/>
          </w:rPr>
        </w:r>
        <w:r w:rsidR="00B55D4D">
          <w:rPr>
            <w:noProof/>
            <w:webHidden/>
          </w:rPr>
          <w:fldChar w:fldCharType="separate"/>
        </w:r>
        <w:r w:rsidR="00B55D4D">
          <w:rPr>
            <w:noProof/>
            <w:webHidden/>
          </w:rPr>
          <w:t>87</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54" w:history="1">
        <w:r w:rsidR="00B55D4D" w:rsidRPr="00FE6A49">
          <w:rPr>
            <w:rStyle w:val="Hyperlink"/>
            <w:noProof/>
          </w:rPr>
          <w:t>5.2</w:t>
        </w:r>
        <w:r w:rsidR="00B55D4D">
          <w:rPr>
            <w:rFonts w:cstheme="minorBidi"/>
            <w:noProof/>
            <w:sz w:val="22"/>
            <w:szCs w:val="22"/>
            <w:lang w:eastAsia="en-AU"/>
          </w:rPr>
          <w:tab/>
        </w:r>
        <w:r w:rsidR="00B55D4D" w:rsidRPr="00FE6A49">
          <w:rPr>
            <w:rStyle w:val="Hyperlink"/>
            <w:noProof/>
          </w:rPr>
          <w:t>Remaining off welfare</w:t>
        </w:r>
        <w:r w:rsidR="00B55D4D">
          <w:rPr>
            <w:noProof/>
            <w:webHidden/>
          </w:rPr>
          <w:tab/>
        </w:r>
        <w:r w:rsidR="00B55D4D">
          <w:rPr>
            <w:noProof/>
            <w:webHidden/>
          </w:rPr>
          <w:fldChar w:fldCharType="begin"/>
        </w:r>
        <w:r w:rsidR="00B55D4D">
          <w:rPr>
            <w:noProof/>
            <w:webHidden/>
          </w:rPr>
          <w:instrText xml:space="preserve"> PAGEREF _Toc507600254 \h </w:instrText>
        </w:r>
        <w:r w:rsidR="00B55D4D">
          <w:rPr>
            <w:noProof/>
            <w:webHidden/>
          </w:rPr>
        </w:r>
        <w:r w:rsidR="00B55D4D">
          <w:rPr>
            <w:noProof/>
            <w:webHidden/>
          </w:rPr>
          <w:fldChar w:fldCharType="separate"/>
        </w:r>
        <w:r w:rsidR="00B55D4D">
          <w:rPr>
            <w:noProof/>
            <w:webHidden/>
          </w:rPr>
          <w:t>88</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55" w:history="1">
        <w:r w:rsidR="00B55D4D" w:rsidRPr="00FE6A49">
          <w:rPr>
            <w:rStyle w:val="Hyperlink"/>
            <w:noProof/>
          </w:rPr>
          <w:t>5.3</w:t>
        </w:r>
        <w:r w:rsidR="00B55D4D">
          <w:rPr>
            <w:rFonts w:cstheme="minorBidi"/>
            <w:noProof/>
            <w:sz w:val="22"/>
            <w:szCs w:val="22"/>
            <w:lang w:eastAsia="en-AU"/>
          </w:rPr>
          <w:tab/>
        </w:r>
        <w:r w:rsidR="00B55D4D" w:rsidRPr="00FE6A49">
          <w:rPr>
            <w:rStyle w:val="Hyperlink"/>
            <w:noProof/>
          </w:rPr>
          <w:t>The behavioural context</w:t>
        </w:r>
        <w:r w:rsidR="00B55D4D">
          <w:rPr>
            <w:noProof/>
            <w:webHidden/>
          </w:rPr>
          <w:tab/>
        </w:r>
        <w:r w:rsidR="00B55D4D">
          <w:rPr>
            <w:noProof/>
            <w:webHidden/>
          </w:rPr>
          <w:fldChar w:fldCharType="begin"/>
        </w:r>
        <w:r w:rsidR="00B55D4D">
          <w:rPr>
            <w:noProof/>
            <w:webHidden/>
          </w:rPr>
          <w:instrText xml:space="preserve"> PAGEREF _Toc507600255 \h </w:instrText>
        </w:r>
        <w:r w:rsidR="00B55D4D">
          <w:rPr>
            <w:noProof/>
            <w:webHidden/>
          </w:rPr>
        </w:r>
        <w:r w:rsidR="00B55D4D">
          <w:rPr>
            <w:noProof/>
            <w:webHidden/>
          </w:rPr>
          <w:fldChar w:fldCharType="separate"/>
        </w:r>
        <w:r w:rsidR="00B55D4D">
          <w:rPr>
            <w:noProof/>
            <w:webHidden/>
          </w:rPr>
          <w:t>88</w:t>
        </w:r>
        <w:r w:rsidR="00B55D4D">
          <w:rPr>
            <w:noProof/>
            <w:webHidden/>
          </w:rPr>
          <w:fldChar w:fldCharType="end"/>
        </w:r>
      </w:hyperlink>
    </w:p>
    <w:p w:rsidR="00B55D4D" w:rsidRDefault="0027008F">
      <w:pPr>
        <w:pStyle w:val="TOC1"/>
        <w:rPr>
          <w:rFonts w:cstheme="minorBidi"/>
          <w:b w:val="0"/>
          <w:bCs w:val="0"/>
          <w:noProof/>
          <w:sz w:val="22"/>
          <w:szCs w:val="22"/>
          <w:lang w:eastAsia="en-AU"/>
        </w:rPr>
      </w:pPr>
      <w:hyperlink w:anchor="_Toc507600256" w:history="1">
        <w:r w:rsidR="00B55D4D" w:rsidRPr="00FE6A49">
          <w:rPr>
            <w:rStyle w:val="Hyperlink"/>
            <w:noProof/>
          </w:rPr>
          <w:t>6</w:t>
        </w:r>
        <w:r w:rsidR="00B55D4D">
          <w:rPr>
            <w:rFonts w:cstheme="minorBidi"/>
            <w:b w:val="0"/>
            <w:bCs w:val="0"/>
            <w:noProof/>
            <w:sz w:val="22"/>
            <w:szCs w:val="22"/>
            <w:lang w:eastAsia="en-AU"/>
          </w:rPr>
          <w:tab/>
        </w:r>
        <w:r w:rsidR="00B55D4D" w:rsidRPr="00FE6A49">
          <w:rPr>
            <w:rStyle w:val="Hyperlink"/>
            <w:noProof/>
          </w:rPr>
          <w:t>Recommendations</w:t>
        </w:r>
        <w:r w:rsidR="00B55D4D">
          <w:rPr>
            <w:noProof/>
            <w:webHidden/>
          </w:rPr>
          <w:tab/>
        </w:r>
        <w:r w:rsidR="00B55D4D">
          <w:rPr>
            <w:noProof/>
            <w:webHidden/>
          </w:rPr>
          <w:fldChar w:fldCharType="begin"/>
        </w:r>
        <w:r w:rsidR="00B55D4D">
          <w:rPr>
            <w:noProof/>
            <w:webHidden/>
          </w:rPr>
          <w:instrText xml:space="preserve"> PAGEREF _Toc507600256 \h </w:instrText>
        </w:r>
        <w:r w:rsidR="00B55D4D">
          <w:rPr>
            <w:noProof/>
            <w:webHidden/>
          </w:rPr>
        </w:r>
        <w:r w:rsidR="00B55D4D">
          <w:rPr>
            <w:noProof/>
            <w:webHidden/>
          </w:rPr>
          <w:fldChar w:fldCharType="separate"/>
        </w:r>
        <w:r w:rsidR="00B55D4D">
          <w:rPr>
            <w:noProof/>
            <w:webHidden/>
          </w:rPr>
          <w:t>93</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57" w:history="1">
        <w:r w:rsidR="00B55D4D" w:rsidRPr="00FE6A49">
          <w:rPr>
            <w:rStyle w:val="Hyperlink"/>
            <w:noProof/>
          </w:rPr>
          <w:t>6.1</w:t>
        </w:r>
        <w:r w:rsidR="00B55D4D">
          <w:rPr>
            <w:rFonts w:cstheme="minorBidi"/>
            <w:noProof/>
            <w:sz w:val="22"/>
            <w:szCs w:val="22"/>
            <w:lang w:eastAsia="en-AU"/>
          </w:rPr>
          <w:tab/>
        </w:r>
        <w:r w:rsidR="00B55D4D" w:rsidRPr="00FE6A49">
          <w:rPr>
            <w:rStyle w:val="Hyperlink"/>
            <w:noProof/>
          </w:rPr>
          <w:t>Program design</w:t>
        </w:r>
        <w:r w:rsidR="00B55D4D">
          <w:rPr>
            <w:noProof/>
            <w:webHidden/>
          </w:rPr>
          <w:tab/>
        </w:r>
        <w:r w:rsidR="00B55D4D">
          <w:rPr>
            <w:noProof/>
            <w:webHidden/>
          </w:rPr>
          <w:fldChar w:fldCharType="begin"/>
        </w:r>
        <w:r w:rsidR="00B55D4D">
          <w:rPr>
            <w:noProof/>
            <w:webHidden/>
          </w:rPr>
          <w:instrText xml:space="preserve"> PAGEREF _Toc507600257 \h </w:instrText>
        </w:r>
        <w:r w:rsidR="00B55D4D">
          <w:rPr>
            <w:noProof/>
            <w:webHidden/>
          </w:rPr>
        </w:r>
        <w:r w:rsidR="00B55D4D">
          <w:rPr>
            <w:noProof/>
            <w:webHidden/>
          </w:rPr>
          <w:fldChar w:fldCharType="separate"/>
        </w:r>
        <w:r w:rsidR="00B55D4D">
          <w:rPr>
            <w:noProof/>
            <w:webHidden/>
          </w:rPr>
          <w:t>93</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58" w:history="1">
        <w:r w:rsidR="00B55D4D" w:rsidRPr="00FE6A49">
          <w:rPr>
            <w:rStyle w:val="Hyperlink"/>
            <w:noProof/>
          </w:rPr>
          <w:t>6.2</w:t>
        </w:r>
        <w:r w:rsidR="00B55D4D">
          <w:rPr>
            <w:rFonts w:cstheme="minorBidi"/>
            <w:noProof/>
            <w:sz w:val="22"/>
            <w:szCs w:val="22"/>
            <w:lang w:eastAsia="en-AU"/>
          </w:rPr>
          <w:tab/>
        </w:r>
        <w:r w:rsidR="00B55D4D" w:rsidRPr="00FE6A49">
          <w:rPr>
            <w:rStyle w:val="Hyperlink"/>
            <w:noProof/>
          </w:rPr>
          <w:t>Communication</w:t>
        </w:r>
        <w:r w:rsidR="00B55D4D">
          <w:rPr>
            <w:noProof/>
            <w:webHidden/>
          </w:rPr>
          <w:tab/>
        </w:r>
        <w:r w:rsidR="00B55D4D">
          <w:rPr>
            <w:noProof/>
            <w:webHidden/>
          </w:rPr>
          <w:fldChar w:fldCharType="begin"/>
        </w:r>
        <w:r w:rsidR="00B55D4D">
          <w:rPr>
            <w:noProof/>
            <w:webHidden/>
          </w:rPr>
          <w:instrText xml:space="preserve"> PAGEREF _Toc507600258 \h </w:instrText>
        </w:r>
        <w:r w:rsidR="00B55D4D">
          <w:rPr>
            <w:noProof/>
            <w:webHidden/>
          </w:rPr>
        </w:r>
        <w:r w:rsidR="00B55D4D">
          <w:rPr>
            <w:noProof/>
            <w:webHidden/>
          </w:rPr>
          <w:fldChar w:fldCharType="separate"/>
        </w:r>
        <w:r w:rsidR="00B55D4D">
          <w:rPr>
            <w:noProof/>
            <w:webHidden/>
          </w:rPr>
          <w:t>93</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59" w:history="1">
        <w:r w:rsidR="00B55D4D" w:rsidRPr="00FE6A49">
          <w:rPr>
            <w:rStyle w:val="Hyperlink"/>
            <w:noProof/>
          </w:rPr>
          <w:t>6.3</w:t>
        </w:r>
        <w:r w:rsidR="00B55D4D">
          <w:rPr>
            <w:rFonts w:cstheme="minorBidi"/>
            <w:noProof/>
            <w:sz w:val="22"/>
            <w:szCs w:val="22"/>
            <w:lang w:eastAsia="en-AU"/>
          </w:rPr>
          <w:tab/>
        </w:r>
        <w:r w:rsidR="00B55D4D" w:rsidRPr="00FE6A49">
          <w:rPr>
            <w:rStyle w:val="Hyperlink"/>
            <w:noProof/>
          </w:rPr>
          <w:t>Implementation</w:t>
        </w:r>
        <w:r w:rsidR="00B55D4D">
          <w:rPr>
            <w:noProof/>
            <w:webHidden/>
          </w:rPr>
          <w:tab/>
        </w:r>
        <w:r w:rsidR="00B55D4D">
          <w:rPr>
            <w:noProof/>
            <w:webHidden/>
          </w:rPr>
          <w:fldChar w:fldCharType="begin"/>
        </w:r>
        <w:r w:rsidR="00B55D4D">
          <w:rPr>
            <w:noProof/>
            <w:webHidden/>
          </w:rPr>
          <w:instrText xml:space="preserve"> PAGEREF _Toc507600259 \h </w:instrText>
        </w:r>
        <w:r w:rsidR="00B55D4D">
          <w:rPr>
            <w:noProof/>
            <w:webHidden/>
          </w:rPr>
        </w:r>
        <w:r w:rsidR="00B55D4D">
          <w:rPr>
            <w:noProof/>
            <w:webHidden/>
          </w:rPr>
          <w:fldChar w:fldCharType="separate"/>
        </w:r>
        <w:r w:rsidR="00B55D4D">
          <w:rPr>
            <w:noProof/>
            <w:webHidden/>
          </w:rPr>
          <w:t>94</w:t>
        </w:r>
        <w:r w:rsidR="00B55D4D">
          <w:rPr>
            <w:noProof/>
            <w:webHidden/>
          </w:rPr>
          <w:fldChar w:fldCharType="end"/>
        </w:r>
      </w:hyperlink>
    </w:p>
    <w:p w:rsidR="00B55D4D" w:rsidRDefault="0027008F">
      <w:pPr>
        <w:pStyle w:val="TOC1"/>
        <w:rPr>
          <w:rFonts w:cstheme="minorBidi"/>
          <w:b w:val="0"/>
          <w:bCs w:val="0"/>
          <w:noProof/>
          <w:sz w:val="22"/>
          <w:szCs w:val="22"/>
          <w:lang w:eastAsia="en-AU"/>
        </w:rPr>
      </w:pPr>
      <w:hyperlink w:anchor="_Toc507600260" w:history="1">
        <w:r w:rsidR="00B55D4D" w:rsidRPr="00FE6A49">
          <w:rPr>
            <w:rStyle w:val="Hyperlink"/>
            <w:rFonts w:ascii="Calibri" w:eastAsiaTheme="majorEastAsia" w:hAnsi="Calibri" w:cstheme="majorBidi"/>
            <w:noProof/>
          </w:rPr>
          <w:t>Bibliography</w:t>
        </w:r>
        <w:r w:rsidR="00B55D4D">
          <w:rPr>
            <w:noProof/>
            <w:webHidden/>
          </w:rPr>
          <w:tab/>
        </w:r>
        <w:r w:rsidR="00B55D4D">
          <w:rPr>
            <w:noProof/>
            <w:webHidden/>
          </w:rPr>
          <w:fldChar w:fldCharType="begin"/>
        </w:r>
        <w:r w:rsidR="00B55D4D">
          <w:rPr>
            <w:noProof/>
            <w:webHidden/>
          </w:rPr>
          <w:instrText xml:space="preserve"> PAGEREF _Toc507600260 \h </w:instrText>
        </w:r>
        <w:r w:rsidR="00B55D4D">
          <w:rPr>
            <w:noProof/>
            <w:webHidden/>
          </w:rPr>
        </w:r>
        <w:r w:rsidR="00B55D4D">
          <w:rPr>
            <w:noProof/>
            <w:webHidden/>
          </w:rPr>
          <w:fldChar w:fldCharType="separate"/>
        </w:r>
        <w:r w:rsidR="00B55D4D">
          <w:rPr>
            <w:noProof/>
            <w:webHidden/>
          </w:rPr>
          <w:t>95</w:t>
        </w:r>
        <w:r w:rsidR="00B55D4D">
          <w:rPr>
            <w:noProof/>
            <w:webHidden/>
          </w:rPr>
          <w:fldChar w:fldCharType="end"/>
        </w:r>
      </w:hyperlink>
    </w:p>
    <w:p w:rsidR="00B55D4D" w:rsidRDefault="0027008F">
      <w:pPr>
        <w:pStyle w:val="TOC1"/>
        <w:rPr>
          <w:rFonts w:cstheme="minorBidi"/>
          <w:b w:val="0"/>
          <w:bCs w:val="0"/>
          <w:noProof/>
          <w:sz w:val="22"/>
          <w:szCs w:val="22"/>
          <w:lang w:eastAsia="en-AU"/>
        </w:rPr>
      </w:pPr>
      <w:hyperlink w:anchor="_Toc507600261" w:history="1">
        <w:r w:rsidR="00B55D4D" w:rsidRPr="00FE6A49">
          <w:rPr>
            <w:rStyle w:val="Hyperlink"/>
            <w:noProof/>
          </w:rPr>
          <w:t>Attachment A: Behavioural models used in this report</w:t>
        </w:r>
        <w:r w:rsidR="00B55D4D">
          <w:rPr>
            <w:noProof/>
            <w:webHidden/>
          </w:rPr>
          <w:tab/>
        </w:r>
        <w:r w:rsidR="00B55D4D">
          <w:rPr>
            <w:noProof/>
            <w:webHidden/>
          </w:rPr>
          <w:fldChar w:fldCharType="begin"/>
        </w:r>
        <w:r w:rsidR="00B55D4D">
          <w:rPr>
            <w:noProof/>
            <w:webHidden/>
          </w:rPr>
          <w:instrText xml:space="preserve"> PAGEREF _Toc507600261 \h </w:instrText>
        </w:r>
        <w:r w:rsidR="00B55D4D">
          <w:rPr>
            <w:noProof/>
            <w:webHidden/>
          </w:rPr>
        </w:r>
        <w:r w:rsidR="00B55D4D">
          <w:rPr>
            <w:noProof/>
            <w:webHidden/>
          </w:rPr>
          <w:fldChar w:fldCharType="separate"/>
        </w:r>
        <w:r w:rsidR="00B55D4D">
          <w:rPr>
            <w:noProof/>
            <w:webHidden/>
          </w:rPr>
          <w:t>96</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62" w:history="1">
        <w:r w:rsidR="00B55D4D" w:rsidRPr="00FE6A49">
          <w:rPr>
            <w:rStyle w:val="Hyperlink"/>
            <w:noProof/>
          </w:rPr>
          <w:t>A.1</w:t>
        </w:r>
        <w:r w:rsidR="00B55D4D">
          <w:rPr>
            <w:rFonts w:cstheme="minorBidi"/>
            <w:noProof/>
            <w:sz w:val="22"/>
            <w:szCs w:val="22"/>
            <w:lang w:eastAsia="en-AU"/>
          </w:rPr>
          <w:tab/>
        </w:r>
        <w:r w:rsidR="00B55D4D" w:rsidRPr="00FE6A49">
          <w:rPr>
            <w:rStyle w:val="Hyperlink"/>
            <w:noProof/>
          </w:rPr>
          <w:t xml:space="preserve">The </w:t>
        </w:r>
        <w:r w:rsidR="00B55D4D" w:rsidRPr="00FE6A49">
          <w:rPr>
            <w:rStyle w:val="Hyperlink"/>
            <w:i/>
            <w:noProof/>
          </w:rPr>
          <w:t>Trans-theoretical Stages of Change</w:t>
        </w:r>
        <w:r w:rsidR="00B55D4D" w:rsidRPr="00FE6A49">
          <w:rPr>
            <w:rStyle w:val="Hyperlink"/>
            <w:noProof/>
          </w:rPr>
          <w:t xml:space="preserve"> model</w:t>
        </w:r>
        <w:r w:rsidR="00B55D4D">
          <w:rPr>
            <w:noProof/>
            <w:webHidden/>
          </w:rPr>
          <w:tab/>
        </w:r>
        <w:r w:rsidR="00B55D4D">
          <w:rPr>
            <w:noProof/>
            <w:webHidden/>
          </w:rPr>
          <w:fldChar w:fldCharType="begin"/>
        </w:r>
        <w:r w:rsidR="00B55D4D">
          <w:rPr>
            <w:noProof/>
            <w:webHidden/>
          </w:rPr>
          <w:instrText xml:space="preserve"> PAGEREF _Toc507600262 \h </w:instrText>
        </w:r>
        <w:r w:rsidR="00B55D4D">
          <w:rPr>
            <w:noProof/>
            <w:webHidden/>
          </w:rPr>
        </w:r>
        <w:r w:rsidR="00B55D4D">
          <w:rPr>
            <w:noProof/>
            <w:webHidden/>
          </w:rPr>
          <w:fldChar w:fldCharType="separate"/>
        </w:r>
        <w:r w:rsidR="00B55D4D">
          <w:rPr>
            <w:noProof/>
            <w:webHidden/>
          </w:rPr>
          <w:t>96</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63" w:history="1">
        <w:r w:rsidR="00B55D4D" w:rsidRPr="00FE6A49">
          <w:rPr>
            <w:rStyle w:val="Hyperlink"/>
            <w:noProof/>
          </w:rPr>
          <w:t>A.2</w:t>
        </w:r>
        <w:r w:rsidR="00B55D4D">
          <w:rPr>
            <w:rFonts w:cstheme="minorBidi"/>
            <w:noProof/>
            <w:sz w:val="22"/>
            <w:szCs w:val="22"/>
            <w:lang w:eastAsia="en-AU"/>
          </w:rPr>
          <w:tab/>
        </w:r>
        <w:r w:rsidR="00B55D4D" w:rsidRPr="00FE6A49">
          <w:rPr>
            <w:rStyle w:val="Hyperlink"/>
            <w:noProof/>
          </w:rPr>
          <w:t>Hyperbolic discounting</w:t>
        </w:r>
        <w:r w:rsidR="00B55D4D">
          <w:rPr>
            <w:noProof/>
            <w:webHidden/>
          </w:rPr>
          <w:tab/>
        </w:r>
        <w:r w:rsidR="00B55D4D">
          <w:rPr>
            <w:noProof/>
            <w:webHidden/>
          </w:rPr>
          <w:fldChar w:fldCharType="begin"/>
        </w:r>
        <w:r w:rsidR="00B55D4D">
          <w:rPr>
            <w:noProof/>
            <w:webHidden/>
          </w:rPr>
          <w:instrText xml:space="preserve"> PAGEREF _Toc507600263 \h </w:instrText>
        </w:r>
        <w:r w:rsidR="00B55D4D">
          <w:rPr>
            <w:noProof/>
            <w:webHidden/>
          </w:rPr>
        </w:r>
        <w:r w:rsidR="00B55D4D">
          <w:rPr>
            <w:noProof/>
            <w:webHidden/>
          </w:rPr>
          <w:fldChar w:fldCharType="separate"/>
        </w:r>
        <w:r w:rsidR="00B55D4D">
          <w:rPr>
            <w:noProof/>
            <w:webHidden/>
          </w:rPr>
          <w:t>98</w:t>
        </w:r>
        <w:r w:rsidR="00B55D4D">
          <w:rPr>
            <w:noProof/>
            <w:webHidden/>
          </w:rPr>
          <w:fldChar w:fldCharType="end"/>
        </w:r>
      </w:hyperlink>
    </w:p>
    <w:p w:rsidR="00B55D4D" w:rsidRDefault="0027008F">
      <w:pPr>
        <w:pStyle w:val="TOC1"/>
        <w:rPr>
          <w:rFonts w:cstheme="minorBidi"/>
          <w:b w:val="0"/>
          <w:bCs w:val="0"/>
          <w:noProof/>
          <w:sz w:val="22"/>
          <w:szCs w:val="22"/>
          <w:lang w:eastAsia="en-AU"/>
        </w:rPr>
      </w:pPr>
      <w:hyperlink w:anchor="_Toc507600264" w:history="1">
        <w:r w:rsidR="00B55D4D" w:rsidRPr="00FE6A49">
          <w:rPr>
            <w:rStyle w:val="Hyperlink"/>
            <w:noProof/>
          </w:rPr>
          <w:t>Attachment B: Key evaluation questions</w:t>
        </w:r>
        <w:r w:rsidR="00B55D4D">
          <w:rPr>
            <w:noProof/>
            <w:webHidden/>
          </w:rPr>
          <w:tab/>
        </w:r>
        <w:r w:rsidR="00B55D4D">
          <w:rPr>
            <w:noProof/>
            <w:webHidden/>
          </w:rPr>
          <w:fldChar w:fldCharType="begin"/>
        </w:r>
        <w:r w:rsidR="00B55D4D">
          <w:rPr>
            <w:noProof/>
            <w:webHidden/>
          </w:rPr>
          <w:instrText xml:space="preserve"> PAGEREF _Toc507600264 \h </w:instrText>
        </w:r>
        <w:r w:rsidR="00B55D4D">
          <w:rPr>
            <w:noProof/>
            <w:webHidden/>
          </w:rPr>
        </w:r>
        <w:r w:rsidR="00B55D4D">
          <w:rPr>
            <w:noProof/>
            <w:webHidden/>
          </w:rPr>
          <w:fldChar w:fldCharType="separate"/>
        </w:r>
        <w:r w:rsidR="00B55D4D">
          <w:rPr>
            <w:noProof/>
            <w:webHidden/>
          </w:rPr>
          <w:t>99</w:t>
        </w:r>
        <w:r w:rsidR="00B55D4D">
          <w:rPr>
            <w:noProof/>
            <w:webHidden/>
          </w:rPr>
          <w:fldChar w:fldCharType="end"/>
        </w:r>
      </w:hyperlink>
    </w:p>
    <w:p w:rsidR="00B55D4D" w:rsidRDefault="0027008F">
      <w:pPr>
        <w:pStyle w:val="TOC1"/>
        <w:rPr>
          <w:rFonts w:cstheme="minorBidi"/>
          <w:b w:val="0"/>
          <w:bCs w:val="0"/>
          <w:noProof/>
          <w:sz w:val="22"/>
          <w:szCs w:val="22"/>
          <w:lang w:eastAsia="en-AU"/>
        </w:rPr>
      </w:pPr>
      <w:hyperlink w:anchor="_Toc507600265" w:history="1">
        <w:r w:rsidR="00B55D4D" w:rsidRPr="00FE6A49">
          <w:rPr>
            <w:rStyle w:val="Hyperlink"/>
            <w:noProof/>
          </w:rPr>
          <w:t>Attachment C: Scope and timing of qualitative research</w:t>
        </w:r>
        <w:r w:rsidR="00B55D4D">
          <w:rPr>
            <w:noProof/>
            <w:webHidden/>
          </w:rPr>
          <w:tab/>
        </w:r>
        <w:r w:rsidR="00B55D4D">
          <w:rPr>
            <w:noProof/>
            <w:webHidden/>
          </w:rPr>
          <w:fldChar w:fldCharType="begin"/>
        </w:r>
        <w:r w:rsidR="00B55D4D">
          <w:rPr>
            <w:noProof/>
            <w:webHidden/>
          </w:rPr>
          <w:instrText xml:space="preserve"> PAGEREF _Toc507600265 \h </w:instrText>
        </w:r>
        <w:r w:rsidR="00B55D4D">
          <w:rPr>
            <w:noProof/>
            <w:webHidden/>
          </w:rPr>
        </w:r>
        <w:r w:rsidR="00B55D4D">
          <w:rPr>
            <w:noProof/>
            <w:webHidden/>
          </w:rPr>
          <w:fldChar w:fldCharType="separate"/>
        </w:r>
        <w:r w:rsidR="00B55D4D">
          <w:rPr>
            <w:noProof/>
            <w:webHidden/>
          </w:rPr>
          <w:t>101</w:t>
        </w:r>
        <w:r w:rsidR="00B55D4D">
          <w:rPr>
            <w:noProof/>
            <w:webHidden/>
          </w:rPr>
          <w:fldChar w:fldCharType="end"/>
        </w:r>
      </w:hyperlink>
    </w:p>
    <w:p w:rsidR="00B55D4D" w:rsidRDefault="0027008F">
      <w:pPr>
        <w:pStyle w:val="TOC1"/>
        <w:rPr>
          <w:rFonts w:cstheme="minorBidi"/>
          <w:b w:val="0"/>
          <w:bCs w:val="0"/>
          <w:noProof/>
          <w:sz w:val="22"/>
          <w:szCs w:val="22"/>
          <w:lang w:eastAsia="en-AU"/>
        </w:rPr>
      </w:pPr>
      <w:hyperlink w:anchor="_Toc507600266" w:history="1">
        <w:r w:rsidR="00B55D4D" w:rsidRPr="00FE6A49">
          <w:rPr>
            <w:rStyle w:val="Hyperlink"/>
            <w:noProof/>
          </w:rPr>
          <w:t>Attachment D: Data sources used in the evaluation</w:t>
        </w:r>
        <w:r w:rsidR="00B55D4D">
          <w:rPr>
            <w:noProof/>
            <w:webHidden/>
          </w:rPr>
          <w:tab/>
        </w:r>
        <w:r w:rsidR="00B55D4D">
          <w:rPr>
            <w:noProof/>
            <w:webHidden/>
          </w:rPr>
          <w:fldChar w:fldCharType="begin"/>
        </w:r>
        <w:r w:rsidR="00B55D4D">
          <w:rPr>
            <w:noProof/>
            <w:webHidden/>
          </w:rPr>
          <w:instrText xml:space="preserve"> PAGEREF _Toc507600266 \h </w:instrText>
        </w:r>
        <w:r w:rsidR="00B55D4D">
          <w:rPr>
            <w:noProof/>
            <w:webHidden/>
          </w:rPr>
        </w:r>
        <w:r w:rsidR="00B55D4D">
          <w:rPr>
            <w:noProof/>
            <w:webHidden/>
          </w:rPr>
          <w:fldChar w:fldCharType="separate"/>
        </w:r>
        <w:r w:rsidR="00B55D4D">
          <w:rPr>
            <w:noProof/>
            <w:webHidden/>
          </w:rPr>
          <w:t>103</w:t>
        </w:r>
        <w:r w:rsidR="00B55D4D">
          <w:rPr>
            <w:noProof/>
            <w:webHidden/>
          </w:rPr>
          <w:fldChar w:fldCharType="end"/>
        </w:r>
      </w:hyperlink>
    </w:p>
    <w:p w:rsidR="00B55D4D" w:rsidRDefault="0027008F">
      <w:pPr>
        <w:pStyle w:val="TOC1"/>
        <w:rPr>
          <w:rFonts w:cstheme="minorBidi"/>
          <w:b w:val="0"/>
          <w:bCs w:val="0"/>
          <w:noProof/>
          <w:sz w:val="22"/>
          <w:szCs w:val="22"/>
          <w:lang w:eastAsia="en-AU"/>
        </w:rPr>
      </w:pPr>
      <w:hyperlink w:anchor="_Toc507600267" w:history="1">
        <w:r w:rsidR="00B55D4D" w:rsidRPr="00FE6A49">
          <w:rPr>
            <w:rStyle w:val="Hyperlink"/>
            <w:noProof/>
          </w:rPr>
          <w:t>Attachment E: Technical information</w:t>
        </w:r>
        <w:r w:rsidR="00B55D4D">
          <w:rPr>
            <w:noProof/>
            <w:webHidden/>
          </w:rPr>
          <w:tab/>
        </w:r>
        <w:r w:rsidR="00B55D4D">
          <w:rPr>
            <w:noProof/>
            <w:webHidden/>
          </w:rPr>
          <w:fldChar w:fldCharType="begin"/>
        </w:r>
        <w:r w:rsidR="00B55D4D">
          <w:rPr>
            <w:noProof/>
            <w:webHidden/>
          </w:rPr>
          <w:instrText xml:space="preserve"> PAGEREF _Toc507600267 \h </w:instrText>
        </w:r>
        <w:r w:rsidR="00B55D4D">
          <w:rPr>
            <w:noProof/>
            <w:webHidden/>
          </w:rPr>
        </w:r>
        <w:r w:rsidR="00B55D4D">
          <w:rPr>
            <w:noProof/>
            <w:webHidden/>
          </w:rPr>
          <w:fldChar w:fldCharType="separate"/>
        </w:r>
        <w:r w:rsidR="00B55D4D">
          <w:rPr>
            <w:noProof/>
            <w:webHidden/>
          </w:rPr>
          <w:t>104</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68" w:history="1">
        <w:r w:rsidR="00B55D4D" w:rsidRPr="00FE6A49">
          <w:rPr>
            <w:rStyle w:val="Hyperlink"/>
            <w:noProof/>
          </w:rPr>
          <w:t>E.1</w:t>
        </w:r>
        <w:r w:rsidR="00B55D4D">
          <w:rPr>
            <w:rFonts w:cstheme="minorBidi"/>
            <w:noProof/>
            <w:sz w:val="22"/>
            <w:szCs w:val="22"/>
            <w:lang w:eastAsia="en-AU"/>
          </w:rPr>
          <w:tab/>
        </w:r>
        <w:r w:rsidR="00B55D4D" w:rsidRPr="00FE6A49">
          <w:rPr>
            <w:rStyle w:val="Hyperlink"/>
            <w:noProof/>
          </w:rPr>
          <w:t>Monitoring data</w:t>
        </w:r>
        <w:r w:rsidR="00B55D4D">
          <w:rPr>
            <w:noProof/>
            <w:webHidden/>
          </w:rPr>
          <w:tab/>
        </w:r>
        <w:r w:rsidR="00B55D4D">
          <w:rPr>
            <w:noProof/>
            <w:webHidden/>
          </w:rPr>
          <w:fldChar w:fldCharType="begin"/>
        </w:r>
        <w:r w:rsidR="00B55D4D">
          <w:rPr>
            <w:noProof/>
            <w:webHidden/>
          </w:rPr>
          <w:instrText xml:space="preserve"> PAGEREF _Toc507600268 \h </w:instrText>
        </w:r>
        <w:r w:rsidR="00B55D4D">
          <w:rPr>
            <w:noProof/>
            <w:webHidden/>
          </w:rPr>
        </w:r>
        <w:r w:rsidR="00B55D4D">
          <w:rPr>
            <w:noProof/>
            <w:webHidden/>
          </w:rPr>
          <w:fldChar w:fldCharType="separate"/>
        </w:r>
        <w:r w:rsidR="00B55D4D">
          <w:rPr>
            <w:noProof/>
            <w:webHidden/>
          </w:rPr>
          <w:t>104</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69" w:history="1">
        <w:r w:rsidR="00B55D4D" w:rsidRPr="00FE6A49">
          <w:rPr>
            <w:rStyle w:val="Hyperlink"/>
            <w:noProof/>
          </w:rPr>
          <w:t>E.2</w:t>
        </w:r>
        <w:r w:rsidR="00B55D4D">
          <w:rPr>
            <w:rFonts w:cstheme="minorBidi"/>
            <w:noProof/>
            <w:sz w:val="22"/>
            <w:szCs w:val="22"/>
            <w:lang w:eastAsia="en-AU"/>
          </w:rPr>
          <w:tab/>
        </w:r>
        <w:r w:rsidR="00B55D4D" w:rsidRPr="00FE6A49">
          <w:rPr>
            <w:rStyle w:val="Hyperlink"/>
            <w:noProof/>
          </w:rPr>
          <w:t>Statistical techniques used</w:t>
        </w:r>
        <w:r w:rsidR="00B55D4D">
          <w:rPr>
            <w:noProof/>
            <w:webHidden/>
          </w:rPr>
          <w:tab/>
        </w:r>
        <w:r w:rsidR="00B55D4D">
          <w:rPr>
            <w:noProof/>
            <w:webHidden/>
          </w:rPr>
          <w:fldChar w:fldCharType="begin"/>
        </w:r>
        <w:r w:rsidR="00B55D4D">
          <w:rPr>
            <w:noProof/>
            <w:webHidden/>
          </w:rPr>
          <w:instrText xml:space="preserve"> PAGEREF _Toc507600269 \h </w:instrText>
        </w:r>
        <w:r w:rsidR="00B55D4D">
          <w:rPr>
            <w:noProof/>
            <w:webHidden/>
          </w:rPr>
        </w:r>
        <w:r w:rsidR="00B55D4D">
          <w:rPr>
            <w:noProof/>
            <w:webHidden/>
          </w:rPr>
          <w:fldChar w:fldCharType="separate"/>
        </w:r>
        <w:r w:rsidR="00B55D4D">
          <w:rPr>
            <w:noProof/>
            <w:webHidden/>
          </w:rPr>
          <w:t>105</w:t>
        </w:r>
        <w:r w:rsidR="00B55D4D">
          <w:rPr>
            <w:noProof/>
            <w:webHidden/>
          </w:rPr>
          <w:fldChar w:fldCharType="end"/>
        </w:r>
      </w:hyperlink>
    </w:p>
    <w:p w:rsidR="00B55D4D" w:rsidRDefault="0027008F">
      <w:pPr>
        <w:pStyle w:val="TOC2"/>
        <w:rPr>
          <w:rFonts w:cstheme="minorBidi"/>
          <w:noProof/>
          <w:sz w:val="22"/>
          <w:szCs w:val="22"/>
          <w:lang w:eastAsia="en-AU"/>
        </w:rPr>
      </w:pPr>
      <w:hyperlink w:anchor="_Toc507600270" w:history="1">
        <w:r w:rsidR="00B55D4D" w:rsidRPr="00FE6A49">
          <w:rPr>
            <w:rStyle w:val="Hyperlink"/>
            <w:noProof/>
          </w:rPr>
          <w:t>E.3</w:t>
        </w:r>
        <w:r w:rsidR="00B55D4D">
          <w:rPr>
            <w:rFonts w:cstheme="minorBidi"/>
            <w:noProof/>
            <w:sz w:val="22"/>
            <w:szCs w:val="22"/>
            <w:lang w:eastAsia="en-AU"/>
          </w:rPr>
          <w:tab/>
        </w:r>
        <w:r w:rsidR="00B55D4D" w:rsidRPr="00FE6A49">
          <w:rPr>
            <w:rStyle w:val="Hyperlink"/>
            <w:noProof/>
          </w:rPr>
          <w:t>Study populations</w:t>
        </w:r>
        <w:r w:rsidR="00B55D4D">
          <w:rPr>
            <w:noProof/>
            <w:webHidden/>
          </w:rPr>
          <w:tab/>
        </w:r>
        <w:r w:rsidR="00B55D4D">
          <w:rPr>
            <w:noProof/>
            <w:webHidden/>
          </w:rPr>
          <w:fldChar w:fldCharType="begin"/>
        </w:r>
        <w:r w:rsidR="00B55D4D">
          <w:rPr>
            <w:noProof/>
            <w:webHidden/>
          </w:rPr>
          <w:instrText xml:space="preserve"> PAGEREF _Toc507600270 \h </w:instrText>
        </w:r>
        <w:r w:rsidR="00B55D4D">
          <w:rPr>
            <w:noProof/>
            <w:webHidden/>
          </w:rPr>
        </w:r>
        <w:r w:rsidR="00B55D4D">
          <w:rPr>
            <w:noProof/>
            <w:webHidden/>
          </w:rPr>
          <w:fldChar w:fldCharType="separate"/>
        </w:r>
        <w:r w:rsidR="00B55D4D">
          <w:rPr>
            <w:noProof/>
            <w:webHidden/>
          </w:rPr>
          <w:t>108</w:t>
        </w:r>
        <w:r w:rsidR="00B55D4D">
          <w:rPr>
            <w:noProof/>
            <w:webHidden/>
          </w:rPr>
          <w:fldChar w:fldCharType="end"/>
        </w:r>
      </w:hyperlink>
    </w:p>
    <w:p w:rsidR="00B55D4D" w:rsidRDefault="0027008F">
      <w:pPr>
        <w:pStyle w:val="TOC1"/>
        <w:rPr>
          <w:rFonts w:cstheme="minorBidi"/>
          <w:b w:val="0"/>
          <w:bCs w:val="0"/>
          <w:noProof/>
          <w:sz w:val="22"/>
          <w:szCs w:val="22"/>
          <w:lang w:eastAsia="en-AU"/>
        </w:rPr>
      </w:pPr>
      <w:hyperlink w:anchor="_Toc507600271" w:history="1">
        <w:r w:rsidR="00B55D4D" w:rsidRPr="00FE6A49">
          <w:rPr>
            <w:rStyle w:val="Hyperlink"/>
            <w:noProof/>
          </w:rPr>
          <w:t>Attachment F: Statistical tables</w:t>
        </w:r>
        <w:r w:rsidR="00B55D4D">
          <w:rPr>
            <w:noProof/>
            <w:webHidden/>
          </w:rPr>
          <w:tab/>
        </w:r>
        <w:r w:rsidR="00B55D4D">
          <w:rPr>
            <w:noProof/>
            <w:webHidden/>
          </w:rPr>
          <w:fldChar w:fldCharType="begin"/>
        </w:r>
        <w:r w:rsidR="00B55D4D">
          <w:rPr>
            <w:noProof/>
            <w:webHidden/>
          </w:rPr>
          <w:instrText xml:space="preserve"> PAGEREF _Toc507600271 \h </w:instrText>
        </w:r>
        <w:r w:rsidR="00B55D4D">
          <w:rPr>
            <w:noProof/>
            <w:webHidden/>
          </w:rPr>
        </w:r>
        <w:r w:rsidR="00B55D4D">
          <w:rPr>
            <w:noProof/>
            <w:webHidden/>
          </w:rPr>
          <w:fldChar w:fldCharType="separate"/>
        </w:r>
        <w:r w:rsidR="00B55D4D">
          <w:rPr>
            <w:noProof/>
            <w:webHidden/>
          </w:rPr>
          <w:t>111</w:t>
        </w:r>
        <w:r w:rsidR="00B55D4D">
          <w:rPr>
            <w:noProof/>
            <w:webHidden/>
          </w:rPr>
          <w:fldChar w:fldCharType="end"/>
        </w:r>
      </w:hyperlink>
    </w:p>
    <w:p w:rsidR="00354833" w:rsidRDefault="005114E3" w:rsidP="00A955D2">
      <w:r>
        <w:rPr>
          <w:rFonts w:cstheme="minorHAnsi"/>
          <w:sz w:val="20"/>
          <w:szCs w:val="20"/>
        </w:rPr>
        <w:fldChar w:fldCharType="end"/>
      </w:r>
      <w:r w:rsidR="00354833">
        <w:br w:type="page"/>
      </w:r>
    </w:p>
    <w:p w:rsidR="00F362E7" w:rsidRPr="003A4B00" w:rsidRDefault="00187E44" w:rsidP="00C3297F">
      <w:pPr>
        <w:pStyle w:val="Heading1"/>
      </w:pPr>
      <w:bookmarkStart w:id="43" w:name="_Toc507600217"/>
      <w:r w:rsidRPr="003A4B00">
        <w:lastRenderedPageBreak/>
        <w:t xml:space="preserve">List </w:t>
      </w:r>
      <w:r w:rsidR="00F362E7" w:rsidRPr="003A4B00">
        <w:t xml:space="preserve">of </w:t>
      </w:r>
      <w:r w:rsidR="00DA6B06" w:rsidRPr="003A4B00">
        <w:t>f</w:t>
      </w:r>
      <w:r w:rsidR="00F362E7" w:rsidRPr="003A4B00">
        <w:t>igures</w:t>
      </w:r>
      <w:bookmarkEnd w:id="42"/>
      <w:bookmarkEnd w:id="43"/>
    </w:p>
    <w:p w:rsidR="00B55D4D" w:rsidRDefault="008B64A2" w:rsidP="00B43D2E">
      <w:pPr>
        <w:pStyle w:val="TableofFigures"/>
        <w:tabs>
          <w:tab w:val="right" w:leader="dot" w:pos="9016"/>
        </w:tabs>
        <w:ind w:left="1276" w:hanging="1276"/>
        <w:rPr>
          <w:rFonts w:cstheme="minorBidi"/>
          <w:noProof/>
          <w:sz w:val="22"/>
          <w:szCs w:val="22"/>
          <w:lang w:eastAsia="en-AU"/>
        </w:rPr>
      </w:pPr>
      <w:r w:rsidRPr="00246925">
        <w:rPr>
          <w:b/>
          <w:bCs/>
        </w:rPr>
        <w:fldChar w:fldCharType="begin"/>
      </w:r>
      <w:r w:rsidRPr="003A4B00">
        <w:rPr>
          <w:b/>
          <w:bCs/>
        </w:rPr>
        <w:instrText xml:space="preserve"> TOC \h \z \t "Figure Caption" \c </w:instrText>
      </w:r>
      <w:r w:rsidRPr="00246925">
        <w:rPr>
          <w:b/>
          <w:bCs/>
        </w:rPr>
        <w:fldChar w:fldCharType="separate"/>
      </w:r>
      <w:hyperlink w:anchor="_Toc507600272" w:history="1">
        <w:r w:rsidR="00B55D4D" w:rsidRPr="00220462">
          <w:rPr>
            <w:rStyle w:val="Hyperlink"/>
            <w:noProof/>
          </w:rPr>
          <w:t xml:space="preserve">Figure 1.1: </w:t>
        </w:r>
        <w:r w:rsidR="00B43D2E">
          <w:rPr>
            <w:rStyle w:val="Hyperlink"/>
            <w:noProof/>
          </w:rPr>
          <w:tab/>
        </w:r>
        <w:r w:rsidR="00B55D4D" w:rsidRPr="00220462">
          <w:rPr>
            <w:rStyle w:val="Hyperlink"/>
            <w:noProof/>
          </w:rPr>
          <w:t>Proportion of unemployed 15 to 24 years olds who were LTU</w:t>
        </w:r>
        <w:r w:rsidR="00B55D4D">
          <w:rPr>
            <w:noProof/>
            <w:webHidden/>
          </w:rPr>
          <w:tab/>
        </w:r>
        <w:r w:rsidR="00B55D4D">
          <w:rPr>
            <w:noProof/>
            <w:webHidden/>
          </w:rPr>
          <w:fldChar w:fldCharType="begin"/>
        </w:r>
        <w:r w:rsidR="00B55D4D">
          <w:rPr>
            <w:noProof/>
            <w:webHidden/>
          </w:rPr>
          <w:instrText xml:space="preserve"> PAGEREF _Toc507600272 \h </w:instrText>
        </w:r>
        <w:r w:rsidR="00B55D4D">
          <w:rPr>
            <w:noProof/>
            <w:webHidden/>
          </w:rPr>
        </w:r>
        <w:r w:rsidR="00B55D4D">
          <w:rPr>
            <w:noProof/>
            <w:webHidden/>
          </w:rPr>
          <w:fldChar w:fldCharType="separate"/>
        </w:r>
        <w:r w:rsidR="00B55D4D">
          <w:rPr>
            <w:noProof/>
            <w:webHidden/>
          </w:rPr>
          <w:t>11</w:t>
        </w:r>
        <w:r w:rsidR="00B55D4D">
          <w:rPr>
            <w:noProof/>
            <w:webHidden/>
          </w:rPr>
          <w:fldChar w:fldCharType="end"/>
        </w:r>
      </w:hyperlink>
    </w:p>
    <w:p w:rsidR="00B55D4D" w:rsidRDefault="0027008F" w:rsidP="00B43D2E">
      <w:pPr>
        <w:pStyle w:val="TableofFigures"/>
        <w:tabs>
          <w:tab w:val="right" w:leader="dot" w:pos="9016"/>
        </w:tabs>
        <w:ind w:left="1276" w:hanging="1276"/>
        <w:rPr>
          <w:rFonts w:cstheme="minorBidi"/>
          <w:noProof/>
          <w:sz w:val="22"/>
          <w:szCs w:val="22"/>
          <w:lang w:eastAsia="en-AU"/>
        </w:rPr>
      </w:pPr>
      <w:hyperlink w:anchor="_Toc507600273" w:history="1">
        <w:r w:rsidR="00B55D4D" w:rsidRPr="00220462">
          <w:rPr>
            <w:rStyle w:val="Hyperlink"/>
            <w:noProof/>
          </w:rPr>
          <w:t xml:space="preserve">Figure 1.2: </w:t>
        </w:r>
        <w:r w:rsidR="00B43D2E">
          <w:rPr>
            <w:rStyle w:val="Hyperlink"/>
            <w:noProof/>
          </w:rPr>
          <w:tab/>
        </w:r>
        <w:r w:rsidR="00B55D4D" w:rsidRPr="00220462">
          <w:rPr>
            <w:rStyle w:val="Hyperlink"/>
            <w:noProof/>
          </w:rPr>
          <w:t>Labour force participation rate for 18 to 30 year olds, 2008 to 2016</w:t>
        </w:r>
        <w:r w:rsidR="00B55D4D">
          <w:rPr>
            <w:noProof/>
            <w:webHidden/>
          </w:rPr>
          <w:tab/>
        </w:r>
        <w:r w:rsidR="00B55D4D">
          <w:rPr>
            <w:noProof/>
            <w:webHidden/>
          </w:rPr>
          <w:fldChar w:fldCharType="begin"/>
        </w:r>
        <w:r w:rsidR="00B55D4D">
          <w:rPr>
            <w:noProof/>
            <w:webHidden/>
          </w:rPr>
          <w:instrText xml:space="preserve"> PAGEREF _Toc507600273 \h </w:instrText>
        </w:r>
        <w:r w:rsidR="00B55D4D">
          <w:rPr>
            <w:noProof/>
            <w:webHidden/>
          </w:rPr>
        </w:r>
        <w:r w:rsidR="00B55D4D">
          <w:rPr>
            <w:noProof/>
            <w:webHidden/>
          </w:rPr>
          <w:fldChar w:fldCharType="separate"/>
        </w:r>
        <w:r w:rsidR="00B55D4D">
          <w:rPr>
            <w:noProof/>
            <w:webHidden/>
          </w:rPr>
          <w:t>12</w:t>
        </w:r>
        <w:r w:rsidR="00B55D4D">
          <w:rPr>
            <w:noProof/>
            <w:webHidden/>
          </w:rPr>
          <w:fldChar w:fldCharType="end"/>
        </w:r>
      </w:hyperlink>
    </w:p>
    <w:p w:rsidR="00B55D4D" w:rsidRDefault="0027008F" w:rsidP="00B43D2E">
      <w:pPr>
        <w:pStyle w:val="TableofFigures"/>
        <w:tabs>
          <w:tab w:val="right" w:leader="dot" w:pos="9016"/>
        </w:tabs>
        <w:ind w:left="1276" w:hanging="1276"/>
        <w:rPr>
          <w:rFonts w:cstheme="minorBidi"/>
          <w:noProof/>
          <w:sz w:val="22"/>
          <w:szCs w:val="22"/>
          <w:lang w:eastAsia="en-AU"/>
        </w:rPr>
      </w:pPr>
      <w:hyperlink w:anchor="_Toc507600274" w:history="1">
        <w:r w:rsidR="00B55D4D" w:rsidRPr="00220462">
          <w:rPr>
            <w:rStyle w:val="Hyperlink"/>
            <w:noProof/>
          </w:rPr>
          <w:t xml:space="preserve">Figure 1.3: </w:t>
        </w:r>
        <w:r w:rsidR="00B43D2E">
          <w:rPr>
            <w:rStyle w:val="Hyperlink"/>
            <w:noProof/>
          </w:rPr>
          <w:tab/>
        </w:r>
        <w:r w:rsidR="00B55D4D" w:rsidRPr="00220462">
          <w:rPr>
            <w:rStyle w:val="Hyperlink"/>
            <w:noProof/>
          </w:rPr>
          <w:t>The proportion of 18-24 year olds in education and employment</w:t>
        </w:r>
        <w:r w:rsidR="00B55D4D">
          <w:rPr>
            <w:noProof/>
            <w:webHidden/>
          </w:rPr>
          <w:tab/>
        </w:r>
        <w:r w:rsidR="00B55D4D">
          <w:rPr>
            <w:noProof/>
            <w:webHidden/>
          </w:rPr>
          <w:fldChar w:fldCharType="begin"/>
        </w:r>
        <w:r w:rsidR="00B55D4D">
          <w:rPr>
            <w:noProof/>
            <w:webHidden/>
          </w:rPr>
          <w:instrText xml:space="preserve"> PAGEREF _Toc507600274 \h </w:instrText>
        </w:r>
        <w:r w:rsidR="00B55D4D">
          <w:rPr>
            <w:noProof/>
            <w:webHidden/>
          </w:rPr>
        </w:r>
        <w:r w:rsidR="00B55D4D">
          <w:rPr>
            <w:noProof/>
            <w:webHidden/>
          </w:rPr>
          <w:fldChar w:fldCharType="separate"/>
        </w:r>
        <w:r w:rsidR="00B55D4D">
          <w:rPr>
            <w:noProof/>
            <w:webHidden/>
          </w:rPr>
          <w:t>14</w:t>
        </w:r>
        <w:r w:rsidR="00B55D4D">
          <w:rPr>
            <w:noProof/>
            <w:webHidden/>
          </w:rPr>
          <w:fldChar w:fldCharType="end"/>
        </w:r>
      </w:hyperlink>
    </w:p>
    <w:p w:rsidR="00B55D4D" w:rsidRDefault="0027008F" w:rsidP="00B43D2E">
      <w:pPr>
        <w:pStyle w:val="TableofFigures"/>
        <w:tabs>
          <w:tab w:val="right" w:leader="dot" w:pos="9016"/>
        </w:tabs>
        <w:ind w:left="1276" w:hanging="1276"/>
        <w:rPr>
          <w:rFonts w:cstheme="minorBidi"/>
          <w:noProof/>
          <w:sz w:val="22"/>
          <w:szCs w:val="22"/>
          <w:lang w:eastAsia="en-AU"/>
        </w:rPr>
      </w:pPr>
      <w:hyperlink w:anchor="_Toc507600275" w:history="1">
        <w:r w:rsidR="00B55D4D" w:rsidRPr="00220462">
          <w:rPr>
            <w:rStyle w:val="Hyperlink"/>
            <w:noProof/>
          </w:rPr>
          <w:t xml:space="preserve">Figure 1.4: </w:t>
        </w:r>
        <w:r w:rsidR="00B43D2E">
          <w:rPr>
            <w:rStyle w:val="Hyperlink"/>
            <w:noProof/>
          </w:rPr>
          <w:tab/>
        </w:r>
        <w:r w:rsidR="00B55D4D" w:rsidRPr="00220462">
          <w:rPr>
            <w:rStyle w:val="Hyperlink"/>
            <w:noProof/>
          </w:rPr>
          <w:t>Higher education participation rates for domestic students, by age group</w:t>
        </w:r>
        <w:r w:rsidR="00B55D4D">
          <w:rPr>
            <w:noProof/>
            <w:webHidden/>
          </w:rPr>
          <w:tab/>
        </w:r>
        <w:r w:rsidR="00B55D4D">
          <w:rPr>
            <w:noProof/>
            <w:webHidden/>
          </w:rPr>
          <w:fldChar w:fldCharType="begin"/>
        </w:r>
        <w:r w:rsidR="00B55D4D">
          <w:rPr>
            <w:noProof/>
            <w:webHidden/>
          </w:rPr>
          <w:instrText xml:space="preserve"> PAGEREF _Toc507600275 \h </w:instrText>
        </w:r>
        <w:r w:rsidR="00B55D4D">
          <w:rPr>
            <w:noProof/>
            <w:webHidden/>
          </w:rPr>
        </w:r>
        <w:r w:rsidR="00B55D4D">
          <w:rPr>
            <w:noProof/>
            <w:webHidden/>
          </w:rPr>
          <w:fldChar w:fldCharType="separate"/>
        </w:r>
        <w:r w:rsidR="00B55D4D">
          <w:rPr>
            <w:noProof/>
            <w:webHidden/>
          </w:rPr>
          <w:t>15</w:t>
        </w:r>
        <w:r w:rsidR="00B55D4D">
          <w:rPr>
            <w:noProof/>
            <w:webHidden/>
          </w:rPr>
          <w:fldChar w:fldCharType="end"/>
        </w:r>
      </w:hyperlink>
    </w:p>
    <w:p w:rsidR="00B55D4D" w:rsidRDefault="0027008F" w:rsidP="00B43D2E">
      <w:pPr>
        <w:pStyle w:val="TableofFigures"/>
        <w:tabs>
          <w:tab w:val="right" w:leader="dot" w:pos="9016"/>
        </w:tabs>
        <w:ind w:left="1276" w:hanging="1276"/>
        <w:rPr>
          <w:rFonts w:cstheme="minorBidi"/>
          <w:noProof/>
          <w:sz w:val="22"/>
          <w:szCs w:val="22"/>
          <w:lang w:eastAsia="en-AU"/>
        </w:rPr>
      </w:pPr>
      <w:hyperlink w:anchor="_Toc507600276" w:history="1">
        <w:r w:rsidR="00B55D4D" w:rsidRPr="00220462">
          <w:rPr>
            <w:rStyle w:val="Hyperlink"/>
            <w:noProof/>
          </w:rPr>
          <w:t xml:space="preserve">Figure 1.5: </w:t>
        </w:r>
        <w:r w:rsidR="00B43D2E">
          <w:rPr>
            <w:rStyle w:val="Hyperlink"/>
            <w:noProof/>
          </w:rPr>
          <w:tab/>
        </w:r>
        <w:r w:rsidR="00B55D4D" w:rsidRPr="00220462">
          <w:rPr>
            <w:rStyle w:val="Hyperlink"/>
            <w:noProof/>
          </w:rPr>
          <w:t>Labour force status for 18 to 30 year olds, July 2014 to December 2016</w:t>
        </w:r>
        <w:r w:rsidR="00B55D4D">
          <w:rPr>
            <w:noProof/>
            <w:webHidden/>
          </w:rPr>
          <w:tab/>
        </w:r>
        <w:r w:rsidR="00B55D4D">
          <w:rPr>
            <w:noProof/>
            <w:webHidden/>
          </w:rPr>
          <w:fldChar w:fldCharType="begin"/>
        </w:r>
        <w:r w:rsidR="00B55D4D">
          <w:rPr>
            <w:noProof/>
            <w:webHidden/>
          </w:rPr>
          <w:instrText xml:space="preserve"> PAGEREF _Toc507600276 \h </w:instrText>
        </w:r>
        <w:r w:rsidR="00B55D4D">
          <w:rPr>
            <w:noProof/>
            <w:webHidden/>
          </w:rPr>
        </w:r>
        <w:r w:rsidR="00B55D4D">
          <w:rPr>
            <w:noProof/>
            <w:webHidden/>
          </w:rPr>
          <w:fldChar w:fldCharType="separate"/>
        </w:r>
        <w:r w:rsidR="00B55D4D">
          <w:rPr>
            <w:noProof/>
            <w:webHidden/>
          </w:rPr>
          <w:t>15</w:t>
        </w:r>
        <w:r w:rsidR="00B55D4D">
          <w:rPr>
            <w:noProof/>
            <w:webHidden/>
          </w:rPr>
          <w:fldChar w:fldCharType="end"/>
        </w:r>
      </w:hyperlink>
    </w:p>
    <w:p w:rsidR="00B55D4D" w:rsidRDefault="0027008F" w:rsidP="00B43D2E">
      <w:pPr>
        <w:pStyle w:val="TableofFigures"/>
        <w:tabs>
          <w:tab w:val="right" w:leader="dot" w:pos="9016"/>
        </w:tabs>
        <w:ind w:left="1276" w:hanging="1276"/>
        <w:rPr>
          <w:rFonts w:cstheme="minorBidi"/>
          <w:noProof/>
          <w:sz w:val="22"/>
          <w:szCs w:val="22"/>
          <w:lang w:eastAsia="en-AU"/>
        </w:rPr>
      </w:pPr>
      <w:hyperlink w:anchor="_Toc507600277" w:history="1">
        <w:r w:rsidR="00B55D4D" w:rsidRPr="00220462">
          <w:rPr>
            <w:rStyle w:val="Hyperlink"/>
            <w:noProof/>
          </w:rPr>
          <w:t xml:space="preserve">Figure 3.1: </w:t>
        </w:r>
        <w:r w:rsidR="00B43D2E">
          <w:rPr>
            <w:rStyle w:val="Hyperlink"/>
            <w:noProof/>
          </w:rPr>
          <w:tab/>
        </w:r>
        <w:r w:rsidR="00B55D4D" w:rsidRPr="00220462">
          <w:rPr>
            <w:rStyle w:val="Hyperlink"/>
            <w:noProof/>
          </w:rPr>
          <w:t>Proposed communication hierarchy for reminder messages</w:t>
        </w:r>
        <w:r w:rsidR="00B55D4D">
          <w:rPr>
            <w:noProof/>
            <w:webHidden/>
          </w:rPr>
          <w:tab/>
        </w:r>
        <w:r w:rsidR="00B55D4D">
          <w:rPr>
            <w:noProof/>
            <w:webHidden/>
          </w:rPr>
          <w:fldChar w:fldCharType="begin"/>
        </w:r>
        <w:r w:rsidR="00B55D4D">
          <w:rPr>
            <w:noProof/>
            <w:webHidden/>
          </w:rPr>
          <w:instrText xml:space="preserve"> PAGEREF _Toc507600277 \h </w:instrText>
        </w:r>
        <w:r w:rsidR="00B55D4D">
          <w:rPr>
            <w:noProof/>
            <w:webHidden/>
          </w:rPr>
        </w:r>
        <w:r w:rsidR="00B55D4D">
          <w:rPr>
            <w:noProof/>
            <w:webHidden/>
          </w:rPr>
          <w:fldChar w:fldCharType="separate"/>
        </w:r>
        <w:r w:rsidR="00B55D4D">
          <w:rPr>
            <w:noProof/>
            <w:webHidden/>
          </w:rPr>
          <w:t>24</w:t>
        </w:r>
        <w:r w:rsidR="00B55D4D">
          <w:rPr>
            <w:noProof/>
            <w:webHidden/>
          </w:rPr>
          <w:fldChar w:fldCharType="end"/>
        </w:r>
      </w:hyperlink>
    </w:p>
    <w:p w:rsidR="00B55D4D" w:rsidRDefault="0027008F" w:rsidP="00B43D2E">
      <w:pPr>
        <w:pStyle w:val="TableofFigures"/>
        <w:tabs>
          <w:tab w:val="right" w:leader="dot" w:pos="9016"/>
        </w:tabs>
        <w:ind w:left="1276" w:hanging="1276"/>
        <w:rPr>
          <w:rFonts w:cstheme="minorBidi"/>
          <w:noProof/>
          <w:sz w:val="22"/>
          <w:szCs w:val="22"/>
          <w:lang w:eastAsia="en-AU"/>
        </w:rPr>
      </w:pPr>
      <w:hyperlink w:anchor="_Toc507600278" w:history="1">
        <w:r w:rsidR="00B55D4D" w:rsidRPr="00220462">
          <w:rPr>
            <w:rStyle w:val="Hyperlink"/>
            <w:noProof/>
          </w:rPr>
          <w:t xml:space="preserve">Figure 3.2: </w:t>
        </w:r>
        <w:r w:rsidR="00B43D2E">
          <w:rPr>
            <w:rStyle w:val="Hyperlink"/>
            <w:noProof/>
          </w:rPr>
          <w:tab/>
        </w:r>
        <w:r w:rsidR="00B55D4D" w:rsidRPr="00220462">
          <w:rPr>
            <w:rStyle w:val="Hyperlink"/>
            <w:noProof/>
          </w:rPr>
          <w:t>JCB claim rates, July 2014 to December 2015</w:t>
        </w:r>
        <w:r w:rsidR="00B55D4D">
          <w:rPr>
            <w:noProof/>
            <w:webHidden/>
          </w:rPr>
          <w:tab/>
        </w:r>
        <w:r w:rsidR="00B55D4D">
          <w:rPr>
            <w:noProof/>
            <w:webHidden/>
          </w:rPr>
          <w:fldChar w:fldCharType="begin"/>
        </w:r>
        <w:r w:rsidR="00B55D4D">
          <w:rPr>
            <w:noProof/>
            <w:webHidden/>
          </w:rPr>
          <w:instrText xml:space="preserve"> PAGEREF _Toc507600278 \h </w:instrText>
        </w:r>
        <w:r w:rsidR="00B55D4D">
          <w:rPr>
            <w:noProof/>
            <w:webHidden/>
          </w:rPr>
        </w:r>
        <w:r w:rsidR="00B55D4D">
          <w:rPr>
            <w:noProof/>
            <w:webHidden/>
          </w:rPr>
          <w:fldChar w:fldCharType="separate"/>
        </w:r>
        <w:r w:rsidR="00B55D4D">
          <w:rPr>
            <w:noProof/>
            <w:webHidden/>
          </w:rPr>
          <w:t>32</w:t>
        </w:r>
        <w:r w:rsidR="00B55D4D">
          <w:rPr>
            <w:noProof/>
            <w:webHidden/>
          </w:rPr>
          <w:fldChar w:fldCharType="end"/>
        </w:r>
      </w:hyperlink>
    </w:p>
    <w:p w:rsidR="00B55D4D" w:rsidRDefault="0027008F" w:rsidP="00B43D2E">
      <w:pPr>
        <w:pStyle w:val="TableofFigures"/>
        <w:tabs>
          <w:tab w:val="right" w:leader="dot" w:pos="9016"/>
        </w:tabs>
        <w:ind w:left="1276" w:hanging="1276"/>
        <w:rPr>
          <w:rFonts w:cstheme="minorBidi"/>
          <w:noProof/>
          <w:sz w:val="22"/>
          <w:szCs w:val="22"/>
          <w:lang w:eastAsia="en-AU"/>
        </w:rPr>
      </w:pPr>
      <w:hyperlink w:anchor="_Toc507600279" w:history="1">
        <w:r w:rsidR="00B55D4D" w:rsidRPr="00220462">
          <w:rPr>
            <w:rStyle w:val="Hyperlink"/>
            <w:noProof/>
          </w:rPr>
          <w:t xml:space="preserve">Figure 3.3: </w:t>
        </w:r>
        <w:r w:rsidR="00B43D2E">
          <w:rPr>
            <w:rStyle w:val="Hyperlink"/>
            <w:noProof/>
          </w:rPr>
          <w:tab/>
        </w:r>
        <w:r w:rsidR="00B55D4D" w:rsidRPr="00220462">
          <w:rPr>
            <w:rStyle w:val="Hyperlink"/>
            <w:noProof/>
          </w:rPr>
          <w:t>JCB claim rates by highest level of education</w:t>
        </w:r>
        <w:r w:rsidR="00B55D4D">
          <w:rPr>
            <w:noProof/>
            <w:webHidden/>
          </w:rPr>
          <w:tab/>
        </w:r>
        <w:r w:rsidR="00B55D4D">
          <w:rPr>
            <w:noProof/>
            <w:webHidden/>
          </w:rPr>
          <w:fldChar w:fldCharType="begin"/>
        </w:r>
        <w:r w:rsidR="00B55D4D">
          <w:rPr>
            <w:noProof/>
            <w:webHidden/>
          </w:rPr>
          <w:instrText xml:space="preserve"> PAGEREF _Toc507600279 \h </w:instrText>
        </w:r>
        <w:r w:rsidR="00B55D4D">
          <w:rPr>
            <w:noProof/>
            <w:webHidden/>
          </w:rPr>
        </w:r>
        <w:r w:rsidR="00B55D4D">
          <w:rPr>
            <w:noProof/>
            <w:webHidden/>
          </w:rPr>
          <w:fldChar w:fldCharType="separate"/>
        </w:r>
        <w:r w:rsidR="00B55D4D">
          <w:rPr>
            <w:noProof/>
            <w:webHidden/>
          </w:rPr>
          <w:t>36</w:t>
        </w:r>
        <w:r w:rsidR="00B55D4D">
          <w:rPr>
            <w:noProof/>
            <w:webHidden/>
          </w:rPr>
          <w:fldChar w:fldCharType="end"/>
        </w:r>
      </w:hyperlink>
    </w:p>
    <w:p w:rsidR="00B55D4D" w:rsidRDefault="0027008F" w:rsidP="00B43D2E">
      <w:pPr>
        <w:pStyle w:val="TableofFigures"/>
        <w:tabs>
          <w:tab w:val="right" w:leader="dot" w:pos="9016"/>
        </w:tabs>
        <w:ind w:left="1276" w:hanging="1276"/>
        <w:rPr>
          <w:rFonts w:cstheme="minorBidi"/>
          <w:noProof/>
          <w:sz w:val="22"/>
          <w:szCs w:val="22"/>
          <w:lang w:eastAsia="en-AU"/>
        </w:rPr>
      </w:pPr>
      <w:hyperlink w:anchor="_Toc507600280" w:history="1">
        <w:r w:rsidR="00B55D4D" w:rsidRPr="00220462">
          <w:rPr>
            <w:rStyle w:val="Hyperlink"/>
            <w:noProof/>
          </w:rPr>
          <w:t xml:space="preserve">Figure 3.4: </w:t>
        </w:r>
        <w:r w:rsidR="00B43D2E">
          <w:rPr>
            <w:rStyle w:val="Hyperlink"/>
            <w:noProof/>
          </w:rPr>
          <w:tab/>
        </w:r>
        <w:r w:rsidR="00B55D4D" w:rsidRPr="00220462">
          <w:rPr>
            <w:rStyle w:val="Hyperlink"/>
            <w:noProof/>
          </w:rPr>
          <w:t>JCB claim rates by selected characteristics (per cent)</w:t>
        </w:r>
        <w:r w:rsidR="00B55D4D">
          <w:rPr>
            <w:noProof/>
            <w:webHidden/>
          </w:rPr>
          <w:tab/>
        </w:r>
        <w:r w:rsidR="00B55D4D">
          <w:rPr>
            <w:noProof/>
            <w:webHidden/>
          </w:rPr>
          <w:fldChar w:fldCharType="begin"/>
        </w:r>
        <w:r w:rsidR="00B55D4D">
          <w:rPr>
            <w:noProof/>
            <w:webHidden/>
          </w:rPr>
          <w:instrText xml:space="preserve"> PAGEREF _Toc507600280 \h </w:instrText>
        </w:r>
        <w:r w:rsidR="00B55D4D">
          <w:rPr>
            <w:noProof/>
            <w:webHidden/>
          </w:rPr>
        </w:r>
        <w:r w:rsidR="00B55D4D">
          <w:rPr>
            <w:noProof/>
            <w:webHidden/>
          </w:rPr>
          <w:fldChar w:fldCharType="separate"/>
        </w:r>
        <w:r w:rsidR="00B55D4D">
          <w:rPr>
            <w:noProof/>
            <w:webHidden/>
          </w:rPr>
          <w:t>37</w:t>
        </w:r>
        <w:r w:rsidR="00B55D4D">
          <w:rPr>
            <w:noProof/>
            <w:webHidden/>
          </w:rPr>
          <w:fldChar w:fldCharType="end"/>
        </w:r>
      </w:hyperlink>
    </w:p>
    <w:p w:rsidR="00B55D4D" w:rsidRDefault="0027008F" w:rsidP="00B43D2E">
      <w:pPr>
        <w:pStyle w:val="TableofFigures"/>
        <w:tabs>
          <w:tab w:val="right" w:leader="dot" w:pos="9016"/>
        </w:tabs>
        <w:ind w:left="1276" w:hanging="1276"/>
        <w:rPr>
          <w:rFonts w:cstheme="minorBidi"/>
          <w:noProof/>
          <w:sz w:val="22"/>
          <w:szCs w:val="22"/>
          <w:lang w:eastAsia="en-AU"/>
        </w:rPr>
      </w:pPr>
      <w:hyperlink w:anchor="_Toc507600281" w:history="1">
        <w:r w:rsidR="00B55D4D" w:rsidRPr="00220462">
          <w:rPr>
            <w:rStyle w:val="Hyperlink"/>
            <w:noProof/>
          </w:rPr>
          <w:t xml:space="preserve">Figure 3.5: </w:t>
        </w:r>
        <w:r w:rsidR="00B43D2E">
          <w:rPr>
            <w:rStyle w:val="Hyperlink"/>
            <w:noProof/>
          </w:rPr>
          <w:tab/>
        </w:r>
        <w:r w:rsidR="00B55D4D" w:rsidRPr="00220462">
          <w:rPr>
            <w:rStyle w:val="Hyperlink"/>
            <w:noProof/>
          </w:rPr>
          <w:t>Proportion of employees with paid leave entitlements, 18 to 30 year olds</w:t>
        </w:r>
        <w:r w:rsidR="00B55D4D">
          <w:rPr>
            <w:noProof/>
            <w:webHidden/>
          </w:rPr>
          <w:tab/>
        </w:r>
        <w:r w:rsidR="00B55D4D">
          <w:rPr>
            <w:noProof/>
            <w:webHidden/>
          </w:rPr>
          <w:fldChar w:fldCharType="begin"/>
        </w:r>
        <w:r w:rsidR="00B55D4D">
          <w:rPr>
            <w:noProof/>
            <w:webHidden/>
          </w:rPr>
          <w:instrText xml:space="preserve"> PAGEREF _Toc507600281 \h </w:instrText>
        </w:r>
        <w:r w:rsidR="00B55D4D">
          <w:rPr>
            <w:noProof/>
            <w:webHidden/>
          </w:rPr>
        </w:r>
        <w:r w:rsidR="00B55D4D">
          <w:rPr>
            <w:noProof/>
            <w:webHidden/>
          </w:rPr>
          <w:fldChar w:fldCharType="separate"/>
        </w:r>
        <w:r w:rsidR="00B55D4D">
          <w:rPr>
            <w:noProof/>
            <w:webHidden/>
          </w:rPr>
          <w:t>51</w:t>
        </w:r>
        <w:r w:rsidR="00B55D4D">
          <w:rPr>
            <w:noProof/>
            <w:webHidden/>
          </w:rPr>
          <w:fldChar w:fldCharType="end"/>
        </w:r>
      </w:hyperlink>
    </w:p>
    <w:p w:rsidR="00B55D4D" w:rsidRDefault="0027008F" w:rsidP="00B43D2E">
      <w:pPr>
        <w:pStyle w:val="TableofFigures"/>
        <w:tabs>
          <w:tab w:val="right" w:leader="dot" w:pos="9016"/>
        </w:tabs>
        <w:ind w:left="1276" w:hanging="1276"/>
        <w:rPr>
          <w:rFonts w:cstheme="minorBidi"/>
          <w:noProof/>
          <w:sz w:val="22"/>
          <w:szCs w:val="22"/>
          <w:lang w:eastAsia="en-AU"/>
        </w:rPr>
      </w:pPr>
      <w:hyperlink w:anchor="_Toc507600282" w:history="1">
        <w:r w:rsidR="00B55D4D" w:rsidRPr="00220462">
          <w:rPr>
            <w:rStyle w:val="Hyperlink"/>
            <w:noProof/>
          </w:rPr>
          <w:t xml:space="preserve">Figure 4.1: </w:t>
        </w:r>
        <w:r w:rsidR="00B43D2E">
          <w:rPr>
            <w:rStyle w:val="Hyperlink"/>
            <w:noProof/>
          </w:rPr>
          <w:tab/>
        </w:r>
        <w:r w:rsidR="00B55D4D" w:rsidRPr="00220462">
          <w:rPr>
            <w:rStyle w:val="Hyperlink"/>
            <w:noProof/>
          </w:rPr>
          <w:t>Extent to which providers thought the Job Commitment Bonus motivated job seekers</w:t>
        </w:r>
        <w:r w:rsidR="00B55D4D">
          <w:rPr>
            <w:noProof/>
            <w:webHidden/>
          </w:rPr>
          <w:tab/>
        </w:r>
        <w:r w:rsidR="00B55D4D">
          <w:rPr>
            <w:noProof/>
            <w:webHidden/>
          </w:rPr>
          <w:fldChar w:fldCharType="begin"/>
        </w:r>
        <w:r w:rsidR="00B55D4D">
          <w:rPr>
            <w:noProof/>
            <w:webHidden/>
          </w:rPr>
          <w:instrText xml:space="preserve"> PAGEREF _Toc507600282 \h </w:instrText>
        </w:r>
        <w:r w:rsidR="00B55D4D">
          <w:rPr>
            <w:noProof/>
            <w:webHidden/>
          </w:rPr>
        </w:r>
        <w:r w:rsidR="00B55D4D">
          <w:rPr>
            <w:noProof/>
            <w:webHidden/>
          </w:rPr>
          <w:fldChar w:fldCharType="separate"/>
        </w:r>
        <w:r w:rsidR="00B55D4D">
          <w:rPr>
            <w:noProof/>
            <w:webHidden/>
          </w:rPr>
          <w:t>57</w:t>
        </w:r>
        <w:r w:rsidR="00B55D4D">
          <w:rPr>
            <w:noProof/>
            <w:webHidden/>
          </w:rPr>
          <w:fldChar w:fldCharType="end"/>
        </w:r>
      </w:hyperlink>
    </w:p>
    <w:p w:rsidR="00B55D4D" w:rsidRDefault="0027008F" w:rsidP="00B43D2E">
      <w:pPr>
        <w:pStyle w:val="TableofFigures"/>
        <w:tabs>
          <w:tab w:val="right" w:leader="dot" w:pos="9016"/>
        </w:tabs>
        <w:ind w:left="1276" w:hanging="1276"/>
        <w:rPr>
          <w:rFonts w:cstheme="minorBidi"/>
          <w:noProof/>
          <w:sz w:val="22"/>
          <w:szCs w:val="22"/>
          <w:lang w:eastAsia="en-AU"/>
        </w:rPr>
      </w:pPr>
      <w:hyperlink w:anchor="_Toc507600283" w:history="1">
        <w:r w:rsidR="00B55D4D" w:rsidRPr="00220462">
          <w:rPr>
            <w:rStyle w:val="Hyperlink"/>
            <w:noProof/>
          </w:rPr>
          <w:t xml:space="preserve">Figure 4.2: </w:t>
        </w:r>
        <w:r w:rsidR="00B43D2E">
          <w:rPr>
            <w:rStyle w:val="Hyperlink"/>
            <w:noProof/>
          </w:rPr>
          <w:tab/>
        </w:r>
        <w:r w:rsidR="00B55D4D" w:rsidRPr="00220462">
          <w:rPr>
            <w:rStyle w:val="Hyperlink"/>
            <w:noProof/>
          </w:rPr>
          <w:t>Job seeker views of the potential effect of a bonus on job search behaviour (per cent)</w:t>
        </w:r>
        <w:r w:rsidR="00B55D4D">
          <w:rPr>
            <w:noProof/>
            <w:webHidden/>
          </w:rPr>
          <w:tab/>
        </w:r>
        <w:r w:rsidR="00B55D4D">
          <w:rPr>
            <w:noProof/>
            <w:webHidden/>
          </w:rPr>
          <w:fldChar w:fldCharType="begin"/>
        </w:r>
        <w:r w:rsidR="00B55D4D">
          <w:rPr>
            <w:noProof/>
            <w:webHidden/>
          </w:rPr>
          <w:instrText xml:space="preserve"> PAGEREF _Toc507600283 \h </w:instrText>
        </w:r>
        <w:r w:rsidR="00B55D4D">
          <w:rPr>
            <w:noProof/>
            <w:webHidden/>
          </w:rPr>
        </w:r>
        <w:r w:rsidR="00B55D4D">
          <w:rPr>
            <w:noProof/>
            <w:webHidden/>
          </w:rPr>
          <w:fldChar w:fldCharType="separate"/>
        </w:r>
        <w:r w:rsidR="00B55D4D">
          <w:rPr>
            <w:noProof/>
            <w:webHidden/>
          </w:rPr>
          <w:t>58</w:t>
        </w:r>
        <w:r w:rsidR="00B55D4D">
          <w:rPr>
            <w:noProof/>
            <w:webHidden/>
          </w:rPr>
          <w:fldChar w:fldCharType="end"/>
        </w:r>
      </w:hyperlink>
    </w:p>
    <w:p w:rsidR="00B55D4D" w:rsidRDefault="0027008F" w:rsidP="00B43D2E">
      <w:pPr>
        <w:pStyle w:val="TableofFigures"/>
        <w:tabs>
          <w:tab w:val="right" w:leader="dot" w:pos="9016"/>
        </w:tabs>
        <w:ind w:left="1276" w:hanging="1276"/>
        <w:rPr>
          <w:rFonts w:cstheme="minorBidi"/>
          <w:noProof/>
          <w:sz w:val="22"/>
          <w:szCs w:val="22"/>
          <w:lang w:eastAsia="en-AU"/>
        </w:rPr>
      </w:pPr>
      <w:hyperlink w:anchor="_Toc507600284" w:history="1">
        <w:r w:rsidR="00B55D4D" w:rsidRPr="00220462">
          <w:rPr>
            <w:rStyle w:val="Hyperlink"/>
            <w:noProof/>
          </w:rPr>
          <w:t xml:space="preserve">Figure 4.3: </w:t>
        </w:r>
        <w:r w:rsidR="00B43D2E">
          <w:rPr>
            <w:rStyle w:val="Hyperlink"/>
            <w:noProof/>
          </w:rPr>
          <w:tab/>
        </w:r>
        <w:r w:rsidR="00B55D4D" w:rsidRPr="00220462">
          <w:rPr>
            <w:rStyle w:val="Hyperlink"/>
            <w:noProof/>
          </w:rPr>
          <w:t xml:space="preserve">Attitudes to work of those who stated a bonus would affect their job search behaviour </w:t>
        </w:r>
        <w:r w:rsidR="00B43D2E">
          <w:rPr>
            <w:rStyle w:val="Hyperlink"/>
            <w:noProof/>
          </w:rPr>
          <w:br/>
        </w:r>
        <w:r w:rsidR="00B55D4D" w:rsidRPr="00220462">
          <w:rPr>
            <w:rStyle w:val="Hyperlink"/>
            <w:noProof/>
          </w:rPr>
          <w:t>(per cent)</w:t>
        </w:r>
        <w:r w:rsidR="00B55D4D">
          <w:rPr>
            <w:noProof/>
            <w:webHidden/>
          </w:rPr>
          <w:tab/>
        </w:r>
        <w:r w:rsidR="00B55D4D">
          <w:rPr>
            <w:noProof/>
            <w:webHidden/>
          </w:rPr>
          <w:fldChar w:fldCharType="begin"/>
        </w:r>
        <w:r w:rsidR="00B55D4D">
          <w:rPr>
            <w:noProof/>
            <w:webHidden/>
          </w:rPr>
          <w:instrText xml:space="preserve"> PAGEREF _Toc507600284 \h </w:instrText>
        </w:r>
        <w:r w:rsidR="00B55D4D">
          <w:rPr>
            <w:noProof/>
            <w:webHidden/>
          </w:rPr>
        </w:r>
        <w:r w:rsidR="00B55D4D">
          <w:rPr>
            <w:noProof/>
            <w:webHidden/>
          </w:rPr>
          <w:fldChar w:fldCharType="separate"/>
        </w:r>
        <w:r w:rsidR="00B55D4D">
          <w:rPr>
            <w:noProof/>
            <w:webHidden/>
          </w:rPr>
          <w:t>59</w:t>
        </w:r>
        <w:r w:rsidR="00B55D4D">
          <w:rPr>
            <w:noProof/>
            <w:webHidden/>
          </w:rPr>
          <w:fldChar w:fldCharType="end"/>
        </w:r>
      </w:hyperlink>
    </w:p>
    <w:p w:rsidR="00B55D4D" w:rsidRDefault="0027008F" w:rsidP="00B43D2E">
      <w:pPr>
        <w:pStyle w:val="TableofFigures"/>
        <w:tabs>
          <w:tab w:val="right" w:leader="dot" w:pos="9016"/>
        </w:tabs>
        <w:ind w:left="1276" w:hanging="1276"/>
        <w:rPr>
          <w:rFonts w:cstheme="minorBidi"/>
          <w:noProof/>
          <w:sz w:val="22"/>
          <w:szCs w:val="22"/>
          <w:lang w:eastAsia="en-AU"/>
        </w:rPr>
      </w:pPr>
      <w:hyperlink w:anchor="_Toc507600285" w:history="1">
        <w:r w:rsidR="00B55D4D" w:rsidRPr="00220462">
          <w:rPr>
            <w:rStyle w:val="Hyperlink"/>
            <w:noProof/>
          </w:rPr>
          <w:t xml:space="preserve">Figure 4.4: </w:t>
        </w:r>
        <w:r w:rsidR="00B43D2E">
          <w:rPr>
            <w:rStyle w:val="Hyperlink"/>
            <w:noProof/>
          </w:rPr>
          <w:tab/>
        </w:r>
        <w:r w:rsidR="00B55D4D" w:rsidRPr="00220462">
          <w:rPr>
            <w:rStyle w:val="Hyperlink"/>
            <w:noProof/>
          </w:rPr>
          <w:t>Discounted future value placed on the bonus</w:t>
        </w:r>
        <w:r w:rsidR="00B55D4D">
          <w:rPr>
            <w:noProof/>
            <w:webHidden/>
          </w:rPr>
          <w:tab/>
        </w:r>
        <w:r w:rsidR="00B55D4D">
          <w:rPr>
            <w:noProof/>
            <w:webHidden/>
          </w:rPr>
          <w:fldChar w:fldCharType="begin"/>
        </w:r>
        <w:r w:rsidR="00B55D4D">
          <w:rPr>
            <w:noProof/>
            <w:webHidden/>
          </w:rPr>
          <w:instrText xml:space="preserve"> PAGEREF _Toc507600285 \h </w:instrText>
        </w:r>
        <w:r w:rsidR="00B55D4D">
          <w:rPr>
            <w:noProof/>
            <w:webHidden/>
          </w:rPr>
        </w:r>
        <w:r w:rsidR="00B55D4D">
          <w:rPr>
            <w:noProof/>
            <w:webHidden/>
          </w:rPr>
          <w:fldChar w:fldCharType="separate"/>
        </w:r>
        <w:r w:rsidR="00B55D4D">
          <w:rPr>
            <w:noProof/>
            <w:webHidden/>
          </w:rPr>
          <w:t>62</w:t>
        </w:r>
        <w:r w:rsidR="00B55D4D">
          <w:rPr>
            <w:noProof/>
            <w:webHidden/>
          </w:rPr>
          <w:fldChar w:fldCharType="end"/>
        </w:r>
      </w:hyperlink>
    </w:p>
    <w:p w:rsidR="00B55D4D" w:rsidRDefault="0027008F" w:rsidP="00B43D2E">
      <w:pPr>
        <w:pStyle w:val="TableofFigures"/>
        <w:tabs>
          <w:tab w:val="right" w:leader="dot" w:pos="9016"/>
        </w:tabs>
        <w:ind w:left="1276" w:hanging="1276"/>
        <w:rPr>
          <w:rFonts w:cstheme="minorBidi"/>
          <w:noProof/>
          <w:sz w:val="22"/>
          <w:szCs w:val="22"/>
          <w:lang w:eastAsia="en-AU"/>
        </w:rPr>
      </w:pPr>
      <w:hyperlink w:anchor="_Toc507600286" w:history="1">
        <w:r w:rsidR="00B55D4D" w:rsidRPr="00220462">
          <w:rPr>
            <w:rStyle w:val="Hyperlink"/>
            <w:noProof/>
          </w:rPr>
          <w:t xml:space="preserve">Figure 4.5: </w:t>
        </w:r>
        <w:r w:rsidR="00B43D2E">
          <w:rPr>
            <w:rStyle w:val="Hyperlink"/>
            <w:noProof/>
          </w:rPr>
          <w:tab/>
        </w:r>
        <w:r w:rsidR="00B55D4D" w:rsidRPr="00220462">
          <w:rPr>
            <w:rStyle w:val="Hyperlink"/>
            <w:noProof/>
          </w:rPr>
          <w:t>Reported impact of JCB on job seeker behaviour</w:t>
        </w:r>
        <w:r w:rsidR="00B55D4D">
          <w:rPr>
            <w:noProof/>
            <w:webHidden/>
          </w:rPr>
          <w:tab/>
        </w:r>
        <w:r w:rsidR="00B55D4D">
          <w:rPr>
            <w:noProof/>
            <w:webHidden/>
          </w:rPr>
          <w:fldChar w:fldCharType="begin"/>
        </w:r>
        <w:r w:rsidR="00B55D4D">
          <w:rPr>
            <w:noProof/>
            <w:webHidden/>
          </w:rPr>
          <w:instrText xml:space="preserve"> PAGEREF _Toc507600286 \h </w:instrText>
        </w:r>
        <w:r w:rsidR="00B55D4D">
          <w:rPr>
            <w:noProof/>
            <w:webHidden/>
          </w:rPr>
        </w:r>
        <w:r w:rsidR="00B55D4D">
          <w:rPr>
            <w:noProof/>
            <w:webHidden/>
          </w:rPr>
          <w:fldChar w:fldCharType="separate"/>
        </w:r>
        <w:r w:rsidR="00B55D4D">
          <w:rPr>
            <w:noProof/>
            <w:webHidden/>
          </w:rPr>
          <w:t>64</w:t>
        </w:r>
        <w:r w:rsidR="00B55D4D">
          <w:rPr>
            <w:noProof/>
            <w:webHidden/>
          </w:rPr>
          <w:fldChar w:fldCharType="end"/>
        </w:r>
      </w:hyperlink>
    </w:p>
    <w:p w:rsidR="00B55D4D" w:rsidRDefault="0027008F" w:rsidP="00B43D2E">
      <w:pPr>
        <w:pStyle w:val="TableofFigures"/>
        <w:tabs>
          <w:tab w:val="right" w:leader="dot" w:pos="9016"/>
        </w:tabs>
        <w:ind w:left="1276" w:hanging="1276"/>
        <w:rPr>
          <w:rFonts w:cstheme="minorBidi"/>
          <w:noProof/>
          <w:sz w:val="22"/>
          <w:szCs w:val="22"/>
          <w:lang w:eastAsia="en-AU"/>
        </w:rPr>
      </w:pPr>
      <w:hyperlink w:anchor="_Toc507600287" w:history="1">
        <w:r w:rsidR="00B55D4D" w:rsidRPr="00220462">
          <w:rPr>
            <w:rStyle w:val="Hyperlink"/>
            <w:noProof/>
          </w:rPr>
          <w:t xml:space="preserve">Figure 4.6: </w:t>
        </w:r>
        <w:r w:rsidR="00B43D2E">
          <w:rPr>
            <w:rStyle w:val="Hyperlink"/>
            <w:noProof/>
          </w:rPr>
          <w:tab/>
        </w:r>
        <w:r w:rsidR="00B55D4D" w:rsidRPr="00220462">
          <w:rPr>
            <w:rStyle w:val="Hyperlink"/>
            <w:noProof/>
          </w:rPr>
          <w:t>Preferred bonus payment frequency</w:t>
        </w:r>
        <w:r w:rsidR="00B55D4D">
          <w:rPr>
            <w:noProof/>
            <w:webHidden/>
          </w:rPr>
          <w:tab/>
        </w:r>
        <w:r w:rsidR="00B55D4D">
          <w:rPr>
            <w:noProof/>
            <w:webHidden/>
          </w:rPr>
          <w:fldChar w:fldCharType="begin"/>
        </w:r>
        <w:r w:rsidR="00B55D4D">
          <w:rPr>
            <w:noProof/>
            <w:webHidden/>
          </w:rPr>
          <w:instrText xml:space="preserve"> PAGEREF _Toc507600287 \h </w:instrText>
        </w:r>
        <w:r w:rsidR="00B55D4D">
          <w:rPr>
            <w:noProof/>
            <w:webHidden/>
          </w:rPr>
        </w:r>
        <w:r w:rsidR="00B55D4D">
          <w:rPr>
            <w:noProof/>
            <w:webHidden/>
          </w:rPr>
          <w:fldChar w:fldCharType="separate"/>
        </w:r>
        <w:r w:rsidR="00B55D4D">
          <w:rPr>
            <w:noProof/>
            <w:webHidden/>
          </w:rPr>
          <w:t>66</w:t>
        </w:r>
        <w:r w:rsidR="00B55D4D">
          <w:rPr>
            <w:noProof/>
            <w:webHidden/>
          </w:rPr>
          <w:fldChar w:fldCharType="end"/>
        </w:r>
      </w:hyperlink>
    </w:p>
    <w:p w:rsidR="00B55D4D" w:rsidRDefault="0027008F" w:rsidP="00B43D2E">
      <w:pPr>
        <w:pStyle w:val="TableofFigures"/>
        <w:tabs>
          <w:tab w:val="right" w:leader="dot" w:pos="9016"/>
        </w:tabs>
        <w:ind w:left="1276" w:hanging="1276"/>
        <w:rPr>
          <w:rFonts w:cstheme="minorBidi"/>
          <w:noProof/>
          <w:sz w:val="22"/>
          <w:szCs w:val="22"/>
          <w:lang w:eastAsia="en-AU"/>
        </w:rPr>
      </w:pPr>
      <w:hyperlink w:anchor="_Toc507600288" w:history="1">
        <w:r w:rsidR="00B55D4D" w:rsidRPr="00220462">
          <w:rPr>
            <w:rStyle w:val="Hyperlink"/>
            <w:noProof/>
          </w:rPr>
          <w:t>Figure 4.7:</w:t>
        </w:r>
        <w:r w:rsidR="00B43D2E">
          <w:rPr>
            <w:rStyle w:val="Hyperlink"/>
            <w:noProof/>
          </w:rPr>
          <w:tab/>
        </w:r>
        <w:r w:rsidR="00B55D4D" w:rsidRPr="00220462">
          <w:rPr>
            <w:rStyle w:val="Hyperlink"/>
            <w:noProof/>
          </w:rPr>
          <w:t xml:space="preserve">Employment outcomes for those aged 18 to 30 years who had been on either NSA or YA(O) </w:t>
        </w:r>
        <w:r w:rsidR="00B43D2E">
          <w:rPr>
            <w:rStyle w:val="Hyperlink"/>
            <w:noProof/>
          </w:rPr>
          <w:br/>
        </w:r>
        <w:r w:rsidR="00B55D4D" w:rsidRPr="00220462">
          <w:rPr>
            <w:rStyle w:val="Hyperlink"/>
            <w:noProof/>
          </w:rPr>
          <w:t>and unemployed 12 months or longer</w:t>
        </w:r>
        <w:r w:rsidR="00B55D4D">
          <w:rPr>
            <w:noProof/>
            <w:webHidden/>
          </w:rPr>
          <w:tab/>
        </w:r>
        <w:r w:rsidR="00B55D4D">
          <w:rPr>
            <w:noProof/>
            <w:webHidden/>
          </w:rPr>
          <w:fldChar w:fldCharType="begin"/>
        </w:r>
        <w:r w:rsidR="00B55D4D">
          <w:rPr>
            <w:noProof/>
            <w:webHidden/>
          </w:rPr>
          <w:instrText xml:space="preserve"> PAGEREF _Toc507600288 \h </w:instrText>
        </w:r>
        <w:r w:rsidR="00B55D4D">
          <w:rPr>
            <w:noProof/>
            <w:webHidden/>
          </w:rPr>
        </w:r>
        <w:r w:rsidR="00B55D4D">
          <w:rPr>
            <w:noProof/>
            <w:webHidden/>
          </w:rPr>
          <w:fldChar w:fldCharType="separate"/>
        </w:r>
        <w:r w:rsidR="00B55D4D">
          <w:rPr>
            <w:noProof/>
            <w:webHidden/>
          </w:rPr>
          <w:t>69</w:t>
        </w:r>
        <w:r w:rsidR="00B55D4D">
          <w:rPr>
            <w:noProof/>
            <w:webHidden/>
          </w:rPr>
          <w:fldChar w:fldCharType="end"/>
        </w:r>
      </w:hyperlink>
    </w:p>
    <w:p w:rsidR="00B55D4D" w:rsidRDefault="0027008F" w:rsidP="00B43D2E">
      <w:pPr>
        <w:pStyle w:val="TableofFigures"/>
        <w:tabs>
          <w:tab w:val="right" w:leader="dot" w:pos="9016"/>
        </w:tabs>
        <w:ind w:left="1276" w:hanging="1276"/>
        <w:rPr>
          <w:rFonts w:cstheme="minorBidi"/>
          <w:noProof/>
          <w:sz w:val="22"/>
          <w:szCs w:val="22"/>
          <w:lang w:eastAsia="en-AU"/>
        </w:rPr>
      </w:pPr>
      <w:hyperlink w:anchor="_Toc507600289" w:history="1">
        <w:r w:rsidR="00B55D4D" w:rsidRPr="00220462">
          <w:rPr>
            <w:rStyle w:val="Hyperlink"/>
            <w:noProof/>
          </w:rPr>
          <w:t xml:space="preserve">Figure 4.8: </w:t>
        </w:r>
        <w:r w:rsidR="00B43D2E">
          <w:rPr>
            <w:rStyle w:val="Hyperlink"/>
            <w:noProof/>
          </w:rPr>
          <w:tab/>
        </w:r>
        <w:r w:rsidR="00B55D4D" w:rsidRPr="00220462">
          <w:rPr>
            <w:rStyle w:val="Hyperlink"/>
            <w:noProof/>
          </w:rPr>
          <w:t xml:space="preserve">Average number of days to exit income support after becoming LTU, modelled at the </w:t>
        </w:r>
        <w:r w:rsidR="00B43D2E">
          <w:rPr>
            <w:rStyle w:val="Hyperlink"/>
            <w:noProof/>
          </w:rPr>
          <w:br/>
        </w:r>
        <w:r w:rsidR="00B55D4D" w:rsidRPr="00220462">
          <w:rPr>
            <w:rStyle w:val="Hyperlink"/>
            <w:noProof/>
          </w:rPr>
          <w:t>higher end of the JCB age range (days)</w:t>
        </w:r>
        <w:r w:rsidR="00B55D4D">
          <w:rPr>
            <w:noProof/>
            <w:webHidden/>
          </w:rPr>
          <w:tab/>
        </w:r>
        <w:r w:rsidR="00B55D4D">
          <w:rPr>
            <w:noProof/>
            <w:webHidden/>
          </w:rPr>
          <w:fldChar w:fldCharType="begin"/>
        </w:r>
        <w:r w:rsidR="00B55D4D">
          <w:rPr>
            <w:noProof/>
            <w:webHidden/>
          </w:rPr>
          <w:instrText xml:space="preserve"> PAGEREF _Toc507600289 \h </w:instrText>
        </w:r>
        <w:r w:rsidR="00B55D4D">
          <w:rPr>
            <w:noProof/>
            <w:webHidden/>
          </w:rPr>
        </w:r>
        <w:r w:rsidR="00B55D4D">
          <w:rPr>
            <w:noProof/>
            <w:webHidden/>
          </w:rPr>
          <w:fldChar w:fldCharType="separate"/>
        </w:r>
        <w:r w:rsidR="00B55D4D">
          <w:rPr>
            <w:noProof/>
            <w:webHidden/>
          </w:rPr>
          <w:t>71</w:t>
        </w:r>
        <w:r w:rsidR="00B55D4D">
          <w:rPr>
            <w:noProof/>
            <w:webHidden/>
          </w:rPr>
          <w:fldChar w:fldCharType="end"/>
        </w:r>
      </w:hyperlink>
    </w:p>
    <w:p w:rsidR="00B55D4D" w:rsidRDefault="0027008F" w:rsidP="00B43D2E">
      <w:pPr>
        <w:pStyle w:val="TableofFigures"/>
        <w:tabs>
          <w:tab w:val="right" w:leader="dot" w:pos="9016"/>
        </w:tabs>
        <w:ind w:left="1276" w:hanging="1276"/>
        <w:rPr>
          <w:rFonts w:cstheme="minorBidi"/>
          <w:noProof/>
          <w:sz w:val="22"/>
          <w:szCs w:val="22"/>
          <w:lang w:eastAsia="en-AU"/>
        </w:rPr>
      </w:pPr>
      <w:hyperlink w:anchor="_Toc507600290" w:history="1">
        <w:r w:rsidR="00B55D4D" w:rsidRPr="00220462">
          <w:rPr>
            <w:rStyle w:val="Hyperlink"/>
            <w:noProof/>
          </w:rPr>
          <w:t xml:space="preserve">Figure 4.9: </w:t>
        </w:r>
        <w:r w:rsidR="00B43D2E">
          <w:rPr>
            <w:rStyle w:val="Hyperlink"/>
            <w:noProof/>
          </w:rPr>
          <w:tab/>
        </w:r>
        <w:r w:rsidR="00B55D4D" w:rsidRPr="00220462">
          <w:rPr>
            <w:rStyle w:val="Hyperlink"/>
            <w:noProof/>
          </w:rPr>
          <w:t>Job seeker views of the potential effect of a bonus on the type of jobs they were willing to apply for or accept (per cent)</w:t>
        </w:r>
        <w:r w:rsidR="00B55D4D">
          <w:rPr>
            <w:noProof/>
            <w:webHidden/>
          </w:rPr>
          <w:tab/>
        </w:r>
        <w:r w:rsidR="00B55D4D">
          <w:rPr>
            <w:noProof/>
            <w:webHidden/>
          </w:rPr>
          <w:fldChar w:fldCharType="begin"/>
        </w:r>
        <w:r w:rsidR="00B55D4D">
          <w:rPr>
            <w:noProof/>
            <w:webHidden/>
          </w:rPr>
          <w:instrText xml:space="preserve"> PAGEREF _Toc507600290 \h </w:instrText>
        </w:r>
        <w:r w:rsidR="00B55D4D">
          <w:rPr>
            <w:noProof/>
            <w:webHidden/>
          </w:rPr>
        </w:r>
        <w:r w:rsidR="00B55D4D">
          <w:rPr>
            <w:noProof/>
            <w:webHidden/>
          </w:rPr>
          <w:fldChar w:fldCharType="separate"/>
        </w:r>
        <w:r w:rsidR="00B55D4D">
          <w:rPr>
            <w:noProof/>
            <w:webHidden/>
          </w:rPr>
          <w:t>73</w:t>
        </w:r>
        <w:r w:rsidR="00B55D4D">
          <w:rPr>
            <w:noProof/>
            <w:webHidden/>
          </w:rPr>
          <w:fldChar w:fldCharType="end"/>
        </w:r>
      </w:hyperlink>
    </w:p>
    <w:p w:rsidR="00B55D4D" w:rsidRDefault="0027008F" w:rsidP="00B43D2E">
      <w:pPr>
        <w:pStyle w:val="TableofFigures"/>
        <w:tabs>
          <w:tab w:val="right" w:leader="dot" w:pos="9016"/>
        </w:tabs>
        <w:ind w:left="1276" w:hanging="1276"/>
        <w:rPr>
          <w:rFonts w:cstheme="minorBidi"/>
          <w:noProof/>
          <w:sz w:val="22"/>
          <w:szCs w:val="22"/>
          <w:lang w:eastAsia="en-AU"/>
        </w:rPr>
      </w:pPr>
      <w:hyperlink w:anchor="_Toc507600291" w:history="1">
        <w:r w:rsidR="00B43D2E">
          <w:rPr>
            <w:rStyle w:val="Hyperlink"/>
            <w:noProof/>
          </w:rPr>
          <w:t>Figure 4.10:</w:t>
        </w:r>
        <w:r w:rsidR="00B43D2E">
          <w:rPr>
            <w:rStyle w:val="Hyperlink"/>
            <w:noProof/>
          </w:rPr>
          <w:tab/>
        </w:r>
        <w:r w:rsidR="00B55D4D" w:rsidRPr="00220462">
          <w:rPr>
            <w:rStyle w:val="Hyperlink"/>
            <w:noProof/>
          </w:rPr>
          <w:t>Employment types, 18-30 year olds, August 2008 to December 2016</w:t>
        </w:r>
        <w:r w:rsidR="00B55D4D">
          <w:rPr>
            <w:noProof/>
            <w:webHidden/>
          </w:rPr>
          <w:tab/>
        </w:r>
        <w:r w:rsidR="00B55D4D">
          <w:rPr>
            <w:noProof/>
            <w:webHidden/>
          </w:rPr>
          <w:fldChar w:fldCharType="begin"/>
        </w:r>
        <w:r w:rsidR="00B55D4D">
          <w:rPr>
            <w:noProof/>
            <w:webHidden/>
          </w:rPr>
          <w:instrText xml:space="preserve"> PAGEREF _Toc507600291 \h </w:instrText>
        </w:r>
        <w:r w:rsidR="00B55D4D">
          <w:rPr>
            <w:noProof/>
            <w:webHidden/>
          </w:rPr>
        </w:r>
        <w:r w:rsidR="00B55D4D">
          <w:rPr>
            <w:noProof/>
            <w:webHidden/>
          </w:rPr>
          <w:fldChar w:fldCharType="separate"/>
        </w:r>
        <w:r w:rsidR="00B55D4D">
          <w:rPr>
            <w:noProof/>
            <w:webHidden/>
          </w:rPr>
          <w:t>74</w:t>
        </w:r>
        <w:r w:rsidR="00B55D4D">
          <w:rPr>
            <w:noProof/>
            <w:webHidden/>
          </w:rPr>
          <w:fldChar w:fldCharType="end"/>
        </w:r>
      </w:hyperlink>
    </w:p>
    <w:p w:rsidR="00B55D4D" w:rsidRDefault="0027008F" w:rsidP="00B43D2E">
      <w:pPr>
        <w:pStyle w:val="TableofFigures"/>
        <w:tabs>
          <w:tab w:val="right" w:leader="dot" w:pos="9016"/>
        </w:tabs>
        <w:ind w:left="1276" w:hanging="1276"/>
        <w:rPr>
          <w:rFonts w:cstheme="minorBidi"/>
          <w:noProof/>
          <w:sz w:val="22"/>
          <w:szCs w:val="22"/>
          <w:lang w:eastAsia="en-AU"/>
        </w:rPr>
      </w:pPr>
      <w:hyperlink w:anchor="_Toc507600292" w:history="1">
        <w:r w:rsidR="00B55D4D" w:rsidRPr="00220462">
          <w:rPr>
            <w:rStyle w:val="Hyperlink"/>
            <w:noProof/>
          </w:rPr>
          <w:t xml:space="preserve">Figure 4.11: </w:t>
        </w:r>
        <w:r w:rsidR="00B43D2E">
          <w:rPr>
            <w:rStyle w:val="Hyperlink"/>
            <w:noProof/>
          </w:rPr>
          <w:tab/>
        </w:r>
        <w:r w:rsidR="00B55D4D" w:rsidRPr="00220462">
          <w:rPr>
            <w:rStyle w:val="Hyperlink"/>
            <w:noProof/>
          </w:rPr>
          <w:t xml:space="preserve">Percentage of young long-term unemployed job seekers who were off income support 52 weeks after exiting income support, modelled at the higher end of the JCB age range </w:t>
        </w:r>
        <w:r w:rsidR="00B43D2E">
          <w:rPr>
            <w:rStyle w:val="Hyperlink"/>
            <w:noProof/>
          </w:rPr>
          <w:br/>
        </w:r>
        <w:r w:rsidR="00B55D4D" w:rsidRPr="00220462">
          <w:rPr>
            <w:rStyle w:val="Hyperlink"/>
            <w:noProof/>
          </w:rPr>
          <w:t>(per cent)</w:t>
        </w:r>
        <w:r w:rsidR="00B55D4D">
          <w:rPr>
            <w:noProof/>
            <w:webHidden/>
          </w:rPr>
          <w:tab/>
        </w:r>
        <w:r w:rsidR="00B55D4D">
          <w:rPr>
            <w:noProof/>
            <w:webHidden/>
          </w:rPr>
          <w:fldChar w:fldCharType="begin"/>
        </w:r>
        <w:r w:rsidR="00B55D4D">
          <w:rPr>
            <w:noProof/>
            <w:webHidden/>
          </w:rPr>
          <w:instrText xml:space="preserve"> PAGEREF _Toc507600292 \h </w:instrText>
        </w:r>
        <w:r w:rsidR="00B55D4D">
          <w:rPr>
            <w:noProof/>
            <w:webHidden/>
          </w:rPr>
        </w:r>
        <w:r w:rsidR="00B55D4D">
          <w:rPr>
            <w:noProof/>
            <w:webHidden/>
          </w:rPr>
          <w:fldChar w:fldCharType="separate"/>
        </w:r>
        <w:r w:rsidR="00B55D4D">
          <w:rPr>
            <w:noProof/>
            <w:webHidden/>
          </w:rPr>
          <w:t>77</w:t>
        </w:r>
        <w:r w:rsidR="00B55D4D">
          <w:rPr>
            <w:noProof/>
            <w:webHidden/>
          </w:rPr>
          <w:fldChar w:fldCharType="end"/>
        </w:r>
      </w:hyperlink>
    </w:p>
    <w:p w:rsidR="00B55D4D" w:rsidRDefault="0027008F" w:rsidP="00B43D2E">
      <w:pPr>
        <w:pStyle w:val="TableofFigures"/>
        <w:tabs>
          <w:tab w:val="right" w:leader="dot" w:pos="9016"/>
        </w:tabs>
        <w:ind w:left="1276" w:hanging="1276"/>
        <w:rPr>
          <w:rFonts w:cstheme="minorBidi"/>
          <w:noProof/>
          <w:sz w:val="22"/>
          <w:szCs w:val="22"/>
          <w:lang w:eastAsia="en-AU"/>
        </w:rPr>
      </w:pPr>
      <w:hyperlink w:anchor="_Toc507600293" w:history="1">
        <w:r w:rsidR="00B55D4D" w:rsidRPr="00220462">
          <w:rPr>
            <w:rStyle w:val="Hyperlink"/>
            <w:noProof/>
          </w:rPr>
          <w:t>Figure 4.12:</w:t>
        </w:r>
        <w:r w:rsidR="00B43D2E">
          <w:rPr>
            <w:rStyle w:val="Hyperlink"/>
            <w:noProof/>
          </w:rPr>
          <w:tab/>
        </w:r>
        <w:r w:rsidR="00B55D4D" w:rsidRPr="00220462">
          <w:rPr>
            <w:rStyle w:val="Hyperlink"/>
            <w:noProof/>
          </w:rPr>
          <w:t xml:space="preserve"> Proportion that sustained exit from income support for 52 weeks, before and after the introduction of the JCB</w:t>
        </w:r>
        <w:r w:rsidR="00B55D4D">
          <w:rPr>
            <w:noProof/>
            <w:webHidden/>
          </w:rPr>
          <w:tab/>
        </w:r>
        <w:r w:rsidR="00B55D4D">
          <w:rPr>
            <w:noProof/>
            <w:webHidden/>
          </w:rPr>
          <w:fldChar w:fldCharType="begin"/>
        </w:r>
        <w:r w:rsidR="00B55D4D">
          <w:rPr>
            <w:noProof/>
            <w:webHidden/>
          </w:rPr>
          <w:instrText xml:space="preserve"> PAGEREF _Toc507600293 \h </w:instrText>
        </w:r>
        <w:r w:rsidR="00B55D4D">
          <w:rPr>
            <w:noProof/>
            <w:webHidden/>
          </w:rPr>
        </w:r>
        <w:r w:rsidR="00B55D4D">
          <w:rPr>
            <w:noProof/>
            <w:webHidden/>
          </w:rPr>
          <w:fldChar w:fldCharType="separate"/>
        </w:r>
        <w:r w:rsidR="00B55D4D">
          <w:rPr>
            <w:noProof/>
            <w:webHidden/>
          </w:rPr>
          <w:t>78</w:t>
        </w:r>
        <w:r w:rsidR="00B55D4D">
          <w:rPr>
            <w:noProof/>
            <w:webHidden/>
          </w:rPr>
          <w:fldChar w:fldCharType="end"/>
        </w:r>
      </w:hyperlink>
    </w:p>
    <w:p w:rsidR="00B55D4D" w:rsidRDefault="0027008F" w:rsidP="00B43D2E">
      <w:pPr>
        <w:pStyle w:val="TableofFigures"/>
        <w:tabs>
          <w:tab w:val="right" w:leader="dot" w:pos="9016"/>
        </w:tabs>
        <w:ind w:left="1276" w:hanging="1276"/>
        <w:rPr>
          <w:rFonts w:cstheme="minorBidi"/>
          <w:noProof/>
          <w:sz w:val="22"/>
          <w:szCs w:val="22"/>
          <w:lang w:eastAsia="en-AU"/>
        </w:rPr>
      </w:pPr>
      <w:hyperlink w:anchor="_Toc507600294" w:history="1">
        <w:r w:rsidR="00B55D4D" w:rsidRPr="00220462">
          <w:rPr>
            <w:rStyle w:val="Hyperlink"/>
            <w:noProof/>
          </w:rPr>
          <w:t xml:space="preserve">Figure 4.13: </w:t>
        </w:r>
        <w:r w:rsidR="00B43D2E">
          <w:rPr>
            <w:rStyle w:val="Hyperlink"/>
            <w:noProof/>
          </w:rPr>
          <w:tab/>
        </w:r>
        <w:r w:rsidR="00B55D4D" w:rsidRPr="00220462">
          <w:rPr>
            <w:rStyle w:val="Hyperlink"/>
            <w:noProof/>
          </w:rPr>
          <w:t>Proportion that sustained exit from income support for 104 weeks, before and after JCB introduction</w:t>
        </w:r>
        <w:r w:rsidR="00B55D4D">
          <w:rPr>
            <w:noProof/>
            <w:webHidden/>
          </w:rPr>
          <w:tab/>
        </w:r>
        <w:r w:rsidR="00B55D4D">
          <w:rPr>
            <w:noProof/>
            <w:webHidden/>
          </w:rPr>
          <w:fldChar w:fldCharType="begin"/>
        </w:r>
        <w:r w:rsidR="00B55D4D">
          <w:rPr>
            <w:noProof/>
            <w:webHidden/>
          </w:rPr>
          <w:instrText xml:space="preserve"> PAGEREF _Toc507600294 \h </w:instrText>
        </w:r>
        <w:r w:rsidR="00B55D4D">
          <w:rPr>
            <w:noProof/>
            <w:webHidden/>
          </w:rPr>
        </w:r>
        <w:r w:rsidR="00B55D4D">
          <w:rPr>
            <w:noProof/>
            <w:webHidden/>
          </w:rPr>
          <w:fldChar w:fldCharType="separate"/>
        </w:r>
        <w:r w:rsidR="00B55D4D">
          <w:rPr>
            <w:noProof/>
            <w:webHidden/>
          </w:rPr>
          <w:t>79</w:t>
        </w:r>
        <w:r w:rsidR="00B55D4D">
          <w:rPr>
            <w:noProof/>
            <w:webHidden/>
          </w:rPr>
          <w:fldChar w:fldCharType="end"/>
        </w:r>
      </w:hyperlink>
    </w:p>
    <w:p w:rsidR="00B55D4D" w:rsidRDefault="0027008F" w:rsidP="00B43D2E">
      <w:pPr>
        <w:pStyle w:val="TableofFigures"/>
        <w:tabs>
          <w:tab w:val="right" w:leader="dot" w:pos="9016"/>
        </w:tabs>
        <w:ind w:left="1276" w:hanging="1276"/>
        <w:rPr>
          <w:rFonts w:cstheme="minorBidi"/>
          <w:noProof/>
          <w:sz w:val="22"/>
          <w:szCs w:val="22"/>
          <w:lang w:eastAsia="en-AU"/>
        </w:rPr>
      </w:pPr>
      <w:hyperlink w:anchor="_Toc507600295" w:history="1">
        <w:r w:rsidR="00B55D4D" w:rsidRPr="00220462">
          <w:rPr>
            <w:rStyle w:val="Hyperlink"/>
            <w:noProof/>
          </w:rPr>
          <w:t xml:space="preserve">Figure 4.14: </w:t>
        </w:r>
        <w:r w:rsidR="00B43D2E">
          <w:rPr>
            <w:rStyle w:val="Hyperlink"/>
            <w:noProof/>
          </w:rPr>
          <w:tab/>
        </w:r>
        <w:r w:rsidR="00B55D4D" w:rsidRPr="00220462">
          <w:rPr>
            <w:rStyle w:val="Hyperlink"/>
            <w:noProof/>
          </w:rPr>
          <w:t xml:space="preserve">Job seeker views of the potential effect of a bonus to encourage them to sustain </w:t>
        </w:r>
        <w:r w:rsidR="00B43D2E">
          <w:rPr>
            <w:rStyle w:val="Hyperlink"/>
            <w:noProof/>
          </w:rPr>
          <w:br/>
        </w:r>
        <w:r w:rsidR="00B55D4D" w:rsidRPr="00220462">
          <w:rPr>
            <w:rStyle w:val="Hyperlink"/>
            <w:noProof/>
          </w:rPr>
          <w:t>employment (per cent)</w:t>
        </w:r>
        <w:r w:rsidR="00B55D4D">
          <w:rPr>
            <w:noProof/>
            <w:webHidden/>
          </w:rPr>
          <w:tab/>
        </w:r>
        <w:r w:rsidR="00B55D4D">
          <w:rPr>
            <w:noProof/>
            <w:webHidden/>
          </w:rPr>
          <w:fldChar w:fldCharType="begin"/>
        </w:r>
        <w:r w:rsidR="00B55D4D">
          <w:rPr>
            <w:noProof/>
            <w:webHidden/>
          </w:rPr>
          <w:instrText xml:space="preserve"> PAGEREF _Toc507600295 \h </w:instrText>
        </w:r>
        <w:r w:rsidR="00B55D4D">
          <w:rPr>
            <w:noProof/>
            <w:webHidden/>
          </w:rPr>
        </w:r>
        <w:r w:rsidR="00B55D4D">
          <w:rPr>
            <w:noProof/>
            <w:webHidden/>
          </w:rPr>
          <w:fldChar w:fldCharType="separate"/>
        </w:r>
        <w:r w:rsidR="00B55D4D">
          <w:rPr>
            <w:noProof/>
            <w:webHidden/>
          </w:rPr>
          <w:t>81</w:t>
        </w:r>
        <w:r w:rsidR="00B55D4D">
          <w:rPr>
            <w:noProof/>
            <w:webHidden/>
          </w:rPr>
          <w:fldChar w:fldCharType="end"/>
        </w:r>
      </w:hyperlink>
    </w:p>
    <w:p w:rsidR="00B55D4D" w:rsidRDefault="0027008F" w:rsidP="00B43D2E">
      <w:pPr>
        <w:pStyle w:val="TableofFigures"/>
        <w:tabs>
          <w:tab w:val="right" w:leader="dot" w:pos="9016"/>
        </w:tabs>
        <w:ind w:left="1276" w:hanging="1276"/>
        <w:rPr>
          <w:rFonts w:cstheme="minorBidi"/>
          <w:noProof/>
          <w:sz w:val="22"/>
          <w:szCs w:val="22"/>
          <w:lang w:eastAsia="en-AU"/>
        </w:rPr>
      </w:pPr>
      <w:hyperlink w:anchor="_Toc507600296" w:history="1">
        <w:r w:rsidR="00B55D4D" w:rsidRPr="00220462">
          <w:rPr>
            <w:rStyle w:val="Hyperlink"/>
            <w:noProof/>
          </w:rPr>
          <w:t xml:space="preserve">Figure 4.15: </w:t>
        </w:r>
        <w:r w:rsidR="00B43D2E">
          <w:rPr>
            <w:rStyle w:val="Hyperlink"/>
            <w:noProof/>
          </w:rPr>
          <w:tab/>
        </w:r>
        <w:r w:rsidR="00B55D4D" w:rsidRPr="00220462">
          <w:rPr>
            <w:rStyle w:val="Hyperlink"/>
            <w:noProof/>
          </w:rPr>
          <w:t>Actual versus predicted sustained 12 month exits from income support by selected demographic characteristics (per cent)</w:t>
        </w:r>
        <w:r w:rsidR="00B55D4D">
          <w:rPr>
            <w:noProof/>
            <w:webHidden/>
          </w:rPr>
          <w:tab/>
        </w:r>
        <w:r w:rsidR="00B55D4D">
          <w:rPr>
            <w:noProof/>
            <w:webHidden/>
          </w:rPr>
          <w:fldChar w:fldCharType="begin"/>
        </w:r>
        <w:r w:rsidR="00B55D4D">
          <w:rPr>
            <w:noProof/>
            <w:webHidden/>
          </w:rPr>
          <w:instrText xml:space="preserve"> PAGEREF _Toc507600296 \h </w:instrText>
        </w:r>
        <w:r w:rsidR="00B55D4D">
          <w:rPr>
            <w:noProof/>
            <w:webHidden/>
          </w:rPr>
        </w:r>
        <w:r w:rsidR="00B55D4D">
          <w:rPr>
            <w:noProof/>
            <w:webHidden/>
          </w:rPr>
          <w:fldChar w:fldCharType="separate"/>
        </w:r>
        <w:r w:rsidR="00B55D4D">
          <w:rPr>
            <w:noProof/>
            <w:webHidden/>
          </w:rPr>
          <w:t>84</w:t>
        </w:r>
        <w:r w:rsidR="00B55D4D">
          <w:rPr>
            <w:noProof/>
            <w:webHidden/>
          </w:rPr>
          <w:fldChar w:fldCharType="end"/>
        </w:r>
      </w:hyperlink>
    </w:p>
    <w:p w:rsidR="00B55D4D" w:rsidRDefault="0027008F" w:rsidP="00B43D2E">
      <w:pPr>
        <w:pStyle w:val="TableofFigures"/>
        <w:tabs>
          <w:tab w:val="right" w:leader="dot" w:pos="9016"/>
        </w:tabs>
        <w:ind w:left="1276" w:hanging="1276"/>
        <w:rPr>
          <w:rFonts w:cstheme="minorBidi"/>
          <w:noProof/>
          <w:sz w:val="22"/>
          <w:szCs w:val="22"/>
          <w:lang w:eastAsia="en-AU"/>
        </w:rPr>
      </w:pPr>
      <w:hyperlink w:anchor="_Toc507600297" w:history="1">
        <w:r w:rsidR="00B55D4D" w:rsidRPr="00220462">
          <w:rPr>
            <w:rStyle w:val="Hyperlink"/>
            <w:noProof/>
          </w:rPr>
          <w:t xml:space="preserve">Figure 4.16: </w:t>
        </w:r>
        <w:r w:rsidR="00B43D2E">
          <w:rPr>
            <w:rStyle w:val="Hyperlink"/>
            <w:noProof/>
          </w:rPr>
          <w:tab/>
        </w:r>
        <w:r w:rsidR="00B55D4D" w:rsidRPr="00220462">
          <w:rPr>
            <w:rStyle w:val="Hyperlink"/>
            <w:noProof/>
          </w:rPr>
          <w:t xml:space="preserve">Actual versus predicted sustained 24 month exits from income support given the person </w:t>
        </w:r>
        <w:r w:rsidR="00B43D2E">
          <w:rPr>
            <w:rStyle w:val="Hyperlink"/>
            <w:noProof/>
          </w:rPr>
          <w:br/>
        </w:r>
        <w:r w:rsidR="00B55D4D" w:rsidRPr="00220462">
          <w:rPr>
            <w:rStyle w:val="Hyperlink"/>
            <w:noProof/>
          </w:rPr>
          <w:t>had sustained exit to 12 months, by selected demographic characteristics (per cent)</w:t>
        </w:r>
        <w:r w:rsidR="00B55D4D">
          <w:rPr>
            <w:noProof/>
            <w:webHidden/>
          </w:rPr>
          <w:tab/>
        </w:r>
        <w:r w:rsidR="00B55D4D">
          <w:rPr>
            <w:noProof/>
            <w:webHidden/>
          </w:rPr>
          <w:fldChar w:fldCharType="begin"/>
        </w:r>
        <w:r w:rsidR="00B55D4D">
          <w:rPr>
            <w:noProof/>
            <w:webHidden/>
          </w:rPr>
          <w:instrText xml:space="preserve"> PAGEREF _Toc507600297 \h </w:instrText>
        </w:r>
        <w:r w:rsidR="00B55D4D">
          <w:rPr>
            <w:noProof/>
            <w:webHidden/>
          </w:rPr>
        </w:r>
        <w:r w:rsidR="00B55D4D">
          <w:rPr>
            <w:noProof/>
            <w:webHidden/>
          </w:rPr>
          <w:fldChar w:fldCharType="separate"/>
        </w:r>
        <w:r w:rsidR="00B55D4D">
          <w:rPr>
            <w:noProof/>
            <w:webHidden/>
          </w:rPr>
          <w:t>85</w:t>
        </w:r>
        <w:r w:rsidR="00B55D4D">
          <w:rPr>
            <w:noProof/>
            <w:webHidden/>
          </w:rPr>
          <w:fldChar w:fldCharType="end"/>
        </w:r>
      </w:hyperlink>
    </w:p>
    <w:p w:rsidR="00B55D4D" w:rsidRDefault="0027008F" w:rsidP="00B43D2E">
      <w:pPr>
        <w:pStyle w:val="TableofFigures"/>
        <w:tabs>
          <w:tab w:val="right" w:leader="dot" w:pos="9016"/>
        </w:tabs>
        <w:ind w:left="1276" w:hanging="1276"/>
        <w:rPr>
          <w:rFonts w:cstheme="minorBidi"/>
          <w:noProof/>
          <w:sz w:val="22"/>
          <w:szCs w:val="22"/>
          <w:lang w:eastAsia="en-AU"/>
        </w:rPr>
      </w:pPr>
      <w:hyperlink w:anchor="_Toc507600298" w:history="1">
        <w:r w:rsidR="00B55D4D" w:rsidRPr="00220462">
          <w:rPr>
            <w:rStyle w:val="Hyperlink"/>
            <w:noProof/>
          </w:rPr>
          <w:t xml:space="preserve">Figure 5.1: </w:t>
        </w:r>
        <w:r w:rsidR="00B43D2E">
          <w:rPr>
            <w:rStyle w:val="Hyperlink"/>
            <w:noProof/>
          </w:rPr>
          <w:tab/>
        </w:r>
        <w:r w:rsidR="00B55D4D" w:rsidRPr="00220462">
          <w:rPr>
            <w:rStyle w:val="Hyperlink"/>
            <w:noProof/>
          </w:rPr>
          <w:t xml:space="preserve">Motivational balance and self-efficacy across the </w:t>
        </w:r>
        <w:r w:rsidR="00B55D4D" w:rsidRPr="00220462">
          <w:rPr>
            <w:rStyle w:val="Hyperlink"/>
            <w:i/>
            <w:noProof/>
          </w:rPr>
          <w:t>Trans-theoretical</w:t>
        </w:r>
        <w:r w:rsidR="00B55D4D" w:rsidRPr="00220462">
          <w:rPr>
            <w:rStyle w:val="Hyperlink"/>
            <w:noProof/>
          </w:rPr>
          <w:t xml:space="preserve"> </w:t>
        </w:r>
        <w:r w:rsidR="00B55D4D" w:rsidRPr="00220462">
          <w:rPr>
            <w:rStyle w:val="Hyperlink"/>
            <w:i/>
            <w:noProof/>
          </w:rPr>
          <w:t xml:space="preserve">Stages of Change </w:t>
        </w:r>
        <w:r w:rsidR="00B55D4D" w:rsidRPr="00220462">
          <w:rPr>
            <w:rStyle w:val="Hyperlink"/>
            <w:noProof/>
          </w:rPr>
          <w:t>model</w:t>
        </w:r>
        <w:r w:rsidR="00B55D4D">
          <w:rPr>
            <w:noProof/>
            <w:webHidden/>
          </w:rPr>
          <w:tab/>
        </w:r>
        <w:r w:rsidR="00B55D4D">
          <w:rPr>
            <w:noProof/>
            <w:webHidden/>
          </w:rPr>
          <w:fldChar w:fldCharType="begin"/>
        </w:r>
        <w:r w:rsidR="00B55D4D">
          <w:rPr>
            <w:noProof/>
            <w:webHidden/>
          </w:rPr>
          <w:instrText xml:space="preserve"> PAGEREF _Toc507600298 \h </w:instrText>
        </w:r>
        <w:r w:rsidR="00B55D4D">
          <w:rPr>
            <w:noProof/>
            <w:webHidden/>
          </w:rPr>
        </w:r>
        <w:r w:rsidR="00B55D4D">
          <w:rPr>
            <w:noProof/>
            <w:webHidden/>
          </w:rPr>
          <w:fldChar w:fldCharType="separate"/>
        </w:r>
        <w:r w:rsidR="00B55D4D">
          <w:rPr>
            <w:noProof/>
            <w:webHidden/>
          </w:rPr>
          <w:t>90</w:t>
        </w:r>
        <w:r w:rsidR="00B55D4D">
          <w:rPr>
            <w:noProof/>
            <w:webHidden/>
          </w:rPr>
          <w:fldChar w:fldCharType="end"/>
        </w:r>
      </w:hyperlink>
    </w:p>
    <w:p w:rsidR="00B55D4D" w:rsidRDefault="0027008F" w:rsidP="00B43D2E">
      <w:pPr>
        <w:pStyle w:val="TableofFigures"/>
        <w:tabs>
          <w:tab w:val="right" w:leader="dot" w:pos="9016"/>
        </w:tabs>
        <w:ind w:left="1276" w:hanging="1276"/>
        <w:rPr>
          <w:rFonts w:cstheme="minorBidi"/>
          <w:noProof/>
          <w:sz w:val="22"/>
          <w:szCs w:val="22"/>
          <w:lang w:eastAsia="en-AU"/>
        </w:rPr>
      </w:pPr>
      <w:hyperlink w:anchor="_Toc507600299" w:history="1">
        <w:r w:rsidR="00B55D4D" w:rsidRPr="00220462">
          <w:rPr>
            <w:rStyle w:val="Hyperlink"/>
            <w:noProof/>
          </w:rPr>
          <w:t xml:space="preserve">Figure A.1: </w:t>
        </w:r>
        <w:r w:rsidR="00B43D2E">
          <w:rPr>
            <w:rStyle w:val="Hyperlink"/>
            <w:noProof/>
          </w:rPr>
          <w:tab/>
        </w:r>
        <w:r w:rsidR="00B55D4D" w:rsidRPr="00220462">
          <w:rPr>
            <w:rStyle w:val="Hyperlink"/>
            <w:noProof/>
          </w:rPr>
          <w:t xml:space="preserve">The </w:t>
        </w:r>
        <w:r w:rsidR="00B55D4D" w:rsidRPr="00220462">
          <w:rPr>
            <w:rStyle w:val="Hyperlink"/>
            <w:i/>
            <w:noProof/>
          </w:rPr>
          <w:t>Trans-theoretical Stages of Change</w:t>
        </w:r>
        <w:r w:rsidR="00B55D4D" w:rsidRPr="00220462">
          <w:rPr>
            <w:rStyle w:val="Hyperlink"/>
            <w:noProof/>
          </w:rPr>
          <w:t xml:space="preserve"> model</w:t>
        </w:r>
        <w:r w:rsidR="00B55D4D">
          <w:rPr>
            <w:noProof/>
            <w:webHidden/>
          </w:rPr>
          <w:tab/>
        </w:r>
        <w:r w:rsidR="00B55D4D">
          <w:rPr>
            <w:noProof/>
            <w:webHidden/>
          </w:rPr>
          <w:fldChar w:fldCharType="begin"/>
        </w:r>
        <w:r w:rsidR="00B55D4D">
          <w:rPr>
            <w:noProof/>
            <w:webHidden/>
          </w:rPr>
          <w:instrText xml:space="preserve"> PAGEREF _Toc507600299 \h </w:instrText>
        </w:r>
        <w:r w:rsidR="00B55D4D">
          <w:rPr>
            <w:noProof/>
            <w:webHidden/>
          </w:rPr>
        </w:r>
        <w:r w:rsidR="00B55D4D">
          <w:rPr>
            <w:noProof/>
            <w:webHidden/>
          </w:rPr>
          <w:fldChar w:fldCharType="separate"/>
        </w:r>
        <w:r w:rsidR="00B55D4D">
          <w:rPr>
            <w:noProof/>
            <w:webHidden/>
          </w:rPr>
          <w:t>96</w:t>
        </w:r>
        <w:r w:rsidR="00B55D4D">
          <w:rPr>
            <w:noProof/>
            <w:webHidden/>
          </w:rPr>
          <w:fldChar w:fldCharType="end"/>
        </w:r>
      </w:hyperlink>
    </w:p>
    <w:p w:rsidR="00B55D4D" w:rsidRDefault="0027008F" w:rsidP="00B43D2E">
      <w:pPr>
        <w:pStyle w:val="TableofFigures"/>
        <w:tabs>
          <w:tab w:val="right" w:leader="dot" w:pos="9016"/>
        </w:tabs>
        <w:ind w:left="1276" w:hanging="1276"/>
        <w:rPr>
          <w:rFonts w:cstheme="minorBidi"/>
          <w:noProof/>
          <w:sz w:val="22"/>
          <w:szCs w:val="22"/>
          <w:lang w:eastAsia="en-AU"/>
        </w:rPr>
      </w:pPr>
      <w:hyperlink w:anchor="_Toc507600300" w:history="1">
        <w:r w:rsidR="00B55D4D" w:rsidRPr="00220462">
          <w:rPr>
            <w:rStyle w:val="Hyperlink"/>
            <w:noProof/>
          </w:rPr>
          <w:t xml:space="preserve">Figure E.1: </w:t>
        </w:r>
        <w:r w:rsidR="00B43D2E">
          <w:rPr>
            <w:rStyle w:val="Hyperlink"/>
            <w:noProof/>
          </w:rPr>
          <w:tab/>
        </w:r>
        <w:r w:rsidR="00B55D4D" w:rsidRPr="00220462">
          <w:rPr>
            <w:rStyle w:val="Hyperlink"/>
            <w:noProof/>
          </w:rPr>
          <w:t>Diagrammatic representation of RDD analysis</w:t>
        </w:r>
        <w:r w:rsidR="00B55D4D">
          <w:rPr>
            <w:noProof/>
            <w:webHidden/>
          </w:rPr>
          <w:tab/>
        </w:r>
        <w:r w:rsidR="00B55D4D">
          <w:rPr>
            <w:noProof/>
            <w:webHidden/>
          </w:rPr>
          <w:fldChar w:fldCharType="begin"/>
        </w:r>
        <w:r w:rsidR="00B55D4D">
          <w:rPr>
            <w:noProof/>
            <w:webHidden/>
          </w:rPr>
          <w:instrText xml:space="preserve"> PAGEREF _Toc507600300 \h </w:instrText>
        </w:r>
        <w:r w:rsidR="00B55D4D">
          <w:rPr>
            <w:noProof/>
            <w:webHidden/>
          </w:rPr>
        </w:r>
        <w:r w:rsidR="00B55D4D">
          <w:rPr>
            <w:noProof/>
            <w:webHidden/>
          </w:rPr>
          <w:fldChar w:fldCharType="separate"/>
        </w:r>
        <w:r w:rsidR="00B55D4D">
          <w:rPr>
            <w:noProof/>
            <w:webHidden/>
          </w:rPr>
          <w:t>105</w:t>
        </w:r>
        <w:r w:rsidR="00B55D4D">
          <w:rPr>
            <w:noProof/>
            <w:webHidden/>
          </w:rPr>
          <w:fldChar w:fldCharType="end"/>
        </w:r>
      </w:hyperlink>
    </w:p>
    <w:p w:rsidR="00B55D4D" w:rsidRDefault="0027008F" w:rsidP="00B43D2E">
      <w:pPr>
        <w:pStyle w:val="TableofFigures"/>
        <w:tabs>
          <w:tab w:val="right" w:leader="dot" w:pos="9016"/>
        </w:tabs>
        <w:ind w:left="1276" w:hanging="1276"/>
        <w:rPr>
          <w:rFonts w:cstheme="minorBidi"/>
          <w:noProof/>
          <w:sz w:val="22"/>
          <w:szCs w:val="22"/>
          <w:lang w:eastAsia="en-AU"/>
        </w:rPr>
      </w:pPr>
      <w:hyperlink w:anchor="_Toc507600301" w:history="1">
        <w:r w:rsidR="00B55D4D" w:rsidRPr="00220462">
          <w:rPr>
            <w:rStyle w:val="Hyperlink"/>
            <w:noProof/>
          </w:rPr>
          <w:t>Figure E.2:</w:t>
        </w:r>
        <w:r w:rsidR="00B43D2E">
          <w:rPr>
            <w:rStyle w:val="Hyperlink"/>
            <w:noProof/>
          </w:rPr>
          <w:tab/>
        </w:r>
        <w:r w:rsidR="00B55D4D" w:rsidRPr="00220462">
          <w:rPr>
            <w:rStyle w:val="Hyperlink"/>
            <w:noProof/>
          </w:rPr>
          <w:t>Diagrammatic representation of DID analysis</w:t>
        </w:r>
        <w:r w:rsidR="00B55D4D">
          <w:rPr>
            <w:noProof/>
            <w:webHidden/>
          </w:rPr>
          <w:tab/>
        </w:r>
        <w:r w:rsidR="00B55D4D">
          <w:rPr>
            <w:noProof/>
            <w:webHidden/>
          </w:rPr>
          <w:fldChar w:fldCharType="begin"/>
        </w:r>
        <w:r w:rsidR="00B55D4D">
          <w:rPr>
            <w:noProof/>
            <w:webHidden/>
          </w:rPr>
          <w:instrText xml:space="preserve"> PAGEREF _Toc507600301 \h </w:instrText>
        </w:r>
        <w:r w:rsidR="00B55D4D">
          <w:rPr>
            <w:noProof/>
            <w:webHidden/>
          </w:rPr>
        </w:r>
        <w:r w:rsidR="00B55D4D">
          <w:rPr>
            <w:noProof/>
            <w:webHidden/>
          </w:rPr>
          <w:fldChar w:fldCharType="separate"/>
        </w:r>
        <w:r w:rsidR="00B55D4D">
          <w:rPr>
            <w:noProof/>
            <w:webHidden/>
          </w:rPr>
          <w:t>107</w:t>
        </w:r>
        <w:r w:rsidR="00B55D4D">
          <w:rPr>
            <w:noProof/>
            <w:webHidden/>
          </w:rPr>
          <w:fldChar w:fldCharType="end"/>
        </w:r>
      </w:hyperlink>
    </w:p>
    <w:p w:rsidR="00DC7904" w:rsidRPr="003A4B00" w:rsidRDefault="008B64A2" w:rsidP="00B43D2E">
      <w:pPr>
        <w:ind w:left="1276" w:hanging="1276"/>
      </w:pPr>
      <w:r w:rsidRPr="00246925">
        <w:rPr>
          <w:rFonts w:cstheme="minorHAnsi"/>
          <w:smallCaps/>
          <w:sz w:val="20"/>
          <w:szCs w:val="20"/>
        </w:rPr>
        <w:fldChar w:fldCharType="end"/>
      </w:r>
      <w:r w:rsidR="00DC7904" w:rsidRPr="003A4B00">
        <w:br w:type="page"/>
      </w:r>
    </w:p>
    <w:p w:rsidR="00A104A8" w:rsidRPr="003A4B00" w:rsidRDefault="00FA01C5" w:rsidP="00612381">
      <w:pPr>
        <w:pStyle w:val="Heading1"/>
      </w:pPr>
      <w:bookmarkStart w:id="44" w:name="_Toc478117537"/>
      <w:bookmarkStart w:id="45" w:name="_Toc507600218"/>
      <w:r w:rsidRPr="003A4B00">
        <w:lastRenderedPageBreak/>
        <w:t xml:space="preserve">List of </w:t>
      </w:r>
      <w:r w:rsidR="00DA6B06" w:rsidRPr="003A4B00">
        <w:t>t</w:t>
      </w:r>
      <w:r w:rsidRPr="003A4B00">
        <w:t>ables</w:t>
      </w:r>
      <w:bookmarkStart w:id="46" w:name="_Toc239824947"/>
      <w:bookmarkStart w:id="47" w:name="_Toc385156601"/>
      <w:bookmarkStart w:id="48" w:name="_Toc367110752"/>
      <w:bookmarkEnd w:id="44"/>
      <w:bookmarkEnd w:id="45"/>
    </w:p>
    <w:p w:rsidR="00B55D4D" w:rsidRDefault="008B64A2" w:rsidP="00B43D2E">
      <w:pPr>
        <w:pStyle w:val="TableofFigures"/>
        <w:tabs>
          <w:tab w:val="right" w:leader="dot" w:pos="9016"/>
        </w:tabs>
        <w:ind w:left="1134" w:hanging="1134"/>
        <w:rPr>
          <w:rFonts w:cstheme="minorBidi"/>
          <w:noProof/>
          <w:sz w:val="22"/>
          <w:szCs w:val="22"/>
          <w:lang w:eastAsia="en-AU"/>
        </w:rPr>
      </w:pPr>
      <w:r w:rsidRPr="00A11981">
        <w:rPr>
          <w:smallCaps/>
        </w:rPr>
        <w:fldChar w:fldCharType="begin"/>
      </w:r>
      <w:r w:rsidRPr="003A4B00">
        <w:instrText xml:space="preserve"> TOC \f T \h \z \t "Table Caption" \c </w:instrText>
      </w:r>
      <w:r w:rsidRPr="00A11981">
        <w:rPr>
          <w:smallCaps/>
        </w:rPr>
        <w:fldChar w:fldCharType="separate"/>
      </w:r>
      <w:hyperlink w:anchor="_Toc507600302" w:history="1">
        <w:r w:rsidR="00B55D4D" w:rsidRPr="00BD2855">
          <w:rPr>
            <w:rStyle w:val="Hyperlink"/>
            <w:noProof/>
          </w:rPr>
          <w:t xml:space="preserve">Table 1.1: </w:t>
        </w:r>
        <w:r w:rsidR="00B43D2E">
          <w:rPr>
            <w:rStyle w:val="Hyperlink"/>
            <w:noProof/>
          </w:rPr>
          <w:tab/>
        </w:r>
        <w:r w:rsidR="00B55D4D" w:rsidRPr="00BD2855">
          <w:rPr>
            <w:rStyle w:val="Hyperlink"/>
            <w:noProof/>
          </w:rPr>
          <w:t>Age and length of unemployment for those on the JSA caseload, 1 July 2014 (per cent)</w:t>
        </w:r>
        <w:r w:rsidR="00B55D4D">
          <w:rPr>
            <w:noProof/>
            <w:webHidden/>
          </w:rPr>
          <w:tab/>
        </w:r>
        <w:r w:rsidR="00B55D4D">
          <w:rPr>
            <w:noProof/>
            <w:webHidden/>
          </w:rPr>
          <w:fldChar w:fldCharType="begin"/>
        </w:r>
        <w:r w:rsidR="00B55D4D">
          <w:rPr>
            <w:noProof/>
            <w:webHidden/>
          </w:rPr>
          <w:instrText xml:space="preserve"> PAGEREF _Toc507600302 \h </w:instrText>
        </w:r>
        <w:r w:rsidR="00B55D4D">
          <w:rPr>
            <w:noProof/>
            <w:webHidden/>
          </w:rPr>
        </w:r>
        <w:r w:rsidR="00B55D4D">
          <w:rPr>
            <w:noProof/>
            <w:webHidden/>
          </w:rPr>
          <w:fldChar w:fldCharType="separate"/>
        </w:r>
        <w:r w:rsidR="00B55D4D">
          <w:rPr>
            <w:noProof/>
            <w:webHidden/>
          </w:rPr>
          <w:t>10</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03" w:history="1">
        <w:r w:rsidR="00B55D4D" w:rsidRPr="00BD2855">
          <w:rPr>
            <w:rStyle w:val="Hyperlink"/>
            <w:noProof/>
          </w:rPr>
          <w:t xml:space="preserve">Table 1.2: </w:t>
        </w:r>
        <w:r w:rsidR="00B43D2E">
          <w:rPr>
            <w:rStyle w:val="Hyperlink"/>
            <w:noProof/>
          </w:rPr>
          <w:tab/>
        </w:r>
        <w:r w:rsidR="00B55D4D" w:rsidRPr="00BD2855">
          <w:rPr>
            <w:rStyle w:val="Hyperlink"/>
            <w:noProof/>
          </w:rPr>
          <w:t xml:space="preserve">Average NEET rates for 18 to 30 year olds, July 2014 to December 2016, selected </w:t>
        </w:r>
        <w:r w:rsidR="00B43D2E">
          <w:rPr>
            <w:rStyle w:val="Hyperlink"/>
            <w:noProof/>
          </w:rPr>
          <w:br/>
        </w:r>
        <w:r w:rsidR="00B55D4D" w:rsidRPr="00BD2855">
          <w:rPr>
            <w:rStyle w:val="Hyperlink"/>
            <w:noProof/>
          </w:rPr>
          <w:t>characteristics (per cent)</w:t>
        </w:r>
        <w:r w:rsidR="00B55D4D">
          <w:rPr>
            <w:noProof/>
            <w:webHidden/>
          </w:rPr>
          <w:tab/>
        </w:r>
        <w:r w:rsidR="00B55D4D">
          <w:rPr>
            <w:noProof/>
            <w:webHidden/>
          </w:rPr>
          <w:fldChar w:fldCharType="begin"/>
        </w:r>
        <w:r w:rsidR="00B55D4D">
          <w:rPr>
            <w:noProof/>
            <w:webHidden/>
          </w:rPr>
          <w:instrText xml:space="preserve"> PAGEREF _Toc507600303 \h </w:instrText>
        </w:r>
        <w:r w:rsidR="00B55D4D">
          <w:rPr>
            <w:noProof/>
            <w:webHidden/>
          </w:rPr>
        </w:r>
        <w:r w:rsidR="00B55D4D">
          <w:rPr>
            <w:noProof/>
            <w:webHidden/>
          </w:rPr>
          <w:fldChar w:fldCharType="separate"/>
        </w:r>
        <w:r w:rsidR="00B55D4D">
          <w:rPr>
            <w:noProof/>
            <w:webHidden/>
          </w:rPr>
          <w:t>13</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04" w:history="1">
        <w:r w:rsidR="00B55D4D" w:rsidRPr="00BD2855">
          <w:rPr>
            <w:rStyle w:val="Hyperlink"/>
            <w:noProof/>
          </w:rPr>
          <w:t xml:space="preserve">Table 1.3: </w:t>
        </w:r>
        <w:r w:rsidR="00B43D2E">
          <w:rPr>
            <w:rStyle w:val="Hyperlink"/>
            <w:noProof/>
          </w:rPr>
          <w:tab/>
        </w:r>
        <w:r w:rsidR="00B55D4D" w:rsidRPr="00BD2855">
          <w:rPr>
            <w:rStyle w:val="Hyperlink"/>
            <w:noProof/>
          </w:rPr>
          <w:t>Select labour market indicators for younger and older cohorts</w:t>
        </w:r>
        <w:r w:rsidR="00B55D4D">
          <w:rPr>
            <w:noProof/>
            <w:webHidden/>
          </w:rPr>
          <w:tab/>
        </w:r>
        <w:r w:rsidR="00B55D4D">
          <w:rPr>
            <w:noProof/>
            <w:webHidden/>
          </w:rPr>
          <w:fldChar w:fldCharType="begin"/>
        </w:r>
        <w:r w:rsidR="00B55D4D">
          <w:rPr>
            <w:noProof/>
            <w:webHidden/>
          </w:rPr>
          <w:instrText xml:space="preserve"> PAGEREF _Toc507600304 \h </w:instrText>
        </w:r>
        <w:r w:rsidR="00B55D4D">
          <w:rPr>
            <w:noProof/>
            <w:webHidden/>
          </w:rPr>
        </w:r>
        <w:r w:rsidR="00B55D4D">
          <w:rPr>
            <w:noProof/>
            <w:webHidden/>
          </w:rPr>
          <w:fldChar w:fldCharType="separate"/>
        </w:r>
        <w:r w:rsidR="00B55D4D">
          <w:rPr>
            <w:noProof/>
            <w:webHidden/>
          </w:rPr>
          <w:t>16</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05" w:history="1">
        <w:r w:rsidR="00B55D4D" w:rsidRPr="00BD2855">
          <w:rPr>
            <w:rStyle w:val="Hyperlink"/>
            <w:noProof/>
          </w:rPr>
          <w:t xml:space="preserve">Table 3.1: </w:t>
        </w:r>
        <w:r w:rsidR="00B43D2E">
          <w:rPr>
            <w:rStyle w:val="Hyperlink"/>
            <w:noProof/>
          </w:rPr>
          <w:tab/>
        </w:r>
        <w:r w:rsidR="00B55D4D" w:rsidRPr="00BD2855">
          <w:rPr>
            <w:rStyle w:val="Hyperlink"/>
            <w:noProof/>
          </w:rPr>
          <w:t>JCB Claims, as at 3 April 2017</w:t>
        </w:r>
        <w:r w:rsidR="00B55D4D">
          <w:rPr>
            <w:noProof/>
            <w:webHidden/>
          </w:rPr>
          <w:tab/>
        </w:r>
        <w:r w:rsidR="00B55D4D">
          <w:rPr>
            <w:noProof/>
            <w:webHidden/>
          </w:rPr>
          <w:fldChar w:fldCharType="begin"/>
        </w:r>
        <w:r w:rsidR="00B55D4D">
          <w:rPr>
            <w:noProof/>
            <w:webHidden/>
          </w:rPr>
          <w:instrText xml:space="preserve"> PAGEREF _Toc507600305 \h </w:instrText>
        </w:r>
        <w:r w:rsidR="00B55D4D">
          <w:rPr>
            <w:noProof/>
            <w:webHidden/>
          </w:rPr>
        </w:r>
        <w:r w:rsidR="00B55D4D">
          <w:rPr>
            <w:noProof/>
            <w:webHidden/>
          </w:rPr>
          <w:fldChar w:fldCharType="separate"/>
        </w:r>
        <w:r w:rsidR="00B55D4D">
          <w:rPr>
            <w:noProof/>
            <w:webHidden/>
          </w:rPr>
          <w:t>30</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06" w:history="1">
        <w:r w:rsidR="00B55D4D" w:rsidRPr="00BD2855">
          <w:rPr>
            <w:rStyle w:val="Hyperlink"/>
            <w:noProof/>
          </w:rPr>
          <w:t xml:space="preserve">Table 3.2: </w:t>
        </w:r>
        <w:r w:rsidR="00B43D2E">
          <w:rPr>
            <w:rStyle w:val="Hyperlink"/>
            <w:noProof/>
          </w:rPr>
          <w:tab/>
        </w:r>
        <w:r w:rsidR="00B55D4D" w:rsidRPr="00BD2855">
          <w:rPr>
            <w:rStyle w:val="Hyperlink"/>
            <w:noProof/>
          </w:rPr>
          <w:t>Lodgement types for bonus claims, as at 3 April 2017</w:t>
        </w:r>
        <w:r w:rsidR="00B55D4D">
          <w:rPr>
            <w:noProof/>
            <w:webHidden/>
          </w:rPr>
          <w:tab/>
        </w:r>
        <w:r w:rsidR="00B55D4D">
          <w:rPr>
            <w:noProof/>
            <w:webHidden/>
          </w:rPr>
          <w:fldChar w:fldCharType="begin"/>
        </w:r>
        <w:r w:rsidR="00B55D4D">
          <w:rPr>
            <w:noProof/>
            <w:webHidden/>
          </w:rPr>
          <w:instrText xml:space="preserve"> PAGEREF _Toc507600306 \h </w:instrText>
        </w:r>
        <w:r w:rsidR="00B55D4D">
          <w:rPr>
            <w:noProof/>
            <w:webHidden/>
          </w:rPr>
        </w:r>
        <w:r w:rsidR="00B55D4D">
          <w:rPr>
            <w:noProof/>
            <w:webHidden/>
          </w:rPr>
          <w:fldChar w:fldCharType="separate"/>
        </w:r>
        <w:r w:rsidR="00B55D4D">
          <w:rPr>
            <w:noProof/>
            <w:webHidden/>
          </w:rPr>
          <w:t>33</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07" w:history="1">
        <w:r w:rsidR="00B55D4D" w:rsidRPr="00BD2855">
          <w:rPr>
            <w:rStyle w:val="Hyperlink"/>
            <w:noProof/>
          </w:rPr>
          <w:t xml:space="preserve">Table 3.3: </w:t>
        </w:r>
        <w:r w:rsidR="00B43D2E">
          <w:rPr>
            <w:rStyle w:val="Hyperlink"/>
            <w:noProof/>
          </w:rPr>
          <w:tab/>
        </w:r>
        <w:r w:rsidR="00B55D4D" w:rsidRPr="00BD2855">
          <w:rPr>
            <w:rStyle w:val="Hyperlink"/>
            <w:noProof/>
          </w:rPr>
          <w:t xml:space="preserve">JCB1 claims, as at 3 April 2017, compared to the Australian labour force and the JSA caseload </w:t>
        </w:r>
        <w:r w:rsidR="00B43D2E">
          <w:rPr>
            <w:rStyle w:val="Hyperlink"/>
            <w:noProof/>
          </w:rPr>
          <w:br/>
        </w:r>
        <w:r w:rsidR="00B55D4D" w:rsidRPr="00BD2855">
          <w:rPr>
            <w:rStyle w:val="Hyperlink"/>
            <w:noProof/>
          </w:rPr>
          <w:t>at the commencement of JCB, by state (per cent)</w:t>
        </w:r>
        <w:r w:rsidR="00B55D4D">
          <w:rPr>
            <w:noProof/>
            <w:webHidden/>
          </w:rPr>
          <w:tab/>
        </w:r>
        <w:r w:rsidR="00B55D4D">
          <w:rPr>
            <w:noProof/>
            <w:webHidden/>
          </w:rPr>
          <w:fldChar w:fldCharType="begin"/>
        </w:r>
        <w:r w:rsidR="00B55D4D">
          <w:rPr>
            <w:noProof/>
            <w:webHidden/>
          </w:rPr>
          <w:instrText xml:space="preserve"> PAGEREF _Toc507600307 \h </w:instrText>
        </w:r>
        <w:r w:rsidR="00B55D4D">
          <w:rPr>
            <w:noProof/>
            <w:webHidden/>
          </w:rPr>
        </w:r>
        <w:r w:rsidR="00B55D4D">
          <w:rPr>
            <w:noProof/>
            <w:webHidden/>
          </w:rPr>
          <w:fldChar w:fldCharType="separate"/>
        </w:r>
        <w:r w:rsidR="00B55D4D">
          <w:rPr>
            <w:noProof/>
            <w:webHidden/>
          </w:rPr>
          <w:t>35</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08" w:history="1">
        <w:r w:rsidR="00B55D4D" w:rsidRPr="00BD2855">
          <w:rPr>
            <w:rStyle w:val="Hyperlink"/>
            <w:noProof/>
          </w:rPr>
          <w:t xml:space="preserve">Table 3.4: </w:t>
        </w:r>
        <w:r w:rsidR="00B43D2E">
          <w:rPr>
            <w:rStyle w:val="Hyperlink"/>
            <w:noProof/>
          </w:rPr>
          <w:tab/>
        </w:r>
        <w:r w:rsidR="00B55D4D" w:rsidRPr="00BD2855">
          <w:rPr>
            <w:rStyle w:val="Hyperlink"/>
            <w:noProof/>
          </w:rPr>
          <w:t>Demographic characteristics of people more likely to claim the JCB (percentage points)</w:t>
        </w:r>
        <w:r w:rsidR="00B55D4D">
          <w:rPr>
            <w:noProof/>
            <w:webHidden/>
          </w:rPr>
          <w:tab/>
        </w:r>
        <w:r w:rsidR="00B55D4D">
          <w:rPr>
            <w:noProof/>
            <w:webHidden/>
          </w:rPr>
          <w:fldChar w:fldCharType="begin"/>
        </w:r>
        <w:r w:rsidR="00B55D4D">
          <w:rPr>
            <w:noProof/>
            <w:webHidden/>
          </w:rPr>
          <w:instrText xml:space="preserve"> PAGEREF _Toc507600308 \h </w:instrText>
        </w:r>
        <w:r w:rsidR="00B55D4D">
          <w:rPr>
            <w:noProof/>
            <w:webHidden/>
          </w:rPr>
        </w:r>
        <w:r w:rsidR="00B55D4D">
          <w:rPr>
            <w:noProof/>
            <w:webHidden/>
          </w:rPr>
          <w:fldChar w:fldCharType="separate"/>
        </w:r>
        <w:r w:rsidR="00B55D4D">
          <w:rPr>
            <w:noProof/>
            <w:webHidden/>
          </w:rPr>
          <w:t>37</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09" w:history="1">
        <w:r w:rsidR="00B55D4D" w:rsidRPr="00BD2855">
          <w:rPr>
            <w:rStyle w:val="Hyperlink"/>
            <w:noProof/>
          </w:rPr>
          <w:t>Table 3.5:</w:t>
        </w:r>
        <w:r w:rsidR="00B43D2E">
          <w:rPr>
            <w:rStyle w:val="Hyperlink"/>
            <w:noProof/>
          </w:rPr>
          <w:tab/>
        </w:r>
        <w:r w:rsidR="00B55D4D" w:rsidRPr="00BD2855">
          <w:rPr>
            <w:rStyle w:val="Hyperlink"/>
            <w:noProof/>
          </w:rPr>
          <w:t xml:space="preserve">Likelihood a person would claim the bonus by type of EPF support provided compared to </w:t>
        </w:r>
        <w:r w:rsidR="00B43D2E">
          <w:rPr>
            <w:rStyle w:val="Hyperlink"/>
            <w:noProof/>
          </w:rPr>
          <w:br/>
        </w:r>
        <w:r w:rsidR="00B55D4D" w:rsidRPr="00BD2855">
          <w:rPr>
            <w:rStyle w:val="Hyperlink"/>
            <w:noProof/>
          </w:rPr>
          <w:t>those who received no EPF support (percentage points)</w:t>
        </w:r>
        <w:r w:rsidR="00B55D4D">
          <w:rPr>
            <w:noProof/>
            <w:webHidden/>
          </w:rPr>
          <w:tab/>
        </w:r>
        <w:r w:rsidR="00B55D4D">
          <w:rPr>
            <w:noProof/>
            <w:webHidden/>
          </w:rPr>
          <w:fldChar w:fldCharType="begin"/>
        </w:r>
        <w:r w:rsidR="00B55D4D">
          <w:rPr>
            <w:noProof/>
            <w:webHidden/>
          </w:rPr>
          <w:instrText xml:space="preserve"> PAGEREF _Toc507600309 \h </w:instrText>
        </w:r>
        <w:r w:rsidR="00B55D4D">
          <w:rPr>
            <w:noProof/>
            <w:webHidden/>
          </w:rPr>
        </w:r>
        <w:r w:rsidR="00B55D4D">
          <w:rPr>
            <w:noProof/>
            <w:webHidden/>
          </w:rPr>
          <w:fldChar w:fldCharType="separate"/>
        </w:r>
        <w:r w:rsidR="00B55D4D">
          <w:rPr>
            <w:noProof/>
            <w:webHidden/>
          </w:rPr>
          <w:t>39</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10" w:history="1">
        <w:r w:rsidR="00B55D4D" w:rsidRPr="00BD2855">
          <w:rPr>
            <w:rStyle w:val="Hyperlink"/>
            <w:noProof/>
          </w:rPr>
          <w:t xml:space="preserve">Table 3.6: </w:t>
        </w:r>
        <w:r w:rsidR="00B43D2E">
          <w:rPr>
            <w:rStyle w:val="Hyperlink"/>
            <w:noProof/>
          </w:rPr>
          <w:tab/>
        </w:r>
        <w:r w:rsidR="00B55D4D" w:rsidRPr="00BD2855">
          <w:rPr>
            <w:rStyle w:val="Hyperlink"/>
            <w:noProof/>
          </w:rPr>
          <w:t>Reasons for rejections of JCB 1 claims, 1 July 2015 to 5 July 2016</w:t>
        </w:r>
        <w:r w:rsidR="00B55D4D">
          <w:rPr>
            <w:noProof/>
            <w:webHidden/>
          </w:rPr>
          <w:tab/>
        </w:r>
        <w:r w:rsidR="00B55D4D">
          <w:rPr>
            <w:noProof/>
            <w:webHidden/>
          </w:rPr>
          <w:fldChar w:fldCharType="begin"/>
        </w:r>
        <w:r w:rsidR="00B55D4D">
          <w:rPr>
            <w:noProof/>
            <w:webHidden/>
          </w:rPr>
          <w:instrText xml:space="preserve"> PAGEREF _Toc507600310 \h </w:instrText>
        </w:r>
        <w:r w:rsidR="00B55D4D">
          <w:rPr>
            <w:noProof/>
            <w:webHidden/>
          </w:rPr>
        </w:r>
        <w:r w:rsidR="00B55D4D">
          <w:rPr>
            <w:noProof/>
            <w:webHidden/>
          </w:rPr>
          <w:fldChar w:fldCharType="separate"/>
        </w:r>
        <w:r w:rsidR="00B55D4D">
          <w:rPr>
            <w:noProof/>
            <w:webHidden/>
          </w:rPr>
          <w:t>40</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11" w:history="1">
        <w:r w:rsidR="00B55D4D" w:rsidRPr="00BD2855">
          <w:rPr>
            <w:rStyle w:val="Hyperlink"/>
            <w:noProof/>
          </w:rPr>
          <w:t xml:space="preserve">Table 3.7: </w:t>
        </w:r>
        <w:r w:rsidR="00B43D2E">
          <w:rPr>
            <w:rStyle w:val="Hyperlink"/>
            <w:noProof/>
          </w:rPr>
          <w:tab/>
        </w:r>
        <w:r w:rsidR="00B55D4D" w:rsidRPr="00BD2855">
          <w:rPr>
            <w:rStyle w:val="Hyperlink"/>
            <w:noProof/>
          </w:rPr>
          <w:t>Appeals of JCB claims, 1 July 2015 to 12 May 2017</w:t>
        </w:r>
        <w:r w:rsidR="00B55D4D">
          <w:rPr>
            <w:noProof/>
            <w:webHidden/>
          </w:rPr>
          <w:tab/>
        </w:r>
        <w:r w:rsidR="00B55D4D">
          <w:rPr>
            <w:noProof/>
            <w:webHidden/>
          </w:rPr>
          <w:fldChar w:fldCharType="begin"/>
        </w:r>
        <w:r w:rsidR="00B55D4D">
          <w:rPr>
            <w:noProof/>
            <w:webHidden/>
          </w:rPr>
          <w:instrText xml:space="preserve"> PAGEREF _Toc507600311 \h </w:instrText>
        </w:r>
        <w:r w:rsidR="00B55D4D">
          <w:rPr>
            <w:noProof/>
            <w:webHidden/>
          </w:rPr>
        </w:r>
        <w:r w:rsidR="00B55D4D">
          <w:rPr>
            <w:noProof/>
            <w:webHidden/>
          </w:rPr>
          <w:fldChar w:fldCharType="separate"/>
        </w:r>
        <w:r w:rsidR="00B55D4D">
          <w:rPr>
            <w:noProof/>
            <w:webHidden/>
          </w:rPr>
          <w:t>42</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12" w:history="1">
        <w:r w:rsidR="00B55D4D" w:rsidRPr="00BD2855">
          <w:rPr>
            <w:rStyle w:val="Hyperlink"/>
            <w:noProof/>
          </w:rPr>
          <w:t xml:space="preserve">Table 3.8: </w:t>
        </w:r>
        <w:r w:rsidR="00B43D2E">
          <w:rPr>
            <w:rStyle w:val="Hyperlink"/>
            <w:noProof/>
          </w:rPr>
          <w:tab/>
        </w:r>
        <w:r w:rsidR="00B55D4D" w:rsidRPr="00BD2855">
          <w:rPr>
            <w:rStyle w:val="Hyperlink"/>
            <w:noProof/>
          </w:rPr>
          <w:t>Claims appealed by reasons for rejection, 1 July 2015 to 12 May 2017</w:t>
        </w:r>
        <w:r w:rsidR="00B55D4D">
          <w:rPr>
            <w:noProof/>
            <w:webHidden/>
          </w:rPr>
          <w:tab/>
        </w:r>
        <w:r w:rsidR="00B55D4D">
          <w:rPr>
            <w:noProof/>
            <w:webHidden/>
          </w:rPr>
          <w:fldChar w:fldCharType="begin"/>
        </w:r>
        <w:r w:rsidR="00B55D4D">
          <w:rPr>
            <w:noProof/>
            <w:webHidden/>
          </w:rPr>
          <w:instrText xml:space="preserve"> PAGEREF _Toc507600312 \h </w:instrText>
        </w:r>
        <w:r w:rsidR="00B55D4D">
          <w:rPr>
            <w:noProof/>
            <w:webHidden/>
          </w:rPr>
        </w:r>
        <w:r w:rsidR="00B55D4D">
          <w:rPr>
            <w:noProof/>
            <w:webHidden/>
          </w:rPr>
          <w:fldChar w:fldCharType="separate"/>
        </w:r>
        <w:r w:rsidR="00B55D4D">
          <w:rPr>
            <w:noProof/>
            <w:webHidden/>
          </w:rPr>
          <w:t>42</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13" w:history="1">
        <w:r w:rsidR="00B55D4D" w:rsidRPr="00BD2855">
          <w:rPr>
            <w:rStyle w:val="Hyperlink"/>
            <w:noProof/>
          </w:rPr>
          <w:t xml:space="preserve">Table 3.9: </w:t>
        </w:r>
        <w:r w:rsidR="00B43D2E">
          <w:rPr>
            <w:rStyle w:val="Hyperlink"/>
            <w:noProof/>
          </w:rPr>
          <w:tab/>
        </w:r>
        <w:r w:rsidR="00B55D4D" w:rsidRPr="00BD2855">
          <w:rPr>
            <w:rStyle w:val="Hyperlink"/>
            <w:noProof/>
          </w:rPr>
          <w:t>Issues with selected forms of communication with potential applicants</w:t>
        </w:r>
        <w:r w:rsidR="00B55D4D">
          <w:rPr>
            <w:noProof/>
            <w:webHidden/>
          </w:rPr>
          <w:tab/>
        </w:r>
        <w:r w:rsidR="00B55D4D">
          <w:rPr>
            <w:noProof/>
            <w:webHidden/>
          </w:rPr>
          <w:fldChar w:fldCharType="begin"/>
        </w:r>
        <w:r w:rsidR="00B55D4D">
          <w:rPr>
            <w:noProof/>
            <w:webHidden/>
          </w:rPr>
          <w:instrText xml:space="preserve"> PAGEREF _Toc507600313 \h </w:instrText>
        </w:r>
        <w:r w:rsidR="00B55D4D">
          <w:rPr>
            <w:noProof/>
            <w:webHidden/>
          </w:rPr>
        </w:r>
        <w:r w:rsidR="00B55D4D">
          <w:rPr>
            <w:noProof/>
            <w:webHidden/>
          </w:rPr>
          <w:fldChar w:fldCharType="separate"/>
        </w:r>
        <w:r w:rsidR="00B55D4D">
          <w:rPr>
            <w:noProof/>
            <w:webHidden/>
          </w:rPr>
          <w:t>44</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14" w:history="1">
        <w:r w:rsidR="00B55D4D" w:rsidRPr="00BD2855">
          <w:rPr>
            <w:rStyle w:val="Hyperlink"/>
            <w:noProof/>
          </w:rPr>
          <w:t xml:space="preserve">Table 3.10: </w:t>
        </w:r>
        <w:r w:rsidR="00B43D2E">
          <w:rPr>
            <w:rStyle w:val="Hyperlink"/>
            <w:noProof/>
          </w:rPr>
          <w:tab/>
        </w:r>
        <w:r w:rsidR="00B55D4D" w:rsidRPr="00BD2855">
          <w:rPr>
            <w:rStyle w:val="Hyperlink"/>
            <w:noProof/>
          </w:rPr>
          <w:t>Sources of information about the Job Commitment Bonus</w:t>
        </w:r>
        <w:r w:rsidR="00B55D4D">
          <w:rPr>
            <w:noProof/>
            <w:webHidden/>
          </w:rPr>
          <w:tab/>
        </w:r>
        <w:r w:rsidR="00B55D4D">
          <w:rPr>
            <w:noProof/>
            <w:webHidden/>
          </w:rPr>
          <w:fldChar w:fldCharType="begin"/>
        </w:r>
        <w:r w:rsidR="00B55D4D">
          <w:rPr>
            <w:noProof/>
            <w:webHidden/>
          </w:rPr>
          <w:instrText xml:space="preserve"> PAGEREF _Toc507600314 \h </w:instrText>
        </w:r>
        <w:r w:rsidR="00B55D4D">
          <w:rPr>
            <w:noProof/>
            <w:webHidden/>
          </w:rPr>
        </w:r>
        <w:r w:rsidR="00B55D4D">
          <w:rPr>
            <w:noProof/>
            <w:webHidden/>
          </w:rPr>
          <w:fldChar w:fldCharType="separate"/>
        </w:r>
        <w:r w:rsidR="00B55D4D">
          <w:rPr>
            <w:noProof/>
            <w:webHidden/>
          </w:rPr>
          <w:t>47</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15" w:history="1">
        <w:r w:rsidR="00B55D4D" w:rsidRPr="00BD2855">
          <w:rPr>
            <w:rStyle w:val="Hyperlink"/>
            <w:noProof/>
          </w:rPr>
          <w:t xml:space="preserve">Table 3.11: </w:t>
        </w:r>
        <w:r w:rsidR="00B43D2E">
          <w:rPr>
            <w:rStyle w:val="Hyperlink"/>
            <w:noProof/>
          </w:rPr>
          <w:tab/>
        </w:r>
        <w:r w:rsidR="00B55D4D" w:rsidRPr="00BD2855">
          <w:rPr>
            <w:rStyle w:val="Hyperlink"/>
            <w:noProof/>
          </w:rPr>
          <w:t>Monthly transition probabilities for 15-24 year olds, July 2013 to June 2014</w:t>
        </w:r>
        <w:r w:rsidR="00B55D4D">
          <w:rPr>
            <w:noProof/>
            <w:webHidden/>
          </w:rPr>
          <w:tab/>
        </w:r>
        <w:r w:rsidR="00B55D4D">
          <w:rPr>
            <w:noProof/>
            <w:webHidden/>
          </w:rPr>
          <w:fldChar w:fldCharType="begin"/>
        </w:r>
        <w:r w:rsidR="00B55D4D">
          <w:rPr>
            <w:noProof/>
            <w:webHidden/>
          </w:rPr>
          <w:instrText xml:space="preserve"> PAGEREF _Toc507600315 \h </w:instrText>
        </w:r>
        <w:r w:rsidR="00B55D4D">
          <w:rPr>
            <w:noProof/>
            <w:webHidden/>
          </w:rPr>
        </w:r>
        <w:r w:rsidR="00B55D4D">
          <w:rPr>
            <w:noProof/>
            <w:webHidden/>
          </w:rPr>
          <w:fldChar w:fldCharType="separate"/>
        </w:r>
        <w:r w:rsidR="00B55D4D">
          <w:rPr>
            <w:noProof/>
            <w:webHidden/>
          </w:rPr>
          <w:t>53</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16" w:history="1">
        <w:r w:rsidR="00B55D4D" w:rsidRPr="00BD2855">
          <w:rPr>
            <w:rStyle w:val="Hyperlink"/>
            <w:noProof/>
          </w:rPr>
          <w:t xml:space="preserve">Table E.1: </w:t>
        </w:r>
        <w:r w:rsidR="00B43D2E">
          <w:rPr>
            <w:rStyle w:val="Hyperlink"/>
            <w:noProof/>
          </w:rPr>
          <w:tab/>
        </w:r>
        <w:r w:rsidR="00B55D4D" w:rsidRPr="00BD2855">
          <w:rPr>
            <w:rStyle w:val="Hyperlink"/>
            <w:noProof/>
          </w:rPr>
          <w:t>Description of study populations and dates of analysis</w:t>
        </w:r>
        <w:r w:rsidR="00B55D4D">
          <w:rPr>
            <w:noProof/>
            <w:webHidden/>
          </w:rPr>
          <w:tab/>
        </w:r>
        <w:r w:rsidR="00B55D4D">
          <w:rPr>
            <w:noProof/>
            <w:webHidden/>
          </w:rPr>
          <w:fldChar w:fldCharType="begin"/>
        </w:r>
        <w:r w:rsidR="00B55D4D">
          <w:rPr>
            <w:noProof/>
            <w:webHidden/>
          </w:rPr>
          <w:instrText xml:space="preserve"> PAGEREF _Toc507600316 \h </w:instrText>
        </w:r>
        <w:r w:rsidR="00B55D4D">
          <w:rPr>
            <w:noProof/>
            <w:webHidden/>
          </w:rPr>
        </w:r>
        <w:r w:rsidR="00B55D4D">
          <w:rPr>
            <w:noProof/>
            <w:webHidden/>
          </w:rPr>
          <w:fldChar w:fldCharType="separate"/>
        </w:r>
        <w:r w:rsidR="00B55D4D">
          <w:rPr>
            <w:noProof/>
            <w:webHidden/>
          </w:rPr>
          <w:t>109</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17" w:history="1">
        <w:r w:rsidR="00B55D4D" w:rsidRPr="00BD2855">
          <w:rPr>
            <w:rStyle w:val="Hyperlink"/>
            <w:noProof/>
          </w:rPr>
          <w:t>Table F.1:</w:t>
        </w:r>
        <w:r w:rsidR="00B43D2E">
          <w:rPr>
            <w:rStyle w:val="Hyperlink"/>
            <w:noProof/>
          </w:rPr>
          <w:tab/>
        </w:r>
        <w:r w:rsidR="00B55D4D" w:rsidRPr="00BD2855">
          <w:rPr>
            <w:rStyle w:val="Hyperlink"/>
            <w:noProof/>
          </w:rPr>
          <w:t xml:space="preserve"> Number of letters with cancellation paragraph sent by month, July 2014 to June 2015</w:t>
        </w:r>
        <w:r w:rsidR="00B55D4D">
          <w:rPr>
            <w:noProof/>
            <w:webHidden/>
          </w:rPr>
          <w:tab/>
        </w:r>
        <w:r w:rsidR="00B55D4D">
          <w:rPr>
            <w:noProof/>
            <w:webHidden/>
          </w:rPr>
          <w:fldChar w:fldCharType="begin"/>
        </w:r>
        <w:r w:rsidR="00B55D4D">
          <w:rPr>
            <w:noProof/>
            <w:webHidden/>
          </w:rPr>
          <w:instrText xml:space="preserve"> PAGEREF _Toc507600317 \h </w:instrText>
        </w:r>
        <w:r w:rsidR="00B55D4D">
          <w:rPr>
            <w:noProof/>
            <w:webHidden/>
          </w:rPr>
        </w:r>
        <w:r w:rsidR="00B55D4D">
          <w:rPr>
            <w:noProof/>
            <w:webHidden/>
          </w:rPr>
          <w:fldChar w:fldCharType="separate"/>
        </w:r>
        <w:r w:rsidR="00B55D4D">
          <w:rPr>
            <w:noProof/>
            <w:webHidden/>
          </w:rPr>
          <w:t>111</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18" w:history="1">
        <w:r w:rsidR="00B55D4D" w:rsidRPr="00BD2855">
          <w:rPr>
            <w:rStyle w:val="Hyperlink"/>
            <w:noProof/>
          </w:rPr>
          <w:t xml:space="preserve">Table F.2: </w:t>
        </w:r>
        <w:r w:rsidR="00B43D2E">
          <w:rPr>
            <w:rStyle w:val="Hyperlink"/>
            <w:noProof/>
          </w:rPr>
          <w:tab/>
        </w:r>
        <w:r w:rsidR="00B55D4D" w:rsidRPr="00BD2855">
          <w:rPr>
            <w:rStyle w:val="Hyperlink"/>
            <w:noProof/>
          </w:rPr>
          <w:t>Proportion of those who were potentially eligible who lodged a claim by highest level of education compared to those with either Year 12 or TAFE education (per cent)</w:t>
        </w:r>
        <w:r w:rsidR="00B55D4D">
          <w:rPr>
            <w:noProof/>
            <w:webHidden/>
          </w:rPr>
          <w:tab/>
        </w:r>
        <w:r w:rsidR="00B55D4D">
          <w:rPr>
            <w:noProof/>
            <w:webHidden/>
          </w:rPr>
          <w:fldChar w:fldCharType="begin"/>
        </w:r>
        <w:r w:rsidR="00B55D4D">
          <w:rPr>
            <w:noProof/>
            <w:webHidden/>
          </w:rPr>
          <w:instrText xml:space="preserve"> PAGEREF _Toc507600318 \h </w:instrText>
        </w:r>
        <w:r w:rsidR="00B55D4D">
          <w:rPr>
            <w:noProof/>
            <w:webHidden/>
          </w:rPr>
        </w:r>
        <w:r w:rsidR="00B55D4D">
          <w:rPr>
            <w:noProof/>
            <w:webHidden/>
          </w:rPr>
          <w:fldChar w:fldCharType="separate"/>
        </w:r>
        <w:r w:rsidR="00B55D4D">
          <w:rPr>
            <w:noProof/>
            <w:webHidden/>
          </w:rPr>
          <w:t>112</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19" w:history="1">
        <w:r w:rsidR="00B55D4D" w:rsidRPr="00BD2855">
          <w:rPr>
            <w:rStyle w:val="Hyperlink"/>
            <w:noProof/>
          </w:rPr>
          <w:t xml:space="preserve">Table F.3: </w:t>
        </w:r>
        <w:r w:rsidR="00B43D2E">
          <w:rPr>
            <w:rStyle w:val="Hyperlink"/>
            <w:noProof/>
          </w:rPr>
          <w:tab/>
        </w:r>
        <w:r w:rsidR="00B55D4D" w:rsidRPr="00BD2855">
          <w:rPr>
            <w:rStyle w:val="Hyperlink"/>
            <w:noProof/>
          </w:rPr>
          <w:t xml:space="preserve">Proportion of those who were potentially eligible who lodged a claim by selected </w:t>
        </w:r>
        <w:r w:rsidR="00B43D2E">
          <w:rPr>
            <w:rStyle w:val="Hyperlink"/>
            <w:noProof/>
          </w:rPr>
          <w:br/>
        </w:r>
        <w:r w:rsidR="00B55D4D" w:rsidRPr="00BD2855">
          <w:rPr>
            <w:rStyle w:val="Hyperlink"/>
            <w:noProof/>
          </w:rPr>
          <w:t>demographics (per cent)</w:t>
        </w:r>
        <w:r w:rsidR="00B55D4D">
          <w:rPr>
            <w:noProof/>
            <w:webHidden/>
          </w:rPr>
          <w:tab/>
        </w:r>
        <w:r w:rsidR="00B55D4D">
          <w:rPr>
            <w:noProof/>
            <w:webHidden/>
          </w:rPr>
          <w:fldChar w:fldCharType="begin"/>
        </w:r>
        <w:r w:rsidR="00B55D4D">
          <w:rPr>
            <w:noProof/>
            <w:webHidden/>
          </w:rPr>
          <w:instrText xml:space="preserve"> PAGEREF _Toc507600319 \h </w:instrText>
        </w:r>
        <w:r w:rsidR="00B55D4D">
          <w:rPr>
            <w:noProof/>
            <w:webHidden/>
          </w:rPr>
        </w:r>
        <w:r w:rsidR="00B55D4D">
          <w:rPr>
            <w:noProof/>
            <w:webHidden/>
          </w:rPr>
          <w:fldChar w:fldCharType="separate"/>
        </w:r>
        <w:r w:rsidR="00B55D4D">
          <w:rPr>
            <w:noProof/>
            <w:webHidden/>
          </w:rPr>
          <w:t>112</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20" w:history="1">
        <w:r w:rsidR="00B55D4D" w:rsidRPr="00BD2855">
          <w:rPr>
            <w:rStyle w:val="Hyperlink"/>
            <w:noProof/>
          </w:rPr>
          <w:t xml:space="preserve">Table F.4: </w:t>
        </w:r>
        <w:r w:rsidR="00B43D2E">
          <w:rPr>
            <w:rStyle w:val="Hyperlink"/>
            <w:noProof/>
          </w:rPr>
          <w:tab/>
        </w:r>
        <w:r w:rsidR="00B55D4D" w:rsidRPr="00BD2855">
          <w:rPr>
            <w:rStyle w:val="Hyperlink"/>
            <w:noProof/>
          </w:rPr>
          <w:t>Difference in probability that a person have lodged a claim as opposed to being potentially eligible and did not claim (regressed results) (percentage point)</w:t>
        </w:r>
        <w:r w:rsidR="00B55D4D">
          <w:rPr>
            <w:noProof/>
            <w:webHidden/>
          </w:rPr>
          <w:tab/>
        </w:r>
        <w:r w:rsidR="00B55D4D">
          <w:rPr>
            <w:noProof/>
            <w:webHidden/>
          </w:rPr>
          <w:fldChar w:fldCharType="begin"/>
        </w:r>
        <w:r w:rsidR="00B55D4D">
          <w:rPr>
            <w:noProof/>
            <w:webHidden/>
          </w:rPr>
          <w:instrText xml:space="preserve"> PAGEREF _Toc507600320 \h </w:instrText>
        </w:r>
        <w:r w:rsidR="00B55D4D">
          <w:rPr>
            <w:noProof/>
            <w:webHidden/>
          </w:rPr>
        </w:r>
        <w:r w:rsidR="00B55D4D">
          <w:rPr>
            <w:noProof/>
            <w:webHidden/>
          </w:rPr>
          <w:fldChar w:fldCharType="separate"/>
        </w:r>
        <w:r w:rsidR="00B55D4D">
          <w:rPr>
            <w:noProof/>
            <w:webHidden/>
          </w:rPr>
          <w:t>113</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21" w:history="1">
        <w:r w:rsidR="00B55D4D" w:rsidRPr="00BD2855">
          <w:rPr>
            <w:rStyle w:val="Hyperlink"/>
            <w:noProof/>
          </w:rPr>
          <w:t xml:space="preserve">Table F.5: </w:t>
        </w:r>
        <w:r w:rsidR="00B43D2E">
          <w:rPr>
            <w:rStyle w:val="Hyperlink"/>
            <w:noProof/>
          </w:rPr>
          <w:tab/>
        </w:r>
        <w:r w:rsidR="00B55D4D" w:rsidRPr="00BD2855">
          <w:rPr>
            <w:rStyle w:val="Hyperlink"/>
            <w:noProof/>
          </w:rPr>
          <w:t xml:space="preserve">Difference in probability that a person will have lodged a claim as opposed to not having </w:t>
        </w:r>
        <w:r w:rsidR="00B43D2E">
          <w:rPr>
            <w:rStyle w:val="Hyperlink"/>
            <w:noProof/>
          </w:rPr>
          <w:br/>
        </w:r>
        <w:r w:rsidR="00B55D4D" w:rsidRPr="00BD2855">
          <w:rPr>
            <w:rStyle w:val="Hyperlink"/>
            <w:noProof/>
          </w:rPr>
          <w:t>claimed considering how much EPF support received (regressed results) (percentage point)</w:t>
        </w:r>
        <w:r w:rsidR="00B55D4D">
          <w:rPr>
            <w:noProof/>
            <w:webHidden/>
          </w:rPr>
          <w:tab/>
        </w:r>
        <w:r w:rsidR="00B55D4D">
          <w:rPr>
            <w:noProof/>
            <w:webHidden/>
          </w:rPr>
          <w:fldChar w:fldCharType="begin"/>
        </w:r>
        <w:r w:rsidR="00B55D4D">
          <w:rPr>
            <w:noProof/>
            <w:webHidden/>
          </w:rPr>
          <w:instrText xml:space="preserve"> PAGEREF _Toc507600321 \h </w:instrText>
        </w:r>
        <w:r w:rsidR="00B55D4D">
          <w:rPr>
            <w:noProof/>
            <w:webHidden/>
          </w:rPr>
        </w:r>
        <w:r w:rsidR="00B55D4D">
          <w:rPr>
            <w:noProof/>
            <w:webHidden/>
          </w:rPr>
          <w:fldChar w:fldCharType="separate"/>
        </w:r>
        <w:r w:rsidR="00B55D4D">
          <w:rPr>
            <w:noProof/>
            <w:webHidden/>
          </w:rPr>
          <w:t>115</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22" w:history="1">
        <w:r w:rsidR="00B55D4D" w:rsidRPr="00BD2855">
          <w:rPr>
            <w:rStyle w:val="Hyperlink"/>
            <w:noProof/>
          </w:rPr>
          <w:t xml:space="preserve">Table F.6: </w:t>
        </w:r>
        <w:r w:rsidR="00B43D2E">
          <w:rPr>
            <w:rStyle w:val="Hyperlink"/>
            <w:noProof/>
          </w:rPr>
          <w:tab/>
        </w:r>
        <w:r w:rsidR="00B55D4D" w:rsidRPr="00BD2855">
          <w:rPr>
            <w:rStyle w:val="Hyperlink"/>
            <w:noProof/>
          </w:rPr>
          <w:t xml:space="preserve">Difference in probability that a person will have lodged a claim as opposed to not having </w:t>
        </w:r>
        <w:r w:rsidR="00B43D2E">
          <w:rPr>
            <w:rStyle w:val="Hyperlink"/>
            <w:noProof/>
          </w:rPr>
          <w:br/>
        </w:r>
        <w:r w:rsidR="00B55D4D" w:rsidRPr="00BD2855">
          <w:rPr>
            <w:rStyle w:val="Hyperlink"/>
            <w:noProof/>
          </w:rPr>
          <w:t>claimed considering type of EPF support received (regressed results) (percentage point)</w:t>
        </w:r>
        <w:r w:rsidR="00B55D4D">
          <w:rPr>
            <w:noProof/>
            <w:webHidden/>
          </w:rPr>
          <w:tab/>
        </w:r>
        <w:r w:rsidR="00B55D4D">
          <w:rPr>
            <w:noProof/>
            <w:webHidden/>
          </w:rPr>
          <w:fldChar w:fldCharType="begin"/>
        </w:r>
        <w:r w:rsidR="00B55D4D">
          <w:rPr>
            <w:noProof/>
            <w:webHidden/>
          </w:rPr>
          <w:instrText xml:space="preserve"> PAGEREF _Toc507600322 \h </w:instrText>
        </w:r>
        <w:r w:rsidR="00B55D4D">
          <w:rPr>
            <w:noProof/>
            <w:webHidden/>
          </w:rPr>
        </w:r>
        <w:r w:rsidR="00B55D4D">
          <w:rPr>
            <w:noProof/>
            <w:webHidden/>
          </w:rPr>
          <w:fldChar w:fldCharType="separate"/>
        </w:r>
        <w:r w:rsidR="00B55D4D">
          <w:rPr>
            <w:noProof/>
            <w:webHidden/>
          </w:rPr>
          <w:t>117</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23" w:history="1">
        <w:r w:rsidR="00B55D4D" w:rsidRPr="00BD2855">
          <w:rPr>
            <w:rStyle w:val="Hyperlink"/>
            <w:noProof/>
          </w:rPr>
          <w:t xml:space="preserve">Table F.7: </w:t>
        </w:r>
        <w:r w:rsidR="00B43D2E">
          <w:rPr>
            <w:rStyle w:val="Hyperlink"/>
            <w:noProof/>
          </w:rPr>
          <w:tab/>
        </w:r>
        <w:r w:rsidR="00B55D4D" w:rsidRPr="00BD2855">
          <w:rPr>
            <w:rStyle w:val="Hyperlink"/>
            <w:noProof/>
          </w:rPr>
          <w:t>Difference in probability that a person will have lodged a claim as opposed to not having left income support within 12 months of becoming LTU by level of EPF expenditure from commencement to 12 months after becoming LTU (regressed results) (percentage point)</w:t>
        </w:r>
        <w:r w:rsidR="00B55D4D">
          <w:rPr>
            <w:noProof/>
            <w:webHidden/>
          </w:rPr>
          <w:tab/>
        </w:r>
        <w:r w:rsidR="00B55D4D">
          <w:rPr>
            <w:noProof/>
            <w:webHidden/>
          </w:rPr>
          <w:fldChar w:fldCharType="begin"/>
        </w:r>
        <w:r w:rsidR="00B55D4D">
          <w:rPr>
            <w:noProof/>
            <w:webHidden/>
          </w:rPr>
          <w:instrText xml:space="preserve"> PAGEREF _Toc507600323 \h </w:instrText>
        </w:r>
        <w:r w:rsidR="00B55D4D">
          <w:rPr>
            <w:noProof/>
            <w:webHidden/>
          </w:rPr>
        </w:r>
        <w:r w:rsidR="00B55D4D">
          <w:rPr>
            <w:noProof/>
            <w:webHidden/>
          </w:rPr>
          <w:fldChar w:fldCharType="separate"/>
        </w:r>
        <w:r w:rsidR="00B55D4D">
          <w:rPr>
            <w:noProof/>
            <w:webHidden/>
          </w:rPr>
          <w:t>119</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24" w:history="1">
        <w:r w:rsidR="00B55D4D" w:rsidRPr="00BD2855">
          <w:rPr>
            <w:rStyle w:val="Hyperlink"/>
            <w:noProof/>
          </w:rPr>
          <w:t xml:space="preserve">Table F.8: </w:t>
        </w:r>
        <w:r w:rsidR="00B43D2E">
          <w:rPr>
            <w:rStyle w:val="Hyperlink"/>
            <w:noProof/>
          </w:rPr>
          <w:tab/>
        </w:r>
        <w:r w:rsidR="00B55D4D" w:rsidRPr="00BD2855">
          <w:rPr>
            <w:rStyle w:val="Hyperlink"/>
            <w:noProof/>
          </w:rPr>
          <w:t xml:space="preserve">Difference in probability that a person will have lodged a claim as opposed to not having </w:t>
        </w:r>
        <w:r w:rsidR="00B43D2E">
          <w:rPr>
            <w:rStyle w:val="Hyperlink"/>
            <w:noProof/>
          </w:rPr>
          <w:br/>
        </w:r>
        <w:r w:rsidR="00B55D4D" w:rsidRPr="00BD2855">
          <w:rPr>
            <w:rStyle w:val="Hyperlink"/>
            <w:noProof/>
          </w:rPr>
          <w:t>churned back on to income support within 12 months of becoming LTU by level of EPF expenditure from commencement to 12 months after becoming LTU (regressed results) (percentage point)</w:t>
        </w:r>
        <w:r w:rsidR="00B55D4D">
          <w:rPr>
            <w:noProof/>
            <w:webHidden/>
          </w:rPr>
          <w:tab/>
        </w:r>
        <w:r w:rsidR="00B55D4D">
          <w:rPr>
            <w:noProof/>
            <w:webHidden/>
          </w:rPr>
          <w:fldChar w:fldCharType="begin"/>
        </w:r>
        <w:r w:rsidR="00B55D4D">
          <w:rPr>
            <w:noProof/>
            <w:webHidden/>
          </w:rPr>
          <w:instrText xml:space="preserve"> PAGEREF _Toc507600324 \h </w:instrText>
        </w:r>
        <w:r w:rsidR="00B55D4D">
          <w:rPr>
            <w:noProof/>
            <w:webHidden/>
          </w:rPr>
        </w:r>
        <w:r w:rsidR="00B55D4D">
          <w:rPr>
            <w:noProof/>
            <w:webHidden/>
          </w:rPr>
          <w:fldChar w:fldCharType="separate"/>
        </w:r>
        <w:r w:rsidR="00B55D4D">
          <w:rPr>
            <w:noProof/>
            <w:webHidden/>
          </w:rPr>
          <w:t>121</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25" w:history="1">
        <w:r w:rsidR="00B55D4D" w:rsidRPr="00BD2855">
          <w:rPr>
            <w:rStyle w:val="Hyperlink"/>
            <w:noProof/>
          </w:rPr>
          <w:t xml:space="preserve">Table F.9: </w:t>
        </w:r>
        <w:r w:rsidR="00B43D2E">
          <w:rPr>
            <w:rStyle w:val="Hyperlink"/>
            <w:noProof/>
          </w:rPr>
          <w:tab/>
        </w:r>
        <w:r w:rsidR="00B55D4D" w:rsidRPr="00BD2855">
          <w:rPr>
            <w:rStyle w:val="Hyperlink"/>
            <w:noProof/>
          </w:rPr>
          <w:t>Employees with paid leave entitlements, 18 to 30 year olds</w:t>
        </w:r>
        <w:r w:rsidR="00B55D4D">
          <w:rPr>
            <w:noProof/>
            <w:webHidden/>
          </w:rPr>
          <w:tab/>
        </w:r>
        <w:r w:rsidR="00B55D4D">
          <w:rPr>
            <w:noProof/>
            <w:webHidden/>
          </w:rPr>
          <w:fldChar w:fldCharType="begin"/>
        </w:r>
        <w:r w:rsidR="00B55D4D">
          <w:rPr>
            <w:noProof/>
            <w:webHidden/>
          </w:rPr>
          <w:instrText xml:space="preserve"> PAGEREF _Toc507600325 \h </w:instrText>
        </w:r>
        <w:r w:rsidR="00B55D4D">
          <w:rPr>
            <w:noProof/>
            <w:webHidden/>
          </w:rPr>
        </w:r>
        <w:r w:rsidR="00B55D4D">
          <w:rPr>
            <w:noProof/>
            <w:webHidden/>
          </w:rPr>
          <w:fldChar w:fldCharType="separate"/>
        </w:r>
        <w:r w:rsidR="00B55D4D">
          <w:rPr>
            <w:noProof/>
            <w:webHidden/>
          </w:rPr>
          <w:t>123</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26" w:history="1">
        <w:r w:rsidR="00B55D4D" w:rsidRPr="00BD2855">
          <w:rPr>
            <w:rStyle w:val="Hyperlink"/>
            <w:noProof/>
          </w:rPr>
          <w:t xml:space="preserve">Table F.10: </w:t>
        </w:r>
        <w:r w:rsidR="00B43D2E">
          <w:rPr>
            <w:rStyle w:val="Hyperlink"/>
            <w:noProof/>
          </w:rPr>
          <w:tab/>
        </w:r>
        <w:r w:rsidR="00B55D4D" w:rsidRPr="00BD2855">
          <w:rPr>
            <w:rStyle w:val="Hyperlink"/>
            <w:noProof/>
          </w:rPr>
          <w:t>Preferred payment options</w:t>
        </w:r>
        <w:r w:rsidR="00B55D4D">
          <w:rPr>
            <w:noProof/>
            <w:webHidden/>
          </w:rPr>
          <w:tab/>
        </w:r>
        <w:r w:rsidR="00B55D4D">
          <w:rPr>
            <w:noProof/>
            <w:webHidden/>
          </w:rPr>
          <w:fldChar w:fldCharType="begin"/>
        </w:r>
        <w:r w:rsidR="00B55D4D">
          <w:rPr>
            <w:noProof/>
            <w:webHidden/>
          </w:rPr>
          <w:instrText xml:space="preserve"> PAGEREF _Toc507600326 \h </w:instrText>
        </w:r>
        <w:r w:rsidR="00B55D4D">
          <w:rPr>
            <w:noProof/>
            <w:webHidden/>
          </w:rPr>
        </w:r>
        <w:r w:rsidR="00B55D4D">
          <w:rPr>
            <w:noProof/>
            <w:webHidden/>
          </w:rPr>
          <w:fldChar w:fldCharType="separate"/>
        </w:r>
        <w:r w:rsidR="00B55D4D">
          <w:rPr>
            <w:noProof/>
            <w:webHidden/>
          </w:rPr>
          <w:t>124</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27" w:history="1">
        <w:r w:rsidR="00B55D4D" w:rsidRPr="00BD2855">
          <w:rPr>
            <w:rStyle w:val="Hyperlink"/>
            <w:noProof/>
          </w:rPr>
          <w:t xml:space="preserve">Table F.11: </w:t>
        </w:r>
        <w:r w:rsidR="00B43D2E">
          <w:rPr>
            <w:rStyle w:val="Hyperlink"/>
            <w:noProof/>
          </w:rPr>
          <w:tab/>
        </w:r>
        <w:r w:rsidR="00B55D4D" w:rsidRPr="00BD2855">
          <w:rPr>
            <w:rStyle w:val="Hyperlink"/>
            <w:noProof/>
          </w:rPr>
          <w:t xml:space="preserve">Employment outcomes for those aged 18 to 30 years who had been on either NSA or YA(O) </w:t>
        </w:r>
        <w:r w:rsidR="00B43D2E">
          <w:rPr>
            <w:rStyle w:val="Hyperlink"/>
            <w:noProof/>
          </w:rPr>
          <w:br/>
        </w:r>
        <w:r w:rsidR="00B55D4D" w:rsidRPr="00BD2855">
          <w:rPr>
            <w:rStyle w:val="Hyperlink"/>
            <w:noProof/>
          </w:rPr>
          <w:t>and unemployed 12 months or longer</w:t>
        </w:r>
        <w:r w:rsidR="00B55D4D">
          <w:rPr>
            <w:noProof/>
            <w:webHidden/>
          </w:rPr>
          <w:tab/>
        </w:r>
        <w:r w:rsidR="00B55D4D">
          <w:rPr>
            <w:noProof/>
            <w:webHidden/>
          </w:rPr>
          <w:fldChar w:fldCharType="begin"/>
        </w:r>
        <w:r w:rsidR="00B55D4D">
          <w:rPr>
            <w:noProof/>
            <w:webHidden/>
          </w:rPr>
          <w:instrText xml:space="preserve"> PAGEREF _Toc507600327 \h </w:instrText>
        </w:r>
        <w:r w:rsidR="00B55D4D">
          <w:rPr>
            <w:noProof/>
            <w:webHidden/>
          </w:rPr>
        </w:r>
        <w:r w:rsidR="00B55D4D">
          <w:rPr>
            <w:noProof/>
            <w:webHidden/>
          </w:rPr>
          <w:fldChar w:fldCharType="separate"/>
        </w:r>
        <w:r w:rsidR="00B55D4D">
          <w:rPr>
            <w:noProof/>
            <w:webHidden/>
          </w:rPr>
          <w:t>125</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28" w:history="1">
        <w:r w:rsidR="00B55D4D" w:rsidRPr="00BD2855">
          <w:rPr>
            <w:rStyle w:val="Hyperlink"/>
            <w:noProof/>
          </w:rPr>
          <w:t xml:space="preserve">Table F.12: </w:t>
        </w:r>
        <w:r w:rsidR="00B43D2E">
          <w:rPr>
            <w:rStyle w:val="Hyperlink"/>
            <w:noProof/>
          </w:rPr>
          <w:tab/>
        </w:r>
        <w:r w:rsidR="00B55D4D" w:rsidRPr="00BD2855">
          <w:rPr>
            <w:rStyle w:val="Hyperlink"/>
            <w:noProof/>
          </w:rPr>
          <w:t xml:space="preserve">RDD model parameters for the average number of days to first job placement after </w:t>
        </w:r>
        <w:r w:rsidR="00B43D2E">
          <w:rPr>
            <w:rStyle w:val="Hyperlink"/>
            <w:noProof/>
          </w:rPr>
          <w:br/>
        </w:r>
        <w:r w:rsidR="00B55D4D" w:rsidRPr="00BD2855">
          <w:rPr>
            <w:rStyle w:val="Hyperlink"/>
            <w:noProof/>
          </w:rPr>
          <w:t>becoming LTU by model type, higher end of the JCB age range</w:t>
        </w:r>
        <w:r w:rsidR="00B55D4D">
          <w:rPr>
            <w:noProof/>
            <w:webHidden/>
          </w:rPr>
          <w:tab/>
        </w:r>
        <w:r w:rsidR="00B55D4D">
          <w:rPr>
            <w:noProof/>
            <w:webHidden/>
          </w:rPr>
          <w:fldChar w:fldCharType="begin"/>
        </w:r>
        <w:r w:rsidR="00B55D4D">
          <w:rPr>
            <w:noProof/>
            <w:webHidden/>
          </w:rPr>
          <w:instrText xml:space="preserve"> PAGEREF _Toc507600328 \h </w:instrText>
        </w:r>
        <w:r w:rsidR="00B55D4D">
          <w:rPr>
            <w:noProof/>
            <w:webHidden/>
          </w:rPr>
        </w:r>
        <w:r w:rsidR="00B55D4D">
          <w:rPr>
            <w:noProof/>
            <w:webHidden/>
          </w:rPr>
          <w:fldChar w:fldCharType="separate"/>
        </w:r>
        <w:r w:rsidR="00B55D4D">
          <w:rPr>
            <w:noProof/>
            <w:webHidden/>
          </w:rPr>
          <w:t>127</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29" w:history="1">
        <w:r w:rsidR="00B55D4D" w:rsidRPr="00BD2855">
          <w:rPr>
            <w:rStyle w:val="Hyperlink"/>
            <w:noProof/>
          </w:rPr>
          <w:t xml:space="preserve">Table F.13: </w:t>
        </w:r>
        <w:r w:rsidR="00B43D2E">
          <w:rPr>
            <w:rStyle w:val="Hyperlink"/>
            <w:noProof/>
          </w:rPr>
          <w:tab/>
        </w:r>
        <w:r w:rsidR="00B55D4D" w:rsidRPr="00BD2855">
          <w:rPr>
            <w:rStyle w:val="Hyperlink"/>
            <w:noProof/>
          </w:rPr>
          <w:t>Difference in difference regression analysis of probability of obtaining a job placement within 180 days of becoming LTU, higher end of the JCB age range</w:t>
        </w:r>
        <w:r w:rsidR="00B55D4D">
          <w:rPr>
            <w:noProof/>
            <w:webHidden/>
          </w:rPr>
          <w:tab/>
        </w:r>
        <w:r w:rsidR="00B55D4D">
          <w:rPr>
            <w:noProof/>
            <w:webHidden/>
          </w:rPr>
          <w:fldChar w:fldCharType="begin"/>
        </w:r>
        <w:r w:rsidR="00B55D4D">
          <w:rPr>
            <w:noProof/>
            <w:webHidden/>
          </w:rPr>
          <w:instrText xml:space="preserve"> PAGEREF _Toc507600329 \h </w:instrText>
        </w:r>
        <w:r w:rsidR="00B55D4D">
          <w:rPr>
            <w:noProof/>
            <w:webHidden/>
          </w:rPr>
        </w:r>
        <w:r w:rsidR="00B55D4D">
          <w:rPr>
            <w:noProof/>
            <w:webHidden/>
          </w:rPr>
          <w:fldChar w:fldCharType="separate"/>
        </w:r>
        <w:r w:rsidR="00B55D4D">
          <w:rPr>
            <w:noProof/>
            <w:webHidden/>
          </w:rPr>
          <w:t>128</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30" w:history="1">
        <w:r w:rsidR="00B55D4D" w:rsidRPr="00BD2855">
          <w:rPr>
            <w:rStyle w:val="Hyperlink"/>
            <w:noProof/>
          </w:rPr>
          <w:t xml:space="preserve">Table F.14: </w:t>
        </w:r>
        <w:r w:rsidR="00B43D2E">
          <w:rPr>
            <w:rStyle w:val="Hyperlink"/>
            <w:noProof/>
          </w:rPr>
          <w:tab/>
        </w:r>
        <w:r w:rsidR="00B55D4D" w:rsidRPr="00BD2855">
          <w:rPr>
            <w:rStyle w:val="Hyperlink"/>
            <w:noProof/>
          </w:rPr>
          <w:t>RDD model parameters for the time in employment services after becoming LTU by model type, higher end of the JCB age range</w:t>
        </w:r>
        <w:r w:rsidR="00B55D4D">
          <w:rPr>
            <w:noProof/>
            <w:webHidden/>
          </w:rPr>
          <w:tab/>
        </w:r>
        <w:r w:rsidR="00B55D4D">
          <w:rPr>
            <w:noProof/>
            <w:webHidden/>
          </w:rPr>
          <w:fldChar w:fldCharType="begin"/>
        </w:r>
        <w:r w:rsidR="00B55D4D">
          <w:rPr>
            <w:noProof/>
            <w:webHidden/>
          </w:rPr>
          <w:instrText xml:space="preserve"> PAGEREF _Toc507600330 \h </w:instrText>
        </w:r>
        <w:r w:rsidR="00B55D4D">
          <w:rPr>
            <w:noProof/>
            <w:webHidden/>
          </w:rPr>
        </w:r>
        <w:r w:rsidR="00B55D4D">
          <w:rPr>
            <w:noProof/>
            <w:webHidden/>
          </w:rPr>
          <w:fldChar w:fldCharType="separate"/>
        </w:r>
        <w:r w:rsidR="00B55D4D">
          <w:rPr>
            <w:noProof/>
            <w:webHidden/>
          </w:rPr>
          <w:t>131</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31" w:history="1">
        <w:r w:rsidR="00B55D4D" w:rsidRPr="00BD2855">
          <w:rPr>
            <w:rStyle w:val="Hyperlink"/>
            <w:noProof/>
          </w:rPr>
          <w:t xml:space="preserve">Table F.15: </w:t>
        </w:r>
        <w:r w:rsidR="00B43D2E">
          <w:rPr>
            <w:rStyle w:val="Hyperlink"/>
            <w:noProof/>
          </w:rPr>
          <w:tab/>
        </w:r>
        <w:r w:rsidR="00B55D4D" w:rsidRPr="00BD2855">
          <w:rPr>
            <w:rStyle w:val="Hyperlink"/>
            <w:noProof/>
          </w:rPr>
          <w:t>RDD model parameters for the time to exit income support after becoming LTU by model type, higher end of the JCB age range</w:t>
        </w:r>
        <w:r w:rsidR="00B55D4D">
          <w:rPr>
            <w:noProof/>
            <w:webHidden/>
          </w:rPr>
          <w:tab/>
        </w:r>
        <w:r w:rsidR="00B55D4D">
          <w:rPr>
            <w:noProof/>
            <w:webHidden/>
          </w:rPr>
          <w:fldChar w:fldCharType="begin"/>
        </w:r>
        <w:r w:rsidR="00B55D4D">
          <w:rPr>
            <w:noProof/>
            <w:webHidden/>
          </w:rPr>
          <w:instrText xml:space="preserve"> PAGEREF _Toc507600331 \h </w:instrText>
        </w:r>
        <w:r w:rsidR="00B55D4D">
          <w:rPr>
            <w:noProof/>
            <w:webHidden/>
          </w:rPr>
        </w:r>
        <w:r w:rsidR="00B55D4D">
          <w:rPr>
            <w:noProof/>
            <w:webHidden/>
          </w:rPr>
          <w:fldChar w:fldCharType="separate"/>
        </w:r>
        <w:r w:rsidR="00B55D4D">
          <w:rPr>
            <w:noProof/>
            <w:webHidden/>
          </w:rPr>
          <w:t>131</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32" w:history="1">
        <w:r w:rsidR="00B55D4D" w:rsidRPr="00BD2855">
          <w:rPr>
            <w:rStyle w:val="Hyperlink"/>
            <w:noProof/>
          </w:rPr>
          <w:t xml:space="preserve">Table F.16: </w:t>
        </w:r>
        <w:r w:rsidR="00B43D2E">
          <w:rPr>
            <w:rStyle w:val="Hyperlink"/>
            <w:noProof/>
          </w:rPr>
          <w:tab/>
        </w:r>
        <w:r w:rsidR="00B55D4D" w:rsidRPr="00BD2855">
          <w:rPr>
            <w:rStyle w:val="Hyperlink"/>
            <w:noProof/>
          </w:rPr>
          <w:t>Employment by industry by age group, May 2014 (per cent)</w:t>
        </w:r>
        <w:r w:rsidR="00B55D4D">
          <w:rPr>
            <w:noProof/>
            <w:webHidden/>
          </w:rPr>
          <w:tab/>
        </w:r>
        <w:r w:rsidR="00B55D4D">
          <w:rPr>
            <w:noProof/>
            <w:webHidden/>
          </w:rPr>
          <w:fldChar w:fldCharType="begin"/>
        </w:r>
        <w:r w:rsidR="00B55D4D">
          <w:rPr>
            <w:noProof/>
            <w:webHidden/>
          </w:rPr>
          <w:instrText xml:space="preserve"> PAGEREF _Toc507600332 \h </w:instrText>
        </w:r>
        <w:r w:rsidR="00B55D4D">
          <w:rPr>
            <w:noProof/>
            <w:webHidden/>
          </w:rPr>
        </w:r>
        <w:r w:rsidR="00B55D4D">
          <w:rPr>
            <w:noProof/>
            <w:webHidden/>
          </w:rPr>
          <w:fldChar w:fldCharType="separate"/>
        </w:r>
        <w:r w:rsidR="00B55D4D">
          <w:rPr>
            <w:noProof/>
            <w:webHidden/>
          </w:rPr>
          <w:t>132</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33" w:history="1">
        <w:r w:rsidR="00B55D4D" w:rsidRPr="00BD2855">
          <w:rPr>
            <w:rStyle w:val="Hyperlink"/>
            <w:noProof/>
          </w:rPr>
          <w:t xml:space="preserve">Table F.17: </w:t>
        </w:r>
        <w:r w:rsidR="00B43D2E">
          <w:rPr>
            <w:rStyle w:val="Hyperlink"/>
            <w:noProof/>
          </w:rPr>
          <w:tab/>
        </w:r>
        <w:r w:rsidR="00B55D4D" w:rsidRPr="00BD2855">
          <w:rPr>
            <w:rStyle w:val="Hyperlink"/>
            <w:noProof/>
          </w:rPr>
          <w:t>Employment by service and non-service industry by age group, May 2014 (per cent)</w:t>
        </w:r>
        <w:r w:rsidR="00B55D4D">
          <w:rPr>
            <w:noProof/>
            <w:webHidden/>
          </w:rPr>
          <w:tab/>
        </w:r>
        <w:r w:rsidR="00B55D4D">
          <w:rPr>
            <w:noProof/>
            <w:webHidden/>
          </w:rPr>
          <w:fldChar w:fldCharType="begin"/>
        </w:r>
        <w:r w:rsidR="00B55D4D">
          <w:rPr>
            <w:noProof/>
            <w:webHidden/>
          </w:rPr>
          <w:instrText xml:space="preserve"> PAGEREF _Toc507600333 \h </w:instrText>
        </w:r>
        <w:r w:rsidR="00B55D4D">
          <w:rPr>
            <w:noProof/>
            <w:webHidden/>
          </w:rPr>
        </w:r>
        <w:r w:rsidR="00B55D4D">
          <w:rPr>
            <w:noProof/>
            <w:webHidden/>
          </w:rPr>
          <w:fldChar w:fldCharType="separate"/>
        </w:r>
        <w:r w:rsidR="00B55D4D">
          <w:rPr>
            <w:noProof/>
            <w:webHidden/>
          </w:rPr>
          <w:t>133</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34" w:history="1">
        <w:r w:rsidR="00B55D4D" w:rsidRPr="00BD2855">
          <w:rPr>
            <w:rStyle w:val="Hyperlink"/>
            <w:noProof/>
          </w:rPr>
          <w:t xml:space="preserve">Table F.18: </w:t>
        </w:r>
        <w:r w:rsidR="00B43D2E">
          <w:rPr>
            <w:rStyle w:val="Hyperlink"/>
            <w:noProof/>
          </w:rPr>
          <w:tab/>
        </w:r>
        <w:r w:rsidR="00B55D4D" w:rsidRPr="00BD2855">
          <w:rPr>
            <w:rStyle w:val="Hyperlink"/>
            <w:noProof/>
          </w:rPr>
          <w:t>Major industry of employment for 20-29 year olds</w:t>
        </w:r>
        <w:r w:rsidR="00B55D4D">
          <w:rPr>
            <w:noProof/>
            <w:webHidden/>
          </w:rPr>
          <w:tab/>
        </w:r>
        <w:r w:rsidR="00B55D4D">
          <w:rPr>
            <w:noProof/>
            <w:webHidden/>
          </w:rPr>
          <w:fldChar w:fldCharType="begin"/>
        </w:r>
        <w:r w:rsidR="00B55D4D">
          <w:rPr>
            <w:noProof/>
            <w:webHidden/>
          </w:rPr>
          <w:instrText xml:space="preserve"> PAGEREF _Toc507600334 \h </w:instrText>
        </w:r>
        <w:r w:rsidR="00B55D4D">
          <w:rPr>
            <w:noProof/>
            <w:webHidden/>
          </w:rPr>
        </w:r>
        <w:r w:rsidR="00B55D4D">
          <w:rPr>
            <w:noProof/>
            <w:webHidden/>
          </w:rPr>
          <w:fldChar w:fldCharType="separate"/>
        </w:r>
        <w:r w:rsidR="00B55D4D">
          <w:rPr>
            <w:noProof/>
            <w:webHidden/>
          </w:rPr>
          <w:t>133</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35" w:history="1">
        <w:r w:rsidR="00B55D4D" w:rsidRPr="00BD2855">
          <w:rPr>
            <w:rStyle w:val="Hyperlink"/>
            <w:noProof/>
          </w:rPr>
          <w:t xml:space="preserve">Table F.19: </w:t>
        </w:r>
        <w:r w:rsidR="00B43D2E">
          <w:rPr>
            <w:rStyle w:val="Hyperlink"/>
            <w:noProof/>
          </w:rPr>
          <w:tab/>
        </w:r>
        <w:r w:rsidR="00B55D4D" w:rsidRPr="00BD2855">
          <w:rPr>
            <w:rStyle w:val="Hyperlink"/>
            <w:noProof/>
          </w:rPr>
          <w:t>Industry classification of jobs of approved JCB1 claims compared with the Australian average, November quarter 2016 (per cent)</w:t>
        </w:r>
        <w:r w:rsidR="00B55D4D">
          <w:rPr>
            <w:noProof/>
            <w:webHidden/>
          </w:rPr>
          <w:tab/>
        </w:r>
        <w:r w:rsidR="00B55D4D">
          <w:rPr>
            <w:noProof/>
            <w:webHidden/>
          </w:rPr>
          <w:fldChar w:fldCharType="begin"/>
        </w:r>
        <w:r w:rsidR="00B55D4D">
          <w:rPr>
            <w:noProof/>
            <w:webHidden/>
          </w:rPr>
          <w:instrText xml:space="preserve"> PAGEREF _Toc507600335 \h </w:instrText>
        </w:r>
        <w:r w:rsidR="00B55D4D">
          <w:rPr>
            <w:noProof/>
            <w:webHidden/>
          </w:rPr>
        </w:r>
        <w:r w:rsidR="00B55D4D">
          <w:rPr>
            <w:noProof/>
            <w:webHidden/>
          </w:rPr>
          <w:fldChar w:fldCharType="separate"/>
        </w:r>
        <w:r w:rsidR="00B55D4D">
          <w:rPr>
            <w:noProof/>
            <w:webHidden/>
          </w:rPr>
          <w:t>134</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36" w:history="1">
        <w:r w:rsidR="00B55D4D" w:rsidRPr="00BD2855">
          <w:rPr>
            <w:rStyle w:val="Hyperlink"/>
            <w:noProof/>
          </w:rPr>
          <w:t xml:space="preserve">Table F.20: </w:t>
        </w:r>
        <w:r w:rsidR="00B43D2E">
          <w:rPr>
            <w:rStyle w:val="Hyperlink"/>
            <w:noProof/>
          </w:rPr>
          <w:tab/>
        </w:r>
        <w:r w:rsidR="00B55D4D" w:rsidRPr="00BD2855">
          <w:rPr>
            <w:rStyle w:val="Hyperlink"/>
            <w:noProof/>
          </w:rPr>
          <w:t>RDD model parameters for the proportion off LTU off income support 52 weeks after exit by model type, higher end of the JCB age range</w:t>
        </w:r>
        <w:r w:rsidR="00B55D4D">
          <w:rPr>
            <w:noProof/>
            <w:webHidden/>
          </w:rPr>
          <w:tab/>
        </w:r>
        <w:r w:rsidR="00B55D4D">
          <w:rPr>
            <w:noProof/>
            <w:webHidden/>
          </w:rPr>
          <w:fldChar w:fldCharType="begin"/>
        </w:r>
        <w:r w:rsidR="00B55D4D">
          <w:rPr>
            <w:noProof/>
            <w:webHidden/>
          </w:rPr>
          <w:instrText xml:space="preserve"> PAGEREF _Toc507600336 \h </w:instrText>
        </w:r>
        <w:r w:rsidR="00B55D4D">
          <w:rPr>
            <w:noProof/>
            <w:webHidden/>
          </w:rPr>
        </w:r>
        <w:r w:rsidR="00B55D4D">
          <w:rPr>
            <w:noProof/>
            <w:webHidden/>
          </w:rPr>
          <w:fldChar w:fldCharType="separate"/>
        </w:r>
        <w:r w:rsidR="00B55D4D">
          <w:rPr>
            <w:noProof/>
            <w:webHidden/>
          </w:rPr>
          <w:t>135</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37" w:history="1">
        <w:r w:rsidR="00B55D4D" w:rsidRPr="00BD2855">
          <w:rPr>
            <w:rStyle w:val="Hyperlink"/>
            <w:noProof/>
          </w:rPr>
          <w:t xml:space="preserve">Table F.21: </w:t>
        </w:r>
        <w:r w:rsidR="00B43D2E">
          <w:rPr>
            <w:rStyle w:val="Hyperlink"/>
            <w:noProof/>
          </w:rPr>
          <w:tab/>
        </w:r>
        <w:r w:rsidR="00B55D4D" w:rsidRPr="00BD2855">
          <w:rPr>
            <w:rStyle w:val="Hyperlink"/>
            <w:noProof/>
          </w:rPr>
          <w:t>Proportion that sustained exit from income support for 52 weeks, before and after JCB introduction</w:t>
        </w:r>
        <w:r w:rsidR="00B55D4D">
          <w:rPr>
            <w:noProof/>
            <w:webHidden/>
          </w:rPr>
          <w:tab/>
        </w:r>
        <w:r w:rsidR="00B55D4D">
          <w:rPr>
            <w:noProof/>
            <w:webHidden/>
          </w:rPr>
          <w:fldChar w:fldCharType="begin"/>
        </w:r>
        <w:r w:rsidR="00B55D4D">
          <w:rPr>
            <w:noProof/>
            <w:webHidden/>
          </w:rPr>
          <w:instrText xml:space="preserve"> PAGEREF _Toc507600337 \h </w:instrText>
        </w:r>
        <w:r w:rsidR="00B55D4D">
          <w:rPr>
            <w:noProof/>
            <w:webHidden/>
          </w:rPr>
        </w:r>
        <w:r w:rsidR="00B55D4D">
          <w:rPr>
            <w:noProof/>
            <w:webHidden/>
          </w:rPr>
          <w:fldChar w:fldCharType="separate"/>
        </w:r>
        <w:r w:rsidR="00B55D4D">
          <w:rPr>
            <w:noProof/>
            <w:webHidden/>
          </w:rPr>
          <w:t>135</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38" w:history="1">
        <w:r w:rsidR="00B55D4D" w:rsidRPr="00BD2855">
          <w:rPr>
            <w:rStyle w:val="Hyperlink"/>
            <w:noProof/>
          </w:rPr>
          <w:t xml:space="preserve">Table F.22: </w:t>
        </w:r>
        <w:r w:rsidR="00B43D2E">
          <w:rPr>
            <w:rStyle w:val="Hyperlink"/>
            <w:noProof/>
          </w:rPr>
          <w:tab/>
        </w:r>
        <w:r w:rsidR="00B55D4D" w:rsidRPr="00BD2855">
          <w:rPr>
            <w:rStyle w:val="Hyperlink"/>
            <w:noProof/>
          </w:rPr>
          <w:t>Difference in difference analysis for probability of sustaining exit from income support for 52 weeks, higher end of the JCB age range</w:t>
        </w:r>
        <w:r w:rsidR="00B55D4D">
          <w:rPr>
            <w:noProof/>
            <w:webHidden/>
          </w:rPr>
          <w:tab/>
        </w:r>
        <w:r w:rsidR="00B55D4D">
          <w:rPr>
            <w:noProof/>
            <w:webHidden/>
          </w:rPr>
          <w:fldChar w:fldCharType="begin"/>
        </w:r>
        <w:r w:rsidR="00B55D4D">
          <w:rPr>
            <w:noProof/>
            <w:webHidden/>
          </w:rPr>
          <w:instrText xml:space="preserve"> PAGEREF _Toc507600338 \h </w:instrText>
        </w:r>
        <w:r w:rsidR="00B55D4D">
          <w:rPr>
            <w:noProof/>
            <w:webHidden/>
          </w:rPr>
        </w:r>
        <w:r w:rsidR="00B55D4D">
          <w:rPr>
            <w:noProof/>
            <w:webHidden/>
          </w:rPr>
          <w:fldChar w:fldCharType="separate"/>
        </w:r>
        <w:r w:rsidR="00B55D4D">
          <w:rPr>
            <w:noProof/>
            <w:webHidden/>
          </w:rPr>
          <w:t>136</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39" w:history="1">
        <w:r w:rsidR="00B55D4D" w:rsidRPr="00BD2855">
          <w:rPr>
            <w:rStyle w:val="Hyperlink"/>
            <w:noProof/>
          </w:rPr>
          <w:t xml:space="preserve">Table F.23: </w:t>
        </w:r>
        <w:r w:rsidR="00B43D2E">
          <w:rPr>
            <w:rStyle w:val="Hyperlink"/>
            <w:noProof/>
          </w:rPr>
          <w:tab/>
        </w:r>
        <w:r w:rsidR="00B55D4D" w:rsidRPr="00BD2855">
          <w:rPr>
            <w:rStyle w:val="Hyperlink"/>
            <w:noProof/>
          </w:rPr>
          <w:t>Proportion that sustained exit from income support for 104 weeks, before and after JCB introduction</w:t>
        </w:r>
        <w:r w:rsidR="00B55D4D">
          <w:rPr>
            <w:noProof/>
            <w:webHidden/>
          </w:rPr>
          <w:tab/>
        </w:r>
        <w:r w:rsidR="00B55D4D">
          <w:rPr>
            <w:noProof/>
            <w:webHidden/>
          </w:rPr>
          <w:fldChar w:fldCharType="begin"/>
        </w:r>
        <w:r w:rsidR="00B55D4D">
          <w:rPr>
            <w:noProof/>
            <w:webHidden/>
          </w:rPr>
          <w:instrText xml:space="preserve"> PAGEREF _Toc507600339 \h </w:instrText>
        </w:r>
        <w:r w:rsidR="00B55D4D">
          <w:rPr>
            <w:noProof/>
            <w:webHidden/>
          </w:rPr>
        </w:r>
        <w:r w:rsidR="00B55D4D">
          <w:rPr>
            <w:noProof/>
            <w:webHidden/>
          </w:rPr>
          <w:fldChar w:fldCharType="separate"/>
        </w:r>
        <w:r w:rsidR="00B55D4D">
          <w:rPr>
            <w:noProof/>
            <w:webHidden/>
          </w:rPr>
          <w:t>139</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40" w:history="1">
        <w:r w:rsidR="00B55D4D" w:rsidRPr="00BD2855">
          <w:rPr>
            <w:rStyle w:val="Hyperlink"/>
            <w:noProof/>
          </w:rPr>
          <w:t xml:space="preserve">Table F.24: </w:t>
        </w:r>
        <w:r w:rsidR="00B43D2E">
          <w:rPr>
            <w:rStyle w:val="Hyperlink"/>
            <w:noProof/>
          </w:rPr>
          <w:tab/>
        </w:r>
        <w:r w:rsidR="00B55D4D" w:rsidRPr="00BD2855">
          <w:rPr>
            <w:rStyle w:val="Hyperlink"/>
            <w:noProof/>
          </w:rPr>
          <w:t>Difference in difference analysis for probability of sustaining exit from income support for 104 weeks, higher end of the JCB age range</w:t>
        </w:r>
        <w:r w:rsidR="00B55D4D">
          <w:rPr>
            <w:noProof/>
            <w:webHidden/>
          </w:rPr>
          <w:tab/>
        </w:r>
        <w:r w:rsidR="00B55D4D">
          <w:rPr>
            <w:noProof/>
            <w:webHidden/>
          </w:rPr>
          <w:fldChar w:fldCharType="begin"/>
        </w:r>
        <w:r w:rsidR="00B55D4D">
          <w:rPr>
            <w:noProof/>
            <w:webHidden/>
          </w:rPr>
          <w:instrText xml:space="preserve"> PAGEREF _Toc507600340 \h </w:instrText>
        </w:r>
        <w:r w:rsidR="00B55D4D">
          <w:rPr>
            <w:noProof/>
            <w:webHidden/>
          </w:rPr>
        </w:r>
        <w:r w:rsidR="00B55D4D">
          <w:rPr>
            <w:noProof/>
            <w:webHidden/>
          </w:rPr>
          <w:fldChar w:fldCharType="separate"/>
        </w:r>
        <w:r w:rsidR="00B55D4D">
          <w:rPr>
            <w:noProof/>
            <w:webHidden/>
          </w:rPr>
          <w:t>140</w:t>
        </w:r>
        <w:r w:rsidR="00B55D4D">
          <w:rPr>
            <w:noProof/>
            <w:webHidden/>
          </w:rPr>
          <w:fldChar w:fldCharType="end"/>
        </w:r>
      </w:hyperlink>
    </w:p>
    <w:p w:rsidR="00B55D4D" w:rsidRDefault="0027008F" w:rsidP="00B43D2E">
      <w:pPr>
        <w:pStyle w:val="TableofFigures"/>
        <w:tabs>
          <w:tab w:val="right" w:leader="dot" w:pos="9016"/>
        </w:tabs>
        <w:ind w:left="1134" w:hanging="1134"/>
        <w:rPr>
          <w:rFonts w:cstheme="minorBidi"/>
          <w:noProof/>
          <w:sz w:val="22"/>
          <w:szCs w:val="22"/>
          <w:lang w:eastAsia="en-AU"/>
        </w:rPr>
      </w:pPr>
      <w:hyperlink w:anchor="_Toc507600341" w:history="1">
        <w:r w:rsidR="00B55D4D" w:rsidRPr="00BD2855">
          <w:rPr>
            <w:rStyle w:val="Hyperlink"/>
            <w:noProof/>
          </w:rPr>
          <w:t xml:space="preserve">Table F.25: </w:t>
        </w:r>
        <w:r w:rsidR="00B43D2E">
          <w:rPr>
            <w:rStyle w:val="Hyperlink"/>
            <w:noProof/>
          </w:rPr>
          <w:tab/>
        </w:r>
        <w:r w:rsidR="00B55D4D" w:rsidRPr="00BD2855">
          <w:rPr>
            <w:rStyle w:val="Hyperlink"/>
            <w:noProof/>
          </w:rPr>
          <w:t xml:space="preserve">Actual and predicted rates of sustained exit from income support by selected characteristics </w:t>
        </w:r>
        <w:r w:rsidR="00B43D2E">
          <w:rPr>
            <w:rStyle w:val="Hyperlink"/>
            <w:noProof/>
          </w:rPr>
          <w:br/>
        </w:r>
        <w:r w:rsidR="00B55D4D" w:rsidRPr="00BD2855">
          <w:rPr>
            <w:rStyle w:val="Hyperlink"/>
            <w:noProof/>
          </w:rPr>
          <w:t>(per cent and percentage point difference)</w:t>
        </w:r>
        <w:r w:rsidR="00B55D4D">
          <w:rPr>
            <w:noProof/>
            <w:webHidden/>
          </w:rPr>
          <w:tab/>
        </w:r>
        <w:r w:rsidR="00B55D4D">
          <w:rPr>
            <w:noProof/>
            <w:webHidden/>
          </w:rPr>
          <w:fldChar w:fldCharType="begin"/>
        </w:r>
        <w:r w:rsidR="00B55D4D">
          <w:rPr>
            <w:noProof/>
            <w:webHidden/>
          </w:rPr>
          <w:instrText xml:space="preserve"> PAGEREF _Toc507600341 \h </w:instrText>
        </w:r>
        <w:r w:rsidR="00B55D4D">
          <w:rPr>
            <w:noProof/>
            <w:webHidden/>
          </w:rPr>
        </w:r>
        <w:r w:rsidR="00B55D4D">
          <w:rPr>
            <w:noProof/>
            <w:webHidden/>
          </w:rPr>
          <w:fldChar w:fldCharType="separate"/>
        </w:r>
        <w:r w:rsidR="00B55D4D">
          <w:rPr>
            <w:noProof/>
            <w:webHidden/>
          </w:rPr>
          <w:t>143</w:t>
        </w:r>
        <w:r w:rsidR="00B55D4D">
          <w:rPr>
            <w:noProof/>
            <w:webHidden/>
          </w:rPr>
          <w:fldChar w:fldCharType="end"/>
        </w:r>
      </w:hyperlink>
    </w:p>
    <w:p w:rsidR="008B64A2" w:rsidRPr="003A4B00" w:rsidRDefault="008B64A2" w:rsidP="001B5699">
      <w:pPr>
        <w:tabs>
          <w:tab w:val="left" w:pos="993"/>
        </w:tabs>
        <w:ind w:left="993" w:hanging="993"/>
        <w:sectPr w:rsidR="008B64A2" w:rsidRPr="003A4B00" w:rsidSect="005648B9">
          <w:pgSz w:w="11906" w:h="16838"/>
          <w:pgMar w:top="1985" w:right="1440" w:bottom="1440" w:left="1440" w:header="708" w:footer="1011" w:gutter="0"/>
          <w:pgNumType w:fmt="lowerRoman" w:start="1"/>
          <w:cols w:space="708"/>
          <w:docGrid w:linePitch="360"/>
        </w:sectPr>
      </w:pPr>
      <w:r w:rsidRPr="00A11981">
        <w:fldChar w:fldCharType="end"/>
      </w:r>
      <w:r w:rsidR="0010150E">
        <w:t xml:space="preserve"> </w:t>
      </w:r>
    </w:p>
    <w:p w:rsidR="0020622F" w:rsidRPr="003A4B00" w:rsidRDefault="00262CC1" w:rsidP="0020622F">
      <w:pPr>
        <w:pStyle w:val="Heading1"/>
      </w:pPr>
      <w:bookmarkStart w:id="49" w:name="_Toc507600219"/>
      <w:bookmarkEnd w:id="46"/>
      <w:bookmarkEnd w:id="47"/>
      <w:bookmarkEnd w:id="48"/>
      <w:r>
        <w:lastRenderedPageBreak/>
        <w:t>List of acronyms</w:t>
      </w:r>
      <w:bookmarkEnd w:id="49"/>
    </w:p>
    <w:tbl>
      <w:tblPr>
        <w:tblStyle w:val="TableGrid"/>
        <w:tblW w:w="86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List of acronyms"/>
      </w:tblPr>
      <w:tblGrid>
        <w:gridCol w:w="2376"/>
        <w:gridCol w:w="6271"/>
      </w:tblGrid>
      <w:tr w:rsidR="0020622F" w:rsidRPr="003A4B00" w:rsidTr="00607B06">
        <w:trPr>
          <w:trHeight w:val="397"/>
          <w:tblHeader/>
        </w:trPr>
        <w:tc>
          <w:tcPr>
            <w:tcW w:w="2376" w:type="dxa"/>
            <w:shd w:val="clear" w:color="auto" w:fill="1E3D6B"/>
            <w:vAlign w:val="center"/>
          </w:tcPr>
          <w:p w:rsidR="0020622F" w:rsidRPr="003A4B00" w:rsidRDefault="0020622F" w:rsidP="00B05E53">
            <w:pPr>
              <w:rPr>
                <w:b/>
                <w:color w:val="FFFFFF" w:themeColor="background2"/>
              </w:rPr>
            </w:pPr>
            <w:bookmarkStart w:id="50" w:name="ColumnTitle_Glossary"/>
            <w:bookmarkEnd w:id="50"/>
            <w:r w:rsidRPr="003A4B00">
              <w:rPr>
                <w:b/>
                <w:color w:val="FFFFFF" w:themeColor="background2"/>
              </w:rPr>
              <w:t>Acronym</w:t>
            </w:r>
          </w:p>
        </w:tc>
        <w:tc>
          <w:tcPr>
            <w:tcW w:w="6271" w:type="dxa"/>
            <w:shd w:val="clear" w:color="auto" w:fill="1E3D6B"/>
            <w:vAlign w:val="center"/>
          </w:tcPr>
          <w:p w:rsidR="0020622F" w:rsidRPr="003A4B00" w:rsidRDefault="0020622F" w:rsidP="0020622F">
            <w:pPr>
              <w:rPr>
                <w:b/>
                <w:color w:val="FFFFFF" w:themeColor="background2"/>
              </w:rPr>
            </w:pPr>
            <w:r w:rsidRPr="003A4B00">
              <w:rPr>
                <w:b/>
                <w:color w:val="FFFFFF" w:themeColor="background2"/>
              </w:rPr>
              <w:t>Description</w:t>
            </w:r>
          </w:p>
        </w:tc>
      </w:tr>
      <w:tr w:rsidR="002927F9" w:rsidRPr="003A4B00" w:rsidTr="005314B7">
        <w:trPr>
          <w:trHeight w:val="340"/>
        </w:trPr>
        <w:tc>
          <w:tcPr>
            <w:tcW w:w="2376" w:type="dxa"/>
            <w:shd w:val="clear" w:color="auto" w:fill="auto"/>
            <w:vAlign w:val="center"/>
          </w:tcPr>
          <w:p w:rsidR="002927F9" w:rsidRPr="003A4B00" w:rsidRDefault="002927F9" w:rsidP="0020622F">
            <w:r>
              <w:t>ABN</w:t>
            </w:r>
          </w:p>
        </w:tc>
        <w:tc>
          <w:tcPr>
            <w:tcW w:w="6271" w:type="dxa"/>
            <w:shd w:val="clear" w:color="auto" w:fill="auto"/>
            <w:vAlign w:val="center"/>
          </w:tcPr>
          <w:p w:rsidR="002927F9" w:rsidRPr="003A4B00" w:rsidRDefault="002927F9" w:rsidP="0020622F">
            <w:r>
              <w:t>Australian Business Number</w:t>
            </w:r>
          </w:p>
        </w:tc>
      </w:tr>
      <w:tr w:rsidR="005314B7" w:rsidRPr="003A4B00" w:rsidTr="005314B7">
        <w:trPr>
          <w:trHeight w:val="340"/>
        </w:trPr>
        <w:tc>
          <w:tcPr>
            <w:tcW w:w="2376" w:type="dxa"/>
            <w:shd w:val="clear" w:color="auto" w:fill="E5E5E5" w:themeFill="background1" w:themeFillTint="33"/>
            <w:vAlign w:val="center"/>
          </w:tcPr>
          <w:p w:rsidR="005314B7" w:rsidRPr="003A4B00" w:rsidRDefault="005314B7" w:rsidP="0020622F">
            <w:r>
              <w:t>AICc</w:t>
            </w:r>
          </w:p>
        </w:tc>
        <w:tc>
          <w:tcPr>
            <w:tcW w:w="6271" w:type="dxa"/>
            <w:shd w:val="clear" w:color="auto" w:fill="E5E5E5" w:themeFill="background1" w:themeFillTint="33"/>
            <w:vAlign w:val="center"/>
          </w:tcPr>
          <w:p w:rsidR="005314B7" w:rsidRPr="003A4B00" w:rsidRDefault="005314B7" w:rsidP="0020622F">
            <w:r w:rsidRPr="00CA5AD0">
              <w:rPr>
                <w:color w:val="000000" w:themeColor="text1"/>
              </w:rPr>
              <w:t>Akaike information criterion</w:t>
            </w:r>
          </w:p>
        </w:tc>
      </w:tr>
      <w:tr w:rsidR="00787E68" w:rsidRPr="003A4B00" w:rsidTr="005314B7">
        <w:trPr>
          <w:trHeight w:val="340"/>
        </w:trPr>
        <w:tc>
          <w:tcPr>
            <w:tcW w:w="2376" w:type="dxa"/>
            <w:shd w:val="clear" w:color="auto" w:fill="auto"/>
            <w:vAlign w:val="center"/>
          </w:tcPr>
          <w:p w:rsidR="00787E68" w:rsidRPr="003A4B00" w:rsidRDefault="00787E68" w:rsidP="0020622F">
            <w:r w:rsidRPr="003A4B00">
              <w:t>ALMP</w:t>
            </w:r>
          </w:p>
        </w:tc>
        <w:tc>
          <w:tcPr>
            <w:tcW w:w="6271" w:type="dxa"/>
            <w:shd w:val="clear" w:color="auto" w:fill="auto"/>
            <w:vAlign w:val="center"/>
          </w:tcPr>
          <w:p w:rsidR="00787E68" w:rsidRPr="003A4B00" w:rsidRDefault="00787E68" w:rsidP="0020622F">
            <w:r w:rsidRPr="003A4B00">
              <w:t>Active labour market program</w:t>
            </w:r>
          </w:p>
        </w:tc>
      </w:tr>
      <w:tr w:rsidR="00FD2A6D" w:rsidRPr="003A4B00" w:rsidTr="005314B7">
        <w:trPr>
          <w:trHeight w:val="340"/>
        </w:trPr>
        <w:tc>
          <w:tcPr>
            <w:tcW w:w="2376" w:type="dxa"/>
            <w:shd w:val="clear" w:color="auto" w:fill="E5E5E5" w:themeFill="background1" w:themeFillTint="33"/>
            <w:vAlign w:val="center"/>
          </w:tcPr>
          <w:p w:rsidR="00FD2A6D" w:rsidRDefault="00FD2A6D" w:rsidP="0020622F">
            <w:r>
              <w:t>CALD</w:t>
            </w:r>
          </w:p>
        </w:tc>
        <w:tc>
          <w:tcPr>
            <w:tcW w:w="6271" w:type="dxa"/>
            <w:shd w:val="clear" w:color="auto" w:fill="E5E5E5" w:themeFill="background1" w:themeFillTint="33"/>
            <w:vAlign w:val="center"/>
          </w:tcPr>
          <w:p w:rsidR="00FD2A6D" w:rsidRDefault="00FD2A6D" w:rsidP="0020622F">
            <w:r>
              <w:t>Culturally and Linguistically Diverse</w:t>
            </w:r>
          </w:p>
        </w:tc>
      </w:tr>
      <w:tr w:rsidR="00B7294F" w:rsidRPr="003A4B00" w:rsidTr="00FD2A6D">
        <w:trPr>
          <w:trHeight w:val="340"/>
        </w:trPr>
        <w:tc>
          <w:tcPr>
            <w:tcW w:w="2376" w:type="dxa"/>
            <w:shd w:val="clear" w:color="auto" w:fill="FFFFFF" w:themeFill="background2"/>
            <w:vAlign w:val="center"/>
          </w:tcPr>
          <w:p w:rsidR="00B7294F" w:rsidRPr="003A4B00" w:rsidRDefault="00B7294F" w:rsidP="0020622F">
            <w:r>
              <w:t>CDP</w:t>
            </w:r>
          </w:p>
        </w:tc>
        <w:tc>
          <w:tcPr>
            <w:tcW w:w="6271" w:type="dxa"/>
            <w:shd w:val="clear" w:color="auto" w:fill="FFFFFF" w:themeFill="background2"/>
            <w:vAlign w:val="center"/>
          </w:tcPr>
          <w:p w:rsidR="00B7294F" w:rsidRPr="003A4B00" w:rsidRDefault="00B7294F" w:rsidP="0020622F">
            <w:r>
              <w:t>Community Development Program</w:t>
            </w:r>
            <w:r w:rsidR="00FE7660">
              <w:t>me</w:t>
            </w:r>
          </w:p>
        </w:tc>
      </w:tr>
      <w:tr w:rsidR="0020622F" w:rsidRPr="003A4B00" w:rsidTr="00FD2A6D">
        <w:trPr>
          <w:trHeight w:val="340"/>
        </w:trPr>
        <w:tc>
          <w:tcPr>
            <w:tcW w:w="2376" w:type="dxa"/>
            <w:shd w:val="clear" w:color="auto" w:fill="E5E5E5" w:themeFill="background1" w:themeFillTint="33"/>
            <w:vAlign w:val="center"/>
          </w:tcPr>
          <w:p w:rsidR="0020622F" w:rsidRPr="003A4B00" w:rsidRDefault="00EC0193" w:rsidP="0020622F">
            <w:r w:rsidRPr="003A4B00">
              <w:t>DES</w:t>
            </w:r>
          </w:p>
        </w:tc>
        <w:tc>
          <w:tcPr>
            <w:tcW w:w="6271" w:type="dxa"/>
            <w:shd w:val="clear" w:color="auto" w:fill="E5E5E5" w:themeFill="background1" w:themeFillTint="33"/>
            <w:vAlign w:val="center"/>
          </w:tcPr>
          <w:p w:rsidR="0020622F" w:rsidRPr="003A4B00" w:rsidRDefault="00EC0193" w:rsidP="0020622F">
            <w:r w:rsidRPr="003A4B00">
              <w:t>Disability Employment Services</w:t>
            </w:r>
          </w:p>
        </w:tc>
      </w:tr>
      <w:tr w:rsidR="00787E68" w:rsidRPr="003A4B00" w:rsidTr="00FD2A6D">
        <w:trPr>
          <w:trHeight w:val="340"/>
        </w:trPr>
        <w:tc>
          <w:tcPr>
            <w:tcW w:w="2376" w:type="dxa"/>
            <w:shd w:val="clear" w:color="auto" w:fill="FFFFFF" w:themeFill="background2"/>
            <w:vAlign w:val="center"/>
          </w:tcPr>
          <w:p w:rsidR="00787E68" w:rsidRPr="003A4B00" w:rsidRDefault="00787E68" w:rsidP="0020622F">
            <w:r w:rsidRPr="003A4B00">
              <w:t>DHS</w:t>
            </w:r>
          </w:p>
        </w:tc>
        <w:tc>
          <w:tcPr>
            <w:tcW w:w="6271" w:type="dxa"/>
            <w:shd w:val="clear" w:color="auto" w:fill="FFFFFF" w:themeFill="background2"/>
            <w:vAlign w:val="center"/>
          </w:tcPr>
          <w:p w:rsidR="00787E68" w:rsidRPr="003A4B00" w:rsidRDefault="00787E68" w:rsidP="0020622F">
            <w:r w:rsidRPr="003A4B00">
              <w:t>Department of Human Services</w:t>
            </w:r>
          </w:p>
        </w:tc>
      </w:tr>
      <w:tr w:rsidR="00CD583B" w:rsidRPr="003A4B00" w:rsidTr="00FD2A6D">
        <w:trPr>
          <w:trHeight w:val="340"/>
        </w:trPr>
        <w:tc>
          <w:tcPr>
            <w:tcW w:w="2376" w:type="dxa"/>
            <w:shd w:val="clear" w:color="auto" w:fill="E5E5E5" w:themeFill="background1" w:themeFillTint="33"/>
            <w:vAlign w:val="center"/>
          </w:tcPr>
          <w:p w:rsidR="00CD583B" w:rsidRPr="003A4B00" w:rsidRDefault="00CD583B" w:rsidP="0020622F">
            <w:r>
              <w:t>DoE</w:t>
            </w:r>
          </w:p>
        </w:tc>
        <w:tc>
          <w:tcPr>
            <w:tcW w:w="6271" w:type="dxa"/>
            <w:shd w:val="clear" w:color="auto" w:fill="E5E5E5" w:themeFill="background1" w:themeFillTint="33"/>
            <w:vAlign w:val="center"/>
          </w:tcPr>
          <w:p w:rsidR="00CD583B" w:rsidRPr="003A4B00" w:rsidRDefault="00780E04" w:rsidP="0020622F">
            <w:r>
              <w:t>Department of Employment</w:t>
            </w:r>
          </w:p>
        </w:tc>
      </w:tr>
      <w:tr w:rsidR="00237F55" w:rsidRPr="003A4B00" w:rsidTr="00FD2A6D">
        <w:trPr>
          <w:trHeight w:val="340"/>
        </w:trPr>
        <w:tc>
          <w:tcPr>
            <w:tcW w:w="2376" w:type="dxa"/>
            <w:shd w:val="clear" w:color="auto" w:fill="FFFFFF" w:themeFill="background2"/>
            <w:vAlign w:val="center"/>
          </w:tcPr>
          <w:p w:rsidR="00237F55" w:rsidRPr="003A4B00" w:rsidRDefault="00237F55" w:rsidP="0020622F">
            <w:r w:rsidRPr="003A4B00">
              <w:t>ESA</w:t>
            </w:r>
          </w:p>
        </w:tc>
        <w:tc>
          <w:tcPr>
            <w:tcW w:w="6271" w:type="dxa"/>
            <w:shd w:val="clear" w:color="auto" w:fill="FFFFFF" w:themeFill="background2"/>
            <w:vAlign w:val="center"/>
          </w:tcPr>
          <w:p w:rsidR="00237F55" w:rsidRPr="003A4B00" w:rsidRDefault="00237F55" w:rsidP="0020622F">
            <w:r w:rsidRPr="003A4B00">
              <w:t>Employment Service Area</w:t>
            </w:r>
          </w:p>
        </w:tc>
      </w:tr>
      <w:tr w:rsidR="00787E68" w:rsidRPr="003A4B00" w:rsidTr="00FD2A6D">
        <w:trPr>
          <w:trHeight w:val="340"/>
        </w:trPr>
        <w:tc>
          <w:tcPr>
            <w:tcW w:w="2376" w:type="dxa"/>
            <w:shd w:val="clear" w:color="auto" w:fill="E5E5E5" w:themeFill="background1" w:themeFillTint="33"/>
            <w:vAlign w:val="center"/>
          </w:tcPr>
          <w:p w:rsidR="00787E68" w:rsidRPr="003A4B00" w:rsidRDefault="00787E68" w:rsidP="0020622F">
            <w:r w:rsidRPr="003A4B00">
              <w:t>ESAt</w:t>
            </w:r>
          </w:p>
        </w:tc>
        <w:tc>
          <w:tcPr>
            <w:tcW w:w="6271" w:type="dxa"/>
            <w:shd w:val="clear" w:color="auto" w:fill="E5E5E5" w:themeFill="background1" w:themeFillTint="33"/>
            <w:vAlign w:val="center"/>
          </w:tcPr>
          <w:p w:rsidR="00787E68" w:rsidRPr="003A4B00" w:rsidRDefault="006650C9" w:rsidP="0020622F">
            <w:r w:rsidRPr="003A4B00">
              <w:t>Employment Services Assessment</w:t>
            </w:r>
          </w:p>
        </w:tc>
      </w:tr>
      <w:tr w:rsidR="006234C1" w:rsidRPr="003A4B00" w:rsidTr="00FD2A6D">
        <w:trPr>
          <w:trHeight w:val="340"/>
        </w:trPr>
        <w:tc>
          <w:tcPr>
            <w:tcW w:w="2376" w:type="dxa"/>
            <w:shd w:val="clear" w:color="auto" w:fill="FFFFFF" w:themeFill="background2"/>
            <w:vAlign w:val="center"/>
          </w:tcPr>
          <w:p w:rsidR="006234C1" w:rsidRPr="003A4B00" w:rsidRDefault="006234C1" w:rsidP="0020622F">
            <w:r>
              <w:t>GFC</w:t>
            </w:r>
          </w:p>
        </w:tc>
        <w:tc>
          <w:tcPr>
            <w:tcW w:w="6271" w:type="dxa"/>
            <w:shd w:val="clear" w:color="auto" w:fill="FFFFFF" w:themeFill="background2"/>
            <w:vAlign w:val="center"/>
          </w:tcPr>
          <w:p w:rsidR="006234C1" w:rsidRPr="003A4B00" w:rsidRDefault="006234C1" w:rsidP="0020622F">
            <w:r>
              <w:t>Global Financial Crisis</w:t>
            </w:r>
          </w:p>
        </w:tc>
      </w:tr>
      <w:tr w:rsidR="0020622F" w:rsidRPr="003A4B00" w:rsidTr="00FD2A6D">
        <w:trPr>
          <w:trHeight w:val="340"/>
        </w:trPr>
        <w:tc>
          <w:tcPr>
            <w:tcW w:w="2376" w:type="dxa"/>
            <w:shd w:val="clear" w:color="auto" w:fill="E5E5E5" w:themeFill="background1" w:themeFillTint="33"/>
            <w:vAlign w:val="center"/>
          </w:tcPr>
          <w:p w:rsidR="0020622F" w:rsidRPr="003A4B00" w:rsidRDefault="0020622F" w:rsidP="0020622F">
            <w:r w:rsidRPr="003A4B00">
              <w:t>JCB</w:t>
            </w:r>
          </w:p>
        </w:tc>
        <w:tc>
          <w:tcPr>
            <w:tcW w:w="6271" w:type="dxa"/>
            <w:shd w:val="clear" w:color="auto" w:fill="E5E5E5" w:themeFill="background1" w:themeFillTint="33"/>
            <w:vAlign w:val="center"/>
          </w:tcPr>
          <w:p w:rsidR="0020622F" w:rsidRPr="003A4B00" w:rsidRDefault="0020622F" w:rsidP="0020622F">
            <w:r w:rsidRPr="003A4B00">
              <w:t>Job Commitment Bonus for Young Australians program</w:t>
            </w:r>
          </w:p>
        </w:tc>
      </w:tr>
      <w:tr w:rsidR="0020622F" w:rsidRPr="003A4B00" w:rsidTr="00FD2A6D">
        <w:trPr>
          <w:trHeight w:val="340"/>
        </w:trPr>
        <w:tc>
          <w:tcPr>
            <w:tcW w:w="2376" w:type="dxa"/>
            <w:shd w:val="clear" w:color="auto" w:fill="FFFFFF" w:themeFill="background2"/>
            <w:vAlign w:val="center"/>
          </w:tcPr>
          <w:p w:rsidR="0020622F" w:rsidRPr="003A4B00" w:rsidRDefault="0020622F" w:rsidP="0020622F">
            <w:r w:rsidRPr="003A4B00">
              <w:t>JCB1</w:t>
            </w:r>
          </w:p>
        </w:tc>
        <w:tc>
          <w:tcPr>
            <w:tcW w:w="6271" w:type="dxa"/>
            <w:shd w:val="clear" w:color="auto" w:fill="FFFFFF" w:themeFill="background2"/>
            <w:vAlign w:val="center"/>
          </w:tcPr>
          <w:p w:rsidR="0020622F" w:rsidRPr="003A4B00" w:rsidRDefault="0020622F" w:rsidP="0020622F">
            <w:r w:rsidRPr="003A4B00">
              <w:t>First</w:t>
            </w:r>
            <w:r w:rsidR="006650C9" w:rsidRPr="003A4B00">
              <w:t xml:space="preserve"> (12 month</w:t>
            </w:r>
            <w:r w:rsidR="000028CB">
              <w:t>s</w:t>
            </w:r>
            <w:r w:rsidR="006650C9" w:rsidRPr="003A4B00">
              <w:t>)</w:t>
            </w:r>
            <w:r w:rsidRPr="003A4B00">
              <w:t xml:space="preserve"> JCB bonus</w:t>
            </w:r>
          </w:p>
        </w:tc>
      </w:tr>
      <w:tr w:rsidR="0020622F" w:rsidRPr="003A4B00" w:rsidTr="00FD2A6D">
        <w:trPr>
          <w:trHeight w:val="340"/>
        </w:trPr>
        <w:tc>
          <w:tcPr>
            <w:tcW w:w="2376" w:type="dxa"/>
            <w:shd w:val="clear" w:color="auto" w:fill="E5E5E5" w:themeFill="background1" w:themeFillTint="33"/>
            <w:vAlign w:val="center"/>
          </w:tcPr>
          <w:p w:rsidR="0020622F" w:rsidRPr="003A4B00" w:rsidRDefault="0020622F" w:rsidP="0020622F">
            <w:r w:rsidRPr="003A4B00">
              <w:t>JCB2</w:t>
            </w:r>
          </w:p>
        </w:tc>
        <w:tc>
          <w:tcPr>
            <w:tcW w:w="6271" w:type="dxa"/>
            <w:shd w:val="clear" w:color="auto" w:fill="E5E5E5" w:themeFill="background1" w:themeFillTint="33"/>
            <w:vAlign w:val="center"/>
          </w:tcPr>
          <w:p w:rsidR="0020622F" w:rsidRPr="003A4B00" w:rsidRDefault="0020622F" w:rsidP="006650C9">
            <w:r w:rsidRPr="003A4B00">
              <w:t xml:space="preserve">Second </w:t>
            </w:r>
            <w:r w:rsidR="006650C9" w:rsidRPr="003A4B00">
              <w:t>(24 month</w:t>
            </w:r>
            <w:r w:rsidR="000028CB">
              <w:t>s</w:t>
            </w:r>
            <w:r w:rsidR="006650C9" w:rsidRPr="003A4B00">
              <w:t xml:space="preserve">) </w:t>
            </w:r>
            <w:r w:rsidRPr="003A4B00">
              <w:t>JCB bonus</w:t>
            </w:r>
          </w:p>
        </w:tc>
      </w:tr>
      <w:tr w:rsidR="0020622F" w:rsidRPr="003A4B00" w:rsidTr="00FD2A6D">
        <w:trPr>
          <w:trHeight w:val="340"/>
        </w:trPr>
        <w:tc>
          <w:tcPr>
            <w:tcW w:w="2376" w:type="dxa"/>
            <w:shd w:val="clear" w:color="auto" w:fill="FFFFFF" w:themeFill="background2"/>
            <w:vAlign w:val="center"/>
          </w:tcPr>
          <w:p w:rsidR="0020622F" w:rsidRPr="003A4B00" w:rsidRDefault="00EC0193" w:rsidP="0020622F">
            <w:r w:rsidRPr="003A4B00">
              <w:t>JSA</w:t>
            </w:r>
          </w:p>
        </w:tc>
        <w:tc>
          <w:tcPr>
            <w:tcW w:w="6271" w:type="dxa"/>
            <w:shd w:val="clear" w:color="auto" w:fill="FFFFFF" w:themeFill="background2"/>
            <w:vAlign w:val="center"/>
          </w:tcPr>
          <w:p w:rsidR="0020622F" w:rsidRPr="003A4B00" w:rsidRDefault="00EC0193" w:rsidP="0020622F">
            <w:r w:rsidRPr="003A4B00">
              <w:t>Job Services Australia</w:t>
            </w:r>
          </w:p>
        </w:tc>
      </w:tr>
      <w:tr w:rsidR="00787E68" w:rsidRPr="003A4B00" w:rsidTr="00FD2A6D">
        <w:trPr>
          <w:trHeight w:val="340"/>
        </w:trPr>
        <w:tc>
          <w:tcPr>
            <w:tcW w:w="2376" w:type="dxa"/>
            <w:shd w:val="clear" w:color="auto" w:fill="E5E5E5" w:themeFill="background1" w:themeFillTint="33"/>
            <w:vAlign w:val="center"/>
          </w:tcPr>
          <w:p w:rsidR="00787E68" w:rsidRPr="003A4B00" w:rsidRDefault="00787E68" w:rsidP="0020622F">
            <w:r w:rsidRPr="003A4B00">
              <w:t>JSCI</w:t>
            </w:r>
          </w:p>
        </w:tc>
        <w:tc>
          <w:tcPr>
            <w:tcW w:w="6271" w:type="dxa"/>
            <w:shd w:val="clear" w:color="auto" w:fill="E5E5E5" w:themeFill="background1" w:themeFillTint="33"/>
            <w:vAlign w:val="center"/>
          </w:tcPr>
          <w:p w:rsidR="00787E68" w:rsidRPr="003A4B00" w:rsidRDefault="00787E68" w:rsidP="0020622F">
            <w:r w:rsidRPr="003A4B00">
              <w:t>Job seeker classification instrument</w:t>
            </w:r>
          </w:p>
        </w:tc>
      </w:tr>
      <w:tr w:rsidR="00334741" w:rsidRPr="003A4B00" w:rsidTr="00FD2A6D">
        <w:trPr>
          <w:trHeight w:val="340"/>
        </w:trPr>
        <w:tc>
          <w:tcPr>
            <w:tcW w:w="2376" w:type="dxa"/>
            <w:shd w:val="clear" w:color="auto" w:fill="FFFFFF" w:themeFill="background2"/>
            <w:vAlign w:val="center"/>
          </w:tcPr>
          <w:p w:rsidR="00334741" w:rsidRPr="003A4B00" w:rsidRDefault="00334741" w:rsidP="0020622F">
            <w:r>
              <w:t>JSEES</w:t>
            </w:r>
          </w:p>
        </w:tc>
        <w:tc>
          <w:tcPr>
            <w:tcW w:w="6271" w:type="dxa"/>
            <w:shd w:val="clear" w:color="auto" w:fill="FFFFFF" w:themeFill="background2"/>
            <w:vAlign w:val="center"/>
          </w:tcPr>
          <w:p w:rsidR="00334741" w:rsidRPr="003A4B00" w:rsidRDefault="00334741" w:rsidP="00334741">
            <w:r>
              <w:t>Job Seeker Experiences with Employment Services survey</w:t>
            </w:r>
          </w:p>
        </w:tc>
      </w:tr>
      <w:tr w:rsidR="0020622F" w:rsidRPr="003A4B00" w:rsidTr="00FD2A6D">
        <w:trPr>
          <w:trHeight w:val="340"/>
        </w:trPr>
        <w:tc>
          <w:tcPr>
            <w:tcW w:w="2376" w:type="dxa"/>
            <w:shd w:val="clear" w:color="auto" w:fill="E5E5E5" w:themeFill="background1" w:themeFillTint="33"/>
            <w:vAlign w:val="center"/>
          </w:tcPr>
          <w:p w:rsidR="0020622F" w:rsidRPr="003A4B00" w:rsidRDefault="00EC0193" w:rsidP="0020622F">
            <w:r w:rsidRPr="003A4B00">
              <w:t>LTU</w:t>
            </w:r>
          </w:p>
        </w:tc>
        <w:tc>
          <w:tcPr>
            <w:tcW w:w="6271" w:type="dxa"/>
            <w:shd w:val="clear" w:color="auto" w:fill="E5E5E5" w:themeFill="background1" w:themeFillTint="33"/>
            <w:vAlign w:val="center"/>
          </w:tcPr>
          <w:p w:rsidR="0020622F" w:rsidRPr="003A4B00" w:rsidRDefault="00EC0193" w:rsidP="0020622F">
            <w:r w:rsidRPr="003A4B00">
              <w:t>Long term unemployed</w:t>
            </w:r>
          </w:p>
        </w:tc>
      </w:tr>
      <w:tr w:rsidR="00A715E0" w:rsidRPr="003A4B00" w:rsidTr="00FD2A6D">
        <w:trPr>
          <w:trHeight w:val="340"/>
        </w:trPr>
        <w:tc>
          <w:tcPr>
            <w:tcW w:w="2376" w:type="dxa"/>
            <w:shd w:val="clear" w:color="auto" w:fill="FFFFFF" w:themeFill="background2"/>
            <w:vAlign w:val="center"/>
          </w:tcPr>
          <w:p w:rsidR="00A715E0" w:rsidRDefault="00A715E0" w:rsidP="0020622F">
            <w:r>
              <w:t>MEM</w:t>
            </w:r>
          </w:p>
        </w:tc>
        <w:tc>
          <w:tcPr>
            <w:tcW w:w="6271" w:type="dxa"/>
            <w:shd w:val="clear" w:color="auto" w:fill="FFFFFF" w:themeFill="background2"/>
            <w:vAlign w:val="center"/>
          </w:tcPr>
          <w:p w:rsidR="00A715E0" w:rsidRPr="00A715E0" w:rsidRDefault="00A715E0" w:rsidP="00787E68">
            <w:r w:rsidRPr="00A715E0">
              <w:t>Marginal effect on the mean</w:t>
            </w:r>
          </w:p>
        </w:tc>
      </w:tr>
      <w:tr w:rsidR="00E82435" w:rsidRPr="003A4B00" w:rsidTr="00FD2A6D">
        <w:trPr>
          <w:trHeight w:val="340"/>
        </w:trPr>
        <w:tc>
          <w:tcPr>
            <w:tcW w:w="2376" w:type="dxa"/>
            <w:shd w:val="clear" w:color="auto" w:fill="E5E5E5" w:themeFill="background1" w:themeFillTint="33"/>
            <w:vAlign w:val="center"/>
          </w:tcPr>
          <w:p w:rsidR="00E82435" w:rsidRDefault="00E82435" w:rsidP="0020622F">
            <w:r>
              <w:t>NEIS</w:t>
            </w:r>
          </w:p>
        </w:tc>
        <w:tc>
          <w:tcPr>
            <w:tcW w:w="6271" w:type="dxa"/>
            <w:shd w:val="clear" w:color="auto" w:fill="E5E5E5" w:themeFill="background1" w:themeFillTint="33"/>
            <w:vAlign w:val="center"/>
          </w:tcPr>
          <w:p w:rsidR="00E82435" w:rsidRDefault="00E82435" w:rsidP="00787E68">
            <w:r>
              <w:t>New Enterprise Incentive Scheme</w:t>
            </w:r>
          </w:p>
        </w:tc>
      </w:tr>
      <w:tr w:rsidR="00942AE1" w:rsidRPr="003A4B00" w:rsidTr="00FD2A6D">
        <w:trPr>
          <w:trHeight w:val="340"/>
        </w:trPr>
        <w:tc>
          <w:tcPr>
            <w:tcW w:w="2376" w:type="dxa"/>
            <w:shd w:val="clear" w:color="auto" w:fill="FFFFFF" w:themeFill="background2"/>
            <w:vAlign w:val="center"/>
          </w:tcPr>
          <w:p w:rsidR="00942AE1" w:rsidRPr="003A4B00" w:rsidRDefault="00942AE1" w:rsidP="0020622F">
            <w:r>
              <w:t>NESA</w:t>
            </w:r>
          </w:p>
        </w:tc>
        <w:tc>
          <w:tcPr>
            <w:tcW w:w="6271" w:type="dxa"/>
            <w:shd w:val="clear" w:color="auto" w:fill="FFFFFF" w:themeFill="background2"/>
            <w:vAlign w:val="center"/>
          </w:tcPr>
          <w:p w:rsidR="00942AE1" w:rsidRPr="003A4B00" w:rsidRDefault="00942AE1" w:rsidP="00787E68">
            <w:r>
              <w:t>National Employment Services Association</w:t>
            </w:r>
          </w:p>
        </w:tc>
      </w:tr>
      <w:tr w:rsidR="00787E68" w:rsidRPr="003A4B00" w:rsidTr="00FD2A6D">
        <w:trPr>
          <w:trHeight w:val="340"/>
        </w:trPr>
        <w:tc>
          <w:tcPr>
            <w:tcW w:w="2376" w:type="dxa"/>
            <w:shd w:val="clear" w:color="auto" w:fill="E5E5E5" w:themeFill="background1" w:themeFillTint="33"/>
            <w:vAlign w:val="center"/>
          </w:tcPr>
          <w:p w:rsidR="00787E68" w:rsidRPr="003A4B00" w:rsidRDefault="00787E68" w:rsidP="0020622F">
            <w:r w:rsidRPr="003A4B00">
              <w:t>NSA</w:t>
            </w:r>
          </w:p>
        </w:tc>
        <w:tc>
          <w:tcPr>
            <w:tcW w:w="6271" w:type="dxa"/>
            <w:shd w:val="clear" w:color="auto" w:fill="E5E5E5" w:themeFill="background1" w:themeFillTint="33"/>
            <w:vAlign w:val="center"/>
          </w:tcPr>
          <w:p w:rsidR="00787E68" w:rsidRPr="003A4B00" w:rsidRDefault="00787E68" w:rsidP="00787E68">
            <w:r w:rsidRPr="003A4B00">
              <w:t>Newstart</w:t>
            </w:r>
            <w:r w:rsidR="00942AE1">
              <w:t xml:space="preserve"> Allowance</w:t>
            </w:r>
          </w:p>
        </w:tc>
      </w:tr>
      <w:tr w:rsidR="00787E68" w:rsidRPr="003A4B00" w:rsidTr="00FD2A6D">
        <w:trPr>
          <w:trHeight w:val="340"/>
        </w:trPr>
        <w:tc>
          <w:tcPr>
            <w:tcW w:w="2376" w:type="dxa"/>
            <w:shd w:val="clear" w:color="auto" w:fill="FFFFFF" w:themeFill="background2"/>
            <w:vAlign w:val="center"/>
          </w:tcPr>
          <w:p w:rsidR="00787E68" w:rsidRPr="003A4B00" w:rsidRDefault="00787E68" w:rsidP="0020622F">
            <w:r w:rsidRPr="003A4B00">
              <w:t>PPM</w:t>
            </w:r>
          </w:p>
        </w:tc>
        <w:tc>
          <w:tcPr>
            <w:tcW w:w="6271" w:type="dxa"/>
            <w:shd w:val="clear" w:color="auto" w:fill="FFFFFF" w:themeFill="background2"/>
            <w:vAlign w:val="center"/>
          </w:tcPr>
          <w:p w:rsidR="00787E68" w:rsidRPr="003A4B00" w:rsidRDefault="00787E68" w:rsidP="00787E68">
            <w:r w:rsidRPr="003A4B00">
              <w:t>Post Program Monitoring survey</w:t>
            </w:r>
          </w:p>
        </w:tc>
      </w:tr>
      <w:tr w:rsidR="00942AE1" w:rsidRPr="003A4B00" w:rsidTr="00FD2A6D">
        <w:trPr>
          <w:trHeight w:val="340"/>
        </w:trPr>
        <w:tc>
          <w:tcPr>
            <w:tcW w:w="2376" w:type="dxa"/>
            <w:shd w:val="clear" w:color="auto" w:fill="E5E5E5" w:themeFill="background1" w:themeFillTint="33"/>
            <w:vAlign w:val="center"/>
          </w:tcPr>
          <w:p w:rsidR="00942AE1" w:rsidRPr="003A4B00" w:rsidRDefault="009B6A98" w:rsidP="0020622F">
            <w:r>
              <w:t>ppt</w:t>
            </w:r>
          </w:p>
        </w:tc>
        <w:tc>
          <w:tcPr>
            <w:tcW w:w="6271" w:type="dxa"/>
            <w:shd w:val="clear" w:color="auto" w:fill="E5E5E5" w:themeFill="background1" w:themeFillTint="33"/>
            <w:vAlign w:val="center"/>
          </w:tcPr>
          <w:p w:rsidR="00942AE1" w:rsidRPr="003A4B00" w:rsidRDefault="00942AE1" w:rsidP="0020622F">
            <w:r>
              <w:t>Pe</w:t>
            </w:r>
            <w:r w:rsidR="009B6A98">
              <w:t>r</w:t>
            </w:r>
            <w:r>
              <w:t>centage point</w:t>
            </w:r>
          </w:p>
        </w:tc>
      </w:tr>
      <w:tr w:rsidR="005B0324" w:rsidRPr="003A4B00" w:rsidTr="00FD2A6D">
        <w:trPr>
          <w:trHeight w:val="340"/>
        </w:trPr>
        <w:tc>
          <w:tcPr>
            <w:tcW w:w="2376" w:type="dxa"/>
            <w:shd w:val="clear" w:color="auto" w:fill="FFFFFF" w:themeFill="background2"/>
            <w:vAlign w:val="center"/>
          </w:tcPr>
          <w:p w:rsidR="005B0324" w:rsidRPr="003A4B00" w:rsidRDefault="005B0324" w:rsidP="006169C5">
            <w:r>
              <w:t>RD</w:t>
            </w:r>
            <w:r w:rsidR="006169C5">
              <w:t>D</w:t>
            </w:r>
          </w:p>
        </w:tc>
        <w:tc>
          <w:tcPr>
            <w:tcW w:w="6271" w:type="dxa"/>
            <w:shd w:val="clear" w:color="auto" w:fill="FFFFFF" w:themeFill="background2"/>
            <w:vAlign w:val="center"/>
          </w:tcPr>
          <w:p w:rsidR="005B0324" w:rsidRPr="003A4B00" w:rsidRDefault="005B0324" w:rsidP="006169C5">
            <w:r>
              <w:t xml:space="preserve">Regression Discontinuity </w:t>
            </w:r>
            <w:r w:rsidR="006169C5">
              <w:t>Design</w:t>
            </w:r>
          </w:p>
        </w:tc>
      </w:tr>
      <w:tr w:rsidR="00EC0193" w:rsidRPr="003A4B00" w:rsidTr="00FD2A6D">
        <w:trPr>
          <w:trHeight w:val="340"/>
        </w:trPr>
        <w:tc>
          <w:tcPr>
            <w:tcW w:w="2376" w:type="dxa"/>
            <w:shd w:val="clear" w:color="auto" w:fill="E5E5E5" w:themeFill="background1" w:themeFillTint="33"/>
            <w:vAlign w:val="center"/>
          </w:tcPr>
          <w:p w:rsidR="00EC0193" w:rsidRPr="003A4B00" w:rsidRDefault="00EC0193" w:rsidP="0020622F">
            <w:r w:rsidRPr="003A4B00">
              <w:t>RED</w:t>
            </w:r>
          </w:p>
        </w:tc>
        <w:tc>
          <w:tcPr>
            <w:tcW w:w="6271" w:type="dxa"/>
            <w:shd w:val="clear" w:color="auto" w:fill="E5E5E5" w:themeFill="background1" w:themeFillTint="33"/>
            <w:vAlign w:val="center"/>
          </w:tcPr>
          <w:p w:rsidR="00EC0193" w:rsidRPr="003A4B00" w:rsidRDefault="00EC0193" w:rsidP="0047009F">
            <w:r w:rsidRPr="003A4B00">
              <w:t xml:space="preserve">Research and Evaluation </w:t>
            </w:r>
            <w:r w:rsidR="0047009F">
              <w:t>D</w:t>
            </w:r>
            <w:r w:rsidR="0047009F" w:rsidRPr="003A4B00">
              <w:t>atabase</w:t>
            </w:r>
          </w:p>
        </w:tc>
      </w:tr>
      <w:tr w:rsidR="00EC0193" w:rsidRPr="003A4B00" w:rsidTr="00FD2A6D">
        <w:trPr>
          <w:trHeight w:val="340"/>
        </w:trPr>
        <w:tc>
          <w:tcPr>
            <w:tcW w:w="2376" w:type="dxa"/>
            <w:shd w:val="clear" w:color="auto" w:fill="FFFFFF" w:themeFill="background2"/>
            <w:vAlign w:val="center"/>
          </w:tcPr>
          <w:p w:rsidR="00EC0193" w:rsidRPr="003A4B00" w:rsidRDefault="00EC0193" w:rsidP="0020622F">
            <w:r w:rsidRPr="003A4B00">
              <w:t>S1</w:t>
            </w:r>
          </w:p>
        </w:tc>
        <w:tc>
          <w:tcPr>
            <w:tcW w:w="6271" w:type="dxa"/>
            <w:shd w:val="clear" w:color="auto" w:fill="FFFFFF" w:themeFill="background2"/>
            <w:vAlign w:val="center"/>
          </w:tcPr>
          <w:p w:rsidR="00EC0193" w:rsidRPr="003A4B00" w:rsidRDefault="00EC0193" w:rsidP="0020622F">
            <w:r w:rsidRPr="003A4B00">
              <w:t xml:space="preserve">JSA Stream 1 </w:t>
            </w:r>
          </w:p>
        </w:tc>
      </w:tr>
      <w:tr w:rsidR="00EC0193" w:rsidRPr="003A4B00" w:rsidTr="00FD2A6D">
        <w:trPr>
          <w:trHeight w:val="340"/>
        </w:trPr>
        <w:tc>
          <w:tcPr>
            <w:tcW w:w="2376" w:type="dxa"/>
            <w:shd w:val="clear" w:color="auto" w:fill="E5E5E5" w:themeFill="background1" w:themeFillTint="33"/>
            <w:vAlign w:val="center"/>
          </w:tcPr>
          <w:p w:rsidR="00EC0193" w:rsidRPr="003A4B00" w:rsidRDefault="00EC0193" w:rsidP="0020622F">
            <w:r w:rsidRPr="003A4B00">
              <w:t>S2</w:t>
            </w:r>
          </w:p>
        </w:tc>
        <w:tc>
          <w:tcPr>
            <w:tcW w:w="6271" w:type="dxa"/>
            <w:shd w:val="clear" w:color="auto" w:fill="E5E5E5" w:themeFill="background1" w:themeFillTint="33"/>
            <w:vAlign w:val="center"/>
          </w:tcPr>
          <w:p w:rsidR="00EC0193" w:rsidRPr="003A4B00" w:rsidRDefault="00EC0193" w:rsidP="00262CC1">
            <w:r w:rsidRPr="003A4B00">
              <w:t xml:space="preserve">JSA Stream </w:t>
            </w:r>
            <w:r w:rsidR="00262CC1">
              <w:t>2</w:t>
            </w:r>
          </w:p>
        </w:tc>
      </w:tr>
      <w:tr w:rsidR="00EC0193" w:rsidRPr="003A4B00" w:rsidTr="00FD2A6D">
        <w:trPr>
          <w:trHeight w:val="340"/>
        </w:trPr>
        <w:tc>
          <w:tcPr>
            <w:tcW w:w="2376" w:type="dxa"/>
            <w:shd w:val="clear" w:color="auto" w:fill="FFFFFF" w:themeFill="background2"/>
            <w:vAlign w:val="center"/>
          </w:tcPr>
          <w:p w:rsidR="00EC0193" w:rsidRPr="003A4B00" w:rsidRDefault="00EC0193" w:rsidP="0020622F">
            <w:r w:rsidRPr="003A4B00">
              <w:t>S3</w:t>
            </w:r>
          </w:p>
        </w:tc>
        <w:tc>
          <w:tcPr>
            <w:tcW w:w="6271" w:type="dxa"/>
            <w:shd w:val="clear" w:color="auto" w:fill="FFFFFF" w:themeFill="background2"/>
            <w:vAlign w:val="center"/>
          </w:tcPr>
          <w:p w:rsidR="00EC0193" w:rsidRPr="003A4B00" w:rsidRDefault="00EC0193" w:rsidP="00262CC1">
            <w:r w:rsidRPr="003A4B00">
              <w:t xml:space="preserve">JSA Stream </w:t>
            </w:r>
            <w:r w:rsidR="00262CC1">
              <w:t>3</w:t>
            </w:r>
          </w:p>
        </w:tc>
      </w:tr>
      <w:tr w:rsidR="00EC0193" w:rsidRPr="003A4B00" w:rsidTr="00FD2A6D">
        <w:trPr>
          <w:trHeight w:val="340"/>
        </w:trPr>
        <w:tc>
          <w:tcPr>
            <w:tcW w:w="2376" w:type="dxa"/>
            <w:shd w:val="clear" w:color="auto" w:fill="E5E5E5" w:themeFill="background1" w:themeFillTint="33"/>
            <w:vAlign w:val="center"/>
          </w:tcPr>
          <w:p w:rsidR="00EC0193" w:rsidRPr="003A4B00" w:rsidRDefault="00EC0193" w:rsidP="0020622F">
            <w:r w:rsidRPr="003A4B00">
              <w:t>S4</w:t>
            </w:r>
          </w:p>
        </w:tc>
        <w:tc>
          <w:tcPr>
            <w:tcW w:w="6271" w:type="dxa"/>
            <w:shd w:val="clear" w:color="auto" w:fill="E5E5E5" w:themeFill="background1" w:themeFillTint="33"/>
            <w:vAlign w:val="center"/>
          </w:tcPr>
          <w:p w:rsidR="00EC0193" w:rsidRPr="003A4B00" w:rsidRDefault="00EC0193" w:rsidP="00262CC1">
            <w:r w:rsidRPr="003A4B00">
              <w:t xml:space="preserve">JSA Stream </w:t>
            </w:r>
            <w:r w:rsidR="00262CC1">
              <w:t>4</w:t>
            </w:r>
          </w:p>
        </w:tc>
      </w:tr>
      <w:tr w:rsidR="00EC0193" w:rsidRPr="003A4B00" w:rsidTr="00FD2A6D">
        <w:trPr>
          <w:trHeight w:val="340"/>
        </w:trPr>
        <w:tc>
          <w:tcPr>
            <w:tcW w:w="2376" w:type="dxa"/>
            <w:shd w:val="clear" w:color="auto" w:fill="FFFFFF" w:themeFill="background2"/>
            <w:vAlign w:val="center"/>
          </w:tcPr>
          <w:p w:rsidR="00EC0193" w:rsidRPr="003A4B00" w:rsidRDefault="00EC0193" w:rsidP="0020622F">
            <w:r w:rsidRPr="003A4B00">
              <w:t>SA</w:t>
            </w:r>
          </w:p>
        </w:tc>
        <w:tc>
          <w:tcPr>
            <w:tcW w:w="6271" w:type="dxa"/>
            <w:shd w:val="clear" w:color="auto" w:fill="FFFFFF" w:themeFill="background2"/>
            <w:vAlign w:val="center"/>
          </w:tcPr>
          <w:p w:rsidR="00EC0193" w:rsidRPr="003A4B00" w:rsidRDefault="00EC0193" w:rsidP="00EC0193">
            <w:r w:rsidRPr="003A4B00">
              <w:t>jobactive Stream A</w:t>
            </w:r>
          </w:p>
        </w:tc>
      </w:tr>
      <w:tr w:rsidR="00EC0193" w:rsidRPr="003A4B00" w:rsidTr="00FD2A6D">
        <w:trPr>
          <w:trHeight w:val="340"/>
        </w:trPr>
        <w:tc>
          <w:tcPr>
            <w:tcW w:w="2376" w:type="dxa"/>
            <w:shd w:val="clear" w:color="auto" w:fill="E5E5E5" w:themeFill="background1" w:themeFillTint="33"/>
            <w:vAlign w:val="center"/>
          </w:tcPr>
          <w:p w:rsidR="00EC0193" w:rsidRPr="003A4B00" w:rsidRDefault="00EC0193" w:rsidP="0020622F">
            <w:r w:rsidRPr="003A4B00">
              <w:t>SB</w:t>
            </w:r>
          </w:p>
        </w:tc>
        <w:tc>
          <w:tcPr>
            <w:tcW w:w="6271" w:type="dxa"/>
            <w:shd w:val="clear" w:color="auto" w:fill="E5E5E5" w:themeFill="background1" w:themeFillTint="33"/>
            <w:vAlign w:val="center"/>
          </w:tcPr>
          <w:p w:rsidR="00EC0193" w:rsidRPr="003A4B00" w:rsidRDefault="00EC0193" w:rsidP="00EC0193">
            <w:r w:rsidRPr="003A4B00">
              <w:t>jobactive Stream B</w:t>
            </w:r>
          </w:p>
        </w:tc>
      </w:tr>
      <w:tr w:rsidR="00EC0193" w:rsidRPr="003A4B00" w:rsidTr="00FD2A6D">
        <w:trPr>
          <w:trHeight w:val="340"/>
        </w:trPr>
        <w:tc>
          <w:tcPr>
            <w:tcW w:w="2376" w:type="dxa"/>
            <w:shd w:val="clear" w:color="auto" w:fill="FFFFFF" w:themeFill="background2"/>
            <w:vAlign w:val="center"/>
          </w:tcPr>
          <w:p w:rsidR="00EC0193" w:rsidRPr="003A4B00" w:rsidRDefault="00EC0193" w:rsidP="0020622F">
            <w:r w:rsidRPr="003A4B00">
              <w:t>SC</w:t>
            </w:r>
          </w:p>
        </w:tc>
        <w:tc>
          <w:tcPr>
            <w:tcW w:w="6271" w:type="dxa"/>
            <w:shd w:val="clear" w:color="auto" w:fill="FFFFFF" w:themeFill="background2"/>
            <w:vAlign w:val="center"/>
          </w:tcPr>
          <w:p w:rsidR="00EC0193" w:rsidRPr="003A4B00" w:rsidRDefault="00EC0193" w:rsidP="00EC0193">
            <w:r w:rsidRPr="003A4B00">
              <w:t>jobactive Stream C</w:t>
            </w:r>
          </w:p>
        </w:tc>
      </w:tr>
      <w:tr w:rsidR="00EE070F" w:rsidRPr="003A4B00" w:rsidTr="00FD2A6D">
        <w:trPr>
          <w:trHeight w:val="340"/>
        </w:trPr>
        <w:tc>
          <w:tcPr>
            <w:tcW w:w="2376" w:type="dxa"/>
            <w:shd w:val="clear" w:color="auto" w:fill="E5E5E5" w:themeFill="background1" w:themeFillTint="33"/>
            <w:vAlign w:val="center"/>
          </w:tcPr>
          <w:p w:rsidR="00EE070F" w:rsidRPr="003A4B00" w:rsidRDefault="00EE070F" w:rsidP="0020622F">
            <w:r>
              <w:t>STU</w:t>
            </w:r>
          </w:p>
        </w:tc>
        <w:tc>
          <w:tcPr>
            <w:tcW w:w="6271" w:type="dxa"/>
            <w:shd w:val="clear" w:color="auto" w:fill="E5E5E5" w:themeFill="background1" w:themeFillTint="33"/>
            <w:vAlign w:val="center"/>
          </w:tcPr>
          <w:p w:rsidR="00EE070F" w:rsidRPr="003A4B00" w:rsidRDefault="00EE070F" w:rsidP="00AB43DD">
            <w:r>
              <w:t>Short term unemployed</w:t>
            </w:r>
          </w:p>
        </w:tc>
      </w:tr>
      <w:tr w:rsidR="00404A7F" w:rsidRPr="003A4B00" w:rsidTr="00FD2A6D">
        <w:trPr>
          <w:trHeight w:val="340"/>
        </w:trPr>
        <w:tc>
          <w:tcPr>
            <w:tcW w:w="2376" w:type="dxa"/>
            <w:shd w:val="clear" w:color="auto" w:fill="FFFFFF" w:themeFill="background2"/>
            <w:vAlign w:val="center"/>
          </w:tcPr>
          <w:p w:rsidR="00404A7F" w:rsidRPr="003A4B00" w:rsidRDefault="00404A7F" w:rsidP="0020622F">
            <w:r>
              <w:t>VLTU</w:t>
            </w:r>
          </w:p>
        </w:tc>
        <w:tc>
          <w:tcPr>
            <w:tcW w:w="6271" w:type="dxa"/>
            <w:shd w:val="clear" w:color="auto" w:fill="FFFFFF" w:themeFill="background2"/>
            <w:vAlign w:val="center"/>
          </w:tcPr>
          <w:p w:rsidR="00404A7F" w:rsidRPr="003A4B00" w:rsidRDefault="00404A7F" w:rsidP="00577738">
            <w:r>
              <w:t>Very long term unemployed (two years</w:t>
            </w:r>
            <w:r w:rsidR="00577738">
              <w:t xml:space="preserve"> or more</w:t>
            </w:r>
            <w:r>
              <w:t>)</w:t>
            </w:r>
          </w:p>
        </w:tc>
      </w:tr>
      <w:tr w:rsidR="00787E68" w:rsidRPr="003A4B00" w:rsidTr="00FD2A6D">
        <w:tblPrEx>
          <w:tblBorders>
            <w:bottom w:val="single" w:sz="4" w:space="0" w:color="auto"/>
          </w:tblBorders>
        </w:tblPrEx>
        <w:trPr>
          <w:trHeight w:val="340"/>
        </w:trPr>
        <w:tc>
          <w:tcPr>
            <w:tcW w:w="2376" w:type="dxa"/>
            <w:shd w:val="clear" w:color="auto" w:fill="E5E5E5" w:themeFill="background1" w:themeFillTint="33"/>
            <w:vAlign w:val="center"/>
          </w:tcPr>
          <w:p w:rsidR="00787E68" w:rsidRPr="003A4B00" w:rsidRDefault="00787E68" w:rsidP="0020622F">
            <w:r w:rsidRPr="003A4B00">
              <w:t>YA</w:t>
            </w:r>
            <w:r w:rsidR="009B6A98">
              <w:t>(</w:t>
            </w:r>
            <w:r w:rsidRPr="003A4B00">
              <w:t>O</w:t>
            </w:r>
            <w:r w:rsidR="009B6A98">
              <w:t>)</w:t>
            </w:r>
          </w:p>
        </w:tc>
        <w:tc>
          <w:tcPr>
            <w:tcW w:w="6271" w:type="dxa"/>
            <w:shd w:val="clear" w:color="auto" w:fill="E5E5E5" w:themeFill="background1" w:themeFillTint="33"/>
            <w:vAlign w:val="center"/>
          </w:tcPr>
          <w:p w:rsidR="00787E68" w:rsidRPr="003A4B00" w:rsidRDefault="00787E68" w:rsidP="0020622F">
            <w:r w:rsidRPr="003A4B00">
              <w:t>Youth Allowance (Other)</w:t>
            </w:r>
          </w:p>
        </w:tc>
      </w:tr>
    </w:tbl>
    <w:p w:rsidR="00B05E53" w:rsidRDefault="00B05E53">
      <w:pPr>
        <w:sectPr w:rsidR="00B05E53" w:rsidSect="00B05E53">
          <w:pgSz w:w="11906" w:h="16838"/>
          <w:pgMar w:top="1985" w:right="1440" w:bottom="1440" w:left="1440" w:header="708" w:footer="1011" w:gutter="0"/>
          <w:pgNumType w:fmt="lowerRoman"/>
          <w:cols w:space="708"/>
          <w:docGrid w:linePitch="360"/>
        </w:sectPr>
      </w:pPr>
    </w:p>
    <w:p w:rsidR="009B664F" w:rsidRPr="003A4B00" w:rsidRDefault="009B664F" w:rsidP="00001A6E">
      <w:pPr>
        <w:pStyle w:val="Heading1"/>
      </w:pPr>
      <w:bookmarkStart w:id="51" w:name="_Toc478117539"/>
      <w:bookmarkStart w:id="52" w:name="_Toc507600220"/>
      <w:r w:rsidRPr="003A4B00">
        <w:lastRenderedPageBreak/>
        <w:t xml:space="preserve">Executive </w:t>
      </w:r>
      <w:r w:rsidR="00DA6B06" w:rsidRPr="003A4B00">
        <w:t>s</w:t>
      </w:r>
      <w:r w:rsidRPr="003A4B00">
        <w:t>ummary</w:t>
      </w:r>
      <w:bookmarkEnd w:id="51"/>
      <w:bookmarkEnd w:id="52"/>
    </w:p>
    <w:p w:rsidR="00394590" w:rsidRDefault="00394590" w:rsidP="00C229E9">
      <w:pPr>
        <w:pStyle w:val="Heading2"/>
      </w:pPr>
      <w:bookmarkStart w:id="53" w:name="_Toc507600221"/>
      <w:bookmarkStart w:id="54" w:name="_Toc473808803"/>
      <w:r>
        <w:t>Background</w:t>
      </w:r>
      <w:bookmarkEnd w:id="53"/>
    </w:p>
    <w:p w:rsidR="00394590" w:rsidRDefault="00394590" w:rsidP="00C229E9">
      <w:pPr>
        <w:pStyle w:val="Heading3"/>
      </w:pPr>
      <w:r>
        <w:t>The program</w:t>
      </w:r>
    </w:p>
    <w:p w:rsidR="00DE692B" w:rsidRDefault="00DE692B" w:rsidP="00624940">
      <w:r w:rsidRPr="003A4B00">
        <w:t>The Job Commitment Bonus for Young Australians</w:t>
      </w:r>
      <w:r w:rsidR="004958E0">
        <w:t xml:space="preserve"> (JCB)</w:t>
      </w:r>
      <w:r w:rsidRPr="003A4B00">
        <w:t xml:space="preserve"> </w:t>
      </w:r>
      <w:r>
        <w:t xml:space="preserve">offered an incentive payment to </w:t>
      </w:r>
      <w:r w:rsidR="00565043">
        <w:t>people</w:t>
      </w:r>
      <w:r>
        <w:t xml:space="preserve"> </w:t>
      </w:r>
      <w:r w:rsidRPr="003A4B00">
        <w:t xml:space="preserve">aged 18 to </w:t>
      </w:r>
      <w:r>
        <w:t>under 31</w:t>
      </w:r>
      <w:r w:rsidRPr="003A4B00">
        <w:t xml:space="preserve"> </w:t>
      </w:r>
      <w:r>
        <w:t>years</w:t>
      </w:r>
      <w:r w:rsidR="00111CAD">
        <w:t xml:space="preserve"> (young adults)</w:t>
      </w:r>
      <w:r>
        <w:t xml:space="preserve"> who had been on </w:t>
      </w:r>
      <w:r w:rsidR="00493737">
        <w:t>Newstart Allowance (</w:t>
      </w:r>
      <w:r w:rsidR="00624940">
        <w:t>NSA</w:t>
      </w:r>
      <w:r w:rsidR="00493737">
        <w:t>)</w:t>
      </w:r>
      <w:r w:rsidR="00624940">
        <w:t xml:space="preserve"> or </w:t>
      </w:r>
      <w:r w:rsidR="00493737">
        <w:t xml:space="preserve">Youth Allowance (Other) </w:t>
      </w:r>
      <w:r w:rsidR="00624940">
        <w:t>YA(O)</w:t>
      </w:r>
      <w:r w:rsidR="001F74C3">
        <w:t xml:space="preserve"> </w:t>
      </w:r>
      <w:r w:rsidRPr="003A4B00">
        <w:t>for 12 months or more</w:t>
      </w:r>
      <w:r w:rsidR="00F71ECD">
        <w:t xml:space="preserve">, </w:t>
      </w:r>
      <w:r w:rsidR="00F71ECD">
        <w:rPr>
          <w:rFonts w:cstheme="minorHAnsi"/>
        </w:rPr>
        <w:t xml:space="preserve">to encourage </w:t>
      </w:r>
      <w:r w:rsidR="00F71ECD">
        <w:t>them</w:t>
      </w:r>
      <w:r w:rsidR="00F71ECD" w:rsidRPr="003A4B00">
        <w:t xml:space="preserve"> to find work and remain sustainably off welfare</w:t>
      </w:r>
      <w:r>
        <w:t xml:space="preserve">. </w:t>
      </w:r>
      <w:r w:rsidR="00624940">
        <w:t>It</w:t>
      </w:r>
      <w:r w:rsidR="004C4EF9">
        <w:t xml:space="preserve"> differed from traditional Australian </w:t>
      </w:r>
      <w:r w:rsidR="00CD763E">
        <w:t xml:space="preserve">employment </w:t>
      </w:r>
      <w:r w:rsidR="004C4EF9">
        <w:t xml:space="preserve">programs, as it </w:t>
      </w:r>
      <w:r w:rsidR="008F29D7">
        <w:t xml:space="preserve">paid </w:t>
      </w:r>
      <w:r w:rsidR="00CD763E">
        <w:t xml:space="preserve">a financial incentive </w:t>
      </w:r>
      <w:r w:rsidR="00574A83">
        <w:t>to</w:t>
      </w:r>
      <w:r w:rsidR="00A54A92">
        <w:t xml:space="preserve"> the </w:t>
      </w:r>
      <w:r w:rsidR="00574A83">
        <w:t>employee</w:t>
      </w:r>
      <w:r w:rsidR="004C4EF9">
        <w:t xml:space="preserve"> rather than the employer</w:t>
      </w:r>
      <w:r w:rsidR="00624940">
        <w:t>.</w:t>
      </w:r>
    </w:p>
    <w:p w:rsidR="00D42976" w:rsidRPr="0018315C" w:rsidRDefault="00567E5D" w:rsidP="005466FD">
      <w:r>
        <w:rPr>
          <w:rFonts w:cstheme="minorHAnsi"/>
        </w:rPr>
        <w:t>T</w:t>
      </w:r>
      <w:r w:rsidRPr="003A4B00">
        <w:rPr>
          <w:rFonts w:cstheme="minorHAnsi"/>
        </w:rPr>
        <w:t xml:space="preserve">he JCB </w:t>
      </w:r>
      <w:r>
        <w:rPr>
          <w:rFonts w:cstheme="minorHAnsi"/>
        </w:rPr>
        <w:t xml:space="preserve">operated for two and a half years between 1 July 2014 and 31 December 2016, with </w:t>
      </w:r>
      <w:r w:rsidR="00D42976" w:rsidRPr="0018315C">
        <w:t xml:space="preserve">6595 </w:t>
      </w:r>
      <w:r w:rsidR="002F5BED">
        <w:t>first bonus</w:t>
      </w:r>
      <w:r w:rsidR="008929B4">
        <w:t>,</w:t>
      </w:r>
      <w:r w:rsidR="00D42976" w:rsidRPr="0018315C">
        <w:t xml:space="preserve"> and 1223 </w:t>
      </w:r>
      <w:r w:rsidR="002F5BED">
        <w:t xml:space="preserve">second bonus </w:t>
      </w:r>
      <w:r w:rsidR="00D42976" w:rsidRPr="0018315C">
        <w:t>claims approved.</w:t>
      </w:r>
      <w:r>
        <w:rPr>
          <w:rStyle w:val="FootnoteReference"/>
        </w:rPr>
        <w:footnoteReference w:id="2"/>
      </w:r>
    </w:p>
    <w:p w:rsidR="00394590" w:rsidRDefault="00394590" w:rsidP="00C229E9">
      <w:pPr>
        <w:pStyle w:val="Heading3"/>
      </w:pPr>
      <w:r>
        <w:t>The labour market</w:t>
      </w:r>
    </w:p>
    <w:p w:rsidR="00DE692B" w:rsidRPr="003A4B00" w:rsidRDefault="00624940" w:rsidP="00DE692B">
      <w:pPr>
        <w:spacing w:before="240"/>
      </w:pPr>
      <w:r>
        <w:t>The program</w:t>
      </w:r>
      <w:r w:rsidRPr="003A4B00">
        <w:t xml:space="preserve"> commenced </w:t>
      </w:r>
      <w:r w:rsidR="00DE692B">
        <w:t xml:space="preserve">at a time of weakened </w:t>
      </w:r>
      <w:r w:rsidR="00DE692B" w:rsidRPr="003A4B00">
        <w:t>labour market conditions</w:t>
      </w:r>
      <w:r>
        <w:t>. T</w:t>
      </w:r>
      <w:r w:rsidR="00DE692B">
        <w:t>he labour market</w:t>
      </w:r>
      <w:r w:rsidR="00C229E9">
        <w:t xml:space="preserve"> for young adults</w:t>
      </w:r>
      <w:r w:rsidR="00DE692B">
        <w:t xml:space="preserve"> </w:t>
      </w:r>
      <w:r w:rsidR="00DE692B" w:rsidRPr="003A4B00">
        <w:t xml:space="preserve">deteriorated significantly </w:t>
      </w:r>
      <w:r w:rsidR="008865D4">
        <w:t>following</w:t>
      </w:r>
      <w:r w:rsidR="008865D4" w:rsidRPr="003A4B00">
        <w:t xml:space="preserve"> </w:t>
      </w:r>
      <w:r w:rsidR="000C08F7">
        <w:t xml:space="preserve">the onset of </w:t>
      </w:r>
      <w:r w:rsidR="00DE692B" w:rsidRPr="003A4B00">
        <w:t>the G</w:t>
      </w:r>
      <w:r w:rsidR="00A54A92">
        <w:t xml:space="preserve">lobal </w:t>
      </w:r>
      <w:r w:rsidR="00DE692B" w:rsidRPr="003A4B00">
        <w:t>F</w:t>
      </w:r>
      <w:r w:rsidR="00A54A92">
        <w:t xml:space="preserve">inancial </w:t>
      </w:r>
      <w:r w:rsidR="00413D5A" w:rsidRPr="003A4B00">
        <w:t>C</w:t>
      </w:r>
      <w:r w:rsidR="00413D5A">
        <w:t>risis</w:t>
      </w:r>
      <w:r w:rsidR="00A54A92">
        <w:t xml:space="preserve"> (GFC)</w:t>
      </w:r>
      <w:r w:rsidR="00C229E9">
        <w:t xml:space="preserve"> </w:t>
      </w:r>
      <w:r w:rsidR="00DE692B" w:rsidRPr="003A4B00">
        <w:t>with</w:t>
      </w:r>
      <w:r w:rsidR="00656A3A">
        <w:rPr>
          <w:rStyle w:val="FootnoteReference"/>
        </w:rPr>
        <w:footnoteReference w:id="3"/>
      </w:r>
      <w:r w:rsidR="00DE692B" w:rsidRPr="003A4B00">
        <w:t>:</w:t>
      </w:r>
    </w:p>
    <w:p w:rsidR="004C4EF9" w:rsidRPr="001B00E5" w:rsidRDefault="005A644B" w:rsidP="00E3205B">
      <w:pPr>
        <w:pStyle w:val="ListParagraph"/>
        <w:numPr>
          <w:ilvl w:val="0"/>
          <w:numId w:val="64"/>
        </w:numPr>
      </w:pPr>
      <w:r>
        <w:t>a higher unemployment rate (</w:t>
      </w:r>
      <w:r w:rsidR="00394590">
        <w:t>8.6</w:t>
      </w:r>
      <w:r w:rsidR="004C4EF9" w:rsidRPr="001B00E5">
        <w:t xml:space="preserve"> per cent in </w:t>
      </w:r>
      <w:r w:rsidR="00394590">
        <w:t xml:space="preserve">June 2014 compared with 5.7 per cent in </w:t>
      </w:r>
      <w:r w:rsidR="004C4EF9" w:rsidRPr="001B00E5">
        <w:t>September 2008)</w:t>
      </w:r>
    </w:p>
    <w:p w:rsidR="004C4EF9" w:rsidRPr="001B00E5" w:rsidRDefault="004C4EF9" w:rsidP="00E3205B">
      <w:pPr>
        <w:pStyle w:val="ListParagraph"/>
        <w:numPr>
          <w:ilvl w:val="0"/>
          <w:numId w:val="64"/>
        </w:numPr>
      </w:pPr>
      <w:r w:rsidRPr="001B00E5">
        <w:t>longer average lengths of unemployment (</w:t>
      </w:r>
      <w:r w:rsidR="00394590">
        <w:t>29.3</w:t>
      </w:r>
      <w:r w:rsidRPr="001B00E5">
        <w:t xml:space="preserve"> weeks </w:t>
      </w:r>
      <w:r w:rsidR="00423793">
        <w:t xml:space="preserve">in </w:t>
      </w:r>
      <w:r w:rsidR="00394590">
        <w:t>June 2014 compared with 17.</w:t>
      </w:r>
      <w:r w:rsidR="00C229E9">
        <w:t>9 </w:t>
      </w:r>
      <w:r w:rsidR="00394590">
        <w:t xml:space="preserve">weeks in </w:t>
      </w:r>
      <w:r w:rsidR="00423793">
        <w:t>September 2008</w:t>
      </w:r>
      <w:r w:rsidR="001B4777">
        <w:t xml:space="preserve"> for 15 to 24 year olds</w:t>
      </w:r>
      <w:r w:rsidRPr="001B00E5">
        <w:t>)</w:t>
      </w:r>
    </w:p>
    <w:p w:rsidR="004C4EF9" w:rsidRPr="001B00E5" w:rsidRDefault="003A75B0" w:rsidP="00E3205B">
      <w:pPr>
        <w:pStyle w:val="ListParagraph"/>
        <w:numPr>
          <w:ilvl w:val="0"/>
          <w:numId w:val="64"/>
        </w:numPr>
      </w:pPr>
      <w:r>
        <w:t xml:space="preserve">an increasing proportion of unemployed 15-24 year olds being </w:t>
      </w:r>
      <w:r w:rsidR="00A54A92">
        <w:t>long-term unemployed (</w:t>
      </w:r>
      <w:r>
        <w:t>LTU</w:t>
      </w:r>
      <w:r w:rsidR="00A54A92">
        <w:t>)</w:t>
      </w:r>
      <w:r>
        <w:t xml:space="preserve"> (</w:t>
      </w:r>
      <w:r w:rsidR="00394590">
        <w:t>17.2</w:t>
      </w:r>
      <w:r>
        <w:t xml:space="preserve"> per cent in</w:t>
      </w:r>
      <w:r w:rsidR="00394590">
        <w:t xml:space="preserve"> June</w:t>
      </w:r>
      <w:r w:rsidR="00C229E9">
        <w:t> </w:t>
      </w:r>
      <w:r w:rsidR="00394590">
        <w:t xml:space="preserve">2014 compared with 8.5 per cent in </w:t>
      </w:r>
      <w:r>
        <w:t>September 2008</w:t>
      </w:r>
      <w:r w:rsidR="00C229E9">
        <w:t>)</w:t>
      </w:r>
    </w:p>
    <w:p w:rsidR="004C4EF9" w:rsidRPr="001B00E5" w:rsidRDefault="004C4EF9" w:rsidP="00AC7CD0">
      <w:pPr>
        <w:pStyle w:val="ListParagraph"/>
        <w:numPr>
          <w:ilvl w:val="0"/>
          <w:numId w:val="64"/>
        </w:numPr>
      </w:pPr>
      <w:r w:rsidRPr="001B00E5">
        <w:t>a decreasing labour force participation rate (</w:t>
      </w:r>
      <w:r w:rsidR="00394590">
        <w:t>79</w:t>
      </w:r>
      <w:r w:rsidR="00C229E9">
        <w:t>.</w:t>
      </w:r>
      <w:r w:rsidR="00394590">
        <w:t>7 per cent in June 2014 compared with 81.</w:t>
      </w:r>
      <w:r w:rsidR="00C229E9">
        <w:t>8 </w:t>
      </w:r>
      <w:r w:rsidRPr="001B00E5">
        <w:t xml:space="preserve">per cent </w:t>
      </w:r>
      <w:r w:rsidR="00423793">
        <w:t>in September 2008</w:t>
      </w:r>
      <w:r w:rsidRPr="001B00E5">
        <w:t>)</w:t>
      </w:r>
      <w:r w:rsidR="00916710">
        <w:t>, explained in part by a higher participation in full-time education.</w:t>
      </w:r>
    </w:p>
    <w:p w:rsidR="00394590" w:rsidRDefault="00394590" w:rsidP="00C229E9">
      <w:pPr>
        <w:pStyle w:val="Heading3"/>
      </w:pPr>
      <w:r>
        <w:t>The evaluation questions</w:t>
      </w:r>
    </w:p>
    <w:p w:rsidR="00624940" w:rsidRDefault="00423793" w:rsidP="006C673A">
      <w:r>
        <w:t xml:space="preserve">This evaluation addresses four </w:t>
      </w:r>
      <w:r w:rsidR="00624940">
        <w:t xml:space="preserve">key questions </w:t>
      </w:r>
      <w:r>
        <w:t>in order</w:t>
      </w:r>
      <w:r w:rsidR="00624940">
        <w:t xml:space="preserve"> to assess </w:t>
      </w:r>
      <w:r>
        <w:t xml:space="preserve">the </w:t>
      </w:r>
      <w:r w:rsidR="00624940">
        <w:t>effective</w:t>
      </w:r>
      <w:r>
        <w:t>ness of the JCB</w:t>
      </w:r>
      <w:r w:rsidR="00624940">
        <w:t xml:space="preserve"> in achieving its objective of </w:t>
      </w:r>
      <w:r>
        <w:rPr>
          <w:rFonts w:cstheme="minorHAnsi"/>
        </w:rPr>
        <w:t>encouraging</w:t>
      </w:r>
      <w:r w:rsidRPr="003A4B00">
        <w:t xml:space="preserve"> </w:t>
      </w:r>
      <w:r w:rsidR="00624940" w:rsidRPr="003A4B00">
        <w:t>young long-term unemployed Australians to find work and remain sustainably off welfare</w:t>
      </w:r>
      <w:r w:rsidR="00624940">
        <w:t>.</w:t>
      </w:r>
      <w:r w:rsidR="009F3032">
        <w:t xml:space="preserve"> These are:</w:t>
      </w:r>
    </w:p>
    <w:p w:rsidR="009F3032" w:rsidRPr="003A4B00" w:rsidRDefault="009F3032" w:rsidP="005D42E7">
      <w:pPr>
        <w:pStyle w:val="ListParagraph"/>
        <w:numPr>
          <w:ilvl w:val="0"/>
          <w:numId w:val="23"/>
        </w:numPr>
        <w:ind w:left="714" w:hanging="357"/>
      </w:pPr>
      <w:r w:rsidRPr="003A4B00">
        <w:t>D</w:t>
      </w:r>
      <w:r>
        <w:t>id</w:t>
      </w:r>
      <w:r w:rsidRPr="003A4B00">
        <w:t xml:space="preserve"> the </w:t>
      </w:r>
      <w:r>
        <w:t>JCB</w:t>
      </w:r>
      <w:r w:rsidRPr="003A4B00">
        <w:t xml:space="preserve"> influence take-up and retention of employment among young (18 to 30 years) long-term unemployed people?</w:t>
      </w:r>
    </w:p>
    <w:p w:rsidR="009F3032" w:rsidRPr="007A2A83" w:rsidRDefault="009F3032" w:rsidP="005D42E7">
      <w:pPr>
        <w:pStyle w:val="ListParagraph"/>
        <w:numPr>
          <w:ilvl w:val="0"/>
          <w:numId w:val="23"/>
        </w:numPr>
        <w:tabs>
          <w:tab w:val="left" w:pos="227"/>
        </w:tabs>
        <w:suppressAutoHyphens/>
        <w:autoSpaceDE w:val="0"/>
        <w:autoSpaceDN w:val="0"/>
        <w:adjustRightInd w:val="0"/>
        <w:spacing w:before="20" w:after="198" w:line="300" w:lineRule="atLeast"/>
        <w:ind w:left="714" w:hanging="357"/>
        <w:textAlignment w:val="center"/>
        <w:rPr>
          <w:rFonts w:ascii="Calibri" w:eastAsia="Univers" w:hAnsi="Calibri" w:cs="Garamond"/>
          <w:color w:val="000000"/>
          <w:lang w:eastAsia="en-AU"/>
        </w:rPr>
      </w:pPr>
      <w:r>
        <w:rPr>
          <w:rFonts w:ascii="Calibri" w:eastAsia="Univers" w:hAnsi="Calibri" w:cs="Garamond"/>
          <w:color w:val="000000"/>
          <w:lang w:eastAsia="en-AU"/>
        </w:rPr>
        <w:t>Did</w:t>
      </w:r>
      <w:r w:rsidRPr="007A2A83">
        <w:rPr>
          <w:rFonts w:ascii="Calibri" w:eastAsia="Univers" w:hAnsi="Calibri" w:cs="Garamond"/>
          <w:color w:val="000000"/>
          <w:lang w:eastAsia="en-AU"/>
        </w:rPr>
        <w:t xml:space="preserve"> employment outcomes and off-income support outcomes of young long-</w:t>
      </w:r>
      <w:r>
        <w:rPr>
          <w:rFonts w:ascii="Calibri" w:eastAsia="Univers" w:hAnsi="Calibri" w:cs="Garamond"/>
          <w:color w:val="000000"/>
          <w:lang w:eastAsia="en-AU"/>
        </w:rPr>
        <w:t>term unemployed people increase</w:t>
      </w:r>
      <w:r w:rsidRPr="007A2A83">
        <w:rPr>
          <w:rFonts w:ascii="Calibri" w:eastAsia="Univers" w:hAnsi="Calibri" w:cs="Garamond"/>
          <w:color w:val="000000"/>
          <w:lang w:eastAsia="en-AU"/>
        </w:rPr>
        <w:t xml:space="preserve"> </w:t>
      </w:r>
      <w:r>
        <w:rPr>
          <w:rFonts w:ascii="Calibri" w:eastAsia="Univers" w:hAnsi="Calibri" w:cs="Garamond"/>
          <w:color w:val="000000"/>
          <w:lang w:eastAsia="en-AU"/>
        </w:rPr>
        <w:t>following</w:t>
      </w:r>
      <w:r w:rsidRPr="007A2A83">
        <w:rPr>
          <w:rFonts w:ascii="Calibri" w:eastAsia="Univers" w:hAnsi="Calibri" w:cs="Garamond"/>
          <w:color w:val="000000"/>
          <w:lang w:eastAsia="en-AU"/>
        </w:rPr>
        <w:t xml:space="preserve"> the introduction of the </w:t>
      </w:r>
      <w:r>
        <w:rPr>
          <w:rFonts w:ascii="Calibri" w:eastAsia="Univers" w:hAnsi="Calibri" w:cs="Garamond"/>
          <w:color w:val="000000"/>
          <w:lang w:eastAsia="en-AU"/>
        </w:rPr>
        <w:t>JCB</w:t>
      </w:r>
      <w:r w:rsidRPr="007A2A83">
        <w:rPr>
          <w:rFonts w:ascii="Calibri" w:eastAsia="Univers" w:hAnsi="Calibri" w:cs="Garamond"/>
          <w:color w:val="000000"/>
          <w:lang w:eastAsia="en-AU"/>
        </w:rPr>
        <w:t>?</w:t>
      </w:r>
    </w:p>
    <w:p w:rsidR="009F3032" w:rsidRPr="007A2A83" w:rsidRDefault="009F3032" w:rsidP="005D42E7">
      <w:pPr>
        <w:pStyle w:val="ListParagraph"/>
        <w:numPr>
          <w:ilvl w:val="0"/>
          <w:numId w:val="23"/>
        </w:numPr>
        <w:tabs>
          <w:tab w:val="left" w:pos="227"/>
        </w:tabs>
        <w:suppressAutoHyphens/>
        <w:autoSpaceDE w:val="0"/>
        <w:autoSpaceDN w:val="0"/>
        <w:adjustRightInd w:val="0"/>
        <w:spacing w:before="20" w:after="198" w:line="300" w:lineRule="atLeast"/>
        <w:ind w:left="714" w:hanging="357"/>
        <w:textAlignment w:val="center"/>
        <w:rPr>
          <w:rFonts w:ascii="Calibri" w:eastAsia="Univers" w:hAnsi="Calibri" w:cs="Garamond"/>
          <w:color w:val="000000"/>
          <w:lang w:eastAsia="en-AU"/>
        </w:rPr>
      </w:pPr>
      <w:r w:rsidRPr="007A2A83">
        <w:rPr>
          <w:rFonts w:ascii="Calibri" w:eastAsia="Univers" w:hAnsi="Calibri" w:cs="Garamond"/>
          <w:color w:val="000000"/>
          <w:lang w:eastAsia="en-AU"/>
        </w:rPr>
        <w:t>What other types of financial incentive or support (for example, post placement, job seeker payments and employer subsidies), if any</w:t>
      </w:r>
      <w:r w:rsidR="00CD763E">
        <w:rPr>
          <w:rFonts w:ascii="Calibri" w:eastAsia="Univers" w:hAnsi="Calibri" w:cs="Garamond"/>
          <w:color w:val="000000"/>
          <w:lang w:eastAsia="en-AU"/>
        </w:rPr>
        <w:t>,</w:t>
      </w:r>
      <w:r w:rsidRPr="007A2A83">
        <w:rPr>
          <w:rFonts w:ascii="Calibri" w:eastAsia="Univers" w:hAnsi="Calibri" w:cs="Garamond"/>
          <w:color w:val="000000"/>
          <w:lang w:eastAsia="en-AU"/>
        </w:rPr>
        <w:t xml:space="preserve"> were received in conjunction with the </w:t>
      </w:r>
      <w:r>
        <w:rPr>
          <w:rFonts w:ascii="Calibri" w:eastAsia="Univers" w:hAnsi="Calibri" w:cs="Garamond"/>
          <w:color w:val="000000"/>
          <w:lang w:eastAsia="en-AU"/>
        </w:rPr>
        <w:t>JCB</w:t>
      </w:r>
      <w:r w:rsidRPr="007A2A83">
        <w:rPr>
          <w:rFonts w:ascii="Calibri" w:eastAsia="Univers" w:hAnsi="Calibri" w:cs="Garamond"/>
          <w:color w:val="000000"/>
          <w:lang w:eastAsia="en-AU"/>
        </w:rPr>
        <w:t>?</w:t>
      </w:r>
    </w:p>
    <w:p w:rsidR="009F3032" w:rsidRPr="007A2A83" w:rsidRDefault="009F3032" w:rsidP="005D42E7">
      <w:pPr>
        <w:pStyle w:val="ListParagraph"/>
        <w:numPr>
          <w:ilvl w:val="0"/>
          <w:numId w:val="23"/>
        </w:numPr>
        <w:tabs>
          <w:tab w:val="left" w:pos="227"/>
        </w:tabs>
        <w:suppressAutoHyphens/>
        <w:autoSpaceDE w:val="0"/>
        <w:autoSpaceDN w:val="0"/>
        <w:adjustRightInd w:val="0"/>
        <w:spacing w:before="20" w:after="198" w:line="300" w:lineRule="atLeast"/>
        <w:ind w:left="714" w:hanging="357"/>
        <w:textAlignment w:val="center"/>
        <w:rPr>
          <w:rFonts w:ascii="Calibri" w:eastAsia="Univers" w:hAnsi="Calibri" w:cs="Garamond"/>
          <w:color w:val="000000"/>
          <w:lang w:eastAsia="en-AU"/>
        </w:rPr>
      </w:pPr>
      <w:r>
        <w:rPr>
          <w:rFonts w:ascii="Calibri" w:eastAsia="Univers" w:hAnsi="Calibri" w:cs="Garamond"/>
          <w:color w:val="000000"/>
          <w:lang w:eastAsia="en-AU"/>
        </w:rPr>
        <w:t>Wa</w:t>
      </w:r>
      <w:r w:rsidRPr="007A2A83">
        <w:rPr>
          <w:rFonts w:ascii="Calibri" w:eastAsia="Univers" w:hAnsi="Calibri" w:cs="Garamond"/>
          <w:color w:val="000000"/>
          <w:lang w:eastAsia="en-AU"/>
        </w:rPr>
        <w:t xml:space="preserve">s the </w:t>
      </w:r>
      <w:r>
        <w:rPr>
          <w:rFonts w:ascii="Calibri" w:eastAsia="Univers" w:hAnsi="Calibri" w:cs="Garamond"/>
          <w:color w:val="000000"/>
          <w:lang w:eastAsia="en-AU"/>
        </w:rPr>
        <w:t xml:space="preserve">JCB </w:t>
      </w:r>
      <w:r w:rsidRPr="007A2A83">
        <w:rPr>
          <w:rFonts w:ascii="Calibri" w:eastAsia="Univers" w:hAnsi="Calibri" w:cs="Garamond"/>
          <w:color w:val="000000"/>
          <w:lang w:eastAsia="en-AU"/>
        </w:rPr>
        <w:t xml:space="preserve">cost effective? </w:t>
      </w:r>
    </w:p>
    <w:p w:rsidR="00391032" w:rsidRDefault="00391032" w:rsidP="00C229E9">
      <w:pPr>
        <w:pStyle w:val="Heading3"/>
      </w:pPr>
      <w:r>
        <w:lastRenderedPageBreak/>
        <w:t>The data</w:t>
      </w:r>
    </w:p>
    <w:p w:rsidR="00423793" w:rsidRDefault="004958E0" w:rsidP="006C673A">
      <w:r>
        <w:t>A comprehensive range of d</w:t>
      </w:r>
      <w:r w:rsidR="005A644B">
        <w:t xml:space="preserve">ata </w:t>
      </w:r>
      <w:r w:rsidR="00423793">
        <w:t>has been used to address these</w:t>
      </w:r>
      <w:r>
        <w:t xml:space="preserve"> questions including</w:t>
      </w:r>
      <w:r w:rsidR="00423793">
        <w:t>:</w:t>
      </w:r>
    </w:p>
    <w:p w:rsidR="00423793" w:rsidRDefault="00A54A92" w:rsidP="00E3205B">
      <w:pPr>
        <w:pStyle w:val="ListParagraph"/>
        <w:numPr>
          <w:ilvl w:val="0"/>
          <w:numId w:val="69"/>
        </w:numPr>
      </w:pPr>
      <w:r>
        <w:t>four</w:t>
      </w:r>
      <w:r w:rsidR="005A644B">
        <w:t xml:space="preserve"> rounds of qualitative </w:t>
      </w:r>
      <w:r w:rsidR="00574A83">
        <w:t>research</w:t>
      </w:r>
    </w:p>
    <w:p w:rsidR="00AA5760" w:rsidRDefault="00CF0ADA" w:rsidP="00E3205B">
      <w:pPr>
        <w:pStyle w:val="ListParagraph"/>
        <w:numPr>
          <w:ilvl w:val="0"/>
          <w:numId w:val="69"/>
        </w:numPr>
      </w:pPr>
      <w:r>
        <w:t xml:space="preserve">a range of </w:t>
      </w:r>
      <w:r w:rsidR="005A644B">
        <w:t>administrative data</w:t>
      </w:r>
    </w:p>
    <w:p w:rsidR="009F3032" w:rsidRDefault="005A644B" w:rsidP="00E3205B">
      <w:pPr>
        <w:pStyle w:val="ListParagraph"/>
        <w:numPr>
          <w:ilvl w:val="0"/>
          <w:numId w:val="69"/>
        </w:numPr>
      </w:pPr>
      <w:r>
        <w:t>survey</w:t>
      </w:r>
      <w:r w:rsidR="00574A83">
        <w:t xml:space="preserve"> data</w:t>
      </w:r>
      <w:r>
        <w:t xml:space="preserve">. </w:t>
      </w:r>
    </w:p>
    <w:p w:rsidR="00D573F7" w:rsidRPr="00D573F7" w:rsidRDefault="00D573F7" w:rsidP="00F6788A">
      <w:pPr>
        <w:pStyle w:val="Heading2"/>
      </w:pPr>
      <w:bookmarkStart w:id="55" w:name="_Toc507600222"/>
      <w:r>
        <w:t>JCB claims</w:t>
      </w:r>
      <w:bookmarkEnd w:id="55"/>
    </w:p>
    <w:p w:rsidR="00485E56" w:rsidRDefault="00D573F7" w:rsidP="00D573F7">
      <w:r>
        <w:t>An estimated 22 per cent of potentially eligible</w:t>
      </w:r>
      <w:r w:rsidR="00FB4E31">
        <w:rPr>
          <w:rStyle w:val="FootnoteReference"/>
        </w:rPr>
        <w:footnoteReference w:id="4"/>
      </w:r>
      <w:r>
        <w:t xml:space="preserve"> people claimed the bonus. Certain groups </w:t>
      </w:r>
      <w:r w:rsidR="00485E56">
        <w:t>were</w:t>
      </w:r>
      <w:r>
        <w:t xml:space="preserve"> more likely to claim if they were eligible</w:t>
      </w:r>
      <w:r w:rsidR="00485E56">
        <w:t xml:space="preserve"> including:</w:t>
      </w:r>
    </w:p>
    <w:p w:rsidR="00485E56" w:rsidRDefault="00D573F7" w:rsidP="00E3205B">
      <w:pPr>
        <w:pStyle w:val="ListParagraph"/>
        <w:numPr>
          <w:ilvl w:val="0"/>
          <w:numId w:val="70"/>
        </w:numPr>
      </w:pPr>
      <w:r>
        <w:t>single parents</w:t>
      </w:r>
    </w:p>
    <w:p w:rsidR="00485E56" w:rsidRDefault="00485E56" w:rsidP="00E3205B">
      <w:pPr>
        <w:pStyle w:val="ListParagraph"/>
        <w:numPr>
          <w:ilvl w:val="0"/>
          <w:numId w:val="70"/>
        </w:numPr>
      </w:pPr>
      <w:r>
        <w:t>people with</w:t>
      </w:r>
      <w:r w:rsidR="00D573F7">
        <w:t xml:space="preserve"> tertiary education</w:t>
      </w:r>
    </w:p>
    <w:p w:rsidR="00485E56" w:rsidRDefault="00485E56" w:rsidP="00E3205B">
      <w:pPr>
        <w:pStyle w:val="ListParagraph"/>
        <w:numPr>
          <w:ilvl w:val="0"/>
          <w:numId w:val="70"/>
        </w:numPr>
      </w:pPr>
      <w:r>
        <w:t>people</w:t>
      </w:r>
      <w:r w:rsidR="00D573F7">
        <w:t xml:space="preserve"> with disability</w:t>
      </w:r>
    </w:p>
    <w:p w:rsidR="00485E56" w:rsidRDefault="00485E56" w:rsidP="00E3205B">
      <w:pPr>
        <w:pStyle w:val="ListParagraph"/>
        <w:numPr>
          <w:ilvl w:val="0"/>
          <w:numId w:val="70"/>
        </w:numPr>
      </w:pPr>
      <w:r>
        <w:t>women</w:t>
      </w:r>
      <w:r w:rsidR="00D573F7">
        <w:t>.</w:t>
      </w:r>
    </w:p>
    <w:p w:rsidR="00D573F7" w:rsidRPr="003A4B00" w:rsidRDefault="00485E56" w:rsidP="00485E56">
      <w:r>
        <w:t>E</w:t>
      </w:r>
      <w:r w:rsidR="00D573F7" w:rsidRPr="003A4B00">
        <w:t>ducation levels</w:t>
      </w:r>
      <w:r w:rsidR="00391032">
        <w:t>,</w:t>
      </w:r>
      <w:r w:rsidR="00D573F7">
        <w:t xml:space="preserve"> and</w:t>
      </w:r>
      <w:r w:rsidR="00D573F7" w:rsidRPr="003A4B00">
        <w:t xml:space="preserve"> availability and accessibility of information were key</w:t>
      </w:r>
      <w:r w:rsidR="00C46ADC">
        <w:t xml:space="preserve"> factors</w:t>
      </w:r>
      <w:r w:rsidR="00D573F7" w:rsidRPr="003A4B00">
        <w:t xml:space="preserve"> influenc</w:t>
      </w:r>
      <w:r w:rsidR="00C46ADC">
        <w:t>ing</w:t>
      </w:r>
      <w:r w:rsidR="00D573F7" w:rsidRPr="003A4B00">
        <w:t xml:space="preserve"> take-up</w:t>
      </w:r>
      <w:r w:rsidR="00C46ADC">
        <w:t xml:space="preserve"> of the bonus</w:t>
      </w:r>
      <w:r w:rsidR="00D573F7" w:rsidRPr="003A4B00">
        <w:t>.</w:t>
      </w:r>
      <w:r w:rsidR="00D573F7">
        <w:t xml:space="preserve"> </w:t>
      </w:r>
      <w:r>
        <w:t>O</w:t>
      </w:r>
      <w:r w:rsidR="00D573F7">
        <w:t xml:space="preserve">verseas experience </w:t>
      </w:r>
      <w:r>
        <w:t>indicates</w:t>
      </w:r>
      <w:r w:rsidR="00C46ADC">
        <w:t xml:space="preserve"> that</w:t>
      </w:r>
      <w:r>
        <w:t xml:space="preserve"> </w:t>
      </w:r>
      <w:r w:rsidR="00C46ADC">
        <w:t>financial incentives are more likely to motivate single parents</w:t>
      </w:r>
      <w:r w:rsidR="00D573F7">
        <w:t xml:space="preserve"> </w:t>
      </w:r>
      <w:r w:rsidR="00C46ADC">
        <w:t xml:space="preserve">and </w:t>
      </w:r>
      <w:r>
        <w:t xml:space="preserve">people </w:t>
      </w:r>
      <w:r w:rsidR="00D573F7">
        <w:t xml:space="preserve">on low incomes </w:t>
      </w:r>
      <w:r w:rsidR="00070792">
        <w:t>(</w:t>
      </w:r>
      <w:r w:rsidR="00D86661">
        <w:t xml:space="preserve">Immervoll </w:t>
      </w:r>
      <w:r w:rsidR="00070792">
        <w:t>and Scarpetta, 2012)</w:t>
      </w:r>
      <w:r w:rsidR="00D573F7">
        <w:t>.</w:t>
      </w:r>
    </w:p>
    <w:p w:rsidR="00CE0E9C" w:rsidRDefault="004958E0" w:rsidP="00CE0E9C">
      <w:r>
        <w:t xml:space="preserve">Take-up was lower than anticipated, </w:t>
      </w:r>
      <w:r w:rsidR="00485E56">
        <w:t xml:space="preserve">largely </w:t>
      </w:r>
      <w:r w:rsidR="00413D5A">
        <w:t>because of</w:t>
      </w:r>
      <w:r w:rsidR="00485E56">
        <w:t xml:space="preserve"> </w:t>
      </w:r>
      <w:r>
        <w:t xml:space="preserve">low awareness among the target cohort. </w:t>
      </w:r>
      <w:r w:rsidR="00485E56">
        <w:t xml:space="preserve">The challenges of designing an </w:t>
      </w:r>
      <w:r>
        <w:t xml:space="preserve">effective communication strategy </w:t>
      </w:r>
      <w:r w:rsidR="00485E56">
        <w:t>for this group</w:t>
      </w:r>
      <w:r w:rsidR="00391032">
        <w:t xml:space="preserve">, </w:t>
      </w:r>
      <w:r w:rsidR="00413D5A">
        <w:t xml:space="preserve">coupled </w:t>
      </w:r>
      <w:r w:rsidR="00391032">
        <w:t xml:space="preserve">with the lack of </w:t>
      </w:r>
      <w:r w:rsidR="003863A2">
        <w:t xml:space="preserve">explicit funding for </w:t>
      </w:r>
      <w:r w:rsidR="00413D5A">
        <w:t xml:space="preserve">targeted </w:t>
      </w:r>
      <w:r w:rsidR="00391032">
        <w:t>communications are</w:t>
      </w:r>
      <w:r>
        <w:t xml:space="preserve"> ma</w:t>
      </w:r>
      <w:r w:rsidR="00391032">
        <w:t>jor</w:t>
      </w:r>
      <w:r>
        <w:t xml:space="preserve"> reason</w:t>
      </w:r>
      <w:r w:rsidR="00391032">
        <w:t>s</w:t>
      </w:r>
      <w:r>
        <w:t xml:space="preserve"> for this. There is evidence that awareness of the program was increasing as the program matured</w:t>
      </w:r>
      <w:r w:rsidR="00195E04">
        <w:t>,</w:t>
      </w:r>
      <w:r w:rsidR="003863A2">
        <w:t xml:space="preserve"> as </w:t>
      </w:r>
      <w:r>
        <w:t xml:space="preserve">a result of word of mouth and </w:t>
      </w:r>
      <w:r w:rsidR="00413D5A">
        <w:t xml:space="preserve">increasing promotion via </w:t>
      </w:r>
      <w:r>
        <w:t>social media.</w:t>
      </w:r>
      <w:r w:rsidR="00CE0E9C">
        <w:t xml:space="preserve"> </w:t>
      </w:r>
    </w:p>
    <w:p w:rsidR="00CE0E9C" w:rsidRDefault="00CE0E9C" w:rsidP="00CE0E9C">
      <w:r>
        <w:t>Other factors</w:t>
      </w:r>
      <w:r w:rsidR="003863A2">
        <w:t xml:space="preserve"> that</w:t>
      </w:r>
      <w:r>
        <w:t xml:space="preserve"> </w:t>
      </w:r>
      <w:r w:rsidR="003863A2">
        <w:t xml:space="preserve">hampered </w:t>
      </w:r>
      <w:r>
        <w:t xml:space="preserve">take-up </w:t>
      </w:r>
      <w:r w:rsidR="00485E56">
        <w:t>included</w:t>
      </w:r>
      <w:r>
        <w:t>:</w:t>
      </w:r>
      <w:r w:rsidRPr="00CE0E9C">
        <w:t xml:space="preserve"> </w:t>
      </w:r>
    </w:p>
    <w:p w:rsidR="00CE0E9C" w:rsidRDefault="00CE0E9C" w:rsidP="00E3205B">
      <w:pPr>
        <w:pStyle w:val="ListParagraph"/>
        <w:numPr>
          <w:ilvl w:val="0"/>
          <w:numId w:val="64"/>
        </w:numPr>
      </w:pPr>
      <w:r>
        <w:t>negative perceptions and experience with the income support system</w:t>
      </w:r>
    </w:p>
    <w:p w:rsidR="00CE0E9C" w:rsidRDefault="00413D5A" w:rsidP="00E3205B">
      <w:pPr>
        <w:pStyle w:val="ListParagraph"/>
        <w:numPr>
          <w:ilvl w:val="0"/>
          <w:numId w:val="64"/>
        </w:numPr>
      </w:pPr>
      <w:r>
        <w:t>several</w:t>
      </w:r>
      <w:r w:rsidR="00FD4CBE">
        <w:t xml:space="preserve"> aspects of the</w:t>
      </w:r>
      <w:r>
        <w:t xml:space="preserve"> </w:t>
      </w:r>
      <w:r w:rsidR="00CE0E9C">
        <w:t>program design</w:t>
      </w:r>
    </w:p>
    <w:p w:rsidR="00CE0E9C" w:rsidRDefault="00CE0E9C" w:rsidP="00E3205B">
      <w:pPr>
        <w:pStyle w:val="ListParagraph"/>
        <w:numPr>
          <w:ilvl w:val="0"/>
          <w:numId w:val="64"/>
        </w:numPr>
      </w:pPr>
      <w:r>
        <w:t>a weak labour market</w:t>
      </w:r>
    </w:p>
    <w:p w:rsidR="00CE0E9C" w:rsidRDefault="00CE0E9C" w:rsidP="00E3205B">
      <w:pPr>
        <w:pStyle w:val="ListParagraph"/>
        <w:numPr>
          <w:ilvl w:val="0"/>
          <w:numId w:val="64"/>
        </w:numPr>
      </w:pPr>
      <w:r>
        <w:t>perceived value of the bonus.</w:t>
      </w:r>
    </w:p>
    <w:p w:rsidR="00CE0E9C" w:rsidRDefault="00485E56" w:rsidP="00CE0E9C">
      <w:pPr>
        <w:rPr>
          <w:color w:val="000000" w:themeColor="text1"/>
        </w:rPr>
      </w:pPr>
      <w:r>
        <w:t xml:space="preserve">Participants in </w:t>
      </w:r>
      <w:r w:rsidR="00391032">
        <w:t xml:space="preserve">JCB </w:t>
      </w:r>
      <w:r>
        <w:t>q</w:t>
      </w:r>
      <w:r w:rsidR="00CE0E9C">
        <w:t xml:space="preserve">ualitative </w:t>
      </w:r>
      <w:r>
        <w:t xml:space="preserve">research reported </w:t>
      </w:r>
      <w:r w:rsidR="00CE0E9C">
        <w:rPr>
          <w:color w:val="000000" w:themeColor="text1"/>
        </w:rPr>
        <w:t>a general mistrust of government among the target cohort</w:t>
      </w:r>
      <w:r w:rsidR="002E5E94">
        <w:rPr>
          <w:color w:val="000000" w:themeColor="text1"/>
        </w:rPr>
        <w:t xml:space="preserve"> due to </w:t>
      </w:r>
      <w:r w:rsidR="002E5E94">
        <w:t>previous</w:t>
      </w:r>
      <w:r w:rsidR="002E5E94" w:rsidRPr="004958E0">
        <w:rPr>
          <w:color w:val="000000" w:themeColor="text1"/>
        </w:rPr>
        <w:t xml:space="preserve"> experience</w:t>
      </w:r>
      <w:r w:rsidR="002E5E94">
        <w:rPr>
          <w:color w:val="000000" w:themeColor="text1"/>
        </w:rPr>
        <w:t>s</w:t>
      </w:r>
      <w:r w:rsidR="002E5E94" w:rsidRPr="004958E0">
        <w:rPr>
          <w:color w:val="000000" w:themeColor="text1"/>
        </w:rPr>
        <w:t xml:space="preserve"> with the income support system</w:t>
      </w:r>
      <w:r w:rsidR="00CE0E9C">
        <w:rPr>
          <w:color w:val="000000" w:themeColor="text1"/>
        </w:rPr>
        <w:t>. Many participants were suspicious as to whether the JCB offer was genuine, believing it would be too difficult to qualify.</w:t>
      </w:r>
    </w:p>
    <w:p w:rsidR="0039537D" w:rsidRPr="00CE0E9C" w:rsidRDefault="00CE0E9C" w:rsidP="00CE0E9C">
      <w:pPr>
        <w:rPr>
          <w:szCs w:val="20"/>
        </w:rPr>
      </w:pPr>
      <w:r>
        <w:rPr>
          <w:color w:val="000000" w:themeColor="text1"/>
        </w:rPr>
        <w:t>The c</w:t>
      </w:r>
      <w:r w:rsidRPr="00CE0E9C">
        <w:rPr>
          <w:color w:val="000000" w:themeColor="text1"/>
        </w:rPr>
        <w:t xml:space="preserve">omplex program design </w:t>
      </w:r>
      <w:r>
        <w:rPr>
          <w:color w:val="000000" w:themeColor="text1"/>
        </w:rPr>
        <w:t xml:space="preserve">and eligibility requirements </w:t>
      </w:r>
      <w:r w:rsidRPr="00CE0E9C">
        <w:rPr>
          <w:color w:val="000000" w:themeColor="text1"/>
        </w:rPr>
        <w:t xml:space="preserve">meant </w:t>
      </w:r>
      <w:r w:rsidR="002E5E94">
        <w:rPr>
          <w:color w:val="000000" w:themeColor="text1"/>
        </w:rPr>
        <w:t xml:space="preserve">that </w:t>
      </w:r>
      <w:r w:rsidR="00B03216">
        <w:rPr>
          <w:color w:val="000000" w:themeColor="text1"/>
        </w:rPr>
        <w:t>some people were confused as to whether they qualified, while others</w:t>
      </w:r>
      <w:r w:rsidR="002E5E94">
        <w:rPr>
          <w:color w:val="000000" w:themeColor="text1"/>
        </w:rPr>
        <w:t xml:space="preserve"> </w:t>
      </w:r>
      <w:r w:rsidRPr="00CE0E9C">
        <w:rPr>
          <w:color w:val="000000" w:themeColor="text1"/>
        </w:rPr>
        <w:t xml:space="preserve">found it difficult to </w:t>
      </w:r>
      <w:r w:rsidR="00B03216">
        <w:rPr>
          <w:color w:val="000000" w:themeColor="text1"/>
        </w:rPr>
        <w:t>meet eligibility requirements</w:t>
      </w:r>
      <w:r>
        <w:rPr>
          <w:color w:val="000000" w:themeColor="text1"/>
        </w:rPr>
        <w:t xml:space="preserve">. Some </w:t>
      </w:r>
      <w:r w:rsidR="00111CAD">
        <w:rPr>
          <w:color w:val="000000" w:themeColor="text1"/>
        </w:rPr>
        <w:lastRenderedPageBreak/>
        <w:t xml:space="preserve">fieldwork </w:t>
      </w:r>
      <w:r>
        <w:rPr>
          <w:color w:val="000000" w:themeColor="text1"/>
        </w:rPr>
        <w:t xml:space="preserve">participants </w:t>
      </w:r>
      <w:r w:rsidR="00B03216">
        <w:rPr>
          <w:color w:val="000000" w:themeColor="text1"/>
        </w:rPr>
        <w:t xml:space="preserve">were </w:t>
      </w:r>
      <w:r w:rsidRPr="00CE0E9C">
        <w:rPr>
          <w:color w:val="000000" w:themeColor="text1"/>
        </w:rPr>
        <w:t xml:space="preserve">confused about </w:t>
      </w:r>
      <w:r>
        <w:rPr>
          <w:color w:val="000000" w:themeColor="text1"/>
        </w:rPr>
        <w:t xml:space="preserve">the </w:t>
      </w:r>
      <w:r w:rsidR="00111CAD">
        <w:rPr>
          <w:color w:val="000000" w:themeColor="text1"/>
        </w:rPr>
        <w:t xml:space="preserve">program </w:t>
      </w:r>
      <w:r w:rsidRPr="00CE0E9C">
        <w:rPr>
          <w:color w:val="000000" w:themeColor="text1"/>
        </w:rPr>
        <w:t>requirements</w:t>
      </w:r>
      <w:r>
        <w:rPr>
          <w:color w:val="000000" w:themeColor="text1"/>
        </w:rPr>
        <w:t xml:space="preserve"> and</w:t>
      </w:r>
      <w:r w:rsidR="002C37C0">
        <w:rPr>
          <w:color w:val="000000" w:themeColor="text1"/>
        </w:rPr>
        <w:t xml:space="preserve"> were</w:t>
      </w:r>
      <w:r>
        <w:t xml:space="preserve"> </w:t>
      </w:r>
      <w:r w:rsidR="00391032">
        <w:t>therefore</w:t>
      </w:r>
      <w:r>
        <w:t xml:space="preserve"> </w:t>
      </w:r>
      <w:r w:rsidR="0039537D">
        <w:t xml:space="preserve">discouraged from trying to obtain </w:t>
      </w:r>
      <w:r w:rsidR="00CB5E2C">
        <w:t>the bonus</w:t>
      </w:r>
      <w:r w:rsidR="0039537D">
        <w:t xml:space="preserve">. </w:t>
      </w:r>
    </w:p>
    <w:p w:rsidR="00504E02" w:rsidRDefault="00CE0E9C" w:rsidP="00504E02">
      <w:r w:rsidRPr="0044689A">
        <w:t xml:space="preserve">While most </w:t>
      </w:r>
      <w:r w:rsidR="003863A2">
        <w:t>research participants</w:t>
      </w:r>
      <w:r w:rsidRPr="0044689A">
        <w:t xml:space="preserve"> were motivated to find work when unemployed</w:t>
      </w:r>
      <w:r w:rsidR="003863A2">
        <w:t>,</w:t>
      </w:r>
      <w:r w:rsidRPr="0044689A">
        <w:t xml:space="preserve"> the primary barrier </w:t>
      </w:r>
      <w:r w:rsidR="00391032">
        <w:t>many</w:t>
      </w:r>
      <w:r w:rsidRPr="0044689A">
        <w:t xml:space="preserve"> faced was the lack of available job</w:t>
      </w:r>
      <w:r>
        <w:t>s</w:t>
      </w:r>
      <w:r w:rsidRPr="0044689A">
        <w:t xml:space="preserve"> for which they had suitable qualifications and/or experience</w:t>
      </w:r>
      <w:r w:rsidR="004E18DD">
        <w:t>.</w:t>
      </w:r>
    </w:p>
    <w:p w:rsidR="004E18DD" w:rsidRDefault="00504E02" w:rsidP="002C37C0">
      <w:r w:rsidRPr="009F7DFC">
        <w:t xml:space="preserve">The </w:t>
      </w:r>
      <w:r w:rsidR="00DC4EC8">
        <w:t xml:space="preserve">prevalence of </w:t>
      </w:r>
      <w:r w:rsidRPr="009F7DFC">
        <w:t xml:space="preserve">part time employment </w:t>
      </w:r>
      <w:r>
        <w:t>for young ad</w:t>
      </w:r>
      <w:r w:rsidR="00DC4EC8">
        <w:t xml:space="preserve">ults during the period the JCB operated </w:t>
      </w:r>
      <w:r w:rsidR="002C37C0">
        <w:t>generally meant</w:t>
      </w:r>
      <w:r>
        <w:t xml:space="preserve"> it would have been difficult for some to meet JCB eligibility criteria </w:t>
      </w:r>
      <w:r w:rsidR="00DC4EC8">
        <w:t xml:space="preserve">requiring </w:t>
      </w:r>
      <w:r>
        <w:t xml:space="preserve">continuous employment, given they </w:t>
      </w:r>
      <w:r w:rsidR="00DC4EC8">
        <w:t xml:space="preserve">were </w:t>
      </w:r>
      <w:r>
        <w:t xml:space="preserve">more likely to be juggling several </w:t>
      </w:r>
      <w:r w:rsidR="00391032">
        <w:t>part</w:t>
      </w:r>
      <w:r w:rsidR="002C37C0">
        <w:t>-</w:t>
      </w:r>
      <w:r w:rsidR="00391032">
        <w:t xml:space="preserve">time </w:t>
      </w:r>
      <w:r w:rsidR="002C37C0">
        <w:t>jobs at the same time.</w:t>
      </w:r>
    </w:p>
    <w:p w:rsidR="00413D5A" w:rsidRDefault="003863A2" w:rsidP="00F6788A">
      <w:pPr>
        <w:pStyle w:val="Heading2"/>
      </w:pPr>
      <w:bookmarkStart w:id="56" w:name="_Toc507600223"/>
      <w:r>
        <w:t xml:space="preserve">The </w:t>
      </w:r>
      <w:r w:rsidR="00413D5A">
        <w:t>motivation</w:t>
      </w:r>
      <w:r>
        <w:t>al effect of JCB</w:t>
      </w:r>
      <w:bookmarkEnd w:id="56"/>
    </w:p>
    <w:p w:rsidR="00413D5A" w:rsidRDefault="000F5C9E" w:rsidP="004968D9">
      <w:pPr>
        <w:pStyle w:val="Heading3"/>
      </w:pPr>
      <w:r>
        <w:t>Employment service p</w:t>
      </w:r>
      <w:r w:rsidR="009D7519">
        <w:t>rovider perceptions</w:t>
      </w:r>
    </w:p>
    <w:p w:rsidR="009D7519" w:rsidRDefault="00DC4EC8" w:rsidP="009D7519">
      <w:pPr>
        <w:spacing w:before="120"/>
        <w:rPr>
          <w:rFonts w:ascii="Calibri" w:eastAsia="Times New Roman" w:hAnsi="Calibri" w:cs="Calibri"/>
          <w:color w:val="000000"/>
          <w:lang w:eastAsia="en-AU"/>
        </w:rPr>
      </w:pPr>
      <w:r>
        <w:rPr>
          <w:rFonts w:ascii="Calibri" w:eastAsia="Times New Roman" w:hAnsi="Calibri" w:cs="Calibri"/>
          <w:color w:val="000000"/>
          <w:lang w:eastAsia="en-AU"/>
        </w:rPr>
        <w:t>Employment services staff</w:t>
      </w:r>
      <w:r w:rsidR="009D7519">
        <w:rPr>
          <w:rFonts w:ascii="Calibri" w:eastAsia="Times New Roman" w:hAnsi="Calibri" w:cs="Calibri"/>
          <w:color w:val="000000"/>
          <w:lang w:eastAsia="en-AU"/>
        </w:rPr>
        <w:t xml:space="preserve"> r</w:t>
      </w:r>
      <w:r w:rsidR="009D7519" w:rsidRPr="004029F8">
        <w:rPr>
          <w:rFonts w:ascii="Calibri" w:eastAsia="Times New Roman" w:hAnsi="Calibri" w:cs="Calibri"/>
          <w:color w:val="000000"/>
          <w:lang w:eastAsia="en-AU"/>
        </w:rPr>
        <w:t xml:space="preserve">eported that the JCB </w:t>
      </w:r>
      <w:r>
        <w:rPr>
          <w:rFonts w:ascii="Calibri" w:eastAsia="Times New Roman" w:hAnsi="Calibri" w:cs="Calibri"/>
          <w:color w:val="000000"/>
          <w:lang w:eastAsia="en-AU"/>
        </w:rPr>
        <w:t>provided</w:t>
      </w:r>
      <w:r w:rsidR="009D7519" w:rsidRPr="004029F8">
        <w:rPr>
          <w:rFonts w:ascii="Calibri" w:eastAsia="Times New Roman" w:hAnsi="Calibri" w:cs="Calibri"/>
          <w:color w:val="000000"/>
          <w:lang w:eastAsia="en-AU"/>
        </w:rPr>
        <w:t xml:space="preserve"> insufficient motivation for job seekers who had been unemployed for an extended period. </w:t>
      </w:r>
      <w:r w:rsidR="009D7519">
        <w:rPr>
          <w:rFonts w:ascii="Calibri" w:eastAsia="Times New Roman" w:hAnsi="Calibri" w:cs="Calibri"/>
          <w:color w:val="000000"/>
          <w:lang w:eastAsia="en-AU"/>
        </w:rPr>
        <w:t xml:space="preserve">They felt </w:t>
      </w:r>
      <w:r w:rsidR="009D7519" w:rsidRPr="004029F8">
        <w:rPr>
          <w:rFonts w:ascii="Calibri" w:eastAsia="Times New Roman" w:hAnsi="Calibri" w:cs="Calibri"/>
          <w:color w:val="000000"/>
          <w:lang w:eastAsia="en-AU"/>
        </w:rPr>
        <w:t>a major barrier to take-up was the 12</w:t>
      </w:r>
      <w:r>
        <w:rPr>
          <w:rFonts w:ascii="Calibri" w:eastAsia="Times New Roman" w:hAnsi="Calibri" w:cs="Calibri"/>
          <w:color w:val="000000"/>
          <w:lang w:eastAsia="en-AU"/>
        </w:rPr>
        <w:t> </w:t>
      </w:r>
      <w:r w:rsidR="009D7519" w:rsidRPr="004029F8">
        <w:rPr>
          <w:rFonts w:ascii="Calibri" w:eastAsia="Times New Roman" w:hAnsi="Calibri" w:cs="Calibri"/>
          <w:color w:val="000000"/>
          <w:lang w:eastAsia="en-AU"/>
        </w:rPr>
        <w:t xml:space="preserve">month qualifying period which was too difficult for young </w:t>
      </w:r>
      <w:r w:rsidR="009D7519">
        <w:rPr>
          <w:rFonts w:ascii="Calibri" w:eastAsia="Times New Roman" w:hAnsi="Calibri" w:cs="Calibri"/>
          <w:color w:val="000000"/>
          <w:lang w:eastAsia="en-AU"/>
        </w:rPr>
        <w:t>adults</w:t>
      </w:r>
      <w:r w:rsidR="009D7519" w:rsidRPr="004029F8">
        <w:rPr>
          <w:rFonts w:ascii="Calibri" w:eastAsia="Times New Roman" w:hAnsi="Calibri" w:cs="Calibri"/>
          <w:color w:val="000000"/>
          <w:lang w:eastAsia="en-AU"/>
        </w:rPr>
        <w:t xml:space="preserve"> to comprehend</w:t>
      </w:r>
      <w:r w:rsidR="009D7519">
        <w:rPr>
          <w:rFonts w:ascii="Calibri" w:eastAsia="Times New Roman" w:hAnsi="Calibri" w:cs="Calibri"/>
          <w:color w:val="000000"/>
          <w:lang w:eastAsia="en-AU"/>
        </w:rPr>
        <w:t>.</w:t>
      </w:r>
      <w:r w:rsidR="009D7519" w:rsidRPr="009D7519">
        <w:rPr>
          <w:rFonts w:ascii="Calibri" w:eastAsia="Times New Roman" w:hAnsi="Calibri" w:cs="Calibri"/>
          <w:color w:val="000000"/>
          <w:lang w:eastAsia="en-AU"/>
        </w:rPr>
        <w:t xml:space="preserve"> </w:t>
      </w:r>
      <w:r w:rsidR="009D7519">
        <w:rPr>
          <w:rFonts w:ascii="Calibri" w:eastAsia="Times New Roman" w:hAnsi="Calibri" w:cs="Calibri"/>
          <w:color w:val="000000"/>
          <w:lang w:eastAsia="en-AU"/>
        </w:rPr>
        <w:t xml:space="preserve">Around a quarter surveyed </w:t>
      </w:r>
      <w:r w:rsidR="009D7519" w:rsidRPr="004029F8">
        <w:rPr>
          <w:rFonts w:ascii="Calibri" w:eastAsia="Times New Roman" w:hAnsi="Calibri" w:cs="Calibri"/>
          <w:color w:val="000000"/>
          <w:lang w:eastAsia="en-AU"/>
        </w:rPr>
        <w:t>believ</w:t>
      </w:r>
      <w:r w:rsidR="009D7519">
        <w:rPr>
          <w:rFonts w:ascii="Calibri" w:eastAsia="Times New Roman" w:hAnsi="Calibri" w:cs="Calibri"/>
          <w:color w:val="000000"/>
          <w:lang w:eastAsia="en-AU"/>
        </w:rPr>
        <w:t>ed</w:t>
      </w:r>
      <w:r w:rsidR="009D7519" w:rsidRPr="004029F8">
        <w:rPr>
          <w:rFonts w:ascii="Calibri" w:eastAsia="Times New Roman" w:hAnsi="Calibri" w:cs="Calibri"/>
          <w:color w:val="000000"/>
          <w:lang w:eastAsia="en-AU"/>
        </w:rPr>
        <w:t xml:space="preserve"> it would not motivate job seekers to look for, or accept employment (27</w:t>
      </w:r>
      <w:r>
        <w:rPr>
          <w:rFonts w:ascii="Calibri" w:eastAsia="Times New Roman" w:hAnsi="Calibri" w:cs="Calibri"/>
          <w:color w:val="000000"/>
          <w:lang w:eastAsia="en-AU"/>
        </w:rPr>
        <w:t> </w:t>
      </w:r>
      <w:r w:rsidR="009D7519" w:rsidRPr="004029F8">
        <w:rPr>
          <w:rFonts w:ascii="Calibri" w:eastAsia="Times New Roman" w:hAnsi="Calibri" w:cs="Calibri"/>
          <w:color w:val="000000"/>
          <w:lang w:eastAsia="en-AU"/>
        </w:rPr>
        <w:t>per cent and 25 per cent respectively)</w:t>
      </w:r>
      <w:r w:rsidR="00546A45">
        <w:rPr>
          <w:rFonts w:ascii="Calibri" w:eastAsia="Times New Roman" w:hAnsi="Calibri" w:cs="Calibri"/>
          <w:color w:val="000000"/>
          <w:lang w:eastAsia="en-AU"/>
        </w:rPr>
        <w:t xml:space="preserve">. Providers were slightly more positive in terms of its potential impact </w:t>
      </w:r>
      <w:r w:rsidR="009D7519" w:rsidRPr="004029F8">
        <w:rPr>
          <w:rFonts w:ascii="Calibri" w:eastAsia="Times New Roman" w:hAnsi="Calibri" w:cs="Calibri"/>
          <w:color w:val="000000"/>
          <w:lang w:eastAsia="en-AU"/>
        </w:rPr>
        <w:t xml:space="preserve">for sustained employment </w:t>
      </w:r>
      <w:r w:rsidR="00546A45">
        <w:rPr>
          <w:rFonts w:ascii="Calibri" w:eastAsia="Times New Roman" w:hAnsi="Calibri" w:cs="Calibri"/>
          <w:color w:val="000000"/>
          <w:lang w:eastAsia="en-AU"/>
        </w:rPr>
        <w:t xml:space="preserve">with </w:t>
      </w:r>
      <w:r w:rsidR="00A433F9">
        <w:rPr>
          <w:rFonts w:ascii="Calibri" w:eastAsia="Times New Roman" w:hAnsi="Calibri" w:cs="Calibri"/>
          <w:color w:val="000000"/>
          <w:lang w:eastAsia="en-AU"/>
        </w:rPr>
        <w:t>fewer (</w:t>
      </w:r>
      <w:r w:rsidR="009D7519" w:rsidRPr="004029F8">
        <w:rPr>
          <w:rFonts w:ascii="Calibri" w:eastAsia="Times New Roman" w:hAnsi="Calibri" w:cs="Calibri"/>
          <w:color w:val="000000"/>
          <w:lang w:eastAsia="en-AU"/>
        </w:rPr>
        <w:t>18 per cent</w:t>
      </w:r>
      <w:r w:rsidR="00A433F9">
        <w:rPr>
          <w:rFonts w:ascii="Calibri" w:eastAsia="Times New Roman" w:hAnsi="Calibri" w:cs="Calibri"/>
          <w:color w:val="000000"/>
          <w:lang w:eastAsia="en-AU"/>
        </w:rPr>
        <w:t>)</w:t>
      </w:r>
      <w:r w:rsidR="00546A45">
        <w:rPr>
          <w:rFonts w:ascii="Calibri" w:eastAsia="Times New Roman" w:hAnsi="Calibri" w:cs="Calibri"/>
          <w:color w:val="000000"/>
          <w:lang w:eastAsia="en-AU"/>
        </w:rPr>
        <w:t xml:space="preserve"> believing it would not act as an incentive</w:t>
      </w:r>
      <w:r w:rsidR="009D7519" w:rsidRPr="004029F8">
        <w:rPr>
          <w:rFonts w:ascii="Calibri" w:eastAsia="Times New Roman" w:hAnsi="Calibri" w:cs="Calibri"/>
          <w:color w:val="000000"/>
          <w:lang w:eastAsia="en-AU"/>
        </w:rPr>
        <w:t>.</w:t>
      </w:r>
    </w:p>
    <w:p w:rsidR="009D7519" w:rsidRDefault="000F5C9E" w:rsidP="004968D9">
      <w:pPr>
        <w:pStyle w:val="Heading3"/>
        <w:rPr>
          <w:rFonts w:eastAsia="Times New Roman"/>
          <w:lang w:eastAsia="en-AU"/>
        </w:rPr>
      </w:pPr>
      <w:r>
        <w:rPr>
          <w:rFonts w:eastAsia="Times New Roman"/>
          <w:lang w:eastAsia="en-AU"/>
        </w:rPr>
        <w:t>Research p</w:t>
      </w:r>
      <w:r w:rsidR="009D7519">
        <w:rPr>
          <w:rFonts w:eastAsia="Times New Roman"/>
          <w:lang w:eastAsia="en-AU"/>
        </w:rPr>
        <w:t xml:space="preserve">articipant </w:t>
      </w:r>
      <w:r w:rsidR="00F71ECD">
        <w:rPr>
          <w:rFonts w:eastAsia="Times New Roman"/>
          <w:lang w:eastAsia="en-AU"/>
        </w:rPr>
        <w:t>perceptions</w:t>
      </w:r>
    </w:p>
    <w:p w:rsidR="00542F35" w:rsidRDefault="00542F35" w:rsidP="004968D9">
      <w:pPr>
        <w:spacing w:before="120"/>
      </w:pPr>
      <w:r w:rsidRPr="004029F8">
        <w:rPr>
          <w:rFonts w:ascii="Calibri" w:eastAsia="Times New Roman" w:hAnsi="Calibri" w:cs="Calibri"/>
          <w:color w:val="000000"/>
          <w:lang w:eastAsia="en-AU"/>
        </w:rPr>
        <w:t>Given the</w:t>
      </w:r>
      <w:r w:rsidR="002C37C0">
        <w:rPr>
          <w:rFonts w:ascii="Calibri" w:eastAsia="Times New Roman" w:hAnsi="Calibri" w:cs="Calibri"/>
          <w:color w:val="000000"/>
          <w:lang w:eastAsia="en-AU"/>
        </w:rPr>
        <w:t xml:space="preserve"> long qualifying period</w:t>
      </w:r>
      <w:r w:rsidR="00063DF1">
        <w:rPr>
          <w:rFonts w:ascii="Calibri" w:eastAsia="Times New Roman" w:hAnsi="Calibri" w:cs="Calibri"/>
          <w:color w:val="000000"/>
          <w:lang w:eastAsia="en-AU"/>
        </w:rPr>
        <w:t>,</w:t>
      </w:r>
      <w:r>
        <w:rPr>
          <w:rFonts w:ascii="Calibri" w:eastAsia="Times New Roman" w:hAnsi="Calibri" w:cs="Calibri"/>
          <w:color w:val="000000"/>
          <w:lang w:eastAsia="en-AU"/>
        </w:rPr>
        <w:t xml:space="preserve"> (12 months)</w:t>
      </w:r>
      <w:r w:rsidRPr="004029F8">
        <w:rPr>
          <w:rFonts w:ascii="Calibri" w:eastAsia="Times New Roman" w:hAnsi="Calibri" w:cs="Calibri"/>
          <w:color w:val="000000"/>
          <w:lang w:eastAsia="en-AU"/>
        </w:rPr>
        <w:t xml:space="preserve"> job seekers tended to assign a lower value to (</w:t>
      </w:r>
      <w:r>
        <w:rPr>
          <w:rFonts w:ascii="Calibri" w:eastAsia="Times New Roman" w:hAnsi="Calibri" w:cs="Calibri"/>
          <w:color w:val="000000"/>
          <w:lang w:eastAsia="en-AU"/>
        </w:rPr>
        <w:t xml:space="preserve">or </w:t>
      </w:r>
      <w:r w:rsidRPr="004029F8">
        <w:rPr>
          <w:rFonts w:ascii="Calibri" w:eastAsia="Times New Roman" w:hAnsi="Calibri" w:cs="Calibri"/>
          <w:color w:val="000000"/>
          <w:lang w:eastAsia="en-AU"/>
        </w:rPr>
        <w:t>discount) future benefits</w:t>
      </w:r>
      <w:r>
        <w:rPr>
          <w:rFonts w:ascii="Calibri" w:eastAsia="Times New Roman" w:hAnsi="Calibri" w:cs="Calibri"/>
          <w:color w:val="000000"/>
          <w:lang w:eastAsia="en-AU"/>
        </w:rPr>
        <w:t xml:space="preserve">. </w:t>
      </w:r>
      <w:r w:rsidR="002B07CB">
        <w:rPr>
          <w:rFonts w:ascii="Calibri" w:eastAsia="Times New Roman" w:hAnsi="Calibri" w:cs="Calibri"/>
          <w:color w:val="000000"/>
          <w:lang w:eastAsia="en-AU"/>
        </w:rPr>
        <w:t>Hyperbolic discounting is a widely accepted model for describing this type of behaviour.</w:t>
      </w:r>
      <w:r w:rsidR="002B07CB">
        <w:rPr>
          <w:rStyle w:val="FootnoteReference"/>
          <w:rFonts w:ascii="Calibri" w:eastAsia="Times New Roman" w:hAnsi="Calibri" w:cs="Calibri"/>
          <w:color w:val="000000"/>
          <w:lang w:eastAsia="en-AU"/>
        </w:rPr>
        <w:footnoteReference w:id="5"/>
      </w:r>
      <w:r w:rsidR="002B07CB" w:rsidRPr="004029F8">
        <w:rPr>
          <w:rFonts w:ascii="Calibri" w:eastAsia="Times New Roman" w:hAnsi="Calibri" w:cs="Calibri"/>
          <w:color w:val="000000"/>
          <w:lang w:eastAsia="en-AU"/>
        </w:rPr>
        <w:t xml:space="preserve"> </w:t>
      </w:r>
      <w:r>
        <w:rPr>
          <w:rFonts w:ascii="Calibri" w:eastAsia="Times New Roman" w:hAnsi="Calibri" w:cs="Calibri"/>
          <w:color w:val="000000"/>
          <w:lang w:eastAsia="en-AU"/>
        </w:rPr>
        <w:t>P</w:t>
      </w:r>
      <w:r w:rsidRPr="004029F8">
        <w:rPr>
          <w:rFonts w:ascii="Calibri" w:eastAsia="Times New Roman" w:hAnsi="Calibri" w:cs="Calibri"/>
          <w:color w:val="000000"/>
          <w:lang w:eastAsia="en-AU"/>
        </w:rPr>
        <w:t>articipants who were still on income support did not necessarily see the amount of the bonus ($2500</w:t>
      </w:r>
      <w:r w:rsidR="00CB5E2C">
        <w:rPr>
          <w:rFonts w:ascii="Calibri" w:eastAsia="Times New Roman" w:hAnsi="Calibri" w:cs="Calibri"/>
          <w:color w:val="000000"/>
          <w:lang w:eastAsia="en-AU"/>
        </w:rPr>
        <w:t xml:space="preserve"> for the first bonus payable after the 12 month qualifying period</w:t>
      </w:r>
      <w:r w:rsidRPr="004029F8">
        <w:rPr>
          <w:rFonts w:ascii="Calibri" w:eastAsia="Times New Roman" w:hAnsi="Calibri" w:cs="Calibri"/>
          <w:color w:val="000000"/>
          <w:lang w:eastAsia="en-AU"/>
        </w:rPr>
        <w:t>) as large, compared to what they would earn if working</w:t>
      </w:r>
      <w:r w:rsidR="00063DF1">
        <w:rPr>
          <w:rFonts w:ascii="Calibri" w:eastAsia="Times New Roman" w:hAnsi="Calibri" w:cs="Calibri"/>
          <w:color w:val="000000"/>
          <w:lang w:eastAsia="en-AU"/>
        </w:rPr>
        <w:t xml:space="preserve">. </w:t>
      </w:r>
      <w:r w:rsidR="00063DF1">
        <w:t>Y</w:t>
      </w:r>
      <w:r w:rsidR="00063DF1" w:rsidRPr="003A4B00">
        <w:t xml:space="preserve">oung job seekers appeared to have </w:t>
      </w:r>
      <w:r w:rsidR="00963272">
        <w:t xml:space="preserve">a </w:t>
      </w:r>
      <w:r w:rsidR="00C4799B">
        <w:t>poor</w:t>
      </w:r>
      <w:r w:rsidR="00C4799B" w:rsidRPr="003A4B00">
        <w:t xml:space="preserve"> </w:t>
      </w:r>
      <w:r w:rsidR="00063DF1" w:rsidRPr="003A4B00">
        <w:t xml:space="preserve">understanding of </w:t>
      </w:r>
      <w:r w:rsidR="00C4799B">
        <w:t>the value of a lump sum</w:t>
      </w:r>
      <w:r w:rsidR="00063DF1" w:rsidRPr="003A4B00">
        <w:t xml:space="preserve"> </w:t>
      </w:r>
      <w:r w:rsidR="00963272">
        <w:t xml:space="preserve">compared with </w:t>
      </w:r>
      <w:r w:rsidR="00063DF1" w:rsidRPr="003A4B00">
        <w:t xml:space="preserve">employed </w:t>
      </w:r>
      <w:r w:rsidR="00063DF1">
        <w:t>people</w:t>
      </w:r>
      <w:r w:rsidR="00C4799B">
        <w:t>,</w:t>
      </w:r>
      <w:r w:rsidR="00063DF1">
        <w:t xml:space="preserve"> and m</w:t>
      </w:r>
      <w:r w:rsidR="000F5C9E">
        <w:t>any</w:t>
      </w:r>
      <w:r w:rsidR="00063DF1">
        <w:t xml:space="preserve"> were unable to imagine holding a job for 12 months.</w:t>
      </w:r>
    </w:p>
    <w:p w:rsidR="00EB4399" w:rsidRDefault="00815EE8" w:rsidP="009D7519">
      <w:pPr>
        <w:spacing w:before="120"/>
        <w:rPr>
          <w:rFonts w:ascii="Calibri" w:eastAsia="Times New Roman" w:hAnsi="Calibri" w:cs="Calibri"/>
          <w:color w:val="000000"/>
          <w:lang w:eastAsia="en-AU"/>
        </w:rPr>
      </w:pPr>
      <w:r>
        <w:t>M</w:t>
      </w:r>
      <w:r w:rsidR="00027CC4">
        <w:t xml:space="preserve">ost </w:t>
      </w:r>
      <w:r w:rsidR="000F5C9E">
        <w:t xml:space="preserve">research </w:t>
      </w:r>
      <w:r w:rsidR="00027CC4">
        <w:t>participants who had applied for the bonus only became aware of it after they had left income support</w:t>
      </w:r>
      <w:r w:rsidR="000F5C9E">
        <w:t xml:space="preserve">. In </w:t>
      </w:r>
      <w:r w:rsidR="004E3A62">
        <w:t xml:space="preserve">these </w:t>
      </w:r>
      <w:r w:rsidR="000F5C9E">
        <w:t>case</w:t>
      </w:r>
      <w:r w:rsidR="004E3A62">
        <w:t>s,</w:t>
      </w:r>
      <w:r w:rsidR="00027CC4">
        <w:t xml:space="preserve"> </w:t>
      </w:r>
      <w:r w:rsidR="00027CC4" w:rsidRPr="007E1661">
        <w:t xml:space="preserve">the JCB could not have </w:t>
      </w:r>
      <w:r w:rsidR="00027CC4">
        <w:rPr>
          <w:rFonts w:ascii="Calibri" w:eastAsia="Times New Roman" w:hAnsi="Calibri" w:cs="Calibri"/>
          <w:color w:val="000000"/>
          <w:lang w:eastAsia="en-AU"/>
        </w:rPr>
        <w:t>exerted influence on them to increase their job search efforts</w:t>
      </w:r>
      <w:r w:rsidR="00027CC4" w:rsidRPr="007E1661">
        <w:t xml:space="preserve">. These participants </w:t>
      </w:r>
      <w:r w:rsidR="00027CC4">
        <w:t xml:space="preserve">were </w:t>
      </w:r>
      <w:r w:rsidR="00027CC4" w:rsidRPr="007E1661">
        <w:t xml:space="preserve">already motivated to </w:t>
      </w:r>
      <w:r w:rsidR="00027CC4">
        <w:t>get a job</w:t>
      </w:r>
      <w:r w:rsidR="00027CC4" w:rsidRPr="007E1661">
        <w:t xml:space="preserve"> </w:t>
      </w:r>
      <w:r w:rsidR="00027CC4">
        <w:t xml:space="preserve">and </w:t>
      </w:r>
      <w:r w:rsidR="00963FF3">
        <w:rPr>
          <w:rFonts w:ascii="Calibri" w:eastAsia="Times New Roman" w:hAnsi="Calibri" w:cs="Calibri"/>
          <w:color w:val="000000"/>
          <w:lang w:eastAsia="en-AU"/>
        </w:rPr>
        <w:t>generally stated the motivation to find work was getting off welfare</w:t>
      </w:r>
      <w:r w:rsidR="00EB4399">
        <w:rPr>
          <w:rFonts w:ascii="Calibri" w:eastAsia="Times New Roman" w:hAnsi="Calibri" w:cs="Calibri"/>
          <w:color w:val="000000"/>
          <w:lang w:eastAsia="en-AU"/>
        </w:rPr>
        <w:t xml:space="preserve"> and centred around:</w:t>
      </w:r>
    </w:p>
    <w:p w:rsidR="00EB4399" w:rsidRPr="00BF1E8E" w:rsidRDefault="00EB4399" w:rsidP="00D13E64">
      <w:pPr>
        <w:pStyle w:val="ListParagraph"/>
        <w:numPr>
          <w:ilvl w:val="0"/>
          <w:numId w:val="52"/>
        </w:numPr>
        <w:spacing w:before="240"/>
        <w:rPr>
          <w:color w:val="000000" w:themeColor="text1"/>
        </w:rPr>
      </w:pPr>
      <w:r w:rsidRPr="00BF1E8E">
        <w:rPr>
          <w:color w:val="000000" w:themeColor="text1"/>
        </w:rPr>
        <w:t>improved self-esteem</w:t>
      </w:r>
    </w:p>
    <w:p w:rsidR="00EB4399" w:rsidRPr="00BF1E8E" w:rsidRDefault="00EB4399" w:rsidP="00D13E64">
      <w:pPr>
        <w:pStyle w:val="ListParagraph"/>
        <w:numPr>
          <w:ilvl w:val="0"/>
          <w:numId w:val="52"/>
        </w:numPr>
        <w:spacing w:before="240"/>
        <w:rPr>
          <w:color w:val="000000" w:themeColor="text1"/>
        </w:rPr>
      </w:pPr>
      <w:r w:rsidRPr="00BF1E8E">
        <w:rPr>
          <w:color w:val="000000" w:themeColor="text1"/>
        </w:rPr>
        <w:t>social expectation, pressure and the desire for improved social standing</w:t>
      </w:r>
    </w:p>
    <w:p w:rsidR="00EB4399" w:rsidRPr="00BF1E8E" w:rsidRDefault="00EB4399" w:rsidP="00D13E64">
      <w:pPr>
        <w:pStyle w:val="ListParagraph"/>
        <w:numPr>
          <w:ilvl w:val="0"/>
          <w:numId w:val="52"/>
        </w:numPr>
        <w:spacing w:before="240"/>
        <w:rPr>
          <w:color w:val="000000" w:themeColor="text1"/>
        </w:rPr>
      </w:pPr>
      <w:r w:rsidRPr="00BF1E8E">
        <w:rPr>
          <w:color w:val="000000" w:themeColor="text1"/>
        </w:rPr>
        <w:t>achievement of a step toward future goals</w:t>
      </w:r>
    </w:p>
    <w:p w:rsidR="00EB4399" w:rsidRPr="00BF1E8E" w:rsidRDefault="00EB4399" w:rsidP="00D13E64">
      <w:pPr>
        <w:pStyle w:val="ListParagraph"/>
        <w:numPr>
          <w:ilvl w:val="0"/>
          <w:numId w:val="52"/>
        </w:numPr>
        <w:spacing w:before="240"/>
        <w:rPr>
          <w:color w:val="000000" w:themeColor="text1"/>
        </w:rPr>
      </w:pPr>
      <w:r w:rsidRPr="00BF1E8E">
        <w:rPr>
          <w:color w:val="000000" w:themeColor="text1"/>
        </w:rPr>
        <w:t>avoidance of compliance requirements</w:t>
      </w:r>
    </w:p>
    <w:p w:rsidR="00EB4399" w:rsidRPr="00BF1E8E" w:rsidRDefault="00EB4399" w:rsidP="00D13E64">
      <w:pPr>
        <w:pStyle w:val="ListParagraph"/>
        <w:numPr>
          <w:ilvl w:val="0"/>
          <w:numId w:val="52"/>
        </w:numPr>
        <w:spacing w:before="240"/>
        <w:rPr>
          <w:color w:val="000000" w:themeColor="text1"/>
        </w:rPr>
      </w:pPr>
      <w:r w:rsidRPr="00BF1E8E">
        <w:rPr>
          <w:color w:val="000000" w:themeColor="text1"/>
        </w:rPr>
        <w:lastRenderedPageBreak/>
        <w:t>boredom / lack of direction / lack of meaning</w:t>
      </w:r>
      <w:r>
        <w:rPr>
          <w:color w:val="000000" w:themeColor="text1"/>
        </w:rPr>
        <w:t xml:space="preserve"> living on income support</w:t>
      </w:r>
    </w:p>
    <w:p w:rsidR="00EB4399" w:rsidRPr="004968D9" w:rsidRDefault="00EB4399" w:rsidP="00D13E64">
      <w:pPr>
        <w:pStyle w:val="ListParagraph"/>
        <w:numPr>
          <w:ilvl w:val="0"/>
          <w:numId w:val="52"/>
        </w:numPr>
        <w:spacing w:before="120"/>
        <w:rPr>
          <w:rFonts w:ascii="Calibri" w:eastAsia="Times New Roman" w:hAnsi="Calibri" w:cs="Calibri"/>
          <w:color w:val="000000"/>
          <w:lang w:eastAsia="en-AU"/>
        </w:rPr>
      </w:pPr>
      <w:r w:rsidRPr="004968D9">
        <w:rPr>
          <w:color w:val="000000" w:themeColor="text1"/>
        </w:rPr>
        <w:t>pressure / support from family and significant others</w:t>
      </w:r>
      <w:r w:rsidR="00493737">
        <w:rPr>
          <w:color w:val="000000" w:themeColor="text1"/>
        </w:rPr>
        <w:t>.</w:t>
      </w:r>
    </w:p>
    <w:p w:rsidR="00A832E4" w:rsidRDefault="00A832E4" w:rsidP="00A832E4">
      <w:pPr>
        <w:spacing w:before="240"/>
      </w:pPr>
      <w:r>
        <w:t>Q</w:t>
      </w:r>
      <w:r w:rsidRPr="007E1661">
        <w:t xml:space="preserve">ualitative research </w:t>
      </w:r>
      <w:r w:rsidR="004E3A62">
        <w:t xml:space="preserve">findings </w:t>
      </w:r>
      <w:r w:rsidRPr="007E1661">
        <w:t xml:space="preserve">suggest that the JCB had greater potential to </w:t>
      </w:r>
      <w:r w:rsidR="004E3A62">
        <w:t>influence</w:t>
      </w:r>
      <w:r w:rsidR="004E3A62" w:rsidRPr="007E1661">
        <w:t xml:space="preserve"> </w:t>
      </w:r>
      <w:r w:rsidRPr="007E1661">
        <w:t>people</w:t>
      </w:r>
      <w:r w:rsidR="004E3A62">
        <w:t xml:space="preserve"> to </w:t>
      </w:r>
      <w:r w:rsidRPr="007E1661">
        <w:t xml:space="preserve">remain off income support than it did </w:t>
      </w:r>
      <w:r w:rsidR="004E3A62">
        <w:t>to affect</w:t>
      </w:r>
      <w:r w:rsidR="004E3A62" w:rsidRPr="007E1661">
        <w:t xml:space="preserve"> </w:t>
      </w:r>
      <w:r w:rsidRPr="007E1661">
        <w:t>job search behaviour</w:t>
      </w:r>
      <w:r w:rsidR="004E3A62">
        <w:t xml:space="preserve">, </w:t>
      </w:r>
      <w:r w:rsidR="004E3A62" w:rsidRPr="007E1661">
        <w:t>especially</w:t>
      </w:r>
      <w:r w:rsidRPr="007E1661">
        <w:t xml:space="preserve"> for </w:t>
      </w:r>
      <w:r>
        <w:t xml:space="preserve">people </w:t>
      </w:r>
      <w:r w:rsidRPr="007E1661">
        <w:t xml:space="preserve">who had a </w:t>
      </w:r>
      <w:r w:rsidR="00CB5E2C">
        <w:t>history of acting</w:t>
      </w:r>
      <w:r w:rsidRPr="007E1661">
        <w:t xml:space="preserve"> impulsively</w:t>
      </w:r>
      <w:r w:rsidR="00CB5E2C">
        <w:t xml:space="preserve"> in leaving jobs</w:t>
      </w:r>
      <w:r w:rsidR="004E3A62">
        <w:t>. T</w:t>
      </w:r>
      <w:r w:rsidRPr="007E1661">
        <w:t>he JCB had the potential to encourage people to:</w:t>
      </w:r>
    </w:p>
    <w:p w:rsidR="00D31742" w:rsidRPr="0046352D" w:rsidRDefault="00A832E4" w:rsidP="00E3205B">
      <w:pPr>
        <w:pStyle w:val="ListParagraph"/>
        <w:numPr>
          <w:ilvl w:val="0"/>
          <w:numId w:val="71"/>
        </w:numPr>
        <w:spacing w:before="120"/>
        <w:rPr>
          <w:rFonts w:ascii="Calibri" w:eastAsia="Times New Roman" w:hAnsi="Calibri" w:cs="Calibri"/>
          <w:color w:val="000000"/>
          <w:lang w:eastAsia="en-AU"/>
        </w:rPr>
      </w:pPr>
      <w:r w:rsidRPr="007E1661">
        <w:t>stay in work and persist with a job they may not have been happy with in order to qualify, but only within reasonable limits</w:t>
      </w:r>
    </w:p>
    <w:p w:rsidR="009D7519" w:rsidRPr="00A832E4" w:rsidRDefault="00A832E4" w:rsidP="00E3205B">
      <w:pPr>
        <w:pStyle w:val="ListParagraph"/>
        <w:numPr>
          <w:ilvl w:val="0"/>
          <w:numId w:val="71"/>
        </w:numPr>
        <w:spacing w:before="120"/>
        <w:rPr>
          <w:rFonts w:ascii="Calibri" w:eastAsia="Times New Roman" w:hAnsi="Calibri" w:cs="Calibri"/>
          <w:color w:val="000000"/>
          <w:lang w:eastAsia="en-AU"/>
        </w:rPr>
      </w:pPr>
      <w:r w:rsidRPr="007E1661">
        <w:t xml:space="preserve">transition from one job to another </w:t>
      </w:r>
      <w:r>
        <w:t xml:space="preserve">quickly </w:t>
      </w:r>
      <w:r w:rsidRPr="007E1661">
        <w:t>and actively avoid becoming unemployed</w:t>
      </w:r>
      <w:r w:rsidR="00EB4399" w:rsidRPr="00A832E4">
        <w:rPr>
          <w:rFonts w:ascii="Calibri" w:eastAsia="Times New Roman" w:hAnsi="Calibri" w:cs="Calibri"/>
          <w:color w:val="000000"/>
          <w:lang w:eastAsia="en-AU"/>
        </w:rPr>
        <w:t>.</w:t>
      </w:r>
    </w:p>
    <w:p w:rsidR="00370DBC" w:rsidRDefault="002E5BBC" w:rsidP="00F6788A">
      <w:pPr>
        <w:pStyle w:val="Heading2"/>
      </w:pPr>
      <w:bookmarkStart w:id="57" w:name="_Toc507600224"/>
      <w:r>
        <w:t>Quantitative analyses</w:t>
      </w:r>
      <w:bookmarkEnd w:id="57"/>
    </w:p>
    <w:p w:rsidR="00D573F7" w:rsidRPr="00D573F7" w:rsidRDefault="00370DBC" w:rsidP="00370DBC">
      <w:pPr>
        <w:pStyle w:val="Heading3"/>
      </w:pPr>
      <w:r>
        <w:t xml:space="preserve">Impact of the </w:t>
      </w:r>
      <w:r w:rsidR="00D573F7">
        <w:t xml:space="preserve">JCB </w:t>
      </w:r>
      <w:r w:rsidR="00D573F7" w:rsidRPr="00D573F7">
        <w:t>on job search</w:t>
      </w:r>
    </w:p>
    <w:p w:rsidR="00D573F7" w:rsidRDefault="00262CC1" w:rsidP="007E1661">
      <w:pPr>
        <w:spacing w:before="240"/>
      </w:pPr>
      <w:r>
        <w:t>Quantitative data about job seekers’ job search behaviour, such as level of effort, motivation and types of jobs applied for, was not available. However, q</w:t>
      </w:r>
      <w:r w:rsidR="00D573F7">
        <w:t xml:space="preserve">uantitative </w:t>
      </w:r>
      <w:r w:rsidR="003B62C2">
        <w:t>analyses</w:t>
      </w:r>
      <w:r w:rsidR="00293C8B">
        <w:t xml:space="preserve"> </w:t>
      </w:r>
      <w:r>
        <w:t xml:space="preserve">of income support data </w:t>
      </w:r>
      <w:r w:rsidR="00CE6A83">
        <w:t>f</w:t>
      </w:r>
      <w:r w:rsidR="008E4DD8">
        <w:t>ind</w:t>
      </w:r>
      <w:r w:rsidR="00CE6A83">
        <w:t xml:space="preserve"> no evidence</w:t>
      </w:r>
      <w:r w:rsidR="00546A45">
        <w:t xml:space="preserve"> to suggest</w:t>
      </w:r>
      <w:r w:rsidR="00CE6A83">
        <w:t xml:space="preserve"> that the JCB affected job search behaviour among the target group. </w:t>
      </w:r>
      <w:r w:rsidR="008E4DD8">
        <w:t xml:space="preserve">Increased and/or better targeting of job search efforts </w:t>
      </w:r>
      <w:r w:rsidR="00431368">
        <w:t>should result in</w:t>
      </w:r>
      <w:r w:rsidR="008E4DD8">
        <w:t xml:space="preserve"> </w:t>
      </w:r>
      <w:r w:rsidR="00431368">
        <w:t>improved</w:t>
      </w:r>
      <w:r w:rsidR="008E4DD8">
        <w:t xml:space="preserve"> employment outcome</w:t>
      </w:r>
      <w:r w:rsidR="00431368">
        <w:t xml:space="preserve"> rate</w:t>
      </w:r>
      <w:r w:rsidR="008E4DD8">
        <w:t xml:space="preserve">s. Using this causal linkage, employment </w:t>
      </w:r>
      <w:r w:rsidR="00546A45">
        <w:t>outcomes</w:t>
      </w:r>
      <w:r w:rsidR="00CE6A83">
        <w:t xml:space="preserve"> </w:t>
      </w:r>
      <w:r w:rsidR="00D31742">
        <w:t xml:space="preserve">are </w:t>
      </w:r>
      <w:r w:rsidR="00293C8B">
        <w:t xml:space="preserve">used </w:t>
      </w:r>
      <w:r w:rsidR="0046352D">
        <w:t xml:space="preserve">as a proxy </w:t>
      </w:r>
      <w:r w:rsidR="00293C8B">
        <w:t xml:space="preserve">to </w:t>
      </w:r>
      <w:r w:rsidR="00CC5925">
        <w:t>assess</w:t>
      </w:r>
      <w:r w:rsidR="003B62C2">
        <w:t xml:space="preserve"> the</w:t>
      </w:r>
      <w:r w:rsidR="00D573F7">
        <w:t xml:space="preserve"> effect of the JCB on </w:t>
      </w:r>
      <w:r w:rsidR="008E4DD8">
        <w:t xml:space="preserve">improving </w:t>
      </w:r>
      <w:r w:rsidR="00D573F7">
        <w:t xml:space="preserve">job search behaviour </w:t>
      </w:r>
      <w:r w:rsidR="008E4DD8">
        <w:t xml:space="preserve">effectiveness </w:t>
      </w:r>
      <w:r w:rsidR="00D573F7">
        <w:t>among LTU young adults</w:t>
      </w:r>
      <w:r w:rsidR="00B40F48">
        <w:t xml:space="preserve"> </w:t>
      </w:r>
      <w:r w:rsidR="00D31742">
        <w:t>including</w:t>
      </w:r>
      <w:r w:rsidR="00D573F7">
        <w:t>:</w:t>
      </w:r>
    </w:p>
    <w:p w:rsidR="00F03608" w:rsidRDefault="00B40F48" w:rsidP="00E3205B">
      <w:pPr>
        <w:pStyle w:val="ListParagraph"/>
        <w:numPr>
          <w:ilvl w:val="0"/>
          <w:numId w:val="76"/>
        </w:numPr>
        <w:spacing w:before="120" w:after="120"/>
        <w:ind w:left="1560" w:hanging="1134"/>
      </w:pPr>
      <w:r>
        <w:t xml:space="preserve">Comparing </w:t>
      </w:r>
      <w:r w:rsidR="003B62C2">
        <w:t>the p</w:t>
      </w:r>
      <w:r w:rsidR="003B62C2" w:rsidRPr="00483AAD">
        <w:t xml:space="preserve">roportion of </w:t>
      </w:r>
      <w:r w:rsidR="003B62C2">
        <w:t xml:space="preserve">LTU young adults </w:t>
      </w:r>
      <w:r w:rsidR="003B62C2" w:rsidRPr="00483AAD">
        <w:t>achieving employment outcomes</w:t>
      </w:r>
      <w:r w:rsidR="003D0141">
        <w:t>,</w:t>
      </w:r>
      <w:r w:rsidR="003B62C2" w:rsidRPr="00483AAD">
        <w:t xml:space="preserve"> before and after the introduct</w:t>
      </w:r>
      <w:r w:rsidR="003B62C2">
        <w:t xml:space="preserve">ion of the </w:t>
      </w:r>
      <w:r w:rsidR="00027CC4">
        <w:t>JCB</w:t>
      </w:r>
      <w:r w:rsidR="003B62C2">
        <w:t xml:space="preserve">, using Post Program Monitoring </w:t>
      </w:r>
      <w:r w:rsidR="00027CC4">
        <w:t xml:space="preserve">(PPM) </w:t>
      </w:r>
      <w:r w:rsidR="00D31742">
        <w:t xml:space="preserve">survey </w:t>
      </w:r>
      <w:r w:rsidR="003B62C2">
        <w:t>data.</w:t>
      </w:r>
    </w:p>
    <w:p w:rsidR="00B77483" w:rsidRDefault="00B40F48" w:rsidP="00E3205B">
      <w:pPr>
        <w:pStyle w:val="ListParagraph"/>
        <w:numPr>
          <w:ilvl w:val="0"/>
          <w:numId w:val="76"/>
        </w:numPr>
        <w:spacing w:before="120" w:after="120"/>
        <w:ind w:left="1560" w:hanging="1134"/>
      </w:pPr>
      <w:r>
        <w:t xml:space="preserve">Comparing </w:t>
      </w:r>
      <w:r w:rsidR="00F03608">
        <w:t xml:space="preserve">average time to job placement after becoming LTU, for job seekers at the lower and higher JCB age range boundaries, with LTU job seekers who are slightly older and younger. </w:t>
      </w:r>
      <w:r w:rsidR="00B77483">
        <w:t>The comparison is done before and after the introduction of the JCB using a Difference in Difference regression (DID).</w:t>
      </w:r>
      <w:r w:rsidR="00B77483">
        <w:rPr>
          <w:rStyle w:val="FootnoteReference"/>
        </w:rPr>
        <w:footnoteReference w:id="6"/>
      </w:r>
      <w:r w:rsidR="00B77483" w:rsidDel="00B77483">
        <w:t xml:space="preserve"> </w:t>
      </w:r>
    </w:p>
    <w:p w:rsidR="00B77483" w:rsidRDefault="00B77483" w:rsidP="00E3205B">
      <w:pPr>
        <w:pStyle w:val="ListParagraph"/>
        <w:numPr>
          <w:ilvl w:val="0"/>
          <w:numId w:val="76"/>
        </w:numPr>
        <w:spacing w:before="120" w:after="120"/>
        <w:ind w:left="1560" w:hanging="1134"/>
      </w:pPr>
      <w:r>
        <w:t>C</w:t>
      </w:r>
      <w:r w:rsidR="00B40F48">
        <w:t xml:space="preserve">omparing </w:t>
      </w:r>
      <w:r w:rsidR="00F03608">
        <w:t xml:space="preserve">average duration on income support after becoming LTU, for job seekers at the lower and higher JCB age range boundaries, with job seekers who </w:t>
      </w:r>
      <w:r w:rsidR="00C962FC">
        <w:t>are slightly older and younger.</w:t>
      </w:r>
      <w:r>
        <w:t xml:space="preserve"> This analysis uses </w:t>
      </w:r>
      <w:r w:rsidR="00BC5796">
        <w:t>R</w:t>
      </w:r>
      <w:r>
        <w:t xml:space="preserve">egression </w:t>
      </w:r>
      <w:r w:rsidR="00BC5796">
        <w:t>D</w:t>
      </w:r>
      <w:r>
        <w:t xml:space="preserve">iscontinuity </w:t>
      </w:r>
      <w:r w:rsidR="00BC5796">
        <w:t>D</w:t>
      </w:r>
      <w:r>
        <w:t>esign analysis (RDD).</w:t>
      </w:r>
      <w:r>
        <w:rPr>
          <w:rStyle w:val="FootnoteReference"/>
        </w:rPr>
        <w:footnoteReference w:id="7"/>
      </w:r>
    </w:p>
    <w:p w:rsidR="007E1661" w:rsidRPr="00B77483" w:rsidRDefault="00370DBC" w:rsidP="00B77483">
      <w:pPr>
        <w:pStyle w:val="Heading3"/>
        <w:rPr>
          <w:rFonts w:eastAsia="Times New Roman"/>
          <w:lang w:eastAsia="en-AU"/>
        </w:rPr>
      </w:pPr>
      <w:r w:rsidRPr="00B77483">
        <w:rPr>
          <w:rFonts w:eastAsia="Times New Roman"/>
          <w:lang w:eastAsia="en-AU"/>
        </w:rPr>
        <w:t xml:space="preserve">Impact of the </w:t>
      </w:r>
      <w:r w:rsidR="00D573F7" w:rsidRPr="00B77483">
        <w:rPr>
          <w:rFonts w:eastAsia="Times New Roman"/>
          <w:lang w:eastAsia="en-AU"/>
        </w:rPr>
        <w:t>JCB on sustained outcomes</w:t>
      </w:r>
    </w:p>
    <w:p w:rsidR="0069762F" w:rsidRDefault="00133F97" w:rsidP="00D34975">
      <w:pPr>
        <w:spacing w:before="240"/>
      </w:pPr>
      <w:r>
        <w:t>Similar q</w:t>
      </w:r>
      <w:r w:rsidR="0069762F">
        <w:t xml:space="preserve">uantitative </w:t>
      </w:r>
      <w:r w:rsidR="00BC320A">
        <w:t>analyses</w:t>
      </w:r>
      <w:r w:rsidR="0046352D">
        <w:t xml:space="preserve"> that are</w:t>
      </w:r>
      <w:r>
        <w:t xml:space="preserve"> used to assess the effect of the JCB</w:t>
      </w:r>
      <w:r w:rsidR="00BC320A">
        <w:t xml:space="preserve"> </w:t>
      </w:r>
      <w:r>
        <w:t xml:space="preserve">on sustained employment outcomes for LTU young adults also </w:t>
      </w:r>
      <w:r w:rsidR="00CE6A83">
        <w:t>show no significant effect</w:t>
      </w:r>
      <w:r>
        <w:t xml:space="preserve">. These analyses </w:t>
      </w:r>
      <w:r w:rsidR="00B40F48">
        <w:t>include</w:t>
      </w:r>
      <w:r w:rsidR="0069762F">
        <w:t>:</w:t>
      </w:r>
    </w:p>
    <w:p w:rsidR="00542F35" w:rsidRPr="009A757F" w:rsidRDefault="00B40F48" w:rsidP="00E3205B">
      <w:pPr>
        <w:pStyle w:val="ListParagraph"/>
        <w:numPr>
          <w:ilvl w:val="0"/>
          <w:numId w:val="79"/>
        </w:numPr>
        <w:tabs>
          <w:tab w:val="left" w:pos="1560"/>
        </w:tabs>
        <w:suppressAutoHyphens/>
        <w:autoSpaceDE w:val="0"/>
        <w:autoSpaceDN w:val="0"/>
        <w:adjustRightInd w:val="0"/>
        <w:spacing w:before="120" w:after="198" w:line="300" w:lineRule="atLeast"/>
        <w:ind w:left="1560" w:hanging="1134"/>
        <w:textAlignment w:val="center"/>
        <w:rPr>
          <w:color w:val="000000" w:themeColor="text1"/>
        </w:rPr>
      </w:pPr>
      <w:r>
        <w:t xml:space="preserve">Comparing </w:t>
      </w:r>
      <w:r w:rsidR="00542F35">
        <w:t>the p</w:t>
      </w:r>
      <w:r w:rsidR="00542F35" w:rsidRPr="007C4728">
        <w:t xml:space="preserve">ercentage of LTU </w:t>
      </w:r>
      <w:r w:rsidR="00542F35">
        <w:t xml:space="preserve">young adults </w:t>
      </w:r>
      <w:r w:rsidR="00542F35" w:rsidRPr="007C4728">
        <w:t>who were off income support 52 weeks after exiting</w:t>
      </w:r>
      <w:r w:rsidR="00542F35">
        <w:rPr>
          <w:color w:val="000000" w:themeColor="text1"/>
        </w:rPr>
        <w:t xml:space="preserve"> income support</w:t>
      </w:r>
      <w:r w:rsidR="00542F35" w:rsidRPr="00FA46E1">
        <w:t xml:space="preserve"> </w:t>
      </w:r>
      <w:r w:rsidR="00542F35">
        <w:t xml:space="preserve">for young adults at the lower and higher JCB </w:t>
      </w:r>
      <w:r w:rsidR="00542F35">
        <w:lastRenderedPageBreak/>
        <w:t>age range boundaries with those slightly older and younger</w:t>
      </w:r>
      <w:r w:rsidR="00195E04">
        <w:t>,</w:t>
      </w:r>
      <w:r w:rsidR="00542F35">
        <w:t xml:space="preserve"> using a </w:t>
      </w:r>
      <w:r w:rsidR="00BC5796">
        <w:t>R</w:t>
      </w:r>
      <w:r w:rsidR="00542F35">
        <w:t xml:space="preserve">egression </w:t>
      </w:r>
      <w:r w:rsidR="00BC5796">
        <w:t xml:space="preserve">Discontinuity Design </w:t>
      </w:r>
      <w:r w:rsidR="00542F35">
        <w:t>(RDD)</w:t>
      </w:r>
      <w:r w:rsidR="00542F35">
        <w:rPr>
          <w:color w:val="000000" w:themeColor="text1"/>
        </w:rPr>
        <w:t>.</w:t>
      </w:r>
    </w:p>
    <w:p w:rsidR="00542F35" w:rsidRPr="00325628" w:rsidRDefault="00B40F48" w:rsidP="00E3205B">
      <w:pPr>
        <w:pStyle w:val="ListParagraph"/>
        <w:numPr>
          <w:ilvl w:val="0"/>
          <w:numId w:val="79"/>
        </w:numPr>
        <w:tabs>
          <w:tab w:val="left" w:pos="1560"/>
        </w:tabs>
        <w:suppressAutoHyphens/>
        <w:autoSpaceDE w:val="0"/>
        <w:autoSpaceDN w:val="0"/>
        <w:adjustRightInd w:val="0"/>
        <w:spacing w:before="120" w:after="198" w:line="300" w:lineRule="atLeast"/>
        <w:ind w:left="1560" w:hanging="1134"/>
        <w:textAlignment w:val="center"/>
        <w:rPr>
          <w:color w:val="000000" w:themeColor="text1"/>
        </w:rPr>
      </w:pPr>
      <w:r>
        <w:rPr>
          <w:color w:val="000000" w:themeColor="text1"/>
        </w:rPr>
        <w:t xml:space="preserve">Comparing </w:t>
      </w:r>
      <w:r w:rsidR="00542F35">
        <w:rPr>
          <w:color w:val="000000" w:themeColor="text1"/>
        </w:rPr>
        <w:t xml:space="preserve">the proportion of LTU young adults that remained off income support for 52 weeks after exiting income support, before and after the JCB </w:t>
      </w:r>
      <w:r w:rsidR="00D34975">
        <w:rPr>
          <w:color w:val="000000" w:themeColor="text1"/>
        </w:rPr>
        <w:t>commenced</w:t>
      </w:r>
      <w:r w:rsidR="00195E04">
        <w:rPr>
          <w:color w:val="000000" w:themeColor="text1"/>
        </w:rPr>
        <w:t>,</w:t>
      </w:r>
      <w:r w:rsidR="00542F35">
        <w:rPr>
          <w:color w:val="000000" w:themeColor="text1"/>
        </w:rPr>
        <w:t xml:space="preserve"> using</w:t>
      </w:r>
      <w:r w:rsidR="00542F35" w:rsidRPr="00FA46E1">
        <w:rPr>
          <w:color w:val="000000" w:themeColor="text1"/>
        </w:rPr>
        <w:t xml:space="preserve"> </w:t>
      </w:r>
      <w:r w:rsidR="00BC5796">
        <w:rPr>
          <w:color w:val="000000" w:themeColor="text1"/>
        </w:rPr>
        <w:t xml:space="preserve">Difference </w:t>
      </w:r>
      <w:r w:rsidR="00542F35">
        <w:rPr>
          <w:color w:val="000000" w:themeColor="text1"/>
        </w:rPr>
        <w:t xml:space="preserve">in </w:t>
      </w:r>
      <w:r w:rsidR="00BC5796">
        <w:rPr>
          <w:color w:val="000000" w:themeColor="text1"/>
        </w:rPr>
        <w:t xml:space="preserve">Difference </w:t>
      </w:r>
      <w:r w:rsidR="00542F35">
        <w:rPr>
          <w:color w:val="000000" w:themeColor="text1"/>
        </w:rPr>
        <w:t>regression (DID).</w:t>
      </w:r>
    </w:p>
    <w:p w:rsidR="00542F35" w:rsidRDefault="00542F35" w:rsidP="00542F35">
      <w:pPr>
        <w:pStyle w:val="ListParagraph"/>
        <w:ind w:left="1560" w:hanging="1134"/>
      </w:pPr>
      <w:r w:rsidRPr="00622A43">
        <w:rPr>
          <w:b/>
        </w:rPr>
        <w:t>Analysis 3:</w:t>
      </w:r>
      <w:r w:rsidRPr="00622A43">
        <w:rPr>
          <w:b/>
        </w:rPr>
        <w:tab/>
      </w:r>
      <w:r w:rsidR="00B40F48" w:rsidRPr="00195E04">
        <w:t>C</w:t>
      </w:r>
      <w:r w:rsidR="00B40F48" w:rsidRPr="00622A43">
        <w:t>ompar</w:t>
      </w:r>
      <w:r w:rsidR="00B40F48">
        <w:t>ing</w:t>
      </w:r>
      <w:r w:rsidR="00B40F48" w:rsidRPr="00622A43">
        <w:t xml:space="preserve"> </w:t>
      </w:r>
      <w:r w:rsidRPr="00622A43">
        <w:t xml:space="preserve">the proportion of LTU young adults that remained off income support for 104 weeks after exiting income support, before and after the JCB </w:t>
      </w:r>
      <w:r w:rsidR="00D34975">
        <w:t>commenced</w:t>
      </w:r>
      <w:r w:rsidR="00195E04">
        <w:t>,</w:t>
      </w:r>
      <w:r>
        <w:t xml:space="preserve"> using DID</w:t>
      </w:r>
      <w:r w:rsidRPr="00622A43">
        <w:t>.</w:t>
      </w:r>
    </w:p>
    <w:p w:rsidR="00133F97" w:rsidRDefault="004B4CAA" w:rsidP="00246273">
      <w:pPr>
        <w:rPr>
          <w:color w:val="000000" w:themeColor="text1"/>
        </w:rPr>
      </w:pPr>
      <w:r>
        <w:t>However, other quantitative analysis conducted</w:t>
      </w:r>
      <w:r>
        <w:rPr>
          <w:color w:val="000000" w:themeColor="text1"/>
        </w:rPr>
        <w:t xml:space="preserve"> (see deadweight</w:t>
      </w:r>
      <w:r>
        <w:rPr>
          <w:rStyle w:val="FootnoteReference"/>
          <w:color w:val="000000" w:themeColor="text1"/>
        </w:rPr>
        <w:footnoteReference w:id="8"/>
      </w:r>
      <w:r>
        <w:rPr>
          <w:color w:val="000000" w:themeColor="text1"/>
        </w:rPr>
        <w:t xml:space="preserve"> discussion below) finds some evidence of potential JCB impact on sustained outcomes. This supports findings from the qualitative research where p</w:t>
      </w:r>
      <w:r w:rsidR="00133F97" w:rsidRPr="00A832E4">
        <w:t>eople</w:t>
      </w:r>
      <w:r w:rsidR="00133F97" w:rsidRPr="004968D9">
        <w:t xml:space="preserve"> who had already exited income support and sustained their exits for 12</w:t>
      </w:r>
      <w:r w:rsidR="00496582">
        <w:t> </w:t>
      </w:r>
      <w:r w:rsidR="00133F97" w:rsidRPr="004968D9">
        <w:t xml:space="preserve">months reacted very differently to the </w:t>
      </w:r>
      <w:r w:rsidR="00133F97">
        <w:t>JCB</w:t>
      </w:r>
      <w:r w:rsidR="00133F97" w:rsidRPr="004968D9">
        <w:t xml:space="preserve"> </w:t>
      </w:r>
      <w:r w:rsidR="00133F97">
        <w:t xml:space="preserve">compared </w:t>
      </w:r>
      <w:r w:rsidR="00133F97" w:rsidRPr="004968D9">
        <w:t>to people who had yet to reac</w:t>
      </w:r>
      <w:r>
        <w:t>h 12 months off income support</w:t>
      </w:r>
      <w:r w:rsidR="00496582">
        <w:t>,</w:t>
      </w:r>
      <w:r>
        <w:t xml:space="preserve"> </w:t>
      </w:r>
      <w:r w:rsidR="00133F97" w:rsidRPr="004968D9">
        <w:t xml:space="preserve">based on the discounted future value they placed on the bonus. </w:t>
      </w:r>
      <w:r w:rsidR="00496582">
        <w:t>Those</w:t>
      </w:r>
      <w:r w:rsidR="00133F97" w:rsidRPr="004968D9">
        <w:t xml:space="preserve"> who had been </w:t>
      </w:r>
      <w:r w:rsidR="00133F97">
        <w:t>employed</w:t>
      </w:r>
      <w:r w:rsidR="00133F97" w:rsidRPr="004968D9">
        <w:t xml:space="preserve"> longer saw the bonus as more attainable and therefore more valuable.</w:t>
      </w:r>
      <w:r w:rsidR="00133F97">
        <w:t xml:space="preserve"> </w:t>
      </w:r>
    </w:p>
    <w:p w:rsidR="00063DF1" w:rsidRDefault="00063DF1" w:rsidP="00221316">
      <w:pPr>
        <w:pStyle w:val="Heading3"/>
      </w:pPr>
      <w:r>
        <w:t>Deadweight</w:t>
      </w:r>
    </w:p>
    <w:p w:rsidR="00E83551" w:rsidRDefault="00A10612" w:rsidP="0046352D">
      <w:pPr>
        <w:spacing w:before="240"/>
        <w:rPr>
          <w:color w:val="000000" w:themeColor="text1"/>
        </w:rPr>
      </w:pPr>
      <w:r>
        <w:rPr>
          <w:color w:val="000000" w:themeColor="text1"/>
        </w:rPr>
        <w:t>Predictive modelling</w:t>
      </w:r>
      <w:r>
        <w:rPr>
          <w:rStyle w:val="FootnoteReference"/>
          <w:color w:val="000000" w:themeColor="text1"/>
        </w:rPr>
        <w:footnoteReference w:id="9"/>
      </w:r>
      <w:r w:rsidR="001462EC">
        <w:rPr>
          <w:color w:val="000000" w:themeColor="text1"/>
        </w:rPr>
        <w:t xml:space="preserve"> is used to estimate deadweight.</w:t>
      </w:r>
      <w:r w:rsidR="001462EC">
        <w:rPr>
          <w:rStyle w:val="CommentReference"/>
        </w:rPr>
        <w:t xml:space="preserve"> </w:t>
      </w:r>
      <w:r w:rsidR="00E83551">
        <w:rPr>
          <w:color w:val="000000" w:themeColor="text1"/>
        </w:rPr>
        <w:t>Assuming that differing economic conditions are fully accounted for in these regression models, then any statistically significant differen</w:t>
      </w:r>
      <w:r w:rsidR="00D31742">
        <w:rPr>
          <w:color w:val="000000" w:themeColor="text1"/>
        </w:rPr>
        <w:t>ce</w:t>
      </w:r>
      <w:r w:rsidR="00E83551">
        <w:rPr>
          <w:color w:val="000000" w:themeColor="text1"/>
        </w:rPr>
        <w:t xml:space="preserve"> between predicted and actual outcome rates can be reasonably attributed to the JCB.</w:t>
      </w:r>
    </w:p>
    <w:p w:rsidR="001462EC" w:rsidRDefault="00D31742" w:rsidP="0046352D">
      <w:pPr>
        <w:spacing w:before="240"/>
        <w:rPr>
          <w:color w:val="000000" w:themeColor="text1"/>
        </w:rPr>
      </w:pPr>
      <w:r>
        <w:rPr>
          <w:color w:val="000000" w:themeColor="text1"/>
        </w:rPr>
        <w:t>No</w:t>
      </w:r>
      <w:r w:rsidR="00E83551">
        <w:rPr>
          <w:color w:val="000000" w:themeColor="text1"/>
        </w:rPr>
        <w:t xml:space="preserve"> statistically significant d</w:t>
      </w:r>
      <w:r w:rsidR="00A10612">
        <w:rPr>
          <w:color w:val="000000" w:themeColor="text1"/>
        </w:rPr>
        <w:t xml:space="preserve">ifference </w:t>
      </w:r>
      <w:r w:rsidR="00E83551">
        <w:rPr>
          <w:color w:val="000000" w:themeColor="text1"/>
        </w:rPr>
        <w:t xml:space="preserve">is found </w:t>
      </w:r>
      <w:r w:rsidR="00A10612">
        <w:rPr>
          <w:color w:val="000000" w:themeColor="text1"/>
        </w:rPr>
        <w:t xml:space="preserve">between predicted and actual </w:t>
      </w:r>
      <w:r w:rsidR="001462EC">
        <w:rPr>
          <w:color w:val="000000" w:themeColor="text1"/>
        </w:rPr>
        <w:t xml:space="preserve">12 month sustained exits from income support </w:t>
      </w:r>
      <w:r>
        <w:rPr>
          <w:color w:val="000000" w:themeColor="text1"/>
        </w:rPr>
        <w:t>indica</w:t>
      </w:r>
      <w:r w:rsidR="001462EC">
        <w:rPr>
          <w:color w:val="000000" w:themeColor="text1"/>
        </w:rPr>
        <w:t>t</w:t>
      </w:r>
      <w:r>
        <w:rPr>
          <w:color w:val="000000" w:themeColor="text1"/>
        </w:rPr>
        <w:t>ing</w:t>
      </w:r>
      <w:r w:rsidR="001462EC">
        <w:rPr>
          <w:color w:val="000000" w:themeColor="text1"/>
        </w:rPr>
        <w:t xml:space="preserve"> that the deadweight</w:t>
      </w:r>
      <w:r w:rsidR="001462EC">
        <w:rPr>
          <w:rStyle w:val="FootnoteReference"/>
          <w:color w:val="000000" w:themeColor="text1"/>
        </w:rPr>
        <w:footnoteReference w:id="10"/>
      </w:r>
      <w:r w:rsidR="001462EC">
        <w:rPr>
          <w:color w:val="000000" w:themeColor="text1"/>
        </w:rPr>
        <w:t xml:space="preserve"> for JCB1</w:t>
      </w:r>
      <w:r w:rsidR="001462EC">
        <w:rPr>
          <w:rStyle w:val="FootnoteReference"/>
          <w:color w:val="000000" w:themeColor="text1"/>
        </w:rPr>
        <w:footnoteReference w:id="11"/>
      </w:r>
      <w:r w:rsidR="001462EC">
        <w:rPr>
          <w:color w:val="000000" w:themeColor="text1"/>
        </w:rPr>
        <w:t xml:space="preserve"> was al</w:t>
      </w:r>
      <w:r w:rsidR="00602B02">
        <w:rPr>
          <w:color w:val="000000" w:themeColor="text1"/>
        </w:rPr>
        <w:t>most 100 per cent.</w:t>
      </w:r>
    </w:p>
    <w:p w:rsidR="00D34975" w:rsidRDefault="001462EC" w:rsidP="00A10612">
      <w:pPr>
        <w:spacing w:before="240"/>
        <w:rPr>
          <w:color w:val="000000" w:themeColor="text1"/>
        </w:rPr>
      </w:pPr>
      <w:r>
        <w:t>Similar</w:t>
      </w:r>
      <w:r w:rsidR="00D34975" w:rsidRPr="00D34975">
        <w:t xml:space="preserve"> modelling</w:t>
      </w:r>
      <w:r w:rsidR="00562F6E">
        <w:t xml:space="preserve"> </w:t>
      </w:r>
      <w:r w:rsidR="00562F6E">
        <w:rPr>
          <w:color w:val="000000" w:themeColor="text1"/>
        </w:rPr>
        <w:t>predicting the probability that people would reach the 24 months off income support milestone</w:t>
      </w:r>
      <w:r w:rsidR="00562F6E">
        <w:t>,</w:t>
      </w:r>
      <w:r w:rsidR="00CB2D7E">
        <w:t xml:space="preserve"> </w:t>
      </w:r>
      <w:r w:rsidR="00E83551">
        <w:t>for</w:t>
      </w:r>
      <w:r>
        <w:t xml:space="preserve"> </w:t>
      </w:r>
      <w:r w:rsidR="0046352D">
        <w:t>people</w:t>
      </w:r>
      <w:r w:rsidR="0046352D" w:rsidRPr="00D34975">
        <w:t xml:space="preserve"> </w:t>
      </w:r>
      <w:r w:rsidR="00D34975" w:rsidRPr="00D34975">
        <w:t xml:space="preserve">who had </w:t>
      </w:r>
      <w:r w:rsidR="00E83551">
        <w:t xml:space="preserve">already reached the 12 months </w:t>
      </w:r>
      <w:r w:rsidR="00D34975" w:rsidRPr="00D34975">
        <w:t xml:space="preserve">off income support </w:t>
      </w:r>
      <w:r w:rsidR="00E83551">
        <w:t>milestone</w:t>
      </w:r>
      <w:r w:rsidR="00562F6E">
        <w:t>,</w:t>
      </w:r>
      <w:r w:rsidR="00D34975">
        <w:rPr>
          <w:color w:val="000000" w:themeColor="text1"/>
        </w:rPr>
        <w:t xml:space="preserve"> </w:t>
      </w:r>
      <w:r>
        <w:rPr>
          <w:color w:val="000000" w:themeColor="text1"/>
        </w:rPr>
        <w:t xml:space="preserve">suggests that JCB2 deadweight </w:t>
      </w:r>
      <w:r w:rsidR="00E83551">
        <w:rPr>
          <w:color w:val="000000" w:themeColor="text1"/>
        </w:rPr>
        <w:t>while</w:t>
      </w:r>
      <w:r>
        <w:rPr>
          <w:color w:val="000000" w:themeColor="text1"/>
        </w:rPr>
        <w:t xml:space="preserve"> </w:t>
      </w:r>
      <w:r w:rsidR="00E83551">
        <w:rPr>
          <w:color w:val="000000" w:themeColor="text1"/>
        </w:rPr>
        <w:t>still high, was</w:t>
      </w:r>
      <w:r w:rsidR="00CB2D7E">
        <w:rPr>
          <w:color w:val="000000" w:themeColor="text1"/>
        </w:rPr>
        <w:t xml:space="preserve"> </w:t>
      </w:r>
      <w:r>
        <w:rPr>
          <w:color w:val="000000" w:themeColor="text1"/>
        </w:rPr>
        <w:t xml:space="preserve">slightly lower </w:t>
      </w:r>
      <w:r w:rsidR="00E83551">
        <w:rPr>
          <w:color w:val="000000" w:themeColor="text1"/>
        </w:rPr>
        <w:t xml:space="preserve">for this group </w:t>
      </w:r>
      <w:r w:rsidR="00602B02">
        <w:rPr>
          <w:color w:val="000000" w:themeColor="text1"/>
        </w:rPr>
        <w:t>at around 95 to 96 per cent.</w:t>
      </w:r>
    </w:p>
    <w:p w:rsidR="009221E4" w:rsidRDefault="00E15FAC" w:rsidP="009221E4">
      <w:pPr>
        <w:rPr>
          <w:color w:val="000000" w:themeColor="text1"/>
        </w:rPr>
      </w:pPr>
      <w:r>
        <w:rPr>
          <w:color w:val="000000" w:themeColor="text1"/>
        </w:rPr>
        <w:t>Had the JCB program continued</w:t>
      </w:r>
      <w:r w:rsidR="00CD763E">
        <w:rPr>
          <w:color w:val="000000" w:themeColor="text1"/>
        </w:rPr>
        <w:t>,</w:t>
      </w:r>
      <w:r>
        <w:rPr>
          <w:color w:val="000000" w:themeColor="text1"/>
        </w:rPr>
        <w:t xml:space="preserve"> secondary benefits </w:t>
      </w:r>
      <w:r w:rsidR="009E2A5F">
        <w:rPr>
          <w:color w:val="000000" w:themeColor="text1"/>
        </w:rPr>
        <w:t>may have been realised from bonus recipients by their</w:t>
      </w:r>
      <w:r>
        <w:rPr>
          <w:color w:val="000000" w:themeColor="text1"/>
        </w:rPr>
        <w:t xml:space="preserve"> promotion of the program </w:t>
      </w:r>
      <w:r w:rsidR="009E2A5F">
        <w:rPr>
          <w:color w:val="000000" w:themeColor="text1"/>
        </w:rPr>
        <w:t>to family and friends,</w:t>
      </w:r>
      <w:r w:rsidR="00B40F48">
        <w:rPr>
          <w:color w:val="000000" w:themeColor="text1"/>
        </w:rPr>
        <w:t xml:space="preserve"> thereby</w:t>
      </w:r>
      <w:r w:rsidR="009E2A5F">
        <w:rPr>
          <w:color w:val="000000" w:themeColor="text1"/>
        </w:rPr>
        <w:t xml:space="preserve"> increasing awareness of the program</w:t>
      </w:r>
      <w:r>
        <w:rPr>
          <w:color w:val="000000" w:themeColor="text1"/>
        </w:rPr>
        <w:t xml:space="preserve">. </w:t>
      </w:r>
      <w:r w:rsidR="00E73092" w:rsidRPr="009D6ED2">
        <w:rPr>
          <w:color w:val="000000" w:themeColor="text1"/>
        </w:rPr>
        <w:t xml:space="preserve">If increased awareness of the bonus translated into </w:t>
      </w:r>
      <w:r w:rsidR="00E73092">
        <w:rPr>
          <w:color w:val="000000" w:themeColor="text1"/>
        </w:rPr>
        <w:t>increased motivation for</w:t>
      </w:r>
      <w:r w:rsidR="00E73092" w:rsidRPr="009D6ED2">
        <w:rPr>
          <w:color w:val="000000" w:themeColor="text1"/>
        </w:rPr>
        <w:t xml:space="preserve"> job search </w:t>
      </w:r>
      <w:r w:rsidR="00E73092">
        <w:rPr>
          <w:color w:val="000000" w:themeColor="text1"/>
        </w:rPr>
        <w:t>and consequential sustained exits from income support</w:t>
      </w:r>
      <w:r w:rsidR="00CD763E">
        <w:rPr>
          <w:color w:val="000000" w:themeColor="text1"/>
        </w:rPr>
        <w:t xml:space="preserve">, </w:t>
      </w:r>
      <w:r w:rsidR="00E73092" w:rsidRPr="009D6ED2">
        <w:rPr>
          <w:color w:val="000000" w:themeColor="text1"/>
        </w:rPr>
        <w:t xml:space="preserve">then deadweight </w:t>
      </w:r>
      <w:r w:rsidR="00D31742">
        <w:rPr>
          <w:color w:val="000000" w:themeColor="text1"/>
        </w:rPr>
        <w:t xml:space="preserve">might have </w:t>
      </w:r>
      <w:r w:rsidR="00E73092" w:rsidRPr="009D6ED2">
        <w:rPr>
          <w:color w:val="000000" w:themeColor="text1"/>
        </w:rPr>
        <w:t>decrease</w:t>
      </w:r>
      <w:r w:rsidR="00D31742">
        <w:rPr>
          <w:color w:val="000000" w:themeColor="text1"/>
        </w:rPr>
        <w:t>d</w:t>
      </w:r>
      <w:r w:rsidR="00E73092">
        <w:rPr>
          <w:color w:val="000000" w:themeColor="text1"/>
        </w:rPr>
        <w:t xml:space="preserve"> in the future</w:t>
      </w:r>
      <w:r w:rsidR="00E73092" w:rsidRPr="009D6ED2">
        <w:rPr>
          <w:color w:val="000000" w:themeColor="text1"/>
        </w:rPr>
        <w:t xml:space="preserve">. </w:t>
      </w:r>
      <w:r w:rsidR="003502C2">
        <w:rPr>
          <w:color w:val="000000" w:themeColor="text1"/>
        </w:rPr>
        <w:t xml:space="preserve">This evaluation, however, finds </w:t>
      </w:r>
      <w:r w:rsidR="001D3BC9">
        <w:rPr>
          <w:color w:val="000000" w:themeColor="text1"/>
        </w:rPr>
        <w:t>no e</w:t>
      </w:r>
      <w:r w:rsidR="00E73092" w:rsidRPr="009D6ED2">
        <w:rPr>
          <w:color w:val="000000" w:themeColor="text1"/>
        </w:rPr>
        <w:t xml:space="preserve">vidence </w:t>
      </w:r>
      <w:r w:rsidR="001D3BC9">
        <w:rPr>
          <w:color w:val="000000" w:themeColor="text1"/>
        </w:rPr>
        <w:t>of this</w:t>
      </w:r>
      <w:r w:rsidR="00E73092" w:rsidRPr="009D6ED2">
        <w:rPr>
          <w:color w:val="000000" w:themeColor="text1"/>
        </w:rPr>
        <w:t>.</w:t>
      </w:r>
    </w:p>
    <w:p w:rsidR="009221E4" w:rsidRDefault="00DA0907" w:rsidP="00F6788A">
      <w:pPr>
        <w:pStyle w:val="Heading2"/>
      </w:pPr>
      <w:bookmarkStart w:id="58" w:name="_Toc507600225"/>
      <w:r>
        <w:lastRenderedPageBreak/>
        <w:t>Job seeker behaviour</w:t>
      </w:r>
      <w:bookmarkEnd w:id="58"/>
      <w:r>
        <w:t xml:space="preserve"> </w:t>
      </w:r>
    </w:p>
    <w:p w:rsidR="00DB0644" w:rsidRPr="00602B02" w:rsidRDefault="00FF2C0D" w:rsidP="00FD2606">
      <w:r>
        <w:t xml:space="preserve">The JCB </w:t>
      </w:r>
      <w:r w:rsidRPr="00FF2C0D">
        <w:rPr>
          <w:color w:val="000000" w:themeColor="text1"/>
        </w:rPr>
        <w:t>program</w:t>
      </w:r>
      <w:r>
        <w:t xml:space="preserve"> sought to influence the behaviour of </w:t>
      </w:r>
      <w:r w:rsidR="000B5F26">
        <w:t xml:space="preserve">young </w:t>
      </w:r>
      <w:r>
        <w:t>long</w:t>
      </w:r>
      <w:r w:rsidR="00063DF1">
        <w:t>-</w:t>
      </w:r>
      <w:r>
        <w:t>term unemployed job seekers. This evaluation use</w:t>
      </w:r>
      <w:r w:rsidR="00DA0907">
        <w:t>s</w:t>
      </w:r>
      <w:r>
        <w:t xml:space="preserve"> an established behavioural model, the </w:t>
      </w:r>
      <w:r w:rsidR="00272A26" w:rsidRPr="006A1048">
        <w:rPr>
          <w:i/>
        </w:rPr>
        <w:t>Trans-theoretical</w:t>
      </w:r>
      <w:r w:rsidR="00272A26">
        <w:t xml:space="preserve"> </w:t>
      </w:r>
      <w:r w:rsidRPr="004968D9">
        <w:rPr>
          <w:i/>
        </w:rPr>
        <w:t>Stages of Change</w:t>
      </w:r>
      <w:r>
        <w:t xml:space="preserve"> model</w:t>
      </w:r>
      <w:r w:rsidR="001049F8">
        <w:rPr>
          <w:rStyle w:val="FootnoteReference"/>
        </w:rPr>
        <w:footnoteReference w:id="12"/>
      </w:r>
      <w:r>
        <w:t xml:space="preserve">, to </w:t>
      </w:r>
      <w:r w:rsidR="001D3BC9">
        <w:t>help understand</w:t>
      </w:r>
      <w:r>
        <w:t xml:space="preserve"> peoples’ responses to the JCB. This model </w:t>
      </w:r>
      <w:r w:rsidRPr="00A30F7E">
        <w:t xml:space="preserve">explains intentional behaviour change </w:t>
      </w:r>
      <w:r>
        <w:t>over time in terms of</w:t>
      </w:r>
      <w:r w:rsidR="001D3BC9">
        <w:t>:</w:t>
      </w:r>
      <w:r>
        <w:t xml:space="preserve"> how people change</w:t>
      </w:r>
      <w:r w:rsidR="001D3BC9">
        <w:t xml:space="preserve">; </w:t>
      </w:r>
      <w:r>
        <w:t>their motivation to change</w:t>
      </w:r>
      <w:r w:rsidR="001D3BC9">
        <w:t xml:space="preserve">; </w:t>
      </w:r>
      <w:r>
        <w:t>and their confide</w:t>
      </w:r>
      <w:r w:rsidR="00602B02">
        <w:t>nce in their ability to change.</w:t>
      </w:r>
    </w:p>
    <w:p w:rsidR="00DB0644" w:rsidRDefault="00DB0644" w:rsidP="00FD2606">
      <w:pPr>
        <w:shd w:val="clear" w:color="auto" w:fill="FFFFFF" w:themeFill="background2"/>
      </w:pPr>
      <w:r>
        <w:t>For the JCB to have had an impact on job seeker behaviour</w:t>
      </w:r>
      <w:r w:rsidR="00DE094E">
        <w:t>,</w:t>
      </w:r>
      <w:r>
        <w:t xml:space="preserve"> it had to contribute to job seekers shifting from a negative motivational balance (where the cons outweighed the pros) to a positive one (where the pros outweighed the cons). Once a job seeker is sufficiently motivated to become employed they also need to have sufficient confidence in their own ability to overcome the</w:t>
      </w:r>
      <w:r w:rsidR="00523D21">
        <w:t>ir</w:t>
      </w:r>
      <w:r w:rsidR="00602B02">
        <w:t xml:space="preserve"> barriers.</w:t>
      </w:r>
    </w:p>
    <w:p w:rsidR="00DB0644" w:rsidRDefault="00DB0644" w:rsidP="00DB0644">
      <w:pPr>
        <w:shd w:val="clear" w:color="auto" w:fill="FFFFFF" w:themeFill="background2"/>
      </w:pPr>
      <w:r>
        <w:t xml:space="preserve">Most participants in the qualitative fieldwork </w:t>
      </w:r>
      <w:r w:rsidR="00CD763E">
        <w:t xml:space="preserve">expressed motivation </w:t>
      </w:r>
      <w:r>
        <w:t xml:space="preserve">to leave income support (without the JCB). They </w:t>
      </w:r>
      <w:r w:rsidR="000B5F26">
        <w:t xml:space="preserve">already had </w:t>
      </w:r>
      <w:r>
        <w:t xml:space="preserve">a positive motivational balance to </w:t>
      </w:r>
      <w:r w:rsidR="00FE6B12">
        <w:t>get a job</w:t>
      </w:r>
      <w:r>
        <w:t xml:space="preserve"> without the need for an incentive. T</w:t>
      </w:r>
      <w:r w:rsidRPr="004C2A6F">
        <w:t xml:space="preserve">hey </w:t>
      </w:r>
      <w:r>
        <w:t>were aware that a problem existed, that they could and should do something to make their lives better, and that their behaviour needed to change.</w:t>
      </w:r>
      <w:r w:rsidRPr="00DB0644">
        <w:t xml:space="preserve"> </w:t>
      </w:r>
      <w:r>
        <w:t xml:space="preserve">It is more probable that participants were past the Contemplation stage and in the Preparation or Action stages when looking for work. In these latter stages of the </w:t>
      </w:r>
      <w:r w:rsidR="00607E08" w:rsidRPr="006A1048">
        <w:rPr>
          <w:i/>
        </w:rPr>
        <w:t>Trans-theoretical</w:t>
      </w:r>
      <w:r w:rsidR="00607E08">
        <w:t xml:space="preserve"> </w:t>
      </w:r>
      <w:r w:rsidRPr="004968D9">
        <w:rPr>
          <w:i/>
        </w:rPr>
        <w:t>Stages of Change</w:t>
      </w:r>
      <w:r>
        <w:t xml:space="preserve"> model, the critical issues relate to barriers </w:t>
      </w:r>
      <w:r w:rsidR="00FE6B12">
        <w:t xml:space="preserve">to change, </w:t>
      </w:r>
      <w:r>
        <w:t>and the confidence to overcome them (self-efficacy)</w:t>
      </w:r>
      <w:r w:rsidR="00CD763E">
        <w:t xml:space="preserve">, </w:t>
      </w:r>
      <w:r>
        <w:t>ra</w:t>
      </w:r>
      <w:r w:rsidR="00602B02">
        <w:t>ther than motivational balance.</w:t>
      </w:r>
    </w:p>
    <w:p w:rsidR="00FF2C0D" w:rsidRDefault="00523D21" w:rsidP="00DB0644">
      <w:pPr>
        <w:shd w:val="clear" w:color="auto" w:fill="FFFFFF" w:themeFill="background2"/>
        <w:rPr>
          <w:color w:val="000000" w:themeColor="text1"/>
        </w:rPr>
      </w:pPr>
      <w:r>
        <w:t xml:space="preserve">This </w:t>
      </w:r>
      <w:r w:rsidR="00FE6B12">
        <w:t xml:space="preserve">research </w:t>
      </w:r>
      <w:r>
        <w:t xml:space="preserve">indicates </w:t>
      </w:r>
      <w:r w:rsidR="00DB0644">
        <w:t xml:space="preserve">that </w:t>
      </w:r>
      <w:r w:rsidR="00DB0644">
        <w:rPr>
          <w:color w:val="000000" w:themeColor="text1"/>
        </w:rPr>
        <w:t>a</w:t>
      </w:r>
      <w:r w:rsidR="00DB0644" w:rsidRPr="004C4EF9">
        <w:rPr>
          <w:color w:val="000000" w:themeColor="text1"/>
        </w:rPr>
        <w:t xml:space="preserve"> more effective program to effect behavioural change would be one that targets people where self-confidence and barriers are an issue, tailoring interventions to the individual’s motivational needs. </w:t>
      </w:r>
      <w:r w:rsidR="00FE6B12">
        <w:rPr>
          <w:color w:val="000000" w:themeColor="text1"/>
        </w:rPr>
        <w:t>B</w:t>
      </w:r>
      <w:r w:rsidR="00DB0644" w:rsidRPr="004C4EF9">
        <w:rPr>
          <w:color w:val="000000" w:themeColor="text1"/>
        </w:rPr>
        <w:t xml:space="preserve">arriers </w:t>
      </w:r>
      <w:r w:rsidR="00FE6B12">
        <w:rPr>
          <w:color w:val="000000" w:themeColor="text1"/>
        </w:rPr>
        <w:t xml:space="preserve">to change </w:t>
      </w:r>
      <w:r w:rsidR="00DB0644" w:rsidRPr="004C4EF9">
        <w:rPr>
          <w:color w:val="000000" w:themeColor="text1"/>
        </w:rPr>
        <w:t>can be removed directly or indirectly</w:t>
      </w:r>
      <w:r w:rsidR="00DB0644">
        <w:rPr>
          <w:color w:val="000000" w:themeColor="text1"/>
        </w:rPr>
        <w:t>,</w:t>
      </w:r>
      <w:r w:rsidR="00DB0644" w:rsidRPr="004C4EF9">
        <w:rPr>
          <w:color w:val="000000" w:themeColor="text1"/>
        </w:rPr>
        <w:t xml:space="preserve"> or their impact can be diminished by increasing job seeker confidence in their ability to address the</w:t>
      </w:r>
      <w:r w:rsidR="000B5F26">
        <w:rPr>
          <w:color w:val="000000" w:themeColor="text1"/>
        </w:rPr>
        <w:t>m</w:t>
      </w:r>
      <w:r w:rsidR="00DB0644" w:rsidRPr="004C4EF9">
        <w:rPr>
          <w:color w:val="000000" w:themeColor="text1"/>
        </w:rPr>
        <w:t>.</w:t>
      </w:r>
    </w:p>
    <w:p w:rsidR="00DB0644" w:rsidRDefault="00DB0644" w:rsidP="00DB0644">
      <w:pPr>
        <w:pStyle w:val="Heading2"/>
      </w:pPr>
      <w:bookmarkStart w:id="59" w:name="_Toc507600226"/>
      <w:r>
        <w:t>Recommendations</w:t>
      </w:r>
      <w:bookmarkEnd w:id="59"/>
    </w:p>
    <w:p w:rsidR="00413D5A" w:rsidRPr="00B83C41" w:rsidRDefault="00413D5A" w:rsidP="004968D9">
      <w:pPr>
        <w:pStyle w:val="Heading3"/>
      </w:pPr>
      <w:r w:rsidRPr="00B83C41">
        <w:t>Program design</w:t>
      </w:r>
      <w:r w:rsidR="00B707FD">
        <w:t xml:space="preserve"> should:</w:t>
      </w:r>
    </w:p>
    <w:p w:rsidR="00413D5A" w:rsidRDefault="00B707FD" w:rsidP="00D13E64">
      <w:pPr>
        <w:pStyle w:val="ListParagraph"/>
        <w:numPr>
          <w:ilvl w:val="0"/>
          <w:numId w:val="54"/>
        </w:numPr>
        <w:spacing w:before="240"/>
        <w:rPr>
          <w:color w:val="000000" w:themeColor="text1"/>
        </w:rPr>
      </w:pPr>
      <w:r>
        <w:rPr>
          <w:color w:val="000000" w:themeColor="text1"/>
        </w:rPr>
        <w:t xml:space="preserve">be </w:t>
      </w:r>
      <w:r w:rsidR="00413D5A">
        <w:rPr>
          <w:color w:val="000000" w:themeColor="text1"/>
        </w:rPr>
        <w:t xml:space="preserve">simple, </w:t>
      </w:r>
      <w:r w:rsidR="00D15AD8">
        <w:rPr>
          <w:color w:val="000000" w:themeColor="text1"/>
        </w:rPr>
        <w:t xml:space="preserve">with </w:t>
      </w:r>
      <w:r w:rsidR="00413D5A">
        <w:rPr>
          <w:color w:val="000000" w:themeColor="text1"/>
        </w:rPr>
        <w:t>easy to meet eligibility requirement (</w:t>
      </w:r>
      <w:r w:rsidR="00CD763E">
        <w:rPr>
          <w:color w:val="000000" w:themeColor="text1"/>
        </w:rPr>
        <w:t>to reduce complexity and confusion</w:t>
      </w:r>
      <w:r w:rsidR="00413D5A">
        <w:rPr>
          <w:color w:val="000000" w:themeColor="text1"/>
        </w:rPr>
        <w:t>)</w:t>
      </w:r>
    </w:p>
    <w:p w:rsidR="00413D5A" w:rsidRDefault="00413D5A" w:rsidP="00D13E64">
      <w:pPr>
        <w:pStyle w:val="ListParagraph"/>
        <w:numPr>
          <w:ilvl w:val="0"/>
          <w:numId w:val="54"/>
        </w:numPr>
        <w:spacing w:before="240"/>
        <w:rPr>
          <w:color w:val="000000" w:themeColor="text1"/>
        </w:rPr>
      </w:pPr>
      <w:r w:rsidRPr="009919C3">
        <w:rPr>
          <w:color w:val="000000" w:themeColor="text1"/>
        </w:rPr>
        <w:t>consider the status of the labour market and how this will affect people’s ability to qualify</w:t>
      </w:r>
    </w:p>
    <w:p w:rsidR="00413D5A" w:rsidRPr="009919C3" w:rsidRDefault="00413D5A" w:rsidP="00D13E64">
      <w:pPr>
        <w:pStyle w:val="ListParagraph"/>
        <w:numPr>
          <w:ilvl w:val="0"/>
          <w:numId w:val="54"/>
        </w:numPr>
        <w:spacing w:before="240"/>
        <w:rPr>
          <w:color w:val="000000" w:themeColor="text1"/>
        </w:rPr>
      </w:pPr>
      <w:r w:rsidRPr="009919C3">
        <w:rPr>
          <w:color w:val="000000" w:themeColor="text1"/>
        </w:rPr>
        <w:t>ensur</w:t>
      </w:r>
      <w:r>
        <w:rPr>
          <w:color w:val="000000" w:themeColor="text1"/>
        </w:rPr>
        <w:t>e</w:t>
      </w:r>
      <w:r w:rsidRPr="009919C3">
        <w:rPr>
          <w:color w:val="000000" w:themeColor="text1"/>
        </w:rPr>
        <w:t xml:space="preserve"> design does not </w:t>
      </w:r>
      <w:r w:rsidR="00B110E9">
        <w:rPr>
          <w:color w:val="000000" w:themeColor="text1"/>
        </w:rPr>
        <w:t>discourage</w:t>
      </w:r>
      <w:r w:rsidR="00B110E9" w:rsidRPr="009919C3">
        <w:rPr>
          <w:color w:val="000000" w:themeColor="text1"/>
        </w:rPr>
        <w:t xml:space="preserve"> </w:t>
      </w:r>
      <w:r w:rsidRPr="009919C3">
        <w:rPr>
          <w:color w:val="000000" w:themeColor="text1"/>
        </w:rPr>
        <w:t>people who are making genuine progress towards goals</w:t>
      </w:r>
      <w:r w:rsidR="001C5186">
        <w:rPr>
          <w:color w:val="000000" w:themeColor="text1"/>
        </w:rPr>
        <w:t xml:space="preserve"> </w:t>
      </w:r>
    </w:p>
    <w:p w:rsidR="00413D5A" w:rsidRDefault="00413D5A" w:rsidP="00D13E64">
      <w:pPr>
        <w:pStyle w:val="ListParagraph"/>
        <w:numPr>
          <w:ilvl w:val="0"/>
          <w:numId w:val="54"/>
        </w:numPr>
        <w:spacing w:before="240"/>
      </w:pPr>
      <w:r w:rsidRPr="009919C3">
        <w:rPr>
          <w:color w:val="000000" w:themeColor="text1"/>
        </w:rPr>
        <w:t xml:space="preserve">consider all types of employment (i.e. permanent, contract, casual, seasonal) recognising the types of employment prevalent among </w:t>
      </w:r>
      <w:r w:rsidR="003B03ED">
        <w:rPr>
          <w:color w:val="000000" w:themeColor="text1"/>
        </w:rPr>
        <w:t>young people</w:t>
      </w:r>
    </w:p>
    <w:p w:rsidR="00FE6B12" w:rsidRDefault="003E5FAE" w:rsidP="00D13E64">
      <w:pPr>
        <w:pStyle w:val="ListParagraph"/>
        <w:numPr>
          <w:ilvl w:val="0"/>
          <w:numId w:val="54"/>
        </w:numPr>
        <w:spacing w:before="240"/>
      </w:pPr>
      <w:r>
        <w:t xml:space="preserve">recognise </w:t>
      </w:r>
      <w:r w:rsidR="00025797">
        <w:t>the</w:t>
      </w:r>
      <w:r w:rsidR="00413D5A">
        <w:t xml:space="preserve"> discounting of future value issue</w:t>
      </w:r>
      <w:r w:rsidR="00025797">
        <w:t xml:space="preserve"> when designing payment schedules</w:t>
      </w:r>
      <w:r w:rsidR="00413D5A">
        <w:t xml:space="preserve"> </w:t>
      </w:r>
    </w:p>
    <w:p w:rsidR="00413D5A" w:rsidRDefault="00FE6B12" w:rsidP="00D13E64">
      <w:pPr>
        <w:pStyle w:val="ListParagraph"/>
        <w:numPr>
          <w:ilvl w:val="0"/>
          <w:numId w:val="54"/>
        </w:numPr>
        <w:spacing w:before="240"/>
      </w:pPr>
      <w:r>
        <w:t xml:space="preserve">consider </w:t>
      </w:r>
      <w:r w:rsidR="00413D5A">
        <w:t>trials</w:t>
      </w:r>
      <w:r>
        <w:t xml:space="preserve"> (perhaps randomised)</w:t>
      </w:r>
      <w:r w:rsidR="00413D5A">
        <w:t xml:space="preserve"> to determine the </w:t>
      </w:r>
      <w:r w:rsidR="00F52AAA">
        <w:t xml:space="preserve">most effective </w:t>
      </w:r>
      <w:r w:rsidR="00413D5A">
        <w:t>payment schedule</w:t>
      </w:r>
      <w:r w:rsidR="00F52AAA">
        <w:t>s</w:t>
      </w:r>
      <w:r w:rsidR="00025797">
        <w:t xml:space="preserve"> for </w:t>
      </w:r>
      <w:r w:rsidR="003E5FAE">
        <w:t>particular job seeker groups</w:t>
      </w:r>
    </w:p>
    <w:p w:rsidR="00413D5A" w:rsidRDefault="00413D5A" w:rsidP="00D13E64">
      <w:pPr>
        <w:pStyle w:val="ListParagraph"/>
        <w:numPr>
          <w:ilvl w:val="0"/>
          <w:numId w:val="54"/>
        </w:numPr>
        <w:spacing w:before="240"/>
      </w:pPr>
      <w:r>
        <w:t xml:space="preserve">target </w:t>
      </w:r>
      <w:r w:rsidR="00FE6B12">
        <w:t xml:space="preserve">financial incentives to </w:t>
      </w:r>
      <w:r>
        <w:t>people with low motivation to seek employment and</w:t>
      </w:r>
      <w:r w:rsidR="00FE6B12">
        <w:t>/or</w:t>
      </w:r>
      <w:r>
        <w:t xml:space="preserve"> </w:t>
      </w:r>
      <w:r w:rsidR="00FE6B12">
        <w:t xml:space="preserve">who are </w:t>
      </w:r>
      <w:r>
        <w:t>at risk of churning back to income support</w:t>
      </w:r>
    </w:p>
    <w:p w:rsidR="00413D5A" w:rsidRDefault="00736FEC" w:rsidP="00D13E64">
      <w:pPr>
        <w:pStyle w:val="ListParagraph"/>
        <w:numPr>
          <w:ilvl w:val="0"/>
          <w:numId w:val="54"/>
        </w:numPr>
        <w:spacing w:before="240"/>
      </w:pPr>
      <w:r>
        <w:lastRenderedPageBreak/>
        <w:t xml:space="preserve">address </w:t>
      </w:r>
      <w:r w:rsidR="003E5FAE">
        <w:t xml:space="preserve">issues of </w:t>
      </w:r>
      <w:r>
        <w:t xml:space="preserve">self-efficacy </w:t>
      </w:r>
      <w:r w:rsidR="009414F7">
        <w:t>by p</w:t>
      </w:r>
      <w:r>
        <w:t>rovid</w:t>
      </w:r>
      <w:r w:rsidR="009414F7">
        <w:t>ing</w:t>
      </w:r>
      <w:r>
        <w:t xml:space="preserve"> assistance in overcoming barriers and building self-confidence within the program or through other employment service programs </w:t>
      </w:r>
      <w:r w:rsidR="00413D5A">
        <w:t xml:space="preserve">(e.g. jobactive) </w:t>
      </w:r>
      <w:r>
        <w:t xml:space="preserve">that </w:t>
      </w:r>
      <w:r w:rsidR="00602B02">
        <w:t>work in conjunction.</w:t>
      </w:r>
    </w:p>
    <w:p w:rsidR="00413D5A" w:rsidRPr="00B83C41" w:rsidRDefault="00413D5A" w:rsidP="004968D9">
      <w:pPr>
        <w:pStyle w:val="Heading3"/>
      </w:pPr>
      <w:r w:rsidRPr="00B83C41">
        <w:t>Communication</w:t>
      </w:r>
      <w:r w:rsidR="00B707FD">
        <w:t xml:space="preserve"> </w:t>
      </w:r>
      <w:r w:rsidR="00F52AAA">
        <w:t>should</w:t>
      </w:r>
      <w:r w:rsidR="00B707FD">
        <w:t>:</w:t>
      </w:r>
    </w:p>
    <w:p w:rsidR="00736FEC" w:rsidRDefault="00B707FD" w:rsidP="00E3205B">
      <w:pPr>
        <w:pStyle w:val="ListParagraph"/>
        <w:numPr>
          <w:ilvl w:val="0"/>
          <w:numId w:val="94"/>
        </w:numPr>
      </w:pPr>
      <w:r>
        <w:t>involve</w:t>
      </w:r>
      <w:r w:rsidR="00413D5A">
        <w:t xml:space="preserve"> sufficient dedicated resources for a strong, well-designed communication campaign</w:t>
      </w:r>
    </w:p>
    <w:p w:rsidR="00736FEC" w:rsidRDefault="00413D5A" w:rsidP="00E3205B">
      <w:pPr>
        <w:pStyle w:val="ListParagraph"/>
        <w:numPr>
          <w:ilvl w:val="0"/>
          <w:numId w:val="94"/>
        </w:numPr>
      </w:pPr>
      <w:r>
        <w:t>ensure high levels of awareness and a good understanding of eligibility requirements</w:t>
      </w:r>
      <w:r w:rsidR="00FE6B12" w:rsidRPr="00FE6B12">
        <w:t xml:space="preserve"> </w:t>
      </w:r>
      <w:r w:rsidR="00FE6B12">
        <w:t>in the target group</w:t>
      </w:r>
    </w:p>
    <w:p w:rsidR="00413D5A" w:rsidRDefault="00413D5A" w:rsidP="00E3205B">
      <w:pPr>
        <w:pStyle w:val="ListParagraph"/>
        <w:numPr>
          <w:ilvl w:val="0"/>
          <w:numId w:val="94"/>
        </w:numPr>
      </w:pPr>
      <w:r>
        <w:t xml:space="preserve">encourage take-up </w:t>
      </w:r>
      <w:r w:rsidR="009414F7">
        <w:t>by</w:t>
      </w:r>
      <w:r>
        <w:t>:</w:t>
      </w:r>
    </w:p>
    <w:p w:rsidR="00413D5A" w:rsidRDefault="009414F7" w:rsidP="00D13E64">
      <w:pPr>
        <w:pStyle w:val="ListParagraph"/>
        <w:numPr>
          <w:ilvl w:val="1"/>
          <w:numId w:val="54"/>
        </w:numPr>
        <w:spacing w:before="240"/>
        <w:rPr>
          <w:color w:val="000000" w:themeColor="text1"/>
        </w:rPr>
      </w:pPr>
      <w:r>
        <w:rPr>
          <w:color w:val="000000" w:themeColor="text1"/>
        </w:rPr>
        <w:t xml:space="preserve">including </w:t>
      </w:r>
      <w:r w:rsidR="00413D5A">
        <w:rPr>
          <w:color w:val="000000" w:themeColor="text1"/>
        </w:rPr>
        <w:t>promotion</w:t>
      </w:r>
      <w:r w:rsidR="00413D5A" w:rsidRPr="00FD3DC8">
        <w:rPr>
          <w:color w:val="000000" w:themeColor="text1"/>
        </w:rPr>
        <w:t xml:space="preserve"> early and often during the program</w:t>
      </w:r>
    </w:p>
    <w:p w:rsidR="00413D5A" w:rsidRPr="00FD3DC8" w:rsidRDefault="00413D5A" w:rsidP="00D13E64">
      <w:pPr>
        <w:pStyle w:val="ListParagraph"/>
        <w:numPr>
          <w:ilvl w:val="1"/>
          <w:numId w:val="54"/>
        </w:numPr>
        <w:spacing w:before="240"/>
        <w:rPr>
          <w:color w:val="000000" w:themeColor="text1"/>
        </w:rPr>
      </w:pPr>
      <w:r>
        <w:rPr>
          <w:color w:val="000000" w:themeColor="text1"/>
        </w:rPr>
        <w:t xml:space="preserve">clearly </w:t>
      </w:r>
      <w:r w:rsidR="003E5FAE">
        <w:rPr>
          <w:color w:val="000000" w:themeColor="text1"/>
        </w:rPr>
        <w:t xml:space="preserve">identifying all </w:t>
      </w:r>
      <w:r>
        <w:rPr>
          <w:color w:val="000000" w:themeColor="text1"/>
        </w:rPr>
        <w:t>key stakeholders</w:t>
      </w:r>
    </w:p>
    <w:p w:rsidR="00413D5A" w:rsidRPr="00FD3DC8" w:rsidRDefault="00413D5A" w:rsidP="00D13E64">
      <w:pPr>
        <w:pStyle w:val="ListParagraph"/>
        <w:numPr>
          <w:ilvl w:val="1"/>
          <w:numId w:val="54"/>
        </w:numPr>
        <w:spacing w:before="240"/>
        <w:rPr>
          <w:color w:val="000000" w:themeColor="text1"/>
        </w:rPr>
      </w:pPr>
      <w:r w:rsidRPr="00FD3DC8">
        <w:rPr>
          <w:color w:val="000000" w:themeColor="text1"/>
        </w:rPr>
        <w:t>contact</w:t>
      </w:r>
      <w:r w:rsidR="009414F7">
        <w:rPr>
          <w:color w:val="000000" w:themeColor="text1"/>
        </w:rPr>
        <w:t>ing</w:t>
      </w:r>
      <w:r w:rsidRPr="00FD3DC8">
        <w:rPr>
          <w:color w:val="000000" w:themeColor="text1"/>
        </w:rPr>
        <w:t xml:space="preserve"> </w:t>
      </w:r>
      <w:r>
        <w:rPr>
          <w:color w:val="000000" w:themeColor="text1"/>
        </w:rPr>
        <w:t>people</w:t>
      </w:r>
      <w:r w:rsidRPr="00FD3DC8">
        <w:rPr>
          <w:color w:val="000000" w:themeColor="text1"/>
        </w:rPr>
        <w:t xml:space="preserve"> when they are ready to claim</w:t>
      </w:r>
      <w:r w:rsidR="004E31BA">
        <w:rPr>
          <w:rStyle w:val="FootnoteReference"/>
          <w:color w:val="000000" w:themeColor="text1"/>
        </w:rPr>
        <w:footnoteReference w:id="13"/>
      </w:r>
      <w:r w:rsidR="004E31BA">
        <w:rPr>
          <w:color w:val="000000" w:themeColor="text1"/>
        </w:rPr>
        <w:t xml:space="preserve"> </w:t>
      </w:r>
    </w:p>
    <w:p w:rsidR="00413D5A" w:rsidRPr="00FD3DC8" w:rsidRDefault="00413D5A" w:rsidP="00D13E64">
      <w:pPr>
        <w:pStyle w:val="ListParagraph"/>
        <w:numPr>
          <w:ilvl w:val="1"/>
          <w:numId w:val="54"/>
        </w:numPr>
        <w:spacing w:before="240"/>
        <w:rPr>
          <w:color w:val="000000" w:themeColor="text1"/>
        </w:rPr>
      </w:pPr>
      <w:r w:rsidRPr="00FD3DC8">
        <w:rPr>
          <w:color w:val="000000" w:themeColor="text1"/>
        </w:rPr>
        <w:t>not assum</w:t>
      </w:r>
      <w:r w:rsidR="009414F7">
        <w:rPr>
          <w:color w:val="000000" w:themeColor="text1"/>
        </w:rPr>
        <w:t>ing</w:t>
      </w:r>
      <w:r w:rsidRPr="00FD3DC8">
        <w:rPr>
          <w:color w:val="000000" w:themeColor="text1"/>
        </w:rPr>
        <w:t xml:space="preserve"> that </w:t>
      </w:r>
      <w:r>
        <w:rPr>
          <w:color w:val="000000" w:themeColor="text1"/>
        </w:rPr>
        <w:t>people</w:t>
      </w:r>
      <w:r w:rsidRPr="00FD3DC8">
        <w:rPr>
          <w:color w:val="000000" w:themeColor="text1"/>
        </w:rPr>
        <w:t xml:space="preserve"> will remember eligibility requirements later</w:t>
      </w:r>
    </w:p>
    <w:p w:rsidR="00413D5A" w:rsidRDefault="009414F7" w:rsidP="00D13E64">
      <w:pPr>
        <w:pStyle w:val="ListParagraph"/>
        <w:numPr>
          <w:ilvl w:val="1"/>
          <w:numId w:val="54"/>
        </w:numPr>
        <w:spacing w:before="240"/>
        <w:rPr>
          <w:color w:val="000000" w:themeColor="text1"/>
        </w:rPr>
      </w:pPr>
      <w:r w:rsidRPr="00FD3DC8">
        <w:rPr>
          <w:color w:val="000000" w:themeColor="text1"/>
        </w:rPr>
        <w:t>us</w:t>
      </w:r>
      <w:r>
        <w:rPr>
          <w:color w:val="000000" w:themeColor="text1"/>
        </w:rPr>
        <w:t xml:space="preserve">ing </w:t>
      </w:r>
      <w:r w:rsidR="00413D5A" w:rsidRPr="00FD3DC8">
        <w:rPr>
          <w:color w:val="000000" w:themeColor="text1"/>
        </w:rPr>
        <w:t>multifaceted marketing strategies</w:t>
      </w:r>
      <w:r w:rsidR="00413D5A">
        <w:rPr>
          <w:color w:val="000000" w:themeColor="text1"/>
        </w:rPr>
        <w:t xml:space="preserve"> including social media and word of mouth</w:t>
      </w:r>
    </w:p>
    <w:p w:rsidR="00413D5A" w:rsidRDefault="009414F7" w:rsidP="00D13E64">
      <w:pPr>
        <w:pStyle w:val="ListParagraph"/>
        <w:numPr>
          <w:ilvl w:val="1"/>
          <w:numId w:val="54"/>
        </w:numPr>
        <w:spacing w:before="240"/>
        <w:rPr>
          <w:color w:val="000000" w:themeColor="text1"/>
        </w:rPr>
      </w:pPr>
      <w:r>
        <w:rPr>
          <w:color w:val="000000" w:themeColor="text1"/>
        </w:rPr>
        <w:t xml:space="preserve">having </w:t>
      </w:r>
      <w:r w:rsidR="00413D5A">
        <w:rPr>
          <w:color w:val="000000" w:themeColor="text1"/>
        </w:rPr>
        <w:t>strategies to address known issues that will arise such as:</w:t>
      </w:r>
    </w:p>
    <w:p w:rsidR="00413D5A" w:rsidRDefault="00413D5A" w:rsidP="00D13E64">
      <w:pPr>
        <w:pStyle w:val="ListParagraph"/>
        <w:numPr>
          <w:ilvl w:val="2"/>
          <w:numId w:val="53"/>
        </w:numPr>
        <w:spacing w:before="240"/>
        <w:rPr>
          <w:color w:val="000000" w:themeColor="text1"/>
        </w:rPr>
      </w:pPr>
      <w:r>
        <w:rPr>
          <w:color w:val="000000" w:themeColor="text1"/>
        </w:rPr>
        <w:t>mistrust in government</w:t>
      </w:r>
    </w:p>
    <w:p w:rsidR="00413D5A" w:rsidRDefault="00413D5A" w:rsidP="00D13E64">
      <w:pPr>
        <w:pStyle w:val="ListParagraph"/>
        <w:numPr>
          <w:ilvl w:val="2"/>
          <w:numId w:val="53"/>
        </w:numPr>
        <w:spacing w:before="240"/>
        <w:rPr>
          <w:color w:val="000000" w:themeColor="text1"/>
        </w:rPr>
      </w:pPr>
      <w:r>
        <w:rPr>
          <w:color w:val="000000" w:themeColor="text1"/>
        </w:rPr>
        <w:t>people’s desire to disengage from the income support system</w:t>
      </w:r>
    </w:p>
    <w:p w:rsidR="00413D5A" w:rsidRDefault="0076493B" w:rsidP="00D13E64">
      <w:pPr>
        <w:pStyle w:val="ListParagraph"/>
        <w:numPr>
          <w:ilvl w:val="2"/>
          <w:numId w:val="53"/>
        </w:numPr>
        <w:spacing w:before="240"/>
        <w:rPr>
          <w:color w:val="000000" w:themeColor="text1"/>
        </w:rPr>
      </w:pPr>
      <w:r>
        <w:rPr>
          <w:color w:val="000000" w:themeColor="text1"/>
        </w:rPr>
        <w:t xml:space="preserve">difficulty in having </w:t>
      </w:r>
      <w:r w:rsidR="00413D5A">
        <w:rPr>
          <w:color w:val="000000" w:themeColor="text1"/>
        </w:rPr>
        <w:t>people update contact details</w:t>
      </w:r>
    </w:p>
    <w:p w:rsidR="00413D5A" w:rsidRPr="00FD3DC8" w:rsidRDefault="00256D69" w:rsidP="00D13E64">
      <w:pPr>
        <w:pStyle w:val="ListParagraph"/>
        <w:numPr>
          <w:ilvl w:val="2"/>
          <w:numId w:val="53"/>
        </w:numPr>
        <w:spacing w:before="240"/>
        <w:rPr>
          <w:color w:val="000000" w:themeColor="text1"/>
        </w:rPr>
      </w:pPr>
      <w:r>
        <w:rPr>
          <w:color w:val="000000" w:themeColor="text1"/>
        </w:rPr>
        <w:t xml:space="preserve">ensuring </w:t>
      </w:r>
      <w:r w:rsidR="00413D5A">
        <w:rPr>
          <w:color w:val="000000" w:themeColor="text1"/>
        </w:rPr>
        <w:t xml:space="preserve">as many </w:t>
      </w:r>
      <w:r>
        <w:rPr>
          <w:color w:val="000000" w:themeColor="text1"/>
        </w:rPr>
        <w:t xml:space="preserve">people </w:t>
      </w:r>
      <w:r w:rsidR="00413D5A">
        <w:rPr>
          <w:color w:val="000000" w:themeColor="text1"/>
        </w:rPr>
        <w:t>as possible are contacted in the most appropriate and effective manner (time and method).</w:t>
      </w:r>
    </w:p>
    <w:p w:rsidR="00413D5A" w:rsidRPr="00B83C41" w:rsidRDefault="00413D5A" w:rsidP="004968D9">
      <w:pPr>
        <w:pStyle w:val="Heading3"/>
      </w:pPr>
      <w:r>
        <w:t>Implementation</w:t>
      </w:r>
      <w:r w:rsidR="00B707FD">
        <w:t xml:space="preserve"> needs:</w:t>
      </w:r>
    </w:p>
    <w:p w:rsidR="00413D5A" w:rsidRDefault="00256D69" w:rsidP="00D13E64">
      <w:pPr>
        <w:pStyle w:val="ListParagraph"/>
        <w:numPr>
          <w:ilvl w:val="0"/>
          <w:numId w:val="46"/>
        </w:numPr>
        <w:spacing w:before="120"/>
      </w:pPr>
      <w:r>
        <w:t xml:space="preserve">strong </w:t>
      </w:r>
      <w:r w:rsidR="00413D5A">
        <w:t xml:space="preserve">communication and relationships between </w:t>
      </w:r>
      <w:r w:rsidR="00E00C9C">
        <w:t>d</w:t>
      </w:r>
      <w:r w:rsidR="00413D5A">
        <w:t>epartments</w:t>
      </w:r>
    </w:p>
    <w:p w:rsidR="00413D5A" w:rsidRDefault="00413D5A" w:rsidP="00D13E64">
      <w:pPr>
        <w:pStyle w:val="ListParagraph"/>
        <w:numPr>
          <w:ilvl w:val="0"/>
          <w:numId w:val="46"/>
        </w:numPr>
        <w:spacing w:before="120"/>
      </w:pPr>
      <w:r>
        <w:t>a clear understanding of roles and responsibilities</w:t>
      </w:r>
      <w:r w:rsidR="00256D69">
        <w:t xml:space="preserve"> between stakeholders</w:t>
      </w:r>
    </w:p>
    <w:p w:rsidR="00CD2925" w:rsidRDefault="00256D69" w:rsidP="00D13E64">
      <w:pPr>
        <w:pStyle w:val="ListParagraph"/>
        <w:numPr>
          <w:ilvl w:val="0"/>
          <w:numId w:val="46"/>
        </w:numPr>
        <w:spacing w:before="120"/>
      </w:pPr>
      <w:r>
        <w:t xml:space="preserve">adequate and timely </w:t>
      </w:r>
      <w:r w:rsidR="00413D5A">
        <w:t>staff training and development</w:t>
      </w:r>
    </w:p>
    <w:p w:rsidR="00CD2925" w:rsidRDefault="00413D5A" w:rsidP="00D13E64">
      <w:pPr>
        <w:pStyle w:val="ListParagraph"/>
        <w:numPr>
          <w:ilvl w:val="0"/>
          <w:numId w:val="46"/>
        </w:numPr>
        <w:spacing w:before="120"/>
      </w:pPr>
      <w:r w:rsidRPr="0043352E">
        <w:t xml:space="preserve">IT staff </w:t>
      </w:r>
      <w:r>
        <w:t>with appropriate</w:t>
      </w:r>
      <w:r w:rsidRPr="0043352E">
        <w:t xml:space="preserve"> expe</w:t>
      </w:r>
      <w:r>
        <w:t>rtise and</w:t>
      </w:r>
      <w:r w:rsidRPr="0043352E">
        <w:t xml:space="preserve"> knowledge</w:t>
      </w:r>
      <w:r w:rsidR="00CD763E">
        <w:t xml:space="preserve"> (as was the case for the JCB program)</w:t>
      </w:r>
      <w:r w:rsidR="00A00913">
        <w:t>.</w:t>
      </w:r>
    </w:p>
    <w:p w:rsidR="00851624" w:rsidRDefault="00851624" w:rsidP="00851624">
      <w:pPr>
        <w:pStyle w:val="Heading2"/>
      </w:pPr>
      <w:bookmarkStart w:id="60" w:name="_Toc507600227"/>
      <w:r>
        <w:t>Conclusion</w:t>
      </w:r>
      <w:bookmarkEnd w:id="60"/>
    </w:p>
    <w:p w:rsidR="00851624" w:rsidRDefault="00851624" w:rsidP="00851624">
      <w:pPr>
        <w:shd w:val="clear" w:color="auto" w:fill="FFFFFF" w:themeFill="background2"/>
        <w:rPr>
          <w:color w:val="000000" w:themeColor="text1"/>
        </w:rPr>
      </w:pPr>
      <w:r>
        <w:rPr>
          <w:color w:val="000000" w:themeColor="text1"/>
        </w:rPr>
        <w:t>Low awareness of the JCB program among the target group and other barriers to</w:t>
      </w:r>
      <w:r w:rsidR="00E93D9F">
        <w:rPr>
          <w:color w:val="000000" w:themeColor="text1"/>
        </w:rPr>
        <w:t xml:space="preserve"> take-up of the program explain</w:t>
      </w:r>
      <w:r>
        <w:rPr>
          <w:color w:val="000000" w:themeColor="text1"/>
        </w:rPr>
        <w:t xml:space="preserve"> the lower than expected claim rate, with around 22 per cent of potentially eligible people claiming the bonus. A more effective communication strategy and less complex program design might h</w:t>
      </w:r>
      <w:r w:rsidR="00602B02">
        <w:rPr>
          <w:color w:val="000000" w:themeColor="text1"/>
        </w:rPr>
        <w:t>ave resulted in higher take-up.</w:t>
      </w:r>
    </w:p>
    <w:p w:rsidR="00851624" w:rsidRDefault="00851624" w:rsidP="00851624">
      <w:pPr>
        <w:shd w:val="clear" w:color="auto" w:fill="FFFFFF" w:themeFill="background2"/>
        <w:rPr>
          <w:color w:val="000000" w:themeColor="text1"/>
        </w:rPr>
      </w:pPr>
      <w:r>
        <w:rPr>
          <w:color w:val="000000" w:themeColor="text1"/>
        </w:rPr>
        <w:t xml:space="preserve">The JCB sought to influence job seeker motivation to undertake job search and </w:t>
      </w:r>
      <w:r w:rsidR="00256D69">
        <w:rPr>
          <w:color w:val="000000" w:themeColor="text1"/>
        </w:rPr>
        <w:t xml:space="preserve">leave </w:t>
      </w:r>
      <w:r>
        <w:rPr>
          <w:color w:val="000000" w:themeColor="text1"/>
        </w:rPr>
        <w:t>income support</w:t>
      </w:r>
      <w:r w:rsidR="00E93D9F">
        <w:rPr>
          <w:color w:val="000000" w:themeColor="text1"/>
        </w:rPr>
        <w:t>. Such motivation</w:t>
      </w:r>
      <w:r>
        <w:rPr>
          <w:color w:val="000000" w:themeColor="text1"/>
        </w:rPr>
        <w:t xml:space="preserve"> was</w:t>
      </w:r>
      <w:r w:rsidR="00CF4E16">
        <w:rPr>
          <w:color w:val="000000" w:themeColor="text1"/>
        </w:rPr>
        <w:t xml:space="preserve"> </w:t>
      </w:r>
      <w:r>
        <w:rPr>
          <w:color w:val="000000" w:themeColor="text1"/>
        </w:rPr>
        <w:t>already</w:t>
      </w:r>
      <w:r w:rsidR="00E93D9F">
        <w:rPr>
          <w:color w:val="000000" w:themeColor="text1"/>
        </w:rPr>
        <w:t xml:space="preserve"> </w:t>
      </w:r>
      <w:r>
        <w:rPr>
          <w:color w:val="000000" w:themeColor="text1"/>
        </w:rPr>
        <w:t xml:space="preserve">high for most </w:t>
      </w:r>
      <w:r w:rsidR="00E93D9F">
        <w:rPr>
          <w:color w:val="000000" w:themeColor="text1"/>
        </w:rPr>
        <w:t>qualitative research</w:t>
      </w:r>
      <w:r w:rsidR="00256D69">
        <w:rPr>
          <w:color w:val="000000" w:themeColor="text1"/>
        </w:rPr>
        <w:t xml:space="preserve"> participants</w:t>
      </w:r>
      <w:r>
        <w:rPr>
          <w:color w:val="000000" w:themeColor="text1"/>
        </w:rPr>
        <w:t xml:space="preserve"> </w:t>
      </w:r>
      <w:r w:rsidR="00E93D9F">
        <w:rPr>
          <w:color w:val="000000" w:themeColor="text1"/>
        </w:rPr>
        <w:t>for this evaluation</w:t>
      </w:r>
      <w:r w:rsidR="00CD2925">
        <w:rPr>
          <w:color w:val="000000" w:themeColor="text1"/>
        </w:rPr>
        <w:t xml:space="preserve"> (many had already found jobs)</w:t>
      </w:r>
      <w:r w:rsidR="00E93D9F">
        <w:rPr>
          <w:color w:val="000000" w:themeColor="text1"/>
        </w:rPr>
        <w:t>. Quantitative analysis of administrative data finds n</w:t>
      </w:r>
      <w:r>
        <w:rPr>
          <w:color w:val="000000" w:themeColor="text1"/>
        </w:rPr>
        <w:t>o</w:t>
      </w:r>
      <w:r w:rsidR="00E93D9F">
        <w:rPr>
          <w:color w:val="000000" w:themeColor="text1"/>
        </w:rPr>
        <w:t xml:space="preserve"> </w:t>
      </w:r>
      <w:r w:rsidR="00E93D9F">
        <w:rPr>
          <w:color w:val="000000" w:themeColor="text1"/>
        </w:rPr>
        <w:lastRenderedPageBreak/>
        <w:t>evidence of</w:t>
      </w:r>
      <w:r>
        <w:rPr>
          <w:color w:val="000000" w:themeColor="text1"/>
        </w:rPr>
        <w:t xml:space="preserve"> impact </w:t>
      </w:r>
      <w:r w:rsidR="00A91090">
        <w:rPr>
          <w:color w:val="000000" w:themeColor="text1"/>
        </w:rPr>
        <w:t>of</w:t>
      </w:r>
      <w:r w:rsidR="003E5FAE">
        <w:rPr>
          <w:color w:val="000000" w:themeColor="text1"/>
        </w:rPr>
        <w:t xml:space="preserve"> the program on</w:t>
      </w:r>
      <w:r w:rsidR="00A91090">
        <w:rPr>
          <w:color w:val="000000" w:themeColor="text1"/>
        </w:rPr>
        <w:t xml:space="preserve"> </w:t>
      </w:r>
      <w:r>
        <w:rPr>
          <w:color w:val="000000" w:themeColor="text1"/>
        </w:rPr>
        <w:t xml:space="preserve">job search behaviour </w:t>
      </w:r>
      <w:r w:rsidR="00E93D9F">
        <w:rPr>
          <w:color w:val="000000" w:themeColor="text1"/>
        </w:rPr>
        <w:t>but some</w:t>
      </w:r>
      <w:r>
        <w:rPr>
          <w:color w:val="000000" w:themeColor="text1"/>
        </w:rPr>
        <w:t xml:space="preserve"> evidence of </w:t>
      </w:r>
      <w:r w:rsidR="00256D69">
        <w:rPr>
          <w:color w:val="000000" w:themeColor="text1"/>
        </w:rPr>
        <w:t xml:space="preserve">a </w:t>
      </w:r>
      <w:r w:rsidR="005A18B5">
        <w:rPr>
          <w:color w:val="000000" w:themeColor="text1"/>
        </w:rPr>
        <w:t xml:space="preserve">very small </w:t>
      </w:r>
      <w:r>
        <w:rPr>
          <w:color w:val="000000" w:themeColor="text1"/>
        </w:rPr>
        <w:t>impact on encouraging more sustainable income support exits.</w:t>
      </w:r>
    </w:p>
    <w:p w:rsidR="00624940" w:rsidRDefault="003E5FAE" w:rsidP="00C35BD3">
      <w:pPr>
        <w:shd w:val="clear" w:color="auto" w:fill="FFFFFF" w:themeFill="background2"/>
      </w:pPr>
      <w:r>
        <w:rPr>
          <w:color w:val="000000" w:themeColor="text1"/>
        </w:rPr>
        <w:t xml:space="preserve">When analysed in the context of the </w:t>
      </w:r>
      <w:r w:rsidR="00607E08" w:rsidRPr="006A1048">
        <w:rPr>
          <w:i/>
        </w:rPr>
        <w:t>Trans-theoretical</w:t>
      </w:r>
      <w:r w:rsidR="00607E08">
        <w:t xml:space="preserve"> </w:t>
      </w:r>
      <w:r w:rsidR="00607E08" w:rsidRPr="004968D9">
        <w:rPr>
          <w:i/>
        </w:rPr>
        <w:t xml:space="preserve">Stages of </w:t>
      </w:r>
      <w:r w:rsidR="00607E08">
        <w:rPr>
          <w:i/>
        </w:rPr>
        <w:t xml:space="preserve">Change </w:t>
      </w:r>
      <w:r w:rsidR="00607E08" w:rsidRPr="00DC38EA">
        <w:t>model</w:t>
      </w:r>
      <w:r>
        <w:rPr>
          <w:color w:val="000000" w:themeColor="text1"/>
        </w:rPr>
        <w:t>, it can be implied that a</w:t>
      </w:r>
      <w:r w:rsidR="00851624">
        <w:rPr>
          <w:color w:val="000000" w:themeColor="text1"/>
        </w:rPr>
        <w:t xml:space="preserve">ddressing job seekers’ </w:t>
      </w:r>
      <w:r w:rsidR="00851624">
        <w:t xml:space="preserve">barriers and confidence </w:t>
      </w:r>
      <w:r w:rsidR="00E93D9F">
        <w:t xml:space="preserve">would be more effective than targeting </w:t>
      </w:r>
      <w:r w:rsidR="00851624">
        <w:t>motivation levels</w:t>
      </w:r>
      <w:r>
        <w:t xml:space="preserve"> for these particular young people</w:t>
      </w:r>
      <w:r w:rsidR="00E93D9F">
        <w:t>. LTU young adult job seekers need assistance with</w:t>
      </w:r>
      <w:r w:rsidR="00851624">
        <w:t xml:space="preserve"> either removing </w:t>
      </w:r>
      <w:r w:rsidR="00E93D9F">
        <w:t>their barriers</w:t>
      </w:r>
      <w:r w:rsidR="00851624">
        <w:t xml:space="preserve"> or increasing </w:t>
      </w:r>
      <w:r w:rsidR="00E93D9F">
        <w:t xml:space="preserve">their </w:t>
      </w:r>
      <w:r w:rsidR="00851624">
        <w:t>con</w:t>
      </w:r>
      <w:r w:rsidR="00E93D9F">
        <w:t xml:space="preserve">fidence in their ability to </w:t>
      </w:r>
      <w:r w:rsidR="005A18B5">
        <w:t xml:space="preserve">remove the barriers </w:t>
      </w:r>
      <w:r w:rsidR="00E93D9F">
        <w:t>themselves</w:t>
      </w:r>
      <w:r w:rsidR="00851624">
        <w:t xml:space="preserve">. </w:t>
      </w:r>
      <w:r w:rsidR="00CF4E16">
        <w:t xml:space="preserve">Incentive </w:t>
      </w:r>
      <w:r w:rsidR="00851624">
        <w:t>programs</w:t>
      </w:r>
      <w:r w:rsidR="00CF4E16">
        <w:t>, such as JCB,</w:t>
      </w:r>
      <w:r w:rsidR="00851624">
        <w:t xml:space="preserve"> would be </w:t>
      </w:r>
      <w:r w:rsidR="00E93D9F">
        <w:t>more efficient and effective if</w:t>
      </w:r>
      <w:r w:rsidR="00851624">
        <w:t xml:space="preserve"> </w:t>
      </w:r>
      <w:r>
        <w:t xml:space="preserve">they could be </w:t>
      </w:r>
      <w:r w:rsidR="00851624">
        <w:t xml:space="preserve">targeted </w:t>
      </w:r>
      <w:r w:rsidR="005A18B5">
        <w:t xml:space="preserve">specifically </w:t>
      </w:r>
      <w:r w:rsidR="00CF4E16">
        <w:t xml:space="preserve">to </w:t>
      </w:r>
      <w:r w:rsidR="005A18B5">
        <w:t xml:space="preserve">job seekers </w:t>
      </w:r>
      <w:r w:rsidR="00851624">
        <w:t xml:space="preserve">with low motivation </w:t>
      </w:r>
      <w:r w:rsidR="00E93D9F">
        <w:t xml:space="preserve">to </w:t>
      </w:r>
      <w:r w:rsidR="00256D69">
        <w:t>work</w:t>
      </w:r>
      <w:r w:rsidR="00E93D9F">
        <w:t xml:space="preserve"> and</w:t>
      </w:r>
      <w:r w:rsidR="00256D69">
        <w:t>/or</w:t>
      </w:r>
      <w:r w:rsidR="00E93D9F">
        <w:t xml:space="preserve"> a </w:t>
      </w:r>
      <w:r w:rsidR="00851624">
        <w:t>greater risk of churning back on to income support.</w:t>
      </w:r>
      <w:r w:rsidR="00624940">
        <w:br w:type="page"/>
      </w:r>
    </w:p>
    <w:p w:rsidR="00DE692B" w:rsidRPr="003A4B00" w:rsidRDefault="00DE692B" w:rsidP="009A3D3B">
      <w:pPr>
        <w:pStyle w:val="Heading1"/>
      </w:pPr>
      <w:bookmarkStart w:id="61" w:name="_Toc473808810"/>
      <w:bookmarkStart w:id="62" w:name="_Toc478117540"/>
      <w:bookmarkStart w:id="63" w:name="_Toc507600228"/>
      <w:bookmarkEnd w:id="54"/>
      <w:r w:rsidRPr="003A4B00">
        <w:lastRenderedPageBreak/>
        <w:t>1</w:t>
      </w:r>
      <w:r w:rsidRPr="003A4B00">
        <w:tab/>
        <w:t>Introduction</w:t>
      </w:r>
      <w:bookmarkEnd w:id="61"/>
      <w:bookmarkEnd w:id="62"/>
      <w:bookmarkEnd w:id="63"/>
    </w:p>
    <w:p w:rsidR="005D0B45" w:rsidRPr="003A4B00" w:rsidRDefault="001B0E12" w:rsidP="0002584A">
      <w:pPr>
        <w:pStyle w:val="Heading2"/>
      </w:pPr>
      <w:bookmarkStart w:id="64" w:name="_Toc478117541"/>
      <w:bookmarkStart w:id="65" w:name="_Toc507600229"/>
      <w:r w:rsidRPr="003A4B00">
        <w:t>1</w:t>
      </w:r>
      <w:r w:rsidR="005D0B45" w:rsidRPr="003A4B00">
        <w:t>.1</w:t>
      </w:r>
      <w:r w:rsidR="005D0B45" w:rsidRPr="003A4B00">
        <w:tab/>
      </w:r>
      <w:r w:rsidR="008D0CA6">
        <w:t>The J</w:t>
      </w:r>
      <w:r w:rsidR="009256C9">
        <w:t xml:space="preserve">ob </w:t>
      </w:r>
      <w:r w:rsidR="008D0CA6">
        <w:t>C</w:t>
      </w:r>
      <w:r w:rsidR="009256C9">
        <w:t xml:space="preserve">ommitment </w:t>
      </w:r>
      <w:r w:rsidR="008D0CA6">
        <w:t>B</w:t>
      </w:r>
      <w:r w:rsidR="009256C9">
        <w:t>onus for Young Australians</w:t>
      </w:r>
      <w:r w:rsidR="008D0CA6">
        <w:t xml:space="preserve"> program</w:t>
      </w:r>
      <w:bookmarkEnd w:id="64"/>
      <w:bookmarkEnd w:id="65"/>
    </w:p>
    <w:p w:rsidR="00E04541" w:rsidRPr="003A4B00" w:rsidRDefault="00E04541" w:rsidP="00E04541">
      <w:pPr>
        <w:rPr>
          <w:rFonts w:cstheme="minorHAnsi"/>
        </w:rPr>
      </w:pPr>
      <w:r w:rsidRPr="003A4B00">
        <w:t>The Job Commitment Bonus for Young Australians</w:t>
      </w:r>
      <w:r w:rsidR="00010B90">
        <w:t xml:space="preserve"> (JCB)</w:t>
      </w:r>
      <w:r w:rsidRPr="003A4B00">
        <w:t xml:space="preserve"> </w:t>
      </w:r>
      <w:r w:rsidR="003F1B24">
        <w:t xml:space="preserve">was </w:t>
      </w:r>
      <w:r>
        <w:t xml:space="preserve">a </w:t>
      </w:r>
      <w:r w:rsidRPr="003A4B00">
        <w:t>demand driven, uncapped</w:t>
      </w:r>
      <w:r>
        <w:t xml:space="preserve"> program that </w:t>
      </w:r>
      <w:r w:rsidR="003F1B24">
        <w:t xml:space="preserve">offered </w:t>
      </w:r>
      <w:r>
        <w:t xml:space="preserve">an incentive payment to </w:t>
      </w:r>
      <w:r w:rsidR="00565043">
        <w:t>people</w:t>
      </w:r>
      <w:r>
        <w:t xml:space="preserve"> </w:t>
      </w:r>
      <w:r w:rsidRPr="003A4B00">
        <w:t xml:space="preserve">aged 18 to </w:t>
      </w:r>
      <w:r w:rsidR="00E82435">
        <w:t xml:space="preserve">less than 31 </w:t>
      </w:r>
      <w:r w:rsidR="003F1B24">
        <w:t xml:space="preserve">years </w:t>
      </w:r>
      <w:r w:rsidR="00E82435">
        <w:t>who had been</w:t>
      </w:r>
      <w:r w:rsidRPr="003A4B00">
        <w:t xml:space="preserve"> </w:t>
      </w:r>
      <w:r>
        <w:t xml:space="preserve">on </w:t>
      </w:r>
      <w:r w:rsidRPr="003A4B00">
        <w:t>Newstart</w:t>
      </w:r>
      <w:r w:rsidR="00FF18B8">
        <w:t xml:space="preserve"> Allowance (NSA)</w:t>
      </w:r>
      <w:r w:rsidR="00010B90">
        <w:t xml:space="preserve"> </w:t>
      </w:r>
      <w:r w:rsidR="009261B8">
        <w:t>or</w:t>
      </w:r>
      <w:r w:rsidRPr="003A4B00">
        <w:t xml:space="preserve"> Youth Allowance (</w:t>
      </w:r>
      <w:r>
        <w:t>O</w:t>
      </w:r>
      <w:r w:rsidR="00BE02B4">
        <w:t>ther</w:t>
      </w:r>
      <w:r w:rsidRPr="003A4B00">
        <w:t>)</w:t>
      </w:r>
      <w:r w:rsidR="00FF18B8">
        <w:t xml:space="preserve"> (YA(O)</w:t>
      </w:r>
      <w:r w:rsidR="00CD763E">
        <w:rPr>
          <w:rStyle w:val="FootnoteReference"/>
        </w:rPr>
        <w:footnoteReference w:id="14"/>
      </w:r>
      <w:r w:rsidR="00FF18B8">
        <w:t>)</w:t>
      </w:r>
      <w:r w:rsidR="009261B8">
        <w:t>,</w:t>
      </w:r>
      <w:r w:rsidRPr="003A4B00">
        <w:t xml:space="preserve"> or a combination of both for </w:t>
      </w:r>
      <w:r w:rsidR="00010B90">
        <w:t xml:space="preserve">a period of </w:t>
      </w:r>
      <w:r w:rsidRPr="003A4B00">
        <w:t>12 months or more</w:t>
      </w:r>
      <w:r>
        <w:t xml:space="preserve">. To be eligible to claim the </w:t>
      </w:r>
      <w:r w:rsidR="00B51C2B">
        <w:t xml:space="preserve">first </w:t>
      </w:r>
      <w:r>
        <w:t xml:space="preserve">bonus of $2500, </w:t>
      </w:r>
      <w:r w:rsidR="009261B8">
        <w:t>recipients</w:t>
      </w:r>
      <w:r>
        <w:t xml:space="preserve"> </w:t>
      </w:r>
      <w:r w:rsidR="003F1B24">
        <w:t xml:space="preserve">had to </w:t>
      </w:r>
      <w:r>
        <w:t>find and keep a job, and remain completely off welfare for a continuous period of 12 months.</w:t>
      </w:r>
      <w:r w:rsidRPr="003A4B00">
        <w:rPr>
          <w:rStyle w:val="FootnoteReference"/>
        </w:rPr>
        <w:footnoteReference w:id="15"/>
      </w:r>
      <w:r>
        <w:t xml:space="preserve"> A further</w:t>
      </w:r>
      <w:r w:rsidR="00AC133B">
        <w:t xml:space="preserve"> </w:t>
      </w:r>
      <w:r>
        <w:t xml:space="preserve">$4000 </w:t>
      </w:r>
      <w:r w:rsidR="003F1B24">
        <w:t>wa</w:t>
      </w:r>
      <w:r>
        <w:t xml:space="preserve">s available </w:t>
      </w:r>
      <w:r w:rsidR="00010B90">
        <w:t>to those</w:t>
      </w:r>
      <w:r>
        <w:t xml:space="preserve"> who </w:t>
      </w:r>
      <w:r w:rsidR="00AF798F">
        <w:t xml:space="preserve">remained </w:t>
      </w:r>
      <w:r w:rsidR="00010B90">
        <w:t xml:space="preserve">employed and </w:t>
      </w:r>
      <w:r w:rsidR="00AF798F">
        <w:t>off income support for</w:t>
      </w:r>
      <w:r w:rsidR="00010B90">
        <w:t xml:space="preserve"> a further </w:t>
      </w:r>
      <w:r w:rsidR="00EA79DF">
        <w:t>12 </w:t>
      </w:r>
      <w:r w:rsidR="00010B90">
        <w:t>months (</w:t>
      </w:r>
      <w:r>
        <w:t>24</w:t>
      </w:r>
      <w:r w:rsidR="00E82435">
        <w:t xml:space="preserve"> </w:t>
      </w:r>
      <w:r>
        <w:t>month</w:t>
      </w:r>
      <w:r w:rsidR="002201D7">
        <w:t>s</w:t>
      </w:r>
      <w:r w:rsidR="00010B90">
        <w:t xml:space="preserve"> in total</w:t>
      </w:r>
      <w:r w:rsidR="009261B8">
        <w:t>)</w:t>
      </w:r>
      <w:r>
        <w:t>.</w:t>
      </w:r>
      <w:r w:rsidRPr="00942AE1">
        <w:rPr>
          <w:rStyle w:val="FootnoteReference"/>
          <w:rFonts w:ascii="Verdana" w:hAnsi="Verdana"/>
          <w:color w:val="444444"/>
        </w:rPr>
        <w:footnoteReference w:id="16"/>
      </w:r>
    </w:p>
    <w:p w:rsidR="003E0984" w:rsidRDefault="003E0984" w:rsidP="003E0984">
      <w:pPr>
        <w:rPr>
          <w:rFonts w:cstheme="minorHAnsi"/>
        </w:rPr>
      </w:pPr>
      <w:r w:rsidRPr="003A4B00">
        <w:t>Th</w:t>
      </w:r>
      <w:r w:rsidR="00DE557F" w:rsidRPr="003A4B00">
        <w:t xml:space="preserve">e </w:t>
      </w:r>
      <w:r w:rsidR="008F03BF">
        <w:t>JCB</w:t>
      </w:r>
      <w:r w:rsidRPr="003A4B00">
        <w:t xml:space="preserve"> </w:t>
      </w:r>
      <w:r w:rsidR="00DC145A">
        <w:t xml:space="preserve">aimed </w:t>
      </w:r>
      <w:r w:rsidRPr="003A4B00">
        <w:t>to boost participation</w:t>
      </w:r>
      <w:r w:rsidR="00AC133B">
        <w:t xml:space="preserve"> in the workforce</w:t>
      </w:r>
      <w:r w:rsidR="00262A11">
        <w:t xml:space="preserve">. </w:t>
      </w:r>
      <w:r w:rsidRPr="003A4B00">
        <w:rPr>
          <w:rFonts w:cstheme="minorHAnsi"/>
        </w:rPr>
        <w:t xml:space="preserve">The main objective of the </w:t>
      </w:r>
      <w:r w:rsidR="00DC145A">
        <w:rPr>
          <w:rFonts w:cstheme="minorHAnsi"/>
        </w:rPr>
        <w:t>JCB</w:t>
      </w:r>
      <w:r w:rsidR="00DC145A" w:rsidRPr="003A4B00">
        <w:rPr>
          <w:rFonts w:cstheme="minorHAnsi"/>
        </w:rPr>
        <w:t xml:space="preserve"> </w:t>
      </w:r>
      <w:r w:rsidR="003F1B24">
        <w:rPr>
          <w:rFonts w:cstheme="minorHAnsi"/>
        </w:rPr>
        <w:t>wa</w:t>
      </w:r>
      <w:r w:rsidRPr="003A4B00">
        <w:rPr>
          <w:rFonts w:cstheme="minorHAnsi"/>
        </w:rPr>
        <w:t xml:space="preserve">s to encourage </w:t>
      </w:r>
      <w:r w:rsidR="00060E0B">
        <w:rPr>
          <w:rFonts w:cstheme="minorHAnsi"/>
        </w:rPr>
        <w:t xml:space="preserve">young </w:t>
      </w:r>
      <w:r w:rsidRPr="003A4B00">
        <w:rPr>
          <w:rFonts w:cstheme="minorHAnsi"/>
        </w:rPr>
        <w:t>long</w:t>
      </w:r>
      <w:r w:rsidR="00E04541">
        <w:rPr>
          <w:rFonts w:cstheme="minorHAnsi"/>
        </w:rPr>
        <w:t>-</w:t>
      </w:r>
      <w:r w:rsidRPr="003A4B00">
        <w:rPr>
          <w:rFonts w:cstheme="minorHAnsi"/>
        </w:rPr>
        <w:t xml:space="preserve">term unemployed job seekers </w:t>
      </w:r>
      <w:r w:rsidR="007E2227" w:rsidRPr="003A4B00">
        <w:rPr>
          <w:rFonts w:cstheme="minorHAnsi"/>
        </w:rPr>
        <w:t xml:space="preserve">off welfare </w:t>
      </w:r>
      <w:r w:rsidR="007E2227">
        <w:rPr>
          <w:rFonts w:cstheme="minorHAnsi"/>
        </w:rPr>
        <w:t xml:space="preserve">and </w:t>
      </w:r>
      <w:r w:rsidRPr="003A4B00">
        <w:rPr>
          <w:rFonts w:cstheme="minorHAnsi"/>
        </w:rPr>
        <w:t xml:space="preserve">into sustainable </w:t>
      </w:r>
      <w:r w:rsidR="007E2227">
        <w:rPr>
          <w:rFonts w:cstheme="minorHAnsi"/>
        </w:rPr>
        <w:t>employment</w:t>
      </w:r>
      <w:r w:rsidRPr="003A4B00">
        <w:rPr>
          <w:rFonts w:cstheme="minorHAnsi"/>
        </w:rPr>
        <w:t>.</w:t>
      </w:r>
    </w:p>
    <w:p w:rsidR="00E30934" w:rsidRPr="006561A8" w:rsidRDefault="00AF798F" w:rsidP="0020633D">
      <w:r>
        <w:rPr>
          <w:rFonts w:cstheme="minorHAnsi"/>
        </w:rPr>
        <w:t>T</w:t>
      </w:r>
      <w:r w:rsidRPr="003A4B00">
        <w:rPr>
          <w:rFonts w:cstheme="minorHAnsi"/>
        </w:rPr>
        <w:t xml:space="preserve">he </w:t>
      </w:r>
      <w:r w:rsidR="00F07FBC" w:rsidRPr="003A4B00">
        <w:rPr>
          <w:rFonts w:cstheme="minorHAnsi"/>
        </w:rPr>
        <w:t xml:space="preserve">JCB </w:t>
      </w:r>
      <w:r w:rsidR="00BE4984">
        <w:rPr>
          <w:rFonts w:cstheme="minorHAnsi"/>
        </w:rPr>
        <w:t xml:space="preserve">operated for </w:t>
      </w:r>
      <w:r w:rsidR="009261B8">
        <w:rPr>
          <w:rFonts w:cstheme="minorHAnsi"/>
        </w:rPr>
        <w:t>two and a half</w:t>
      </w:r>
      <w:r w:rsidR="00BE4984">
        <w:rPr>
          <w:rFonts w:cstheme="minorHAnsi"/>
        </w:rPr>
        <w:t xml:space="preserve"> years</w:t>
      </w:r>
      <w:r>
        <w:rPr>
          <w:rFonts w:cstheme="minorHAnsi"/>
        </w:rPr>
        <w:t xml:space="preserve"> between 1 July 2014 and 31 December 2016</w:t>
      </w:r>
      <w:r w:rsidR="004062A6">
        <w:rPr>
          <w:rFonts w:cstheme="minorHAnsi"/>
        </w:rPr>
        <w:t xml:space="preserve">, with </w:t>
      </w:r>
      <w:r w:rsidR="00F24485">
        <w:rPr>
          <w:rFonts w:cstheme="minorHAnsi"/>
        </w:rPr>
        <w:t xml:space="preserve">bonus </w:t>
      </w:r>
      <w:r w:rsidR="004062A6">
        <w:rPr>
          <w:rFonts w:cstheme="minorHAnsi"/>
        </w:rPr>
        <w:t xml:space="preserve">claims submitted </w:t>
      </w:r>
      <w:r w:rsidR="00FC348E">
        <w:rPr>
          <w:rFonts w:cstheme="minorHAnsi"/>
        </w:rPr>
        <w:t>between July 2015 and March 2017</w:t>
      </w:r>
      <w:r w:rsidR="00BE4984">
        <w:rPr>
          <w:rFonts w:cstheme="minorHAnsi"/>
        </w:rPr>
        <w:t>.</w:t>
      </w:r>
      <w:r w:rsidR="00FC348E">
        <w:rPr>
          <w:rStyle w:val="FootnoteReference"/>
          <w:rFonts w:cstheme="minorHAnsi"/>
        </w:rPr>
        <w:footnoteReference w:id="17"/>
      </w:r>
      <w:r w:rsidR="00BE4984">
        <w:rPr>
          <w:rFonts w:cstheme="minorHAnsi"/>
        </w:rPr>
        <w:t xml:space="preserve"> </w:t>
      </w:r>
      <w:r w:rsidR="00245589">
        <w:rPr>
          <w:rFonts w:cstheme="minorHAnsi"/>
        </w:rPr>
        <w:t xml:space="preserve">The </w:t>
      </w:r>
      <w:r w:rsidR="00245589" w:rsidRPr="003A4B00">
        <w:t>Department of Employment</w:t>
      </w:r>
      <w:r w:rsidR="00245589">
        <w:t xml:space="preserve"> (DoE)</w:t>
      </w:r>
      <w:r w:rsidR="004B7208">
        <w:rPr>
          <w:rStyle w:val="FootnoteReference"/>
        </w:rPr>
        <w:footnoteReference w:id="18"/>
      </w:r>
      <w:r w:rsidR="00245589">
        <w:t xml:space="preserve"> </w:t>
      </w:r>
      <w:r w:rsidR="00CB5E2C">
        <w:t xml:space="preserve">had the lead role in policy design, development and legislation, and </w:t>
      </w:r>
      <w:r w:rsidR="004062A6">
        <w:t>was</w:t>
      </w:r>
      <w:r w:rsidR="004062A6" w:rsidRPr="003A4B00">
        <w:t xml:space="preserve"> responsibl</w:t>
      </w:r>
      <w:r w:rsidR="004062A6">
        <w:t>e</w:t>
      </w:r>
      <w:r w:rsidR="004062A6" w:rsidRPr="003A4B00">
        <w:t xml:space="preserve"> for </w:t>
      </w:r>
      <w:r w:rsidR="004062A6">
        <w:t xml:space="preserve">monitoring and </w:t>
      </w:r>
      <w:r w:rsidR="004062A6" w:rsidRPr="003A4B00">
        <w:t>evaluat</w:t>
      </w:r>
      <w:r w:rsidR="004062A6">
        <w:t>ion</w:t>
      </w:r>
      <w:r w:rsidR="004062A6" w:rsidRPr="003A4B00">
        <w:t xml:space="preserve">, while </w:t>
      </w:r>
      <w:r w:rsidR="00245589">
        <w:t>the Department of Human Services (</w:t>
      </w:r>
      <w:r w:rsidR="00245589" w:rsidRPr="003A4B00">
        <w:t>DHS</w:t>
      </w:r>
      <w:r w:rsidR="00245589">
        <w:t>)</w:t>
      </w:r>
      <w:r w:rsidR="00245589" w:rsidRPr="003A4B00">
        <w:t xml:space="preserve"> </w:t>
      </w:r>
      <w:r w:rsidR="004062A6">
        <w:t>was</w:t>
      </w:r>
      <w:r w:rsidR="004062A6" w:rsidRPr="003A4B00">
        <w:t xml:space="preserve"> responsib</w:t>
      </w:r>
      <w:r w:rsidR="004062A6">
        <w:t>le</w:t>
      </w:r>
      <w:r w:rsidR="004062A6" w:rsidRPr="003A4B00">
        <w:t xml:space="preserve"> for program delivery.</w:t>
      </w:r>
      <w:r w:rsidR="004062A6">
        <w:t xml:space="preserve"> </w:t>
      </w:r>
      <w:r w:rsidR="00AC133B">
        <w:rPr>
          <w:rFonts w:cstheme="minorHAnsi"/>
        </w:rPr>
        <w:t>T</w:t>
      </w:r>
      <w:r w:rsidR="007E2227">
        <w:t>he</w:t>
      </w:r>
      <w:r w:rsidR="004062A6">
        <w:t xml:space="preserve"> initial</w:t>
      </w:r>
      <w:r w:rsidR="00D05E8A" w:rsidRPr="003A4B00">
        <w:t xml:space="preserve"> </w:t>
      </w:r>
      <w:r w:rsidR="00A846DF" w:rsidRPr="003A4B00">
        <w:t xml:space="preserve">allocated </w:t>
      </w:r>
      <w:r>
        <w:t xml:space="preserve">funding </w:t>
      </w:r>
      <w:r w:rsidR="00A846DF" w:rsidRPr="003A4B00">
        <w:t xml:space="preserve">over five years to </w:t>
      </w:r>
      <w:r w:rsidR="00245589">
        <w:t>DHS</w:t>
      </w:r>
      <w:r w:rsidR="00A846DF" w:rsidRPr="003A4B00">
        <w:t xml:space="preserve"> </w:t>
      </w:r>
      <w:r w:rsidR="00245589">
        <w:t>and</w:t>
      </w:r>
      <w:r w:rsidR="00A846DF" w:rsidRPr="003A4B00">
        <w:t xml:space="preserve"> </w:t>
      </w:r>
      <w:r w:rsidR="00AD38A1">
        <w:t>DoE</w:t>
      </w:r>
      <w:r w:rsidR="00E04541">
        <w:t xml:space="preserve"> was</w:t>
      </w:r>
      <w:r w:rsidR="00E04541" w:rsidRPr="003A4B00">
        <w:t xml:space="preserve"> $157.1 million</w:t>
      </w:r>
      <w:r w:rsidR="00602B02">
        <w:t>.</w:t>
      </w:r>
      <w:r w:rsidR="006561A8">
        <w:t xml:space="preserve"> </w:t>
      </w:r>
      <w:r w:rsidR="00E30934" w:rsidRPr="006561A8">
        <w:t xml:space="preserve">However, actual program expenditure was much lower </w:t>
      </w:r>
      <w:r w:rsidR="00FC348E" w:rsidRPr="006561A8">
        <w:t xml:space="preserve">than originally allocated </w:t>
      </w:r>
      <w:r w:rsidR="00E30934" w:rsidRPr="006561A8">
        <w:t>due to low take</w:t>
      </w:r>
      <w:r w:rsidR="00E30934" w:rsidRPr="006561A8">
        <w:rPr>
          <w:b/>
        </w:rPr>
        <w:t>-</w:t>
      </w:r>
      <w:r w:rsidR="00E30934" w:rsidRPr="006561A8">
        <w:t xml:space="preserve">up and the program’s early cessation. </w:t>
      </w:r>
    </w:p>
    <w:p w:rsidR="00B7294F" w:rsidRPr="006561A8" w:rsidRDefault="00AC133B" w:rsidP="0020633D">
      <w:pPr>
        <w:rPr>
          <w:rFonts w:cstheme="minorHAnsi"/>
        </w:rPr>
      </w:pPr>
      <w:r w:rsidRPr="006561A8">
        <w:t>JCB was available to eligible j</w:t>
      </w:r>
      <w:r w:rsidR="00F40D8F" w:rsidRPr="006561A8">
        <w:t>ob seekers</w:t>
      </w:r>
      <w:r w:rsidR="00074528" w:rsidRPr="006561A8">
        <w:t xml:space="preserve"> assisted under </w:t>
      </w:r>
      <w:r w:rsidRPr="006561A8">
        <w:t xml:space="preserve">jobactive, its predecessor </w:t>
      </w:r>
      <w:r w:rsidR="00074528" w:rsidRPr="006561A8">
        <w:t>J</w:t>
      </w:r>
      <w:r w:rsidR="00B7294F" w:rsidRPr="006561A8">
        <w:t xml:space="preserve">ob </w:t>
      </w:r>
      <w:r w:rsidR="00074528" w:rsidRPr="006561A8">
        <w:t>S</w:t>
      </w:r>
      <w:r w:rsidR="00B7294F" w:rsidRPr="006561A8">
        <w:t xml:space="preserve">ervices </w:t>
      </w:r>
      <w:r w:rsidR="00074528" w:rsidRPr="006561A8">
        <w:t>A</w:t>
      </w:r>
      <w:r w:rsidR="00B7294F" w:rsidRPr="006561A8">
        <w:t>ustralia (JSA)</w:t>
      </w:r>
      <w:r w:rsidRPr="006561A8">
        <w:t xml:space="preserve"> (</w:t>
      </w:r>
      <w:r w:rsidR="00D84750" w:rsidRPr="006561A8">
        <w:t>un</w:t>
      </w:r>
      <w:r w:rsidRPr="006561A8">
        <w:t>til 30 June 2015)</w:t>
      </w:r>
      <w:r w:rsidR="00B7294F" w:rsidRPr="006561A8">
        <w:t>,</w:t>
      </w:r>
      <w:r w:rsidR="00074528" w:rsidRPr="006561A8">
        <w:t xml:space="preserve"> D</w:t>
      </w:r>
      <w:r w:rsidR="00B7294F" w:rsidRPr="006561A8">
        <w:t>isability Employment Services (D</w:t>
      </w:r>
      <w:r w:rsidR="00074528" w:rsidRPr="006561A8">
        <w:t>ES</w:t>
      </w:r>
      <w:r w:rsidR="00B7294F" w:rsidRPr="006561A8">
        <w:t>)</w:t>
      </w:r>
      <w:r w:rsidR="00074528" w:rsidRPr="006561A8">
        <w:t xml:space="preserve"> </w:t>
      </w:r>
      <w:r w:rsidR="009261B8" w:rsidRPr="006561A8">
        <w:t xml:space="preserve">or </w:t>
      </w:r>
      <w:r w:rsidR="00B7294F" w:rsidRPr="006561A8">
        <w:t xml:space="preserve">the Community </w:t>
      </w:r>
      <w:r w:rsidR="00B7294F" w:rsidRPr="006561A8">
        <w:rPr>
          <w:rFonts w:cstheme="minorHAnsi"/>
        </w:rPr>
        <w:t>Development Program</w:t>
      </w:r>
      <w:r w:rsidR="00FE7660">
        <w:rPr>
          <w:rFonts w:cstheme="minorHAnsi"/>
        </w:rPr>
        <w:t>me</w:t>
      </w:r>
      <w:r w:rsidR="00B7294F" w:rsidRPr="006561A8">
        <w:rPr>
          <w:rFonts w:cstheme="minorHAnsi"/>
        </w:rPr>
        <w:t xml:space="preserve"> (CDP) (which operates in remote areas)</w:t>
      </w:r>
      <w:r w:rsidR="00074528" w:rsidRPr="006561A8">
        <w:rPr>
          <w:rFonts w:cstheme="minorHAnsi"/>
        </w:rPr>
        <w:t>.</w:t>
      </w:r>
    </w:p>
    <w:p w:rsidR="0020633D" w:rsidRDefault="00074528" w:rsidP="0020633D">
      <w:r>
        <w:t xml:space="preserve">At the commencement of </w:t>
      </w:r>
      <w:r w:rsidR="009261B8">
        <w:t xml:space="preserve">the </w:t>
      </w:r>
      <w:r w:rsidR="0020633D">
        <w:t>JCB</w:t>
      </w:r>
      <w:r w:rsidR="00D84750">
        <w:t>,</w:t>
      </w:r>
      <w:r w:rsidR="0020633D">
        <w:t xml:space="preserve"> around one in </w:t>
      </w:r>
      <w:r w:rsidR="004905DF">
        <w:t xml:space="preserve">five </w:t>
      </w:r>
      <w:r w:rsidR="0020633D">
        <w:t>job seekers on the JSA caseload</w:t>
      </w:r>
      <w:r w:rsidR="00DE6334">
        <w:t xml:space="preserve"> </w:t>
      </w:r>
      <w:r>
        <w:t>(18.</w:t>
      </w:r>
      <w:r w:rsidR="00574A83">
        <w:t xml:space="preserve">4 </w:t>
      </w:r>
      <w:r>
        <w:t>per cent) were in scope</w:t>
      </w:r>
      <w:r w:rsidR="00D84750">
        <w:t>,</w:t>
      </w:r>
      <w:r>
        <w:t xml:space="preserve"> had they exited income support</w:t>
      </w:r>
      <w:r w:rsidR="00972CB9">
        <w:t>, entered 12 months of continuous employment</w:t>
      </w:r>
      <w:r>
        <w:t xml:space="preserve"> </w:t>
      </w:r>
      <w:r w:rsidR="004C4EF9">
        <w:t>and met other eligibility criteria</w:t>
      </w:r>
      <w:r w:rsidR="002201D7">
        <w:t xml:space="preserve"> </w:t>
      </w:r>
      <w:r w:rsidR="00DE6334" w:rsidRPr="00F03000">
        <w:t xml:space="preserve">(Table </w:t>
      </w:r>
      <w:r w:rsidR="00DE6334">
        <w:t>1.</w:t>
      </w:r>
      <w:r w:rsidR="006561A8">
        <w:t>1</w:t>
      </w:r>
      <w:r w:rsidR="00DE6334" w:rsidRPr="00F03000">
        <w:t>)</w:t>
      </w:r>
      <w:r w:rsidR="0020633D">
        <w:t>.</w:t>
      </w:r>
    </w:p>
    <w:p w:rsidR="0020633D" w:rsidRPr="003A4B00" w:rsidRDefault="0020633D" w:rsidP="00082B58">
      <w:pPr>
        <w:pStyle w:val="TableCaption"/>
        <w:keepLines/>
      </w:pPr>
      <w:bookmarkStart w:id="66" w:name="_Toc507600302"/>
      <w:r w:rsidRPr="003A4B00">
        <w:lastRenderedPageBreak/>
        <w:t xml:space="preserve">Table </w:t>
      </w:r>
      <w:r>
        <w:t>1.</w:t>
      </w:r>
      <w:r w:rsidR="006561A8">
        <w:t>1</w:t>
      </w:r>
      <w:r w:rsidRPr="003A4B00">
        <w:t xml:space="preserve">: </w:t>
      </w:r>
      <w:r>
        <w:t>Age and length of unemployment for those on the JSA caseload, 1 July 2014 (per cent)</w:t>
      </w:r>
      <w:bookmarkEnd w:id="66"/>
    </w:p>
    <w:tbl>
      <w:tblPr>
        <w:tblW w:w="9290" w:type="dxa"/>
        <w:tblInd w:w="93" w:type="dxa"/>
        <w:tblLook w:val="04A0" w:firstRow="1" w:lastRow="0" w:firstColumn="1" w:lastColumn="0" w:noHBand="0" w:noVBand="1"/>
      </w:tblPr>
      <w:tblGrid>
        <w:gridCol w:w="2850"/>
        <w:gridCol w:w="1832"/>
        <w:gridCol w:w="1832"/>
        <w:gridCol w:w="1388"/>
        <w:gridCol w:w="1388"/>
      </w:tblGrid>
      <w:tr w:rsidR="0020633D" w:rsidRPr="003A4B00" w:rsidTr="00E34587">
        <w:trPr>
          <w:trHeight w:val="397"/>
          <w:tblHeader/>
        </w:trPr>
        <w:tc>
          <w:tcPr>
            <w:tcW w:w="2850" w:type="dxa"/>
            <w:shd w:val="clear" w:color="000000" w:fill="1E3D6B"/>
            <w:noWrap/>
            <w:vAlign w:val="center"/>
            <w:hideMark/>
          </w:tcPr>
          <w:p w:rsidR="0020633D" w:rsidRPr="006B181D" w:rsidRDefault="0020633D" w:rsidP="00082B58">
            <w:pPr>
              <w:keepNext/>
              <w:keepLines/>
              <w:spacing w:after="0" w:line="240" w:lineRule="auto"/>
              <w:rPr>
                <w:rFonts w:ascii="Calibri" w:eastAsia="Times New Roman" w:hAnsi="Calibri" w:cs="Calibri"/>
                <w:b/>
                <w:bCs/>
                <w:color w:val="FFFFFF"/>
                <w:sz w:val="20"/>
                <w:szCs w:val="20"/>
                <w:lang w:eastAsia="en-AU"/>
              </w:rPr>
            </w:pPr>
            <w:bookmarkStart w:id="67" w:name="Title_12"/>
            <w:bookmarkEnd w:id="67"/>
            <w:r w:rsidRPr="006B181D">
              <w:rPr>
                <w:rFonts w:ascii="Calibri" w:eastAsia="Times New Roman" w:hAnsi="Calibri" w:cs="Calibri"/>
                <w:b/>
                <w:bCs/>
                <w:color w:val="FFFFFF"/>
                <w:sz w:val="20"/>
                <w:szCs w:val="20"/>
                <w:lang w:eastAsia="en-AU"/>
              </w:rPr>
              <w:t>Age</w:t>
            </w:r>
          </w:p>
        </w:tc>
        <w:tc>
          <w:tcPr>
            <w:tcW w:w="1832" w:type="dxa"/>
            <w:shd w:val="clear" w:color="000000" w:fill="1E3D6B"/>
            <w:vAlign w:val="center"/>
            <w:hideMark/>
          </w:tcPr>
          <w:p w:rsidR="0020633D" w:rsidRPr="006B181D" w:rsidRDefault="0020633D" w:rsidP="00082B58">
            <w:pPr>
              <w:keepNext/>
              <w:keepLines/>
              <w:spacing w:after="0" w:line="240" w:lineRule="auto"/>
              <w:jc w:val="center"/>
              <w:rPr>
                <w:rFonts w:ascii="Calibri" w:eastAsia="Times New Roman" w:hAnsi="Calibri" w:cs="Calibri"/>
                <w:b/>
                <w:bCs/>
                <w:color w:val="FFFFFF"/>
                <w:sz w:val="20"/>
                <w:szCs w:val="20"/>
                <w:lang w:eastAsia="en-AU"/>
              </w:rPr>
            </w:pPr>
            <w:r w:rsidRPr="006B181D">
              <w:rPr>
                <w:rFonts w:ascii="Calibri" w:eastAsia="Times New Roman" w:hAnsi="Calibri" w:cs="Calibri"/>
                <w:b/>
                <w:bCs/>
                <w:color w:val="FFFFFF"/>
                <w:sz w:val="20"/>
                <w:szCs w:val="20"/>
                <w:lang w:eastAsia="en-AU"/>
              </w:rPr>
              <w:t>Less than 1 year</w:t>
            </w:r>
          </w:p>
        </w:tc>
        <w:tc>
          <w:tcPr>
            <w:tcW w:w="1832" w:type="dxa"/>
            <w:shd w:val="clear" w:color="000000" w:fill="1E3D6B"/>
            <w:vAlign w:val="center"/>
          </w:tcPr>
          <w:p w:rsidR="0020633D" w:rsidRPr="006B181D" w:rsidRDefault="0020633D" w:rsidP="00082B58">
            <w:pPr>
              <w:keepNext/>
              <w:keepLines/>
              <w:spacing w:after="0" w:line="240" w:lineRule="auto"/>
              <w:jc w:val="center"/>
              <w:rPr>
                <w:rFonts w:ascii="Calibri" w:eastAsia="Times New Roman" w:hAnsi="Calibri" w:cs="Calibri"/>
                <w:b/>
                <w:bCs/>
                <w:color w:val="FFFFFF"/>
                <w:sz w:val="20"/>
                <w:szCs w:val="20"/>
                <w:lang w:eastAsia="en-AU"/>
              </w:rPr>
            </w:pPr>
            <w:r w:rsidRPr="006B181D">
              <w:rPr>
                <w:rFonts w:ascii="Calibri" w:eastAsia="Times New Roman" w:hAnsi="Calibri" w:cs="Calibri"/>
                <w:b/>
                <w:bCs/>
                <w:color w:val="FFFFFF"/>
                <w:sz w:val="20"/>
                <w:szCs w:val="20"/>
                <w:lang w:eastAsia="en-AU"/>
              </w:rPr>
              <w:t>1 – 2 years</w:t>
            </w:r>
          </w:p>
        </w:tc>
        <w:tc>
          <w:tcPr>
            <w:tcW w:w="1388" w:type="dxa"/>
            <w:shd w:val="clear" w:color="000000" w:fill="1E3D6B"/>
            <w:vAlign w:val="center"/>
          </w:tcPr>
          <w:p w:rsidR="0020633D" w:rsidRPr="006B181D" w:rsidRDefault="0020633D" w:rsidP="00082B58">
            <w:pPr>
              <w:keepNext/>
              <w:keepLines/>
              <w:spacing w:after="0" w:line="240" w:lineRule="auto"/>
              <w:jc w:val="center"/>
              <w:rPr>
                <w:rFonts w:ascii="Calibri" w:eastAsia="Times New Roman" w:hAnsi="Calibri" w:cs="Calibri"/>
                <w:b/>
                <w:bCs/>
                <w:color w:val="FFFFFF"/>
                <w:sz w:val="20"/>
                <w:szCs w:val="20"/>
                <w:lang w:eastAsia="en-AU"/>
              </w:rPr>
            </w:pPr>
            <w:r w:rsidRPr="006B181D">
              <w:rPr>
                <w:rFonts w:ascii="Calibri" w:eastAsia="Times New Roman" w:hAnsi="Calibri" w:cs="Calibri"/>
                <w:b/>
                <w:bCs/>
                <w:color w:val="FFFFFF"/>
                <w:sz w:val="20"/>
                <w:szCs w:val="20"/>
                <w:lang w:eastAsia="en-AU"/>
              </w:rPr>
              <w:t>2 years or longer</w:t>
            </w:r>
          </w:p>
        </w:tc>
        <w:tc>
          <w:tcPr>
            <w:tcW w:w="1388" w:type="dxa"/>
            <w:shd w:val="clear" w:color="000000" w:fill="1E3D6B"/>
            <w:vAlign w:val="center"/>
          </w:tcPr>
          <w:p w:rsidR="0020633D" w:rsidRPr="006B181D" w:rsidRDefault="0020633D" w:rsidP="00082B58">
            <w:pPr>
              <w:keepNext/>
              <w:keepLines/>
              <w:spacing w:after="0" w:line="240" w:lineRule="auto"/>
              <w:jc w:val="center"/>
              <w:rPr>
                <w:rFonts w:ascii="Calibri" w:eastAsia="Times New Roman" w:hAnsi="Calibri" w:cs="Calibri"/>
                <w:b/>
                <w:bCs/>
                <w:color w:val="FFFFFF"/>
                <w:sz w:val="20"/>
                <w:szCs w:val="20"/>
                <w:lang w:eastAsia="en-AU"/>
              </w:rPr>
            </w:pPr>
            <w:r w:rsidRPr="006B181D">
              <w:rPr>
                <w:rFonts w:ascii="Calibri" w:eastAsia="Times New Roman" w:hAnsi="Calibri" w:cs="Calibri"/>
                <w:b/>
                <w:bCs/>
                <w:color w:val="FFFFFF"/>
                <w:sz w:val="20"/>
                <w:szCs w:val="20"/>
                <w:lang w:eastAsia="en-AU"/>
              </w:rPr>
              <w:t>Total</w:t>
            </w:r>
          </w:p>
        </w:tc>
      </w:tr>
      <w:tr w:rsidR="0020633D" w:rsidRPr="00EE070F" w:rsidTr="00E34587">
        <w:trPr>
          <w:trHeight w:val="397"/>
        </w:trPr>
        <w:tc>
          <w:tcPr>
            <w:tcW w:w="2850" w:type="dxa"/>
            <w:shd w:val="clear" w:color="auto" w:fill="FFFFFF" w:themeFill="background2"/>
            <w:noWrap/>
            <w:vAlign w:val="center"/>
          </w:tcPr>
          <w:p w:rsidR="0020633D" w:rsidRPr="006B181D" w:rsidRDefault="0020633D" w:rsidP="00082B58">
            <w:pPr>
              <w:keepNext/>
              <w:keepLines/>
              <w:spacing w:after="0" w:line="240" w:lineRule="auto"/>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18 years – under 31 years</w:t>
            </w:r>
            <w:r w:rsidR="00580867" w:rsidRPr="006B181D">
              <w:rPr>
                <w:rFonts w:ascii="Calibri" w:eastAsia="Times New Roman" w:hAnsi="Calibri" w:cs="Calibri"/>
                <w:bCs/>
                <w:color w:val="000000" w:themeColor="text1"/>
                <w:sz w:val="20"/>
                <w:szCs w:val="20"/>
                <w:lang w:eastAsia="en-AU"/>
              </w:rPr>
              <w:t xml:space="preserve"> </w:t>
            </w:r>
            <w:r w:rsidR="00580867" w:rsidRPr="006B181D">
              <w:rPr>
                <w:rFonts w:ascii="Calibri" w:eastAsia="Times New Roman" w:hAnsi="Calibri" w:cs="Calibri"/>
                <w:bCs/>
                <w:color w:val="000000" w:themeColor="text1"/>
                <w:sz w:val="20"/>
                <w:szCs w:val="20"/>
                <w:lang w:eastAsia="en-AU"/>
              </w:rPr>
              <w:br/>
              <w:t>on NSA or YA(O)</w:t>
            </w:r>
          </w:p>
        </w:tc>
        <w:tc>
          <w:tcPr>
            <w:tcW w:w="1832" w:type="dxa"/>
            <w:shd w:val="clear" w:color="auto" w:fill="FFFFFF" w:themeFill="background2"/>
            <w:vAlign w:val="center"/>
          </w:tcPr>
          <w:p w:rsidR="0020633D" w:rsidRPr="006B181D" w:rsidRDefault="004905DF" w:rsidP="00082B58">
            <w:pPr>
              <w:keepNext/>
              <w:keepLines/>
              <w:spacing w:after="0" w:line="240" w:lineRule="auto"/>
              <w:ind w:right="448"/>
              <w:jc w:val="right"/>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18.3</w:t>
            </w:r>
            <w:r w:rsidR="0001620C" w:rsidRPr="006B181D">
              <w:rPr>
                <w:rFonts w:ascii="Calibri" w:eastAsia="Times New Roman" w:hAnsi="Calibri" w:cs="Calibri"/>
                <w:bCs/>
                <w:color w:val="000000" w:themeColor="text1"/>
                <w:sz w:val="20"/>
                <w:szCs w:val="20"/>
                <w:lang w:eastAsia="en-AU"/>
              </w:rPr>
              <w:t xml:space="preserve"> </w:t>
            </w:r>
          </w:p>
        </w:tc>
        <w:tc>
          <w:tcPr>
            <w:tcW w:w="1832" w:type="dxa"/>
            <w:shd w:val="clear" w:color="auto" w:fill="FFFFFF" w:themeFill="background2"/>
            <w:vAlign w:val="center"/>
          </w:tcPr>
          <w:p w:rsidR="0020633D" w:rsidRPr="006B181D" w:rsidRDefault="004905DF" w:rsidP="00082B58">
            <w:pPr>
              <w:keepNext/>
              <w:keepLines/>
              <w:spacing w:after="0" w:line="240" w:lineRule="auto"/>
              <w:ind w:right="448"/>
              <w:jc w:val="right"/>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7.8</w:t>
            </w:r>
            <w:r w:rsidR="0001620C" w:rsidRPr="006B181D">
              <w:rPr>
                <w:rFonts w:ascii="Calibri" w:eastAsia="Times New Roman" w:hAnsi="Calibri" w:cs="Calibri"/>
                <w:bCs/>
                <w:color w:val="000000" w:themeColor="text1"/>
                <w:sz w:val="20"/>
                <w:szCs w:val="20"/>
                <w:lang w:eastAsia="en-AU"/>
              </w:rPr>
              <w:t xml:space="preserve"> </w:t>
            </w:r>
            <w:r w:rsidR="00DE6334" w:rsidRPr="006B181D">
              <w:rPr>
                <w:rFonts w:ascii="Calibri" w:eastAsia="Times New Roman" w:hAnsi="Calibri" w:cs="Calibri"/>
                <w:bCs/>
                <w:color w:val="000000" w:themeColor="text1"/>
                <w:sz w:val="20"/>
                <w:szCs w:val="20"/>
                <w:lang w:eastAsia="en-AU"/>
              </w:rPr>
              <w:t>*</w:t>
            </w:r>
          </w:p>
        </w:tc>
        <w:tc>
          <w:tcPr>
            <w:tcW w:w="1388" w:type="dxa"/>
            <w:shd w:val="clear" w:color="auto" w:fill="FFFFFF" w:themeFill="background2"/>
            <w:vAlign w:val="center"/>
          </w:tcPr>
          <w:p w:rsidR="0020633D" w:rsidRPr="006B181D" w:rsidRDefault="004905DF" w:rsidP="00082B58">
            <w:pPr>
              <w:keepNext/>
              <w:keepLines/>
              <w:spacing w:after="0" w:line="240" w:lineRule="auto"/>
              <w:ind w:right="448"/>
              <w:jc w:val="right"/>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10.6</w:t>
            </w:r>
            <w:r w:rsidR="00DE6334" w:rsidRPr="006B181D">
              <w:rPr>
                <w:rFonts w:ascii="Calibri" w:eastAsia="Times New Roman" w:hAnsi="Calibri" w:cs="Calibri"/>
                <w:bCs/>
                <w:color w:val="000000" w:themeColor="text1"/>
                <w:sz w:val="20"/>
                <w:szCs w:val="20"/>
                <w:lang w:eastAsia="en-AU"/>
              </w:rPr>
              <w:t>*</w:t>
            </w:r>
          </w:p>
        </w:tc>
        <w:tc>
          <w:tcPr>
            <w:tcW w:w="1388" w:type="dxa"/>
            <w:shd w:val="clear" w:color="auto" w:fill="FFFFFF" w:themeFill="background2"/>
            <w:vAlign w:val="center"/>
          </w:tcPr>
          <w:p w:rsidR="0020633D" w:rsidRPr="006B181D" w:rsidRDefault="004905DF" w:rsidP="00082B58">
            <w:pPr>
              <w:keepNext/>
              <w:keepLines/>
              <w:spacing w:after="0" w:line="240" w:lineRule="auto"/>
              <w:ind w:right="448"/>
              <w:jc w:val="right"/>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36.6</w:t>
            </w:r>
            <w:r w:rsidR="0001620C" w:rsidRPr="006B181D">
              <w:rPr>
                <w:rFonts w:ascii="Calibri" w:eastAsia="Times New Roman" w:hAnsi="Calibri" w:cs="Calibri"/>
                <w:bCs/>
                <w:color w:val="000000" w:themeColor="text1"/>
                <w:sz w:val="20"/>
                <w:szCs w:val="20"/>
                <w:lang w:eastAsia="en-AU"/>
              </w:rPr>
              <w:t xml:space="preserve"> </w:t>
            </w:r>
          </w:p>
        </w:tc>
      </w:tr>
      <w:tr w:rsidR="0020633D" w:rsidRPr="00EE070F" w:rsidTr="00E34587">
        <w:trPr>
          <w:trHeight w:val="397"/>
        </w:trPr>
        <w:tc>
          <w:tcPr>
            <w:tcW w:w="2850" w:type="dxa"/>
            <w:shd w:val="clear" w:color="auto" w:fill="E5E5E5" w:themeFill="background1" w:themeFillTint="33"/>
            <w:noWrap/>
            <w:vAlign w:val="center"/>
          </w:tcPr>
          <w:p w:rsidR="0020633D" w:rsidRPr="006B181D" w:rsidRDefault="0020633D" w:rsidP="00082B58">
            <w:pPr>
              <w:keepNext/>
              <w:keepLines/>
              <w:spacing w:after="0" w:line="240" w:lineRule="auto"/>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Other</w:t>
            </w:r>
            <w:r w:rsidR="0081502F" w:rsidRPr="006B181D">
              <w:rPr>
                <w:rFonts w:ascii="Calibri" w:eastAsia="Times New Roman" w:hAnsi="Calibri" w:cs="Calibri"/>
                <w:bCs/>
                <w:color w:val="000000" w:themeColor="text1"/>
                <w:sz w:val="20"/>
                <w:szCs w:val="20"/>
                <w:lang w:eastAsia="en-AU"/>
              </w:rPr>
              <w:t xml:space="preserve"> </w:t>
            </w:r>
          </w:p>
        </w:tc>
        <w:tc>
          <w:tcPr>
            <w:tcW w:w="1832" w:type="dxa"/>
            <w:shd w:val="clear" w:color="auto" w:fill="E5E5E5" w:themeFill="background1" w:themeFillTint="33"/>
            <w:vAlign w:val="center"/>
          </w:tcPr>
          <w:p w:rsidR="0020633D" w:rsidRPr="006B181D" w:rsidRDefault="004905DF" w:rsidP="00082B58">
            <w:pPr>
              <w:keepNext/>
              <w:keepLines/>
              <w:spacing w:after="0" w:line="240" w:lineRule="auto"/>
              <w:ind w:right="448"/>
              <w:jc w:val="right"/>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23.7</w:t>
            </w:r>
            <w:r w:rsidR="0001620C" w:rsidRPr="006B181D">
              <w:rPr>
                <w:rFonts w:ascii="Calibri" w:eastAsia="Times New Roman" w:hAnsi="Calibri" w:cs="Calibri"/>
                <w:bCs/>
                <w:color w:val="000000" w:themeColor="text1"/>
                <w:sz w:val="20"/>
                <w:szCs w:val="20"/>
                <w:lang w:eastAsia="en-AU"/>
              </w:rPr>
              <w:t xml:space="preserve"> </w:t>
            </w:r>
          </w:p>
        </w:tc>
        <w:tc>
          <w:tcPr>
            <w:tcW w:w="1832" w:type="dxa"/>
            <w:shd w:val="clear" w:color="auto" w:fill="E5E5E5" w:themeFill="background1" w:themeFillTint="33"/>
            <w:vAlign w:val="center"/>
          </w:tcPr>
          <w:p w:rsidR="0020633D" w:rsidRPr="006B181D" w:rsidRDefault="004905DF" w:rsidP="00082B58">
            <w:pPr>
              <w:keepNext/>
              <w:keepLines/>
              <w:spacing w:after="0" w:line="240" w:lineRule="auto"/>
              <w:ind w:right="448"/>
              <w:jc w:val="right"/>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12.9</w:t>
            </w:r>
            <w:r w:rsidR="0001620C" w:rsidRPr="006B181D">
              <w:rPr>
                <w:rFonts w:ascii="Calibri" w:eastAsia="Times New Roman" w:hAnsi="Calibri" w:cs="Calibri"/>
                <w:bCs/>
                <w:color w:val="000000" w:themeColor="text1"/>
                <w:sz w:val="20"/>
                <w:szCs w:val="20"/>
                <w:lang w:eastAsia="en-AU"/>
              </w:rPr>
              <w:t xml:space="preserve"> </w:t>
            </w:r>
          </w:p>
        </w:tc>
        <w:tc>
          <w:tcPr>
            <w:tcW w:w="1388" w:type="dxa"/>
            <w:shd w:val="clear" w:color="auto" w:fill="E5E5E5" w:themeFill="background1" w:themeFillTint="33"/>
            <w:vAlign w:val="center"/>
          </w:tcPr>
          <w:p w:rsidR="0020633D" w:rsidRPr="006B181D" w:rsidRDefault="004905DF" w:rsidP="00082B58">
            <w:pPr>
              <w:keepNext/>
              <w:keepLines/>
              <w:spacing w:after="0" w:line="240" w:lineRule="auto"/>
              <w:ind w:right="448"/>
              <w:jc w:val="right"/>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26.8</w:t>
            </w:r>
            <w:r w:rsidR="0001620C" w:rsidRPr="006B181D">
              <w:rPr>
                <w:rFonts w:ascii="Calibri" w:eastAsia="Times New Roman" w:hAnsi="Calibri" w:cs="Calibri"/>
                <w:bCs/>
                <w:color w:val="000000" w:themeColor="text1"/>
                <w:sz w:val="20"/>
                <w:szCs w:val="20"/>
                <w:lang w:eastAsia="en-AU"/>
              </w:rPr>
              <w:t xml:space="preserve"> </w:t>
            </w:r>
          </w:p>
        </w:tc>
        <w:tc>
          <w:tcPr>
            <w:tcW w:w="1388" w:type="dxa"/>
            <w:shd w:val="clear" w:color="auto" w:fill="E5E5E5" w:themeFill="background1" w:themeFillTint="33"/>
            <w:vAlign w:val="center"/>
          </w:tcPr>
          <w:p w:rsidR="0020633D" w:rsidRPr="006B181D" w:rsidRDefault="004905DF" w:rsidP="00082B58">
            <w:pPr>
              <w:keepNext/>
              <w:keepLines/>
              <w:spacing w:after="0" w:line="240" w:lineRule="auto"/>
              <w:ind w:right="448"/>
              <w:jc w:val="right"/>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63.4</w:t>
            </w:r>
            <w:r w:rsidR="0001620C" w:rsidRPr="006B181D">
              <w:rPr>
                <w:rFonts w:ascii="Calibri" w:eastAsia="Times New Roman" w:hAnsi="Calibri" w:cs="Calibri"/>
                <w:bCs/>
                <w:color w:val="000000" w:themeColor="text1"/>
                <w:sz w:val="20"/>
                <w:szCs w:val="20"/>
                <w:lang w:eastAsia="en-AU"/>
              </w:rPr>
              <w:t xml:space="preserve"> </w:t>
            </w:r>
          </w:p>
        </w:tc>
      </w:tr>
      <w:tr w:rsidR="0020633D" w:rsidRPr="00EE070F" w:rsidTr="00E34587">
        <w:trPr>
          <w:trHeight w:val="397"/>
        </w:trPr>
        <w:tc>
          <w:tcPr>
            <w:tcW w:w="2850" w:type="dxa"/>
            <w:shd w:val="clear" w:color="auto" w:fill="8EAEDE"/>
            <w:noWrap/>
            <w:vAlign w:val="center"/>
          </w:tcPr>
          <w:p w:rsidR="0020633D" w:rsidRPr="006B181D" w:rsidRDefault="0020633D" w:rsidP="00082B58">
            <w:pPr>
              <w:keepNext/>
              <w:keepLines/>
              <w:spacing w:after="0" w:line="240" w:lineRule="auto"/>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Total</w:t>
            </w:r>
          </w:p>
        </w:tc>
        <w:tc>
          <w:tcPr>
            <w:tcW w:w="1832" w:type="dxa"/>
            <w:shd w:val="clear" w:color="auto" w:fill="8EAEDE"/>
            <w:vAlign w:val="center"/>
          </w:tcPr>
          <w:p w:rsidR="0020633D" w:rsidRPr="006B181D" w:rsidRDefault="004905DF" w:rsidP="00082B58">
            <w:pPr>
              <w:keepNext/>
              <w:keepLines/>
              <w:spacing w:after="0" w:line="240" w:lineRule="auto"/>
              <w:ind w:right="448"/>
              <w:jc w:val="right"/>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41.9</w:t>
            </w:r>
          </w:p>
        </w:tc>
        <w:tc>
          <w:tcPr>
            <w:tcW w:w="1832" w:type="dxa"/>
            <w:shd w:val="clear" w:color="auto" w:fill="8EAEDE"/>
            <w:vAlign w:val="center"/>
          </w:tcPr>
          <w:p w:rsidR="0020633D" w:rsidRPr="006B181D" w:rsidRDefault="0020633D" w:rsidP="00082B58">
            <w:pPr>
              <w:keepNext/>
              <w:keepLines/>
              <w:spacing w:after="0" w:line="240" w:lineRule="auto"/>
              <w:ind w:right="448"/>
              <w:jc w:val="right"/>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20.</w:t>
            </w:r>
            <w:r w:rsidR="004905DF" w:rsidRPr="006B181D">
              <w:rPr>
                <w:rFonts w:ascii="Calibri" w:eastAsia="Times New Roman" w:hAnsi="Calibri" w:cs="Calibri"/>
                <w:bCs/>
                <w:color w:val="000000" w:themeColor="text1"/>
                <w:sz w:val="20"/>
                <w:szCs w:val="20"/>
                <w:lang w:eastAsia="en-AU"/>
              </w:rPr>
              <w:t>7</w:t>
            </w:r>
          </w:p>
        </w:tc>
        <w:tc>
          <w:tcPr>
            <w:tcW w:w="1388" w:type="dxa"/>
            <w:shd w:val="clear" w:color="auto" w:fill="8EAEDE"/>
            <w:vAlign w:val="center"/>
          </w:tcPr>
          <w:p w:rsidR="0020633D" w:rsidRPr="006B181D" w:rsidRDefault="004905DF" w:rsidP="00082B58">
            <w:pPr>
              <w:keepNext/>
              <w:keepLines/>
              <w:spacing w:after="0" w:line="240" w:lineRule="auto"/>
              <w:ind w:right="448"/>
              <w:jc w:val="right"/>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37.4</w:t>
            </w:r>
          </w:p>
        </w:tc>
        <w:tc>
          <w:tcPr>
            <w:tcW w:w="1388" w:type="dxa"/>
            <w:shd w:val="clear" w:color="auto" w:fill="8EAEDE"/>
            <w:vAlign w:val="center"/>
          </w:tcPr>
          <w:p w:rsidR="0020633D" w:rsidRPr="006B181D" w:rsidRDefault="0020633D" w:rsidP="00082B58">
            <w:pPr>
              <w:keepNext/>
              <w:keepLines/>
              <w:spacing w:after="0" w:line="240" w:lineRule="auto"/>
              <w:ind w:right="448"/>
              <w:jc w:val="right"/>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100.0</w:t>
            </w:r>
          </w:p>
        </w:tc>
      </w:tr>
    </w:tbl>
    <w:p w:rsidR="00211BD6" w:rsidRDefault="00C448FD" w:rsidP="00082B58">
      <w:pPr>
        <w:pStyle w:val="Source"/>
        <w:keepNext/>
        <w:keepLines/>
        <w:rPr>
          <w:b w:val="0"/>
        </w:rPr>
      </w:pPr>
      <w:r w:rsidRPr="00C448FD">
        <w:t>Note</w:t>
      </w:r>
      <w:r w:rsidR="00211BD6">
        <w:t>s</w:t>
      </w:r>
      <w:r w:rsidRPr="00C448FD">
        <w:t>:</w:t>
      </w:r>
      <w:r>
        <w:rPr>
          <w:b w:val="0"/>
        </w:rPr>
        <w:t xml:space="preserve"> </w:t>
      </w:r>
    </w:p>
    <w:p w:rsidR="00C448FD" w:rsidRDefault="0001620C" w:rsidP="00082B58">
      <w:pPr>
        <w:pStyle w:val="Source"/>
        <w:keepNext/>
        <w:keepLines/>
        <w:numPr>
          <w:ilvl w:val="0"/>
          <w:numId w:val="28"/>
        </w:numPr>
        <w:rPr>
          <w:b w:val="0"/>
        </w:rPr>
      </w:pPr>
      <w:r>
        <w:rPr>
          <w:b w:val="0"/>
        </w:rPr>
        <w:t>* i</w:t>
      </w:r>
      <w:r w:rsidR="00C448FD" w:rsidRPr="00211BD6">
        <w:rPr>
          <w:b w:val="0"/>
        </w:rPr>
        <w:t>ndicates JCB target group.</w:t>
      </w:r>
    </w:p>
    <w:p w:rsidR="004905DF" w:rsidRPr="00211BD6" w:rsidRDefault="004905DF" w:rsidP="00082B58">
      <w:pPr>
        <w:pStyle w:val="Source"/>
        <w:keepNext/>
        <w:keepLines/>
        <w:numPr>
          <w:ilvl w:val="0"/>
          <w:numId w:val="28"/>
        </w:numPr>
        <w:rPr>
          <w:b w:val="0"/>
        </w:rPr>
      </w:pPr>
      <w:r>
        <w:rPr>
          <w:b w:val="0"/>
        </w:rPr>
        <w:t>‘Other’ refers to all other job seekers on the JSA caseload who were on NSA or YA(O).</w:t>
      </w:r>
    </w:p>
    <w:p w:rsidR="00211BD6" w:rsidRPr="00211BD6" w:rsidRDefault="00211BD6" w:rsidP="00082B58">
      <w:pPr>
        <w:pStyle w:val="Source"/>
        <w:keepNext/>
        <w:keepLines/>
        <w:numPr>
          <w:ilvl w:val="0"/>
          <w:numId w:val="28"/>
        </w:numPr>
        <w:rPr>
          <w:b w:val="0"/>
        </w:rPr>
      </w:pPr>
      <w:r w:rsidRPr="00211BD6">
        <w:rPr>
          <w:b w:val="0"/>
        </w:rPr>
        <w:t>Length of unemployment based on period of service in employment services.</w:t>
      </w:r>
    </w:p>
    <w:p w:rsidR="0020633D" w:rsidRDefault="0020633D" w:rsidP="00082B58">
      <w:pPr>
        <w:pStyle w:val="Source"/>
        <w:rPr>
          <w:b w:val="0"/>
        </w:rPr>
      </w:pPr>
      <w:r w:rsidRPr="00567DF4">
        <w:t>Source:</w:t>
      </w:r>
      <w:r w:rsidRPr="003A4B00">
        <w:t xml:space="preserve"> </w:t>
      </w:r>
      <w:r w:rsidRPr="0020633D">
        <w:rPr>
          <w:b w:val="0"/>
        </w:rPr>
        <w:t>D</w:t>
      </w:r>
      <w:r w:rsidR="00D84750">
        <w:rPr>
          <w:b w:val="0"/>
        </w:rPr>
        <w:t xml:space="preserve">epartment of </w:t>
      </w:r>
      <w:r w:rsidRPr="0020633D">
        <w:rPr>
          <w:b w:val="0"/>
        </w:rPr>
        <w:t>E</w:t>
      </w:r>
      <w:r w:rsidR="00D84750">
        <w:rPr>
          <w:b w:val="0"/>
        </w:rPr>
        <w:t>mployment</w:t>
      </w:r>
      <w:r w:rsidRPr="0020633D">
        <w:rPr>
          <w:b w:val="0"/>
        </w:rPr>
        <w:t xml:space="preserve"> administrative data.</w:t>
      </w:r>
    </w:p>
    <w:p w:rsidR="00752453" w:rsidRDefault="00752453" w:rsidP="00082B58">
      <w:pPr>
        <w:spacing w:before="240"/>
      </w:pPr>
      <w:r>
        <w:t>This</w:t>
      </w:r>
      <w:r w:rsidRPr="003A4B00">
        <w:t xml:space="preserve"> evaluation </w:t>
      </w:r>
      <w:r w:rsidR="00256D69">
        <w:t xml:space="preserve">presents insights </w:t>
      </w:r>
      <w:r w:rsidRPr="003A4B00">
        <w:t>on what</w:t>
      </w:r>
      <w:r w:rsidR="007E2227">
        <w:t xml:space="preserve"> aspects of the JCB</w:t>
      </w:r>
      <w:r w:rsidRPr="003A4B00">
        <w:t xml:space="preserve"> did and did not work, and </w:t>
      </w:r>
      <w:r w:rsidR="00555564">
        <w:t>provides</w:t>
      </w:r>
      <w:r>
        <w:t xml:space="preserve"> </w:t>
      </w:r>
      <w:r w:rsidRPr="003A4B00">
        <w:t xml:space="preserve">lessons that </w:t>
      </w:r>
      <w:r>
        <w:t>can inform</w:t>
      </w:r>
      <w:r w:rsidRPr="003A4B00">
        <w:t xml:space="preserve"> future policy development and program design.</w:t>
      </w:r>
    </w:p>
    <w:p w:rsidR="00841016" w:rsidRPr="003A4B00" w:rsidRDefault="00B66D60" w:rsidP="00F07FBC">
      <w:pPr>
        <w:pStyle w:val="Heading2"/>
      </w:pPr>
      <w:bookmarkStart w:id="68" w:name="_Toc478117542"/>
      <w:bookmarkStart w:id="69" w:name="_Toc507600230"/>
      <w:r w:rsidRPr="003A4B00">
        <w:t>1.</w:t>
      </w:r>
      <w:r w:rsidR="00F93C0A">
        <w:t>2</w:t>
      </w:r>
      <w:r w:rsidRPr="003A4B00">
        <w:tab/>
      </w:r>
      <w:r w:rsidR="008C682E" w:rsidRPr="003A4B00">
        <w:t>Labour market conditions</w:t>
      </w:r>
      <w:bookmarkEnd w:id="68"/>
      <w:bookmarkEnd w:id="69"/>
      <w:r w:rsidR="008C682E" w:rsidRPr="003A4B00">
        <w:t xml:space="preserve"> </w:t>
      </w:r>
    </w:p>
    <w:p w:rsidR="006561A8" w:rsidRPr="007B55C3" w:rsidRDefault="006561A8" w:rsidP="007B55C3">
      <w:pPr>
        <w:keepNext/>
        <w:pBdr>
          <w:top w:val="single" w:sz="4" w:space="1" w:color="auto"/>
          <w:left w:val="single" w:sz="4" w:space="4" w:color="auto"/>
          <w:bottom w:val="single" w:sz="4" w:space="1" w:color="auto"/>
          <w:right w:val="single" w:sz="4" w:space="4" w:color="auto"/>
        </w:pBdr>
        <w:shd w:val="clear" w:color="auto" w:fill="FDCBA0"/>
        <w:spacing w:after="120"/>
        <w:rPr>
          <w:rStyle w:val="Strong"/>
        </w:rPr>
      </w:pPr>
      <w:bookmarkStart w:id="70" w:name="_Toc482966922"/>
      <w:r w:rsidRPr="007B55C3">
        <w:rPr>
          <w:rStyle w:val="Strong"/>
        </w:rPr>
        <w:t>Highlights</w:t>
      </w:r>
    </w:p>
    <w:p w:rsidR="00AF798F" w:rsidRDefault="00531A48" w:rsidP="00316BA2">
      <w:pPr>
        <w:keepNext/>
        <w:pBdr>
          <w:top w:val="single" w:sz="4" w:space="1" w:color="auto"/>
          <w:left w:val="single" w:sz="4" w:space="4" w:color="auto"/>
          <w:bottom w:val="single" w:sz="4" w:space="1" w:color="auto"/>
          <w:right w:val="single" w:sz="4" w:space="4" w:color="auto"/>
        </w:pBdr>
        <w:shd w:val="clear" w:color="auto" w:fill="FDCBA0"/>
        <w:spacing w:after="0"/>
      </w:pPr>
      <w:r>
        <w:t>L</w:t>
      </w:r>
      <w:r w:rsidRPr="003A4B00">
        <w:t xml:space="preserve">abour market conditions for young adults </w:t>
      </w:r>
      <w:r>
        <w:t xml:space="preserve">at the commencement of the JCB program were </w:t>
      </w:r>
      <w:r w:rsidRPr="003A4B00">
        <w:t xml:space="preserve">significantly </w:t>
      </w:r>
      <w:r>
        <w:t>weaker than before the onset of the</w:t>
      </w:r>
      <w:r w:rsidR="00F97451">
        <w:t xml:space="preserve"> Global Financial Crisis</w:t>
      </w:r>
      <w:r w:rsidRPr="003A4B00">
        <w:t xml:space="preserve"> </w:t>
      </w:r>
      <w:r w:rsidR="00F97451">
        <w:t>(</w:t>
      </w:r>
      <w:r w:rsidRPr="003A4B00">
        <w:t>GFC</w:t>
      </w:r>
      <w:r w:rsidR="00F97451">
        <w:t>)</w:t>
      </w:r>
      <w:r w:rsidRPr="003A4B00">
        <w:t xml:space="preserve"> with</w:t>
      </w:r>
      <w:r w:rsidR="00AF798F">
        <w:t>:</w:t>
      </w:r>
    </w:p>
    <w:p w:rsidR="00AF798F" w:rsidRDefault="00531A48" w:rsidP="00E3205B">
      <w:pPr>
        <w:pStyle w:val="ListParagraph"/>
        <w:keepNext/>
        <w:numPr>
          <w:ilvl w:val="0"/>
          <w:numId w:val="73"/>
        </w:numPr>
        <w:pBdr>
          <w:top w:val="single" w:sz="4" w:space="1" w:color="auto"/>
          <w:left w:val="single" w:sz="4" w:space="4" w:color="auto"/>
          <w:bottom w:val="single" w:sz="4" w:space="1" w:color="auto"/>
          <w:right w:val="single" w:sz="4" w:space="4" w:color="auto"/>
        </w:pBdr>
        <w:shd w:val="clear" w:color="auto" w:fill="FDCBA0"/>
        <w:spacing w:after="0"/>
        <w:ind w:left="426" w:hanging="426"/>
      </w:pPr>
      <w:r>
        <w:t>a</w:t>
      </w:r>
      <w:r w:rsidRPr="001B00E5">
        <w:t xml:space="preserve"> higher unemployment rate</w:t>
      </w:r>
    </w:p>
    <w:p w:rsidR="00AF798F" w:rsidRDefault="00531A48" w:rsidP="00E3205B">
      <w:pPr>
        <w:pStyle w:val="ListParagraph"/>
        <w:keepNext/>
        <w:numPr>
          <w:ilvl w:val="0"/>
          <w:numId w:val="73"/>
        </w:numPr>
        <w:pBdr>
          <w:top w:val="single" w:sz="4" w:space="1" w:color="auto"/>
          <w:left w:val="single" w:sz="4" w:space="4" w:color="auto"/>
          <w:bottom w:val="single" w:sz="4" w:space="1" w:color="auto"/>
          <w:right w:val="single" w:sz="4" w:space="4" w:color="auto"/>
        </w:pBdr>
        <w:shd w:val="clear" w:color="auto" w:fill="FDCBA0"/>
        <w:spacing w:after="0"/>
        <w:ind w:left="426" w:hanging="426"/>
      </w:pPr>
      <w:r w:rsidRPr="001B00E5">
        <w:t xml:space="preserve">longer </w:t>
      </w:r>
      <w:r>
        <w:t>average lengths of unemployment</w:t>
      </w:r>
    </w:p>
    <w:p w:rsidR="00AF798F" w:rsidRDefault="00531A48" w:rsidP="00E3205B">
      <w:pPr>
        <w:pStyle w:val="ListParagraph"/>
        <w:keepNext/>
        <w:numPr>
          <w:ilvl w:val="0"/>
          <w:numId w:val="73"/>
        </w:numPr>
        <w:pBdr>
          <w:top w:val="single" w:sz="4" w:space="1" w:color="auto"/>
          <w:left w:val="single" w:sz="4" w:space="4" w:color="auto"/>
          <w:bottom w:val="single" w:sz="4" w:space="1" w:color="auto"/>
          <w:right w:val="single" w:sz="4" w:space="4" w:color="auto"/>
        </w:pBdr>
        <w:shd w:val="clear" w:color="auto" w:fill="FDCBA0"/>
        <w:spacing w:after="0"/>
        <w:ind w:left="426" w:hanging="426"/>
      </w:pPr>
      <w:r w:rsidRPr="001B00E5">
        <w:t xml:space="preserve">an increasing proportion of 15-24 year olds being </w:t>
      </w:r>
      <w:r w:rsidR="007E2227">
        <w:t>long-term unemployed (</w:t>
      </w:r>
      <w:r w:rsidRPr="001B00E5">
        <w:t>LTU</w:t>
      </w:r>
      <w:r w:rsidR="007E2227">
        <w:t>)</w:t>
      </w:r>
    </w:p>
    <w:p w:rsidR="00531A48" w:rsidRPr="001B00E5" w:rsidRDefault="00531A48" w:rsidP="00E3205B">
      <w:pPr>
        <w:pStyle w:val="ListParagraph"/>
        <w:keepNext/>
        <w:numPr>
          <w:ilvl w:val="0"/>
          <w:numId w:val="73"/>
        </w:numPr>
        <w:pBdr>
          <w:top w:val="single" w:sz="4" w:space="1" w:color="auto"/>
          <w:left w:val="single" w:sz="4" w:space="4" w:color="auto"/>
          <w:bottom w:val="single" w:sz="4" w:space="1" w:color="auto"/>
          <w:right w:val="single" w:sz="4" w:space="4" w:color="auto"/>
        </w:pBdr>
        <w:shd w:val="clear" w:color="auto" w:fill="FDCBA0"/>
        <w:spacing w:after="0"/>
        <w:ind w:left="426" w:hanging="426"/>
      </w:pPr>
      <w:r w:rsidRPr="001B00E5">
        <w:t xml:space="preserve">a decreasing labour force participation </w:t>
      </w:r>
      <w:r>
        <w:t>rate</w:t>
      </w:r>
      <w:r w:rsidR="00916710">
        <w:t xml:space="preserve"> (explained in part by a higher participation in full-time education).</w:t>
      </w:r>
    </w:p>
    <w:p w:rsidR="00531A48" w:rsidRDefault="00531A48" w:rsidP="00082B58">
      <w:pPr>
        <w:pBdr>
          <w:top w:val="single" w:sz="4" w:space="1" w:color="auto"/>
          <w:left w:val="single" w:sz="4" w:space="4" w:color="auto"/>
          <w:bottom w:val="single" w:sz="4" w:space="1" w:color="auto"/>
          <w:right w:val="single" w:sz="4" w:space="4" w:color="auto"/>
        </w:pBdr>
        <w:shd w:val="clear" w:color="auto" w:fill="FDCBA0"/>
        <w:spacing w:before="240" w:after="0"/>
      </w:pPr>
      <w:r w:rsidRPr="001B00E5">
        <w:t xml:space="preserve">During the two and a half year </w:t>
      </w:r>
      <w:r w:rsidR="00E70C56">
        <w:t>operatin</w:t>
      </w:r>
      <w:r w:rsidR="00555564">
        <w:t>g</w:t>
      </w:r>
      <w:r w:rsidR="00E70C56">
        <w:t xml:space="preserve"> period of the </w:t>
      </w:r>
      <w:r w:rsidRPr="001B00E5">
        <w:t xml:space="preserve">JCB labour market conditions improved slightly for young adults but </w:t>
      </w:r>
      <w:r>
        <w:t>they</w:t>
      </w:r>
      <w:r w:rsidRPr="001B00E5">
        <w:t xml:space="preserve"> still </w:t>
      </w:r>
      <w:r w:rsidR="007C2FF8">
        <w:t>encountered</w:t>
      </w:r>
      <w:r w:rsidR="007C2FF8" w:rsidRPr="001B00E5">
        <w:t xml:space="preserve"> </w:t>
      </w:r>
      <w:r w:rsidRPr="001B00E5">
        <w:t>tougher employment prospects than prior to the GFC</w:t>
      </w:r>
      <w:r w:rsidR="00DE6F1D">
        <w:t>.</w:t>
      </w:r>
    </w:p>
    <w:p w:rsidR="00637098" w:rsidRDefault="00637098" w:rsidP="002C1BE3">
      <w:pPr>
        <w:pStyle w:val="ListParagraph"/>
        <w:keepNext/>
        <w:numPr>
          <w:ilvl w:val="0"/>
          <w:numId w:val="73"/>
        </w:numPr>
        <w:pBdr>
          <w:top w:val="single" w:sz="4" w:space="1" w:color="auto"/>
          <w:left w:val="single" w:sz="4" w:space="4" w:color="auto"/>
          <w:bottom w:val="single" w:sz="4" w:space="1" w:color="auto"/>
          <w:right w:val="single" w:sz="4" w:space="4" w:color="auto"/>
        </w:pBdr>
        <w:shd w:val="clear" w:color="auto" w:fill="FDCBA0"/>
        <w:spacing w:after="0"/>
        <w:ind w:left="426" w:hanging="426"/>
      </w:pPr>
      <w:r>
        <w:t>an easing unemployment rate (8.4 per cent for 18 to 30 year olds)</w:t>
      </w:r>
    </w:p>
    <w:p w:rsidR="00637098" w:rsidRDefault="00637098" w:rsidP="002C1BE3">
      <w:pPr>
        <w:pStyle w:val="ListParagraph"/>
        <w:keepNext/>
        <w:numPr>
          <w:ilvl w:val="0"/>
          <w:numId w:val="73"/>
        </w:numPr>
        <w:pBdr>
          <w:top w:val="single" w:sz="4" w:space="1" w:color="auto"/>
          <w:left w:val="single" w:sz="4" w:space="4" w:color="auto"/>
          <w:bottom w:val="single" w:sz="4" w:space="1" w:color="auto"/>
          <w:right w:val="single" w:sz="4" w:space="4" w:color="auto"/>
        </w:pBdr>
        <w:shd w:val="clear" w:color="auto" w:fill="FDCBA0"/>
        <w:spacing w:after="0"/>
        <w:ind w:left="426" w:hanging="426"/>
      </w:pPr>
      <w:r>
        <w:t>longer average lengths of unemployment (31.4 weeks compared with 29.3 weeks for 15 to 24 year olds)</w:t>
      </w:r>
    </w:p>
    <w:p w:rsidR="00637098" w:rsidRDefault="00637098" w:rsidP="002C1BE3">
      <w:pPr>
        <w:pStyle w:val="ListParagraph"/>
        <w:keepNext/>
        <w:numPr>
          <w:ilvl w:val="0"/>
          <w:numId w:val="73"/>
        </w:numPr>
        <w:pBdr>
          <w:top w:val="single" w:sz="4" w:space="1" w:color="auto"/>
          <w:left w:val="single" w:sz="4" w:space="4" w:color="auto"/>
          <w:bottom w:val="single" w:sz="4" w:space="1" w:color="auto"/>
          <w:right w:val="single" w:sz="4" w:space="4" w:color="auto"/>
        </w:pBdr>
        <w:shd w:val="clear" w:color="auto" w:fill="FDCBA0"/>
        <w:spacing w:after="0"/>
        <w:ind w:left="426" w:hanging="426"/>
      </w:pPr>
      <w:r>
        <w:t>the proportion of those unemployed who were LTU stabilised (increasing slightly to 18.2 per cent from 17.2 per cent for 15 to 24 year olds)</w:t>
      </w:r>
    </w:p>
    <w:p w:rsidR="00637098" w:rsidRDefault="00637098" w:rsidP="002C1BE3">
      <w:pPr>
        <w:pStyle w:val="ListParagraph"/>
        <w:keepNext/>
        <w:numPr>
          <w:ilvl w:val="0"/>
          <w:numId w:val="73"/>
        </w:numPr>
        <w:pBdr>
          <w:top w:val="single" w:sz="4" w:space="1" w:color="auto"/>
          <w:left w:val="single" w:sz="4" w:space="4" w:color="auto"/>
          <w:bottom w:val="single" w:sz="4" w:space="1" w:color="auto"/>
          <w:right w:val="single" w:sz="4" w:space="4" w:color="auto"/>
        </w:pBdr>
        <w:shd w:val="clear" w:color="auto" w:fill="FDCBA0"/>
        <w:spacing w:after="0"/>
        <w:ind w:left="426" w:hanging="426"/>
      </w:pPr>
      <w:r>
        <w:t>a slight increase in labour force participation of 0.1 percentage point (to 79.8 per cent for 18 to 30 year olds).</w:t>
      </w:r>
    </w:p>
    <w:p w:rsidR="00637098" w:rsidRPr="001B00E5" w:rsidRDefault="00637098" w:rsidP="00637098">
      <w:pPr>
        <w:pBdr>
          <w:top w:val="single" w:sz="4" w:space="1" w:color="auto"/>
          <w:left w:val="single" w:sz="4" w:space="4" w:color="auto"/>
          <w:bottom w:val="single" w:sz="4" w:space="1" w:color="auto"/>
          <w:right w:val="single" w:sz="4" w:space="4" w:color="auto"/>
        </w:pBdr>
        <w:shd w:val="clear" w:color="auto" w:fill="FDCBA0"/>
        <w:spacing w:before="240" w:after="0"/>
      </w:pPr>
      <w:r>
        <w:t>The weak labour market conditions</w:t>
      </w:r>
      <w:r w:rsidR="009E63B4">
        <w:t xml:space="preserve"> for young people over the period studied</w:t>
      </w:r>
      <w:r>
        <w:t xml:space="preserve"> also limited their ability to find full-time work and consequent ability to exit income support.</w:t>
      </w:r>
    </w:p>
    <w:bookmarkEnd w:id="70"/>
    <w:p w:rsidR="00357781" w:rsidRDefault="0062635B" w:rsidP="00D84750">
      <w:pPr>
        <w:pStyle w:val="Heading3"/>
      </w:pPr>
      <w:r>
        <w:lastRenderedPageBreak/>
        <w:t>1.2.1</w:t>
      </w:r>
      <w:r>
        <w:tab/>
        <w:t>Labour market conditions for young adults</w:t>
      </w:r>
    </w:p>
    <w:p w:rsidR="007C2FF8" w:rsidRDefault="00E70C56" w:rsidP="00D84750">
      <w:r>
        <w:t>When</w:t>
      </w:r>
      <w:r w:rsidR="00554AD3">
        <w:t xml:space="preserve"> the JCB commenced, </w:t>
      </w:r>
      <w:r>
        <w:t>(</w:t>
      </w:r>
      <w:r w:rsidR="00554AD3">
        <w:t>July 2014</w:t>
      </w:r>
      <w:r>
        <w:t>)</w:t>
      </w:r>
      <w:r w:rsidR="00554AD3">
        <w:t>, there were around 4.3 million Australians aged 18 to 30</w:t>
      </w:r>
      <w:r w:rsidR="00554AD3">
        <w:rPr>
          <w:rStyle w:val="FootnoteReference"/>
        </w:rPr>
        <w:footnoteReference w:id="19"/>
      </w:r>
      <w:r w:rsidR="00554AD3">
        <w:t xml:space="preserve"> (representing 22.6 per cent of the population aged 15 and over). Of these, 79.7 per cent were in the labour force</w:t>
      </w:r>
      <w:r w:rsidR="00752453">
        <w:t xml:space="preserve"> (</w:t>
      </w:r>
      <w:r>
        <w:t>that is,</w:t>
      </w:r>
      <w:r w:rsidR="00752453">
        <w:t xml:space="preserve"> </w:t>
      </w:r>
      <w:r w:rsidR="008F39C8">
        <w:t xml:space="preserve">either </w:t>
      </w:r>
      <w:r w:rsidR="00752453">
        <w:t>working or actively seeking work)</w:t>
      </w:r>
      <w:r w:rsidR="00554AD3">
        <w:t>.</w:t>
      </w:r>
      <w:r w:rsidR="007C2FF8">
        <w:t xml:space="preserve"> </w:t>
      </w:r>
      <w:r w:rsidR="00357781">
        <w:t>Labour marke</w:t>
      </w:r>
      <w:r w:rsidR="00D84750">
        <w:t>t</w:t>
      </w:r>
      <w:r w:rsidR="00357781">
        <w:t xml:space="preserve"> conditions for these young </w:t>
      </w:r>
      <w:r w:rsidR="00D84750">
        <w:t>adults</w:t>
      </w:r>
      <w:r w:rsidR="00357781">
        <w:t xml:space="preserve"> were difficult</w:t>
      </w:r>
      <w:r w:rsidR="00BA5072">
        <w:t>,</w:t>
      </w:r>
      <w:r w:rsidR="00357781">
        <w:t xml:space="preserve"> as evidenced</w:t>
      </w:r>
      <w:r w:rsidR="00D84750">
        <w:t xml:space="preserve"> by</w:t>
      </w:r>
      <w:r w:rsidR="00357781">
        <w:t xml:space="preserve"> indicators such as the proportion who were LTU, and the young adult participation rate. Other labour market factors affecting </w:t>
      </w:r>
      <w:r w:rsidR="009C4D42">
        <w:t xml:space="preserve">young adults which may have affected the JCB </w:t>
      </w:r>
      <w:r w:rsidR="00357781">
        <w:t xml:space="preserve">include the </w:t>
      </w:r>
      <w:r w:rsidR="009C4D42">
        <w:t>rate of Not in Employment, Education or Training (NEET), the take-up of concurrent study and employment</w:t>
      </w:r>
      <w:r w:rsidR="00BA5072">
        <w:t>,</w:t>
      </w:r>
      <w:r w:rsidR="009C4D42">
        <w:t xml:space="preserve"> and participation in education and training.</w:t>
      </w:r>
    </w:p>
    <w:p w:rsidR="00086E6F" w:rsidRPr="006C4DB9" w:rsidRDefault="00086E6F" w:rsidP="00BC64A3">
      <w:pPr>
        <w:pStyle w:val="Heading4"/>
      </w:pPr>
      <w:r>
        <w:t xml:space="preserve">Proportion </w:t>
      </w:r>
      <w:r w:rsidR="009C4D42">
        <w:t xml:space="preserve">of unemployed young adults </w:t>
      </w:r>
      <w:r>
        <w:t>who are LTU</w:t>
      </w:r>
      <w:r w:rsidR="00405406">
        <w:t xml:space="preserve"> </w:t>
      </w:r>
    </w:p>
    <w:p w:rsidR="00E93A1C" w:rsidRDefault="00554AD3" w:rsidP="00E93A1C">
      <w:r>
        <w:t xml:space="preserve">As </w:t>
      </w:r>
      <w:r w:rsidR="00C962FC">
        <w:t xml:space="preserve">a result of </w:t>
      </w:r>
      <w:r w:rsidR="008F2971">
        <w:t xml:space="preserve">labour market </w:t>
      </w:r>
      <w:r w:rsidR="00782429">
        <w:t xml:space="preserve">conditions </w:t>
      </w:r>
      <w:r w:rsidR="00192EB8">
        <w:t xml:space="preserve">since the GFC </w:t>
      </w:r>
      <w:r>
        <w:t xml:space="preserve">and </w:t>
      </w:r>
      <w:r w:rsidR="00974732">
        <w:t xml:space="preserve">increasing </w:t>
      </w:r>
      <w:r>
        <w:t xml:space="preserve">job search </w:t>
      </w:r>
      <w:r w:rsidR="00974732">
        <w:t>duration</w:t>
      </w:r>
      <w:r>
        <w:t xml:space="preserve">, the </w:t>
      </w:r>
      <w:r w:rsidR="00D47F14">
        <w:t xml:space="preserve">proportion </w:t>
      </w:r>
      <w:r w:rsidR="00082B58">
        <w:t xml:space="preserve">of </w:t>
      </w:r>
      <w:r w:rsidR="00D47F14">
        <w:t xml:space="preserve">young </w:t>
      </w:r>
      <w:r w:rsidR="00974732">
        <w:t xml:space="preserve">job seekers </w:t>
      </w:r>
      <w:r w:rsidR="00D47F14">
        <w:t xml:space="preserve">who are </w:t>
      </w:r>
      <w:r>
        <w:t>long</w:t>
      </w:r>
      <w:r w:rsidR="00974732">
        <w:t>-</w:t>
      </w:r>
      <w:r>
        <w:t>term unemployed (LTU) has increased</w:t>
      </w:r>
      <w:r w:rsidR="00782429">
        <w:t xml:space="preserve"> </w:t>
      </w:r>
      <w:r w:rsidR="00171D6E">
        <w:t>(</w:t>
      </w:r>
      <w:r w:rsidR="00D47F14">
        <w:t>Figure 1.</w:t>
      </w:r>
      <w:r w:rsidR="00FE4265">
        <w:t>1</w:t>
      </w:r>
      <w:r w:rsidR="00D47F14">
        <w:t>)</w:t>
      </w:r>
      <w:r w:rsidR="00974732">
        <w:t>.</w:t>
      </w:r>
      <w:r>
        <w:rPr>
          <w:rStyle w:val="FootnoteReference"/>
        </w:rPr>
        <w:footnoteReference w:id="20"/>
      </w:r>
    </w:p>
    <w:p w:rsidR="00086E6F" w:rsidRPr="00D83A7E" w:rsidRDefault="00086E6F" w:rsidP="005314B7">
      <w:pPr>
        <w:pStyle w:val="FigureCaption"/>
      </w:pPr>
      <w:bookmarkStart w:id="71" w:name="_Toc507600272"/>
      <w:r w:rsidRPr="00D83A7E">
        <w:t>Figure 1.</w:t>
      </w:r>
      <w:r w:rsidR="008C5C42">
        <w:t>1</w:t>
      </w:r>
      <w:r w:rsidRPr="00D83A7E">
        <w:t xml:space="preserve">: </w:t>
      </w:r>
      <w:r w:rsidR="00177A76">
        <w:t>Proportion of u</w:t>
      </w:r>
      <w:r w:rsidR="00325751">
        <w:t>nemployed</w:t>
      </w:r>
      <w:r w:rsidR="00554AD3">
        <w:t xml:space="preserve"> </w:t>
      </w:r>
      <w:r w:rsidR="00E93A1C">
        <w:t xml:space="preserve">15 to 24 years </w:t>
      </w:r>
      <w:r w:rsidR="00177A76">
        <w:t>olds who were LTU</w:t>
      </w:r>
      <w:bookmarkEnd w:id="71"/>
    </w:p>
    <w:p w:rsidR="00C33265" w:rsidRDefault="0069351E" w:rsidP="00534D00">
      <w:pPr>
        <w:pStyle w:val="Source"/>
        <w:keepNext/>
        <w:keepLines/>
      </w:pPr>
      <w:r w:rsidRPr="0069351E">
        <w:rPr>
          <w:noProof/>
          <w:lang w:eastAsia="en-AU"/>
        </w:rPr>
        <w:drawing>
          <wp:inline distT="0" distB="0" distL="0" distR="0" wp14:anchorId="17ADC8A2" wp14:editId="00F69AC4">
            <wp:extent cx="5731510" cy="4248978"/>
            <wp:effectExtent l="0" t="0" r="2540" b="0"/>
            <wp:docPr id="35" name="Picture 35" descr="Line chart showing that the proportion of unemployed 15 to 24 year olds who had been unemployed at least 12 months had more than doubled between the GFC (when it was around 8 per cent) and the start of the JCB program (when it was around 18 per cent), with the proportion levelling off during the 2½ year period that the JCB was in ope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4248978"/>
                    </a:xfrm>
                    <a:prstGeom prst="rect">
                      <a:avLst/>
                    </a:prstGeom>
                    <a:noFill/>
                    <a:ln>
                      <a:noFill/>
                    </a:ln>
                  </pic:spPr>
                </pic:pic>
              </a:graphicData>
            </a:graphic>
          </wp:inline>
        </w:drawing>
      </w:r>
    </w:p>
    <w:p w:rsidR="00086E6F" w:rsidRPr="00C33265" w:rsidRDefault="00086E6F" w:rsidP="00534D00">
      <w:pPr>
        <w:pStyle w:val="Source"/>
        <w:rPr>
          <w:b w:val="0"/>
        </w:rPr>
      </w:pPr>
      <w:r>
        <w:t xml:space="preserve">Source: </w:t>
      </w:r>
      <w:r w:rsidRPr="00C33265">
        <w:rPr>
          <w:b w:val="0"/>
        </w:rPr>
        <w:t>ABS Cat. 6291.0.55.001</w:t>
      </w:r>
      <w:r w:rsidR="003D0246">
        <w:rPr>
          <w:b w:val="0"/>
        </w:rPr>
        <w:t xml:space="preserve"> Labour Force Survey, Australia, electronic delivery.</w:t>
      </w:r>
    </w:p>
    <w:p w:rsidR="00637098" w:rsidRDefault="00637098" w:rsidP="00637098">
      <w:pPr>
        <w:spacing w:before="240"/>
      </w:pPr>
      <w:r>
        <w:t xml:space="preserve">Since the introduction of the JCB, the percentage of LTU job seekers aged 15-24 has stabilised (averaging 17.7 per cent during the 2½ year period of the JCB program compared with increasing to 17.2 per cent in June 2014 from 8.5 per cent in September 2008). Young adults, however, are still </w:t>
      </w:r>
      <w:r>
        <w:lastRenderedPageBreak/>
        <w:t>overrepresented in LTU figures. As at December 2016, people aged 15-24 comprised 17.7 per cent of the total labour force, but around 28.3 per cent of LTU job seekers.</w:t>
      </w:r>
    </w:p>
    <w:p w:rsidR="00086E6F" w:rsidRPr="004548A8" w:rsidRDefault="00086E6F" w:rsidP="00BC64A3">
      <w:pPr>
        <w:pStyle w:val="Heading4"/>
      </w:pPr>
      <w:r w:rsidRPr="004548A8">
        <w:t>Participation rate</w:t>
      </w:r>
    </w:p>
    <w:p w:rsidR="008B5B92" w:rsidRDefault="00554AD3" w:rsidP="00554AD3">
      <w:pPr>
        <w:spacing w:before="240" w:after="0"/>
      </w:pPr>
      <w:r w:rsidRPr="004548A8">
        <w:t xml:space="preserve">Labour </w:t>
      </w:r>
      <w:r w:rsidR="008B5B92">
        <w:t>force</w:t>
      </w:r>
      <w:r w:rsidR="008B5B92" w:rsidRPr="004548A8">
        <w:t xml:space="preserve"> </w:t>
      </w:r>
      <w:r w:rsidRPr="00FB76E9">
        <w:t>participation</w:t>
      </w:r>
      <w:r w:rsidR="00FB76E9" w:rsidRPr="00FB76E9">
        <w:rPr>
          <w:rStyle w:val="FootnoteReference"/>
        </w:rPr>
        <w:footnoteReference w:id="21"/>
      </w:r>
      <w:r w:rsidRPr="00FB76E9">
        <w:t xml:space="preserve"> for</w:t>
      </w:r>
      <w:r w:rsidRPr="004548A8">
        <w:t xml:space="preserve"> 18</w:t>
      </w:r>
      <w:r>
        <w:t xml:space="preserve"> to </w:t>
      </w:r>
      <w:r w:rsidRPr="004548A8">
        <w:t xml:space="preserve">30 year olds </w:t>
      </w:r>
      <w:r>
        <w:t>has generally been trending downwards</w:t>
      </w:r>
      <w:r w:rsidR="00DE6F1D">
        <w:t xml:space="preserve"> to September 2014, before flattening, </w:t>
      </w:r>
      <w:r>
        <w:t>decreas</w:t>
      </w:r>
      <w:r w:rsidR="00DE6F1D">
        <w:t>ing</w:t>
      </w:r>
      <w:r>
        <w:t xml:space="preserve"> by around </w:t>
      </w:r>
      <w:r w:rsidR="00FF18B8">
        <w:t xml:space="preserve">2 </w:t>
      </w:r>
      <w:r>
        <w:t>percentage points between September 2008 and December 2016 (from 81.</w:t>
      </w:r>
      <w:r w:rsidR="00482D1F">
        <w:t>8 </w:t>
      </w:r>
      <w:r>
        <w:t xml:space="preserve">per cent to 79.8 per cent). </w:t>
      </w:r>
      <w:r w:rsidR="008B5B92">
        <w:t>Over this period the male labour force participation rate decreased by 2.</w:t>
      </w:r>
      <w:r w:rsidR="00482D1F">
        <w:t>7 </w:t>
      </w:r>
      <w:r w:rsidR="008B5B92">
        <w:t xml:space="preserve">percentage points, while the decline was less for females (1.2 percentage points) </w:t>
      </w:r>
      <w:r w:rsidRPr="00CA63AA">
        <w:t>(Figure </w:t>
      </w:r>
      <w:r w:rsidR="00B73E22">
        <w:t>1.2)</w:t>
      </w:r>
      <w:r w:rsidRPr="00CA63AA">
        <w:t>.</w:t>
      </w:r>
      <w:r w:rsidR="00D47F14">
        <w:t xml:space="preserve"> </w:t>
      </w:r>
      <w:r w:rsidR="008B5B92">
        <w:t>As economic conditions moderated somewhat</w:t>
      </w:r>
      <w:r w:rsidR="00974732">
        <w:t>,</w:t>
      </w:r>
      <w:r w:rsidR="008B5B92">
        <w:t xml:space="preserve"> participation increased.</w:t>
      </w:r>
    </w:p>
    <w:p w:rsidR="00554AD3" w:rsidRPr="003A4B00" w:rsidRDefault="008B5B92" w:rsidP="00554AD3">
      <w:pPr>
        <w:spacing w:before="240" w:after="0"/>
      </w:pPr>
      <w:r>
        <w:t>Changes in full-time education participation rates and NEET rates, related to this decline in labour force participation</w:t>
      </w:r>
      <w:r w:rsidR="00A93F19">
        <w:t>.</w:t>
      </w:r>
    </w:p>
    <w:p w:rsidR="00086E6F" w:rsidRPr="00D83A7E" w:rsidRDefault="00086E6F" w:rsidP="005314B7">
      <w:pPr>
        <w:pStyle w:val="FigureCaption"/>
      </w:pPr>
      <w:bookmarkStart w:id="72" w:name="_Toc507600273"/>
      <w:r w:rsidRPr="00D83A7E">
        <w:t>Figure 1.</w:t>
      </w:r>
      <w:r w:rsidR="00B73E22">
        <w:t>2</w:t>
      </w:r>
      <w:r w:rsidRPr="00D83A7E">
        <w:t xml:space="preserve">: Labour </w:t>
      </w:r>
      <w:r w:rsidR="008B5B92">
        <w:t>force</w:t>
      </w:r>
      <w:r w:rsidR="008B5B92" w:rsidRPr="00D83A7E">
        <w:t xml:space="preserve"> </w:t>
      </w:r>
      <w:r w:rsidRPr="00D83A7E">
        <w:t>participation rate for 18 to 30 year olds, 2008 to 2016</w:t>
      </w:r>
      <w:bookmarkEnd w:id="72"/>
    </w:p>
    <w:p w:rsidR="0090656D" w:rsidRDefault="00F25DC1" w:rsidP="0090656D">
      <w:pPr>
        <w:keepNext/>
        <w:keepLines/>
        <w:spacing w:after="0"/>
      </w:pPr>
      <w:r w:rsidRPr="00F25DC1">
        <w:rPr>
          <w:noProof/>
          <w:lang w:eastAsia="en-AU"/>
        </w:rPr>
        <w:drawing>
          <wp:inline distT="0" distB="0" distL="0" distR="0" wp14:anchorId="0F9BEF41" wp14:editId="6C363DDE">
            <wp:extent cx="5731510" cy="3298440"/>
            <wp:effectExtent l="0" t="0" r="2540" b="0"/>
            <wp:docPr id="12" name="Picture 12" descr="Line chart showing the falling labour force participation rates for both males and females aged 18 to 30 years old from September 2008 to December 2016. The male rate has fallen faster than the female rate, but was approximately 9 percentage points higher than the female rate at the end of the JCB program in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298440"/>
                    </a:xfrm>
                    <a:prstGeom prst="rect">
                      <a:avLst/>
                    </a:prstGeom>
                    <a:noFill/>
                    <a:ln>
                      <a:noFill/>
                    </a:ln>
                  </pic:spPr>
                </pic:pic>
              </a:graphicData>
            </a:graphic>
          </wp:inline>
        </w:drawing>
      </w:r>
    </w:p>
    <w:p w:rsidR="00086E6F" w:rsidRPr="002F2710" w:rsidRDefault="00086E6F" w:rsidP="004C5B83">
      <w:pPr>
        <w:pStyle w:val="Source"/>
      </w:pPr>
      <w:r w:rsidRPr="0090656D">
        <w:t>Source:</w:t>
      </w:r>
      <w:r>
        <w:t xml:space="preserve"> </w:t>
      </w:r>
      <w:r w:rsidR="00A162B9" w:rsidRPr="00A162B9">
        <w:rPr>
          <w:b w:val="0"/>
        </w:rPr>
        <w:t>Customised data extract</w:t>
      </w:r>
      <w:r w:rsidR="002F2710" w:rsidRPr="00A162B9">
        <w:rPr>
          <w:b w:val="0"/>
        </w:rPr>
        <w:t xml:space="preserve"> provided</w:t>
      </w:r>
      <w:r w:rsidR="002F2710" w:rsidRPr="004C5B83">
        <w:rPr>
          <w:b w:val="0"/>
        </w:rPr>
        <w:t xml:space="preserve"> by the ABS from the </w:t>
      </w:r>
      <w:r w:rsidR="002F2710" w:rsidRPr="003D0246">
        <w:rPr>
          <w:b w:val="0"/>
        </w:rPr>
        <w:t xml:space="preserve">Labour Force </w:t>
      </w:r>
      <w:r w:rsidR="003D0246" w:rsidRPr="003D0246">
        <w:rPr>
          <w:b w:val="0"/>
        </w:rPr>
        <w:t>S</w:t>
      </w:r>
      <w:r w:rsidR="002F2710" w:rsidRPr="003D0246">
        <w:rPr>
          <w:b w:val="0"/>
        </w:rPr>
        <w:t>urvey, Australia</w:t>
      </w:r>
      <w:r w:rsidR="002F2710" w:rsidRPr="004C5B83">
        <w:rPr>
          <w:b w:val="0"/>
        </w:rPr>
        <w:t>. Calculations conducted by the Department of Employment, using 12 month moving averages.</w:t>
      </w:r>
    </w:p>
    <w:p w:rsidR="00086E6F" w:rsidRDefault="00086E6F" w:rsidP="00BC64A3">
      <w:pPr>
        <w:pStyle w:val="Heading4"/>
      </w:pPr>
      <w:r>
        <w:t xml:space="preserve">Not in </w:t>
      </w:r>
      <w:r w:rsidR="00974732">
        <w:t>E</w:t>
      </w:r>
      <w:r>
        <w:t xml:space="preserve">mployment, </w:t>
      </w:r>
      <w:r w:rsidR="00974732">
        <w:t>E</w:t>
      </w:r>
      <w:r>
        <w:t xml:space="preserve">ducation or </w:t>
      </w:r>
      <w:r w:rsidR="00974732">
        <w:t>T</w:t>
      </w:r>
      <w:r>
        <w:t>raining</w:t>
      </w:r>
      <w:r w:rsidR="00FC3DB8">
        <w:t xml:space="preserve"> (NEET)</w:t>
      </w:r>
    </w:p>
    <w:p w:rsidR="002F2710" w:rsidRDefault="002F2710" w:rsidP="002F2710">
      <w:r>
        <w:t xml:space="preserve">Around one in ten people (9.9 per </w:t>
      </w:r>
      <w:r w:rsidRPr="00FB76E9">
        <w:t>cent)</w:t>
      </w:r>
      <w:r w:rsidR="00FB76E9" w:rsidRPr="00FB76E9">
        <w:rPr>
          <w:rStyle w:val="FootnoteReference"/>
        </w:rPr>
        <w:footnoteReference w:id="22"/>
      </w:r>
      <w:r w:rsidRPr="00FB76E9">
        <w:t xml:space="preserve"> aged</w:t>
      </w:r>
      <w:r>
        <w:t xml:space="preserve"> 18 to 30 </w:t>
      </w:r>
      <w:r w:rsidR="00993A78">
        <w:t xml:space="preserve">over the course of JCB </w:t>
      </w:r>
      <w:r>
        <w:t xml:space="preserve">were </w:t>
      </w:r>
      <w:r w:rsidR="00974732">
        <w:t>N</w:t>
      </w:r>
      <w:r>
        <w:t xml:space="preserve">EET. This group </w:t>
      </w:r>
      <w:r w:rsidR="00785C02">
        <w:t>should</w:t>
      </w:r>
      <w:r>
        <w:t xml:space="preserve"> be considered when looking at labour force participation rates. The OECD </w:t>
      </w:r>
      <w:r w:rsidRPr="00FB76E9">
        <w:t>(2016)</w:t>
      </w:r>
      <w:r w:rsidR="00FB76E9" w:rsidRPr="00FB76E9">
        <w:rPr>
          <w:rStyle w:val="FootnoteReference"/>
        </w:rPr>
        <w:footnoteReference w:id="23"/>
      </w:r>
      <w:r>
        <w:t xml:space="preserve"> </w:t>
      </w:r>
      <w:r>
        <w:lastRenderedPageBreak/>
        <w:t>identify that low educational attainment is the most important driver of NEET status. Other cohorts including young mothers, Indigenous youth and youth with disabilit</w:t>
      </w:r>
      <w:r w:rsidR="00974732">
        <w:t>y</w:t>
      </w:r>
      <w:r>
        <w:t xml:space="preserve"> also experience higher NEET </w:t>
      </w:r>
      <w:r w:rsidRPr="00CA63AA">
        <w:t>rates.</w:t>
      </w:r>
    </w:p>
    <w:p w:rsidR="002F2710" w:rsidRDefault="002F2710" w:rsidP="002F2710">
      <w:r>
        <w:t>T</w:t>
      </w:r>
      <w:r w:rsidR="00E10781">
        <w:t>able 1.</w:t>
      </w:r>
      <w:r w:rsidR="006561A8">
        <w:t xml:space="preserve">2 </w:t>
      </w:r>
      <w:r>
        <w:t xml:space="preserve">shows average NEET rates for 18 to 30 </w:t>
      </w:r>
      <w:r w:rsidR="00EA22EC">
        <w:t xml:space="preserve">year olds </w:t>
      </w:r>
      <w:r>
        <w:t>over the JCB operatin</w:t>
      </w:r>
      <w:r w:rsidR="00A93F19">
        <w:t>g period</w:t>
      </w:r>
      <w:r>
        <w:t>. Females have higher NEET rates than males, especially in the 25 to 30 age group, while NEET rates are greater in regional compared with metropolitan</w:t>
      </w:r>
      <w:r w:rsidR="00A93F19">
        <w:t xml:space="preserve"> areas</w:t>
      </w:r>
      <w:r>
        <w:t>.</w:t>
      </w:r>
      <w:r w:rsidR="00785C02">
        <w:t xml:space="preserve"> </w:t>
      </w:r>
      <w:r>
        <w:t>The majority of NEET young adults (74.6 per cent of males and 88.7 per cent of females) were not looking for work.</w:t>
      </w:r>
    </w:p>
    <w:p w:rsidR="00086E6F" w:rsidRPr="00D83A7E" w:rsidRDefault="002F2710" w:rsidP="002F2710">
      <w:pPr>
        <w:pStyle w:val="TableCaption"/>
      </w:pPr>
      <w:bookmarkStart w:id="73" w:name="_Toc507600303"/>
      <w:r>
        <w:t xml:space="preserve">Table </w:t>
      </w:r>
      <w:r w:rsidR="00086E6F" w:rsidRPr="00D83A7E">
        <w:t>1.</w:t>
      </w:r>
      <w:r w:rsidR="006561A8">
        <w:t>2</w:t>
      </w:r>
      <w:r w:rsidR="00086E6F" w:rsidRPr="00D83A7E">
        <w:t>: Average NEET rates for 18 to 30 year olds, July 2014 to December 2016, selected characteristics</w:t>
      </w:r>
      <w:r w:rsidR="00534D00">
        <w:t xml:space="preserve"> (per cent)</w:t>
      </w:r>
      <w:bookmarkEnd w:id="73"/>
    </w:p>
    <w:tbl>
      <w:tblPr>
        <w:tblStyle w:val="APSAccessibilitytable"/>
        <w:tblW w:w="0" w:type="auto"/>
        <w:tblLook w:val="04A0" w:firstRow="1" w:lastRow="0" w:firstColumn="1" w:lastColumn="0" w:noHBand="0" w:noVBand="1"/>
        <w:tblDescription w:val="Table 1.2: Average NEET rates for 18 to 30 year olds, July 2014 to December 2016, selected characteristics (per cent)"/>
      </w:tblPr>
      <w:tblGrid>
        <w:gridCol w:w="4786"/>
        <w:gridCol w:w="3167"/>
      </w:tblGrid>
      <w:tr w:rsidR="00086E6F" w:rsidTr="008A507B">
        <w:trPr>
          <w:cnfStyle w:val="100000000000" w:firstRow="1" w:lastRow="0" w:firstColumn="0" w:lastColumn="0" w:oddVBand="0" w:evenVBand="0" w:oddHBand="0" w:evenHBand="0" w:firstRowFirstColumn="0" w:firstRowLastColumn="0" w:lastRowFirstColumn="0" w:lastRowLastColumn="0"/>
          <w:trHeight w:val="378"/>
          <w:tblHead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086E6F" w:rsidRPr="006B181D" w:rsidRDefault="00086E6F" w:rsidP="002158D9">
            <w:pPr>
              <w:keepNext/>
              <w:jc w:val="left"/>
              <w:rPr>
                <w:sz w:val="20"/>
                <w:szCs w:val="20"/>
              </w:rPr>
            </w:pPr>
            <w:bookmarkStart w:id="74" w:name="Title_13"/>
            <w:bookmarkEnd w:id="74"/>
            <w:r w:rsidRPr="006B181D">
              <w:rPr>
                <w:sz w:val="20"/>
                <w:szCs w:val="20"/>
              </w:rPr>
              <w:t>Characteristic</w:t>
            </w:r>
          </w:p>
        </w:tc>
        <w:tc>
          <w:tcPr>
            <w:tcW w:w="3167" w:type="dxa"/>
            <w:vAlign w:val="center"/>
          </w:tcPr>
          <w:p w:rsidR="00086E6F" w:rsidRPr="006B181D" w:rsidRDefault="00534D00" w:rsidP="002158D9">
            <w:pPr>
              <w:keepNext/>
              <w:cnfStyle w:val="100000000000" w:firstRow="1" w:lastRow="0" w:firstColumn="0" w:lastColumn="0" w:oddVBand="0" w:evenVBand="0" w:oddHBand="0" w:evenHBand="0" w:firstRowFirstColumn="0" w:firstRowLastColumn="0" w:lastRowFirstColumn="0" w:lastRowLastColumn="0"/>
              <w:rPr>
                <w:sz w:val="20"/>
                <w:szCs w:val="20"/>
              </w:rPr>
            </w:pPr>
            <w:r w:rsidRPr="006B181D">
              <w:rPr>
                <w:sz w:val="20"/>
                <w:szCs w:val="20"/>
              </w:rPr>
              <w:t>Average NEET rate</w:t>
            </w:r>
            <w:r w:rsidR="00EA22EC" w:rsidRPr="006B181D">
              <w:rPr>
                <w:sz w:val="20"/>
                <w:szCs w:val="20"/>
              </w:rPr>
              <w:t xml:space="preserve"> </w:t>
            </w:r>
            <w:r w:rsidRPr="006B181D">
              <w:rPr>
                <w:sz w:val="20"/>
                <w:szCs w:val="20"/>
              </w:rPr>
              <w:t>(%)</w:t>
            </w:r>
          </w:p>
        </w:tc>
      </w:tr>
      <w:tr w:rsidR="00086E6F" w:rsidTr="008A507B">
        <w:trPr>
          <w:trHeight w:hRule="exact" w:val="397"/>
        </w:trPr>
        <w:tc>
          <w:tcPr>
            <w:cnfStyle w:val="001000000000" w:firstRow="0" w:lastRow="0" w:firstColumn="1" w:lastColumn="0" w:oddVBand="0" w:evenVBand="0" w:oddHBand="0" w:evenHBand="0" w:firstRowFirstColumn="0" w:firstRowLastColumn="0" w:lastRowFirstColumn="0" w:lastRowLastColumn="0"/>
            <w:tcW w:w="4786" w:type="dxa"/>
            <w:vAlign w:val="center"/>
          </w:tcPr>
          <w:p w:rsidR="00086E6F" w:rsidRPr="006B181D" w:rsidRDefault="00086E6F" w:rsidP="002158D9">
            <w:pPr>
              <w:keepNext/>
              <w:rPr>
                <w:sz w:val="20"/>
                <w:szCs w:val="20"/>
              </w:rPr>
            </w:pPr>
            <w:r w:rsidRPr="006B181D">
              <w:rPr>
                <w:sz w:val="20"/>
                <w:szCs w:val="20"/>
              </w:rPr>
              <w:t>Males, 18-24 years</w:t>
            </w:r>
          </w:p>
        </w:tc>
        <w:tc>
          <w:tcPr>
            <w:tcW w:w="3167" w:type="dxa"/>
            <w:vAlign w:val="center"/>
          </w:tcPr>
          <w:p w:rsidR="00086E6F" w:rsidRPr="006B181D" w:rsidRDefault="00086E6F" w:rsidP="002158D9">
            <w:pPr>
              <w:keepNext/>
              <w:ind w:right="1335"/>
              <w:jc w:val="right"/>
              <w:cnfStyle w:val="000000000000" w:firstRow="0" w:lastRow="0" w:firstColumn="0" w:lastColumn="0" w:oddVBand="0" w:evenVBand="0" w:oddHBand="0" w:evenHBand="0" w:firstRowFirstColumn="0" w:firstRowLastColumn="0" w:lastRowFirstColumn="0" w:lastRowLastColumn="0"/>
              <w:rPr>
                <w:sz w:val="20"/>
                <w:szCs w:val="20"/>
              </w:rPr>
            </w:pPr>
            <w:r w:rsidRPr="006B181D">
              <w:rPr>
                <w:sz w:val="20"/>
                <w:szCs w:val="20"/>
              </w:rPr>
              <w:t>6.0</w:t>
            </w:r>
          </w:p>
        </w:tc>
      </w:tr>
      <w:tr w:rsidR="00086E6F" w:rsidTr="008A507B">
        <w:trPr>
          <w:cnfStyle w:val="000000010000" w:firstRow="0" w:lastRow="0" w:firstColumn="0" w:lastColumn="0" w:oddVBand="0" w:evenVBand="0" w:oddHBand="0" w:evenHBand="1"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4786" w:type="dxa"/>
            <w:shd w:val="clear" w:color="auto" w:fill="E5E5E5" w:themeFill="background1" w:themeFillTint="33"/>
            <w:vAlign w:val="center"/>
          </w:tcPr>
          <w:p w:rsidR="00086E6F" w:rsidRPr="006B181D" w:rsidRDefault="00086E6F" w:rsidP="002158D9">
            <w:pPr>
              <w:keepNext/>
              <w:rPr>
                <w:sz w:val="20"/>
                <w:szCs w:val="20"/>
              </w:rPr>
            </w:pPr>
            <w:r w:rsidRPr="006B181D">
              <w:rPr>
                <w:sz w:val="20"/>
                <w:szCs w:val="20"/>
              </w:rPr>
              <w:t>Males, 25-30 years</w:t>
            </w:r>
          </w:p>
        </w:tc>
        <w:tc>
          <w:tcPr>
            <w:tcW w:w="3167" w:type="dxa"/>
            <w:shd w:val="clear" w:color="auto" w:fill="E5E5E5" w:themeFill="background1" w:themeFillTint="33"/>
            <w:vAlign w:val="center"/>
          </w:tcPr>
          <w:p w:rsidR="00086E6F" w:rsidRPr="006B181D" w:rsidRDefault="00086E6F" w:rsidP="002158D9">
            <w:pPr>
              <w:keepNext/>
              <w:ind w:right="1335"/>
              <w:jc w:val="right"/>
              <w:cnfStyle w:val="000000010000" w:firstRow="0" w:lastRow="0" w:firstColumn="0" w:lastColumn="0" w:oddVBand="0" w:evenVBand="0" w:oddHBand="0" w:evenHBand="1" w:firstRowFirstColumn="0" w:firstRowLastColumn="0" w:lastRowFirstColumn="0" w:lastRowLastColumn="0"/>
              <w:rPr>
                <w:sz w:val="20"/>
                <w:szCs w:val="20"/>
              </w:rPr>
            </w:pPr>
            <w:r w:rsidRPr="006B181D">
              <w:rPr>
                <w:sz w:val="20"/>
                <w:szCs w:val="20"/>
              </w:rPr>
              <w:t>6.3</w:t>
            </w:r>
          </w:p>
        </w:tc>
      </w:tr>
      <w:tr w:rsidR="00086E6F" w:rsidTr="008A507B">
        <w:trPr>
          <w:trHeight w:hRule="exact" w:val="397"/>
        </w:trPr>
        <w:tc>
          <w:tcPr>
            <w:cnfStyle w:val="001000000000" w:firstRow="0" w:lastRow="0" w:firstColumn="1" w:lastColumn="0" w:oddVBand="0" w:evenVBand="0" w:oddHBand="0" w:evenHBand="0" w:firstRowFirstColumn="0" w:firstRowLastColumn="0" w:lastRowFirstColumn="0" w:lastRowLastColumn="0"/>
            <w:tcW w:w="4786" w:type="dxa"/>
            <w:vAlign w:val="center"/>
          </w:tcPr>
          <w:p w:rsidR="00086E6F" w:rsidRPr="006B181D" w:rsidRDefault="00086E6F" w:rsidP="002158D9">
            <w:pPr>
              <w:keepNext/>
              <w:rPr>
                <w:sz w:val="20"/>
                <w:szCs w:val="20"/>
              </w:rPr>
            </w:pPr>
            <w:r w:rsidRPr="006B181D">
              <w:rPr>
                <w:sz w:val="20"/>
                <w:szCs w:val="20"/>
              </w:rPr>
              <w:t>Males, 18- 30 years</w:t>
            </w:r>
          </w:p>
        </w:tc>
        <w:tc>
          <w:tcPr>
            <w:tcW w:w="3167" w:type="dxa"/>
            <w:vAlign w:val="center"/>
          </w:tcPr>
          <w:p w:rsidR="00086E6F" w:rsidRPr="006B181D" w:rsidRDefault="00086E6F" w:rsidP="002158D9">
            <w:pPr>
              <w:keepNext/>
              <w:ind w:right="1335"/>
              <w:jc w:val="right"/>
              <w:cnfStyle w:val="000000000000" w:firstRow="0" w:lastRow="0" w:firstColumn="0" w:lastColumn="0" w:oddVBand="0" w:evenVBand="0" w:oddHBand="0" w:evenHBand="0" w:firstRowFirstColumn="0" w:firstRowLastColumn="0" w:lastRowFirstColumn="0" w:lastRowLastColumn="0"/>
              <w:rPr>
                <w:sz w:val="20"/>
                <w:szCs w:val="20"/>
              </w:rPr>
            </w:pPr>
            <w:r w:rsidRPr="006B181D">
              <w:rPr>
                <w:sz w:val="20"/>
                <w:szCs w:val="20"/>
              </w:rPr>
              <w:t>6.1</w:t>
            </w:r>
          </w:p>
        </w:tc>
      </w:tr>
      <w:tr w:rsidR="00086E6F" w:rsidTr="008A507B">
        <w:trPr>
          <w:cnfStyle w:val="000000010000" w:firstRow="0" w:lastRow="0" w:firstColumn="0" w:lastColumn="0" w:oddVBand="0" w:evenVBand="0" w:oddHBand="0" w:evenHBand="1"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4786" w:type="dxa"/>
            <w:shd w:val="clear" w:color="auto" w:fill="E5E5E5" w:themeFill="background1" w:themeFillTint="33"/>
            <w:vAlign w:val="center"/>
          </w:tcPr>
          <w:p w:rsidR="00086E6F" w:rsidRPr="006B181D" w:rsidRDefault="00086E6F" w:rsidP="002158D9">
            <w:pPr>
              <w:keepNext/>
              <w:rPr>
                <w:sz w:val="20"/>
                <w:szCs w:val="20"/>
              </w:rPr>
            </w:pPr>
            <w:r w:rsidRPr="006B181D">
              <w:rPr>
                <w:sz w:val="20"/>
                <w:szCs w:val="20"/>
              </w:rPr>
              <w:t>Females, 18-24 years</w:t>
            </w:r>
          </w:p>
        </w:tc>
        <w:tc>
          <w:tcPr>
            <w:tcW w:w="3167" w:type="dxa"/>
            <w:shd w:val="clear" w:color="auto" w:fill="E5E5E5" w:themeFill="background1" w:themeFillTint="33"/>
            <w:vAlign w:val="center"/>
          </w:tcPr>
          <w:p w:rsidR="00086E6F" w:rsidRPr="006B181D" w:rsidRDefault="00086E6F" w:rsidP="002158D9">
            <w:pPr>
              <w:keepNext/>
              <w:ind w:right="1335"/>
              <w:jc w:val="right"/>
              <w:cnfStyle w:val="000000010000" w:firstRow="0" w:lastRow="0" w:firstColumn="0" w:lastColumn="0" w:oddVBand="0" w:evenVBand="0" w:oddHBand="0" w:evenHBand="1" w:firstRowFirstColumn="0" w:firstRowLastColumn="0" w:lastRowFirstColumn="0" w:lastRowLastColumn="0"/>
              <w:rPr>
                <w:sz w:val="20"/>
                <w:szCs w:val="20"/>
              </w:rPr>
            </w:pPr>
            <w:r w:rsidRPr="006B181D">
              <w:rPr>
                <w:sz w:val="20"/>
                <w:szCs w:val="20"/>
              </w:rPr>
              <w:t>9.3</w:t>
            </w:r>
          </w:p>
        </w:tc>
      </w:tr>
      <w:tr w:rsidR="00086E6F" w:rsidTr="008A507B">
        <w:trPr>
          <w:trHeight w:hRule="exact" w:val="397"/>
        </w:trPr>
        <w:tc>
          <w:tcPr>
            <w:cnfStyle w:val="001000000000" w:firstRow="0" w:lastRow="0" w:firstColumn="1" w:lastColumn="0" w:oddVBand="0" w:evenVBand="0" w:oddHBand="0" w:evenHBand="0" w:firstRowFirstColumn="0" w:firstRowLastColumn="0" w:lastRowFirstColumn="0" w:lastRowLastColumn="0"/>
            <w:tcW w:w="4786" w:type="dxa"/>
            <w:vAlign w:val="center"/>
          </w:tcPr>
          <w:p w:rsidR="00086E6F" w:rsidRPr="006B181D" w:rsidRDefault="00086E6F" w:rsidP="002158D9">
            <w:pPr>
              <w:keepNext/>
              <w:rPr>
                <w:sz w:val="20"/>
                <w:szCs w:val="20"/>
              </w:rPr>
            </w:pPr>
            <w:r w:rsidRPr="006B181D">
              <w:rPr>
                <w:sz w:val="20"/>
                <w:szCs w:val="20"/>
              </w:rPr>
              <w:t>Females, 25-30 years</w:t>
            </w:r>
          </w:p>
        </w:tc>
        <w:tc>
          <w:tcPr>
            <w:tcW w:w="3167" w:type="dxa"/>
            <w:vAlign w:val="center"/>
          </w:tcPr>
          <w:p w:rsidR="00086E6F" w:rsidRPr="006B181D" w:rsidRDefault="00086E6F" w:rsidP="002158D9">
            <w:pPr>
              <w:keepNext/>
              <w:ind w:right="1335"/>
              <w:jc w:val="right"/>
              <w:cnfStyle w:val="000000000000" w:firstRow="0" w:lastRow="0" w:firstColumn="0" w:lastColumn="0" w:oddVBand="0" w:evenVBand="0" w:oddHBand="0" w:evenHBand="0" w:firstRowFirstColumn="0" w:firstRowLastColumn="0" w:lastRowFirstColumn="0" w:lastRowLastColumn="0"/>
              <w:rPr>
                <w:sz w:val="20"/>
                <w:szCs w:val="20"/>
              </w:rPr>
            </w:pPr>
            <w:r w:rsidRPr="006B181D">
              <w:rPr>
                <w:sz w:val="20"/>
                <w:szCs w:val="20"/>
              </w:rPr>
              <w:t>18.6</w:t>
            </w:r>
          </w:p>
        </w:tc>
      </w:tr>
      <w:tr w:rsidR="00086E6F" w:rsidTr="008A507B">
        <w:trPr>
          <w:cnfStyle w:val="000000010000" w:firstRow="0" w:lastRow="0" w:firstColumn="0" w:lastColumn="0" w:oddVBand="0" w:evenVBand="0" w:oddHBand="0" w:evenHBand="1"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4786" w:type="dxa"/>
            <w:shd w:val="clear" w:color="auto" w:fill="E5E5E5" w:themeFill="background1" w:themeFillTint="33"/>
            <w:vAlign w:val="center"/>
          </w:tcPr>
          <w:p w:rsidR="00086E6F" w:rsidRPr="006B181D" w:rsidRDefault="00086E6F" w:rsidP="002158D9">
            <w:pPr>
              <w:keepNext/>
              <w:rPr>
                <w:sz w:val="20"/>
                <w:szCs w:val="20"/>
              </w:rPr>
            </w:pPr>
            <w:r w:rsidRPr="006B181D">
              <w:rPr>
                <w:sz w:val="20"/>
                <w:szCs w:val="20"/>
              </w:rPr>
              <w:t>Females, 18 – 30 years</w:t>
            </w:r>
          </w:p>
        </w:tc>
        <w:tc>
          <w:tcPr>
            <w:tcW w:w="3167" w:type="dxa"/>
            <w:shd w:val="clear" w:color="auto" w:fill="E5E5E5" w:themeFill="background1" w:themeFillTint="33"/>
            <w:vAlign w:val="center"/>
          </w:tcPr>
          <w:p w:rsidR="00086E6F" w:rsidRPr="006B181D" w:rsidRDefault="00086E6F" w:rsidP="002158D9">
            <w:pPr>
              <w:keepNext/>
              <w:ind w:right="1335"/>
              <w:jc w:val="right"/>
              <w:cnfStyle w:val="000000010000" w:firstRow="0" w:lastRow="0" w:firstColumn="0" w:lastColumn="0" w:oddVBand="0" w:evenVBand="0" w:oddHBand="0" w:evenHBand="1" w:firstRowFirstColumn="0" w:firstRowLastColumn="0" w:lastRowFirstColumn="0" w:lastRowLastColumn="0"/>
              <w:rPr>
                <w:sz w:val="20"/>
                <w:szCs w:val="20"/>
              </w:rPr>
            </w:pPr>
            <w:r w:rsidRPr="006B181D">
              <w:rPr>
                <w:sz w:val="20"/>
                <w:szCs w:val="20"/>
              </w:rPr>
              <w:t>13.7</w:t>
            </w:r>
          </w:p>
        </w:tc>
      </w:tr>
      <w:tr w:rsidR="00086E6F" w:rsidTr="008A507B">
        <w:trPr>
          <w:trHeight w:hRule="exact" w:val="397"/>
        </w:trPr>
        <w:tc>
          <w:tcPr>
            <w:cnfStyle w:val="001000000000" w:firstRow="0" w:lastRow="0" w:firstColumn="1" w:lastColumn="0" w:oddVBand="0" w:evenVBand="0" w:oddHBand="0" w:evenHBand="0" w:firstRowFirstColumn="0" w:firstRowLastColumn="0" w:lastRowFirstColumn="0" w:lastRowLastColumn="0"/>
            <w:tcW w:w="4786" w:type="dxa"/>
            <w:vAlign w:val="center"/>
          </w:tcPr>
          <w:p w:rsidR="00086E6F" w:rsidRPr="006B181D" w:rsidRDefault="00086E6F" w:rsidP="002158D9">
            <w:pPr>
              <w:keepNext/>
              <w:rPr>
                <w:sz w:val="20"/>
                <w:szCs w:val="20"/>
              </w:rPr>
            </w:pPr>
            <w:r w:rsidRPr="006B181D">
              <w:rPr>
                <w:sz w:val="20"/>
                <w:szCs w:val="20"/>
              </w:rPr>
              <w:t>18-24 year olds</w:t>
            </w:r>
          </w:p>
        </w:tc>
        <w:tc>
          <w:tcPr>
            <w:tcW w:w="3167" w:type="dxa"/>
            <w:vAlign w:val="center"/>
          </w:tcPr>
          <w:p w:rsidR="00086E6F" w:rsidRPr="006B181D" w:rsidRDefault="00086E6F" w:rsidP="002158D9">
            <w:pPr>
              <w:keepNext/>
              <w:ind w:right="1335"/>
              <w:jc w:val="right"/>
              <w:cnfStyle w:val="000000000000" w:firstRow="0" w:lastRow="0" w:firstColumn="0" w:lastColumn="0" w:oddVBand="0" w:evenVBand="0" w:oddHBand="0" w:evenHBand="0" w:firstRowFirstColumn="0" w:firstRowLastColumn="0" w:lastRowFirstColumn="0" w:lastRowLastColumn="0"/>
              <w:rPr>
                <w:sz w:val="20"/>
                <w:szCs w:val="20"/>
              </w:rPr>
            </w:pPr>
            <w:r w:rsidRPr="006B181D">
              <w:rPr>
                <w:sz w:val="20"/>
                <w:szCs w:val="20"/>
              </w:rPr>
              <w:t>7.6</w:t>
            </w:r>
          </w:p>
        </w:tc>
      </w:tr>
      <w:tr w:rsidR="00086E6F" w:rsidTr="008A507B">
        <w:trPr>
          <w:cnfStyle w:val="000000010000" w:firstRow="0" w:lastRow="0" w:firstColumn="0" w:lastColumn="0" w:oddVBand="0" w:evenVBand="0" w:oddHBand="0" w:evenHBand="1"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4786" w:type="dxa"/>
            <w:shd w:val="clear" w:color="auto" w:fill="E5E5E5" w:themeFill="background1" w:themeFillTint="33"/>
            <w:vAlign w:val="center"/>
          </w:tcPr>
          <w:p w:rsidR="00086E6F" w:rsidRPr="006B181D" w:rsidRDefault="00086E6F" w:rsidP="002158D9">
            <w:pPr>
              <w:keepNext/>
              <w:rPr>
                <w:sz w:val="20"/>
                <w:szCs w:val="20"/>
              </w:rPr>
            </w:pPr>
            <w:r w:rsidRPr="006B181D">
              <w:rPr>
                <w:sz w:val="20"/>
                <w:szCs w:val="20"/>
              </w:rPr>
              <w:t>25-30 year olds</w:t>
            </w:r>
          </w:p>
        </w:tc>
        <w:tc>
          <w:tcPr>
            <w:tcW w:w="3167" w:type="dxa"/>
            <w:shd w:val="clear" w:color="auto" w:fill="E5E5E5" w:themeFill="background1" w:themeFillTint="33"/>
            <w:vAlign w:val="center"/>
          </w:tcPr>
          <w:p w:rsidR="00086E6F" w:rsidRPr="006B181D" w:rsidRDefault="00086E6F" w:rsidP="002158D9">
            <w:pPr>
              <w:keepNext/>
              <w:ind w:right="1335"/>
              <w:jc w:val="right"/>
              <w:cnfStyle w:val="000000010000" w:firstRow="0" w:lastRow="0" w:firstColumn="0" w:lastColumn="0" w:oddVBand="0" w:evenVBand="0" w:oddHBand="0" w:evenHBand="1" w:firstRowFirstColumn="0" w:firstRowLastColumn="0" w:lastRowFirstColumn="0" w:lastRowLastColumn="0"/>
              <w:rPr>
                <w:sz w:val="20"/>
                <w:szCs w:val="20"/>
              </w:rPr>
            </w:pPr>
            <w:r w:rsidRPr="006B181D">
              <w:rPr>
                <w:sz w:val="20"/>
                <w:szCs w:val="20"/>
              </w:rPr>
              <w:t>12.3</w:t>
            </w:r>
          </w:p>
        </w:tc>
      </w:tr>
      <w:tr w:rsidR="00086E6F" w:rsidTr="008A507B">
        <w:trPr>
          <w:trHeight w:hRule="exact" w:val="397"/>
        </w:trPr>
        <w:tc>
          <w:tcPr>
            <w:cnfStyle w:val="001000000000" w:firstRow="0" w:lastRow="0" w:firstColumn="1" w:lastColumn="0" w:oddVBand="0" w:evenVBand="0" w:oddHBand="0" w:evenHBand="0" w:firstRowFirstColumn="0" w:firstRowLastColumn="0" w:lastRowFirstColumn="0" w:lastRowLastColumn="0"/>
            <w:tcW w:w="4786" w:type="dxa"/>
            <w:vAlign w:val="center"/>
          </w:tcPr>
          <w:p w:rsidR="00086E6F" w:rsidRPr="006B181D" w:rsidRDefault="00086E6F" w:rsidP="002158D9">
            <w:pPr>
              <w:keepNext/>
              <w:rPr>
                <w:sz w:val="20"/>
                <w:szCs w:val="20"/>
              </w:rPr>
            </w:pPr>
            <w:r w:rsidRPr="006B181D">
              <w:rPr>
                <w:sz w:val="20"/>
                <w:szCs w:val="20"/>
              </w:rPr>
              <w:t>18 to 30 year olds in Capital cities locations</w:t>
            </w:r>
          </w:p>
        </w:tc>
        <w:tc>
          <w:tcPr>
            <w:tcW w:w="3167" w:type="dxa"/>
            <w:vAlign w:val="center"/>
          </w:tcPr>
          <w:p w:rsidR="00086E6F" w:rsidRPr="006B181D" w:rsidRDefault="00086E6F" w:rsidP="002158D9">
            <w:pPr>
              <w:keepNext/>
              <w:ind w:right="1335"/>
              <w:jc w:val="right"/>
              <w:cnfStyle w:val="000000000000" w:firstRow="0" w:lastRow="0" w:firstColumn="0" w:lastColumn="0" w:oddVBand="0" w:evenVBand="0" w:oddHBand="0" w:evenHBand="0" w:firstRowFirstColumn="0" w:firstRowLastColumn="0" w:lastRowFirstColumn="0" w:lastRowLastColumn="0"/>
              <w:rPr>
                <w:sz w:val="20"/>
                <w:szCs w:val="20"/>
              </w:rPr>
            </w:pPr>
            <w:r w:rsidRPr="006B181D">
              <w:rPr>
                <w:sz w:val="20"/>
                <w:szCs w:val="20"/>
              </w:rPr>
              <w:t>8.9</w:t>
            </w:r>
          </w:p>
        </w:tc>
      </w:tr>
      <w:tr w:rsidR="00086E6F" w:rsidTr="008A507B">
        <w:trPr>
          <w:cnfStyle w:val="000000010000" w:firstRow="0" w:lastRow="0" w:firstColumn="0" w:lastColumn="0" w:oddVBand="0" w:evenVBand="0" w:oddHBand="0" w:evenHBand="1"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4786" w:type="dxa"/>
            <w:shd w:val="clear" w:color="auto" w:fill="E5E5E5" w:themeFill="background1" w:themeFillTint="33"/>
            <w:vAlign w:val="center"/>
          </w:tcPr>
          <w:p w:rsidR="00086E6F" w:rsidRPr="006B181D" w:rsidRDefault="00086E6F" w:rsidP="002158D9">
            <w:pPr>
              <w:keepNext/>
              <w:rPr>
                <w:sz w:val="20"/>
                <w:szCs w:val="20"/>
              </w:rPr>
            </w:pPr>
            <w:r w:rsidRPr="006B181D">
              <w:rPr>
                <w:sz w:val="20"/>
                <w:szCs w:val="20"/>
              </w:rPr>
              <w:t>18 to 30 year olds in Regional locations</w:t>
            </w:r>
          </w:p>
        </w:tc>
        <w:tc>
          <w:tcPr>
            <w:tcW w:w="3167" w:type="dxa"/>
            <w:shd w:val="clear" w:color="auto" w:fill="E5E5E5" w:themeFill="background1" w:themeFillTint="33"/>
            <w:vAlign w:val="center"/>
          </w:tcPr>
          <w:p w:rsidR="00086E6F" w:rsidRPr="006B181D" w:rsidRDefault="00086E6F" w:rsidP="002158D9">
            <w:pPr>
              <w:keepNext/>
              <w:ind w:right="1335"/>
              <w:jc w:val="right"/>
              <w:cnfStyle w:val="000000010000" w:firstRow="0" w:lastRow="0" w:firstColumn="0" w:lastColumn="0" w:oddVBand="0" w:evenVBand="0" w:oddHBand="0" w:evenHBand="1" w:firstRowFirstColumn="0" w:firstRowLastColumn="0" w:lastRowFirstColumn="0" w:lastRowLastColumn="0"/>
              <w:rPr>
                <w:sz w:val="20"/>
                <w:szCs w:val="20"/>
              </w:rPr>
            </w:pPr>
            <w:r w:rsidRPr="006B181D">
              <w:rPr>
                <w:sz w:val="20"/>
                <w:szCs w:val="20"/>
              </w:rPr>
              <w:t>12.3</w:t>
            </w:r>
          </w:p>
        </w:tc>
      </w:tr>
      <w:tr w:rsidR="00086E6F" w:rsidTr="008A507B">
        <w:trPr>
          <w:trHeight w:hRule="exact" w:val="397"/>
        </w:trPr>
        <w:tc>
          <w:tcPr>
            <w:cnfStyle w:val="001000000000" w:firstRow="0" w:lastRow="0" w:firstColumn="1" w:lastColumn="0" w:oddVBand="0" w:evenVBand="0" w:oddHBand="0" w:evenHBand="0" w:firstRowFirstColumn="0" w:firstRowLastColumn="0" w:lastRowFirstColumn="0" w:lastRowLastColumn="0"/>
            <w:tcW w:w="4786" w:type="dxa"/>
            <w:shd w:val="clear" w:color="auto" w:fill="8EAEDE"/>
            <w:vAlign w:val="center"/>
          </w:tcPr>
          <w:p w:rsidR="00086E6F" w:rsidRPr="006B181D" w:rsidRDefault="00086E6F" w:rsidP="002158D9">
            <w:pPr>
              <w:rPr>
                <w:sz w:val="20"/>
                <w:szCs w:val="20"/>
              </w:rPr>
            </w:pPr>
            <w:r w:rsidRPr="006B181D">
              <w:rPr>
                <w:sz w:val="20"/>
                <w:szCs w:val="20"/>
              </w:rPr>
              <w:t>Total 18 to 30 year olds</w:t>
            </w:r>
          </w:p>
        </w:tc>
        <w:tc>
          <w:tcPr>
            <w:tcW w:w="3167" w:type="dxa"/>
            <w:shd w:val="clear" w:color="auto" w:fill="8EAEDE"/>
            <w:vAlign w:val="center"/>
          </w:tcPr>
          <w:p w:rsidR="00086E6F" w:rsidRPr="006B181D" w:rsidRDefault="00086E6F" w:rsidP="002158D9">
            <w:pPr>
              <w:cnfStyle w:val="000000000000" w:firstRow="0" w:lastRow="0" w:firstColumn="0" w:lastColumn="0" w:oddVBand="0" w:evenVBand="0" w:oddHBand="0" w:evenHBand="0" w:firstRowFirstColumn="0" w:firstRowLastColumn="0" w:lastRowFirstColumn="0" w:lastRowLastColumn="0"/>
              <w:rPr>
                <w:sz w:val="20"/>
                <w:szCs w:val="20"/>
              </w:rPr>
            </w:pPr>
            <w:r w:rsidRPr="006B181D">
              <w:rPr>
                <w:sz w:val="20"/>
                <w:szCs w:val="20"/>
              </w:rPr>
              <w:t>9.9</w:t>
            </w:r>
          </w:p>
        </w:tc>
      </w:tr>
    </w:tbl>
    <w:p w:rsidR="00086E6F" w:rsidRPr="003C32F7" w:rsidRDefault="00086E6F" w:rsidP="004C5B83">
      <w:pPr>
        <w:pStyle w:val="Source"/>
      </w:pPr>
      <w:r w:rsidRPr="003C32F7">
        <w:t>Notes:</w:t>
      </w:r>
    </w:p>
    <w:p w:rsidR="00D13E64" w:rsidRDefault="00086E6F" w:rsidP="00E3205B">
      <w:pPr>
        <w:pStyle w:val="Source"/>
        <w:numPr>
          <w:ilvl w:val="0"/>
          <w:numId w:val="86"/>
        </w:numPr>
        <w:rPr>
          <w:b w:val="0"/>
        </w:rPr>
      </w:pPr>
      <w:r w:rsidRPr="00D13E64">
        <w:rPr>
          <w:b w:val="0"/>
        </w:rPr>
        <w:t>‘Capital cities’ is defined as Greater Sydney, Greater Melbourne, Greater Brisbane, Greater Adelaide, Greater Perth, Greater Hobart, Greater Darwin, Australian Capital Territory.</w:t>
      </w:r>
    </w:p>
    <w:p w:rsidR="00086E6F" w:rsidRPr="00D13E64" w:rsidRDefault="00D13E64" w:rsidP="00E3205B">
      <w:pPr>
        <w:pStyle w:val="Source"/>
        <w:numPr>
          <w:ilvl w:val="0"/>
          <w:numId w:val="86"/>
        </w:numPr>
        <w:rPr>
          <w:b w:val="0"/>
        </w:rPr>
      </w:pPr>
      <w:r>
        <w:rPr>
          <w:b w:val="0"/>
        </w:rPr>
        <w:t>‘</w:t>
      </w:r>
      <w:r w:rsidR="00086E6F" w:rsidRPr="00D13E64">
        <w:rPr>
          <w:b w:val="0"/>
        </w:rPr>
        <w:t>Regional’ is defined as the rest of NSW, rest of Victoria, rest of Queensland, rest of South Australia, rest of Western Australia, rest of Tasmania and the rest of the Northern Territory.</w:t>
      </w:r>
    </w:p>
    <w:p w:rsidR="00086E6F" w:rsidRDefault="00086E6F" w:rsidP="00C33265">
      <w:pPr>
        <w:pStyle w:val="Source"/>
      </w:pPr>
      <w:r w:rsidRPr="00605826">
        <w:t xml:space="preserve">Source: </w:t>
      </w:r>
      <w:r w:rsidRPr="00C33265">
        <w:rPr>
          <w:b w:val="0"/>
        </w:rPr>
        <w:t xml:space="preserve">Derived from </w:t>
      </w:r>
      <w:r w:rsidR="00A162B9">
        <w:rPr>
          <w:b w:val="0"/>
        </w:rPr>
        <w:t xml:space="preserve">customised </w:t>
      </w:r>
      <w:r w:rsidRPr="00C33265">
        <w:rPr>
          <w:b w:val="0"/>
        </w:rPr>
        <w:t>data</w:t>
      </w:r>
      <w:r w:rsidR="00A162B9">
        <w:rPr>
          <w:b w:val="0"/>
        </w:rPr>
        <w:t xml:space="preserve"> extract</w:t>
      </w:r>
      <w:r w:rsidRPr="00C33265">
        <w:rPr>
          <w:b w:val="0"/>
        </w:rPr>
        <w:t xml:space="preserve"> provided by the ABS from the </w:t>
      </w:r>
      <w:r w:rsidR="00395094">
        <w:rPr>
          <w:b w:val="0"/>
        </w:rPr>
        <w:t>Labour Force S</w:t>
      </w:r>
      <w:r w:rsidRPr="00395094">
        <w:rPr>
          <w:b w:val="0"/>
        </w:rPr>
        <w:t>urvey, Australia.</w:t>
      </w:r>
      <w:r w:rsidRPr="00C33265">
        <w:rPr>
          <w:b w:val="0"/>
        </w:rPr>
        <w:t xml:space="preserve"> Calculations conducted by the Department of Employment, using 12 month moving averages.</w:t>
      </w:r>
    </w:p>
    <w:p w:rsidR="00086E6F" w:rsidRPr="001054E1" w:rsidRDefault="00086E6F" w:rsidP="00BC64A3">
      <w:pPr>
        <w:pStyle w:val="Heading4"/>
      </w:pPr>
      <w:r>
        <w:t>I</w:t>
      </w:r>
      <w:r w:rsidRPr="001054E1">
        <w:t xml:space="preserve">ncreased take up </w:t>
      </w:r>
      <w:r w:rsidR="009C4D42">
        <w:t xml:space="preserve">of </w:t>
      </w:r>
      <w:r w:rsidR="00993A78">
        <w:t>concurrent</w:t>
      </w:r>
      <w:r w:rsidRPr="001054E1">
        <w:t xml:space="preserve"> education</w:t>
      </w:r>
      <w:r w:rsidR="002F2710">
        <w:t xml:space="preserve"> </w:t>
      </w:r>
      <w:r w:rsidR="00993A78">
        <w:t>and</w:t>
      </w:r>
      <w:r w:rsidR="002F2710">
        <w:t xml:space="preserve"> employment</w:t>
      </w:r>
      <w:r w:rsidRPr="001054E1">
        <w:t xml:space="preserve"> </w:t>
      </w:r>
    </w:p>
    <w:p w:rsidR="00086E6F" w:rsidRDefault="002F2710" w:rsidP="002F2710">
      <w:r>
        <w:t xml:space="preserve">Young </w:t>
      </w:r>
      <w:r w:rsidR="006F1370">
        <w:t xml:space="preserve">adults </w:t>
      </w:r>
      <w:r>
        <w:t xml:space="preserve">are typically characterised by high participation in both the labour market and education. Since the GFC the proportion of young </w:t>
      </w:r>
      <w:r w:rsidR="006F1370">
        <w:t xml:space="preserve">adults </w:t>
      </w:r>
      <w:r>
        <w:t xml:space="preserve">engaged in education combined with employment has increased. </w:t>
      </w:r>
      <w:r w:rsidR="00C368B4">
        <w:t>In September 2008 a</w:t>
      </w:r>
      <w:r>
        <w:t xml:space="preserve">round a quarter of </w:t>
      </w:r>
      <w:r w:rsidR="00C368B4">
        <w:t xml:space="preserve">employed </w:t>
      </w:r>
      <w:r>
        <w:t xml:space="preserve">18 to 24 year olds were </w:t>
      </w:r>
      <w:r w:rsidR="00C368B4">
        <w:t xml:space="preserve">also </w:t>
      </w:r>
      <w:r>
        <w:t>attending an educational institution (24.9 per cent)</w:t>
      </w:r>
      <w:r w:rsidR="00C368B4">
        <w:t xml:space="preserve"> compared with 29.0 per cent in December 2016</w:t>
      </w:r>
      <w:r>
        <w:t>. The majority of these students (86.4</w:t>
      </w:r>
      <w:r w:rsidR="00C368B4">
        <w:t> </w:t>
      </w:r>
      <w:r>
        <w:t>per cent) were engaged in part</w:t>
      </w:r>
      <w:r w:rsidR="006F1370">
        <w:t>-</w:t>
      </w:r>
      <w:r>
        <w:t>time employment. The proportion engaged in part</w:t>
      </w:r>
      <w:r w:rsidR="006F1370">
        <w:t>-</w:t>
      </w:r>
      <w:r>
        <w:t xml:space="preserve">time employment </w:t>
      </w:r>
      <w:r w:rsidR="00993A78">
        <w:t xml:space="preserve">concurrent with </w:t>
      </w:r>
      <w:r>
        <w:t xml:space="preserve">study has </w:t>
      </w:r>
      <w:r w:rsidR="00993A78">
        <w:t xml:space="preserve">grown </w:t>
      </w:r>
      <w:r>
        <w:t>since the GFC, while the proportion in both full</w:t>
      </w:r>
      <w:r w:rsidR="006F1370">
        <w:t>-</w:t>
      </w:r>
      <w:r>
        <w:t>time work and education has remained relatively constant (</w:t>
      </w:r>
      <w:r w:rsidR="00086E6F">
        <w:t>Figure 1.</w:t>
      </w:r>
      <w:r w:rsidR="00B43CC0">
        <w:t>3</w:t>
      </w:r>
      <w:r w:rsidR="00086E6F">
        <w:t>).</w:t>
      </w:r>
    </w:p>
    <w:p w:rsidR="009733E7" w:rsidRPr="00602B02" w:rsidRDefault="009733E7" w:rsidP="009733E7">
      <w:pPr>
        <w:spacing w:before="120" w:after="120"/>
      </w:pPr>
      <w:r>
        <w:t xml:space="preserve">Between September 2008 and December 2016, the proportion of young adults in part-time work who were not attending an educational institution increased at a faster rate (46.5 per cent) than </w:t>
      </w:r>
      <w:r>
        <w:lastRenderedPageBreak/>
        <w:t>those who were concurrently attending education (27.4 per cent). This indicates that young adults in general found it more difficult to find full-time work, regardless of their current study status.</w:t>
      </w:r>
    </w:p>
    <w:p w:rsidR="00086E6F" w:rsidRPr="00D83A7E" w:rsidRDefault="00B43CC0" w:rsidP="005314B7">
      <w:pPr>
        <w:pStyle w:val="FigureCaption"/>
      </w:pPr>
      <w:bookmarkStart w:id="75" w:name="_Toc507600274"/>
      <w:r>
        <w:t>Figure 1.3</w:t>
      </w:r>
      <w:r w:rsidR="00086E6F" w:rsidRPr="00D83A7E">
        <w:t>: The proportion of 18-24 year olds in education and employment</w:t>
      </w:r>
      <w:bookmarkEnd w:id="75"/>
    </w:p>
    <w:p w:rsidR="00086E6F" w:rsidRPr="00FA1039" w:rsidRDefault="00F25DC1" w:rsidP="00086E6F">
      <w:pPr>
        <w:spacing w:before="240" w:after="0" w:line="240" w:lineRule="auto"/>
      </w:pPr>
      <w:r w:rsidRPr="00F25DC1">
        <w:rPr>
          <w:noProof/>
          <w:lang w:eastAsia="en-AU"/>
        </w:rPr>
        <w:drawing>
          <wp:inline distT="0" distB="0" distL="0" distR="0" wp14:anchorId="77F06E43" wp14:editId="5DC2E544">
            <wp:extent cx="5731510" cy="3548685"/>
            <wp:effectExtent l="0" t="0" r="2540" b="0"/>
            <wp:docPr id="10" name="Picture 10" descr="Line chart showing that the proportion of 18 to 24 year olds in the labour force who are in full time employment and study has remained steady (at less than three per cent), while the proportion in part time employment and study has been increasing steadily since the GFC (being 26.2 per cent in December 2016 compared with 21.5 per cent in Sept 200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548685"/>
                    </a:xfrm>
                    <a:prstGeom prst="rect">
                      <a:avLst/>
                    </a:prstGeom>
                    <a:noFill/>
                    <a:ln>
                      <a:noFill/>
                    </a:ln>
                  </pic:spPr>
                </pic:pic>
              </a:graphicData>
            </a:graphic>
          </wp:inline>
        </w:drawing>
      </w:r>
    </w:p>
    <w:p w:rsidR="00086E6F" w:rsidRPr="00C33265" w:rsidRDefault="00086E6F" w:rsidP="00C33265">
      <w:pPr>
        <w:pStyle w:val="Source"/>
        <w:rPr>
          <w:b w:val="0"/>
        </w:rPr>
      </w:pPr>
      <w:r>
        <w:t xml:space="preserve">Source: </w:t>
      </w:r>
      <w:r w:rsidRPr="00C33265">
        <w:rPr>
          <w:b w:val="0"/>
        </w:rPr>
        <w:t xml:space="preserve">Derived from </w:t>
      </w:r>
      <w:r w:rsidR="00A162B9">
        <w:rPr>
          <w:b w:val="0"/>
        </w:rPr>
        <w:t xml:space="preserve">customised </w:t>
      </w:r>
      <w:r w:rsidRPr="00C33265">
        <w:rPr>
          <w:b w:val="0"/>
        </w:rPr>
        <w:t xml:space="preserve">data </w:t>
      </w:r>
      <w:r w:rsidR="00A162B9">
        <w:rPr>
          <w:b w:val="0"/>
        </w:rPr>
        <w:t xml:space="preserve">extract </w:t>
      </w:r>
      <w:r w:rsidRPr="00C33265">
        <w:rPr>
          <w:b w:val="0"/>
        </w:rPr>
        <w:t xml:space="preserve">provided by the ABS from the </w:t>
      </w:r>
      <w:r w:rsidRPr="00A162B9">
        <w:rPr>
          <w:b w:val="0"/>
        </w:rPr>
        <w:t xml:space="preserve">Labour Force </w:t>
      </w:r>
      <w:r w:rsidR="00A162B9" w:rsidRPr="00A162B9">
        <w:rPr>
          <w:b w:val="0"/>
        </w:rPr>
        <w:t>S</w:t>
      </w:r>
      <w:r w:rsidRPr="00A162B9">
        <w:rPr>
          <w:b w:val="0"/>
        </w:rPr>
        <w:t>urvey, Australia.</w:t>
      </w:r>
      <w:r w:rsidRPr="00C33265">
        <w:rPr>
          <w:b w:val="0"/>
        </w:rPr>
        <w:t xml:space="preserve"> Calculations conducted by the Department of Employment, using 12 month moving averages.</w:t>
      </w:r>
    </w:p>
    <w:p w:rsidR="002F2710" w:rsidRPr="00CA63AA" w:rsidRDefault="002F2710" w:rsidP="00BC64A3">
      <w:pPr>
        <w:pStyle w:val="Heading4"/>
      </w:pPr>
      <w:r>
        <w:t xml:space="preserve">Participation </w:t>
      </w:r>
      <w:r w:rsidR="00993A78">
        <w:t xml:space="preserve">in </w:t>
      </w:r>
      <w:r>
        <w:t>education</w:t>
      </w:r>
    </w:p>
    <w:p w:rsidR="002F2710" w:rsidRDefault="002F2710" w:rsidP="002F2710">
      <w:pPr>
        <w:spacing w:before="120" w:after="120"/>
      </w:pPr>
      <w:r>
        <w:t xml:space="preserve">The proportion of young </w:t>
      </w:r>
      <w:r w:rsidR="006F1370">
        <w:t xml:space="preserve">adults </w:t>
      </w:r>
      <w:r>
        <w:t xml:space="preserve">aged 18 to 24 years who attend an educational institution </w:t>
      </w:r>
      <w:r w:rsidR="00EA79DF">
        <w:t xml:space="preserve">who </w:t>
      </w:r>
      <w:r w:rsidR="00785C02">
        <w:t>are not actively looking for work (</w:t>
      </w:r>
      <w:r>
        <w:t xml:space="preserve">NILF) has grown around </w:t>
      </w:r>
      <w:r w:rsidR="006F1370">
        <w:t xml:space="preserve">3 </w:t>
      </w:r>
      <w:r>
        <w:t xml:space="preserve">percentage points from 11.7 per cent in September 2008 to </w:t>
      </w:r>
      <w:r w:rsidR="00534D00">
        <w:t>14.7 per cent in December 2016.</w:t>
      </w:r>
      <w:r>
        <w:t xml:space="preserve"> Figure </w:t>
      </w:r>
      <w:r w:rsidR="00E360C3">
        <w:t>1.</w:t>
      </w:r>
      <w:r w:rsidR="004F3E6E">
        <w:t>4</w:t>
      </w:r>
      <w:r w:rsidR="00E360C3">
        <w:t xml:space="preserve"> </w:t>
      </w:r>
      <w:r>
        <w:t>shows this historical trend towards increased participation in higher</w:t>
      </w:r>
      <w:r w:rsidR="00DE6F1D">
        <w:t xml:space="preserve"> (tertiary)</w:t>
      </w:r>
      <w:r>
        <w:t xml:space="preserve"> education among young </w:t>
      </w:r>
      <w:r w:rsidR="006F1370">
        <w:t>adults</w:t>
      </w:r>
      <w:r>
        <w:t>.</w:t>
      </w:r>
    </w:p>
    <w:p w:rsidR="00785C02" w:rsidRDefault="002F2710" w:rsidP="002F2710">
      <w:pPr>
        <w:spacing w:before="120" w:after="120"/>
      </w:pPr>
      <w:r>
        <w:t xml:space="preserve">The increase in young adult </w:t>
      </w:r>
      <w:r w:rsidRPr="00231339">
        <w:t xml:space="preserve">participation in full-time education </w:t>
      </w:r>
      <w:r>
        <w:t>is</w:t>
      </w:r>
      <w:r w:rsidRPr="00231339">
        <w:t xml:space="preserve"> likely due to </w:t>
      </w:r>
      <w:r w:rsidR="00785C02">
        <w:t>a combination of the following factors:</w:t>
      </w:r>
    </w:p>
    <w:p w:rsidR="00785C02" w:rsidRDefault="002F2710" w:rsidP="00E3205B">
      <w:pPr>
        <w:pStyle w:val="ListParagraph"/>
        <w:numPr>
          <w:ilvl w:val="0"/>
          <w:numId w:val="72"/>
        </w:numPr>
        <w:spacing w:before="120" w:after="120"/>
      </w:pPr>
      <w:r w:rsidRPr="00231339">
        <w:t>the ‘discourage</w:t>
      </w:r>
      <w:r>
        <w:t>d</w:t>
      </w:r>
      <w:r w:rsidRPr="00231339">
        <w:t xml:space="preserve"> worker’ effect (where people give up searching for work or choose not to enter the labour market because of </w:t>
      </w:r>
      <w:r w:rsidR="00E360C3">
        <w:t xml:space="preserve">difficult </w:t>
      </w:r>
      <w:r w:rsidRPr="00231339">
        <w:t>labour market conditions)</w:t>
      </w:r>
    </w:p>
    <w:p w:rsidR="00785C02" w:rsidRDefault="002F2710" w:rsidP="00E3205B">
      <w:pPr>
        <w:pStyle w:val="ListParagraph"/>
        <w:numPr>
          <w:ilvl w:val="0"/>
          <w:numId w:val="72"/>
        </w:numPr>
        <w:spacing w:before="120" w:after="120"/>
      </w:pPr>
      <w:r>
        <w:t xml:space="preserve">the Learn or </w:t>
      </w:r>
      <w:r w:rsidRPr="00FB76E9">
        <w:t>Earn policy</w:t>
      </w:r>
      <w:r w:rsidR="00FB76E9" w:rsidRPr="00FB76E9">
        <w:rPr>
          <w:rStyle w:val="FootnoteReference"/>
        </w:rPr>
        <w:footnoteReference w:id="24"/>
      </w:r>
      <w:r>
        <w:t xml:space="preserve"> introduced on 1 July 2009</w:t>
      </w:r>
    </w:p>
    <w:p w:rsidR="002F2710" w:rsidRDefault="002F2710" w:rsidP="00E3205B">
      <w:pPr>
        <w:pStyle w:val="ListParagraph"/>
        <w:numPr>
          <w:ilvl w:val="0"/>
          <w:numId w:val="72"/>
        </w:numPr>
        <w:spacing w:before="120" w:after="120"/>
      </w:pPr>
      <w:r>
        <w:t>education reforms that led to increased participation in higher education.</w:t>
      </w:r>
    </w:p>
    <w:p w:rsidR="00086E6F" w:rsidRPr="00D83A7E" w:rsidRDefault="00086E6F" w:rsidP="005314B7">
      <w:pPr>
        <w:pStyle w:val="FigureCaption"/>
      </w:pPr>
      <w:bookmarkStart w:id="76" w:name="_Toc507600275"/>
      <w:r w:rsidRPr="00D83A7E">
        <w:lastRenderedPageBreak/>
        <w:t>Figure 1.</w:t>
      </w:r>
      <w:r w:rsidR="004F3E6E">
        <w:t>4</w:t>
      </w:r>
      <w:r w:rsidRPr="00D83A7E">
        <w:t>: Higher education participation rates for domestic students, by age group</w:t>
      </w:r>
      <w:bookmarkEnd w:id="76"/>
    </w:p>
    <w:p w:rsidR="0034528E" w:rsidRDefault="000940D2" w:rsidP="004C5B83">
      <w:pPr>
        <w:pStyle w:val="Source"/>
      </w:pPr>
      <w:r w:rsidRPr="000940D2">
        <w:rPr>
          <w:noProof/>
          <w:lang w:eastAsia="en-AU"/>
        </w:rPr>
        <w:drawing>
          <wp:inline distT="0" distB="0" distL="0" distR="0" wp14:anchorId="18E25552" wp14:editId="3DEFE8AE">
            <wp:extent cx="5443855" cy="3361055"/>
            <wp:effectExtent l="0" t="0" r="4445" b="0"/>
            <wp:docPr id="47" name="Picture 47" descr="Bar chart showing participation in higher education for young people across four decades, 1982, 1992, 2002 and 2012. It shows that participation in higher education increased significantly each decade compared with the previous, for both age groups shown (17 to 19 year olds and 20 to 29 year olds). For all four years the higher education participation rate was much higher for those in the younger (17 to 19 years) age group than for 20 to 29 year 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43855" cy="3361055"/>
                    </a:xfrm>
                    <a:prstGeom prst="rect">
                      <a:avLst/>
                    </a:prstGeom>
                    <a:noFill/>
                    <a:ln>
                      <a:noFill/>
                    </a:ln>
                  </pic:spPr>
                </pic:pic>
              </a:graphicData>
            </a:graphic>
          </wp:inline>
        </w:drawing>
      </w:r>
    </w:p>
    <w:p w:rsidR="00086E6F" w:rsidRPr="004C5B83" w:rsidRDefault="00086E6F" w:rsidP="004C5B83">
      <w:pPr>
        <w:pStyle w:val="Source"/>
        <w:rPr>
          <w:b w:val="0"/>
        </w:rPr>
      </w:pPr>
      <w:r w:rsidRPr="004C5B83">
        <w:t>Note:</w:t>
      </w:r>
      <w:r w:rsidRPr="004C5B83">
        <w:rPr>
          <w:b w:val="0"/>
        </w:rPr>
        <w:t xml:space="preserve"> Onshore international students removed from population figures for 2002 and 2012.</w:t>
      </w:r>
    </w:p>
    <w:p w:rsidR="00086E6F" w:rsidRPr="004C5B83" w:rsidRDefault="00086E6F" w:rsidP="004C5B83">
      <w:pPr>
        <w:pStyle w:val="Source"/>
        <w:rPr>
          <w:b w:val="0"/>
        </w:rPr>
      </w:pPr>
      <w:r w:rsidRPr="004C5B83">
        <w:t>Source:</w:t>
      </w:r>
      <w:r w:rsidRPr="004C5B83">
        <w:rPr>
          <w:b w:val="0"/>
        </w:rPr>
        <w:t xml:space="preserve"> Norton, A. &amp; Cherastidtham, I. (2014)</w:t>
      </w:r>
    </w:p>
    <w:p w:rsidR="009C4D42" w:rsidRDefault="0062635B" w:rsidP="009C4D42">
      <w:pPr>
        <w:pStyle w:val="Heading3"/>
      </w:pPr>
      <w:r>
        <w:t>1.2.2</w:t>
      </w:r>
      <w:r>
        <w:tab/>
        <w:t>Differential impacts of l</w:t>
      </w:r>
      <w:r w:rsidR="009C4D42">
        <w:t>abour market conditions</w:t>
      </w:r>
    </w:p>
    <w:p w:rsidR="009C4D42" w:rsidRDefault="009C4D42" w:rsidP="009C4D42">
      <w:r>
        <w:t>The 18 to 30 year old cohort has a diverse profile. A number are transitioning from full-time education to work for the first time, while others are undertaking family and/or caring responsibilities. People aged 18 to 24 are more likely to be employed part-time or in education (and outside of the labour force) than those aged 25 to 30. The 25 to 30 year age group are more likely to be in the labour force than those aged 18 to 24 (Figure 1.</w:t>
      </w:r>
      <w:r w:rsidR="004F3E6E">
        <w:t>5</w:t>
      </w:r>
      <w:r>
        <w:t>).</w:t>
      </w:r>
      <w:r w:rsidR="00AE3B11">
        <w:t xml:space="preserve"> </w:t>
      </w:r>
      <w:r>
        <w:t xml:space="preserve">Employment outcomes for job seekers at the younger end of the JCB age range are more sensitive to changing economic conditions than </w:t>
      </w:r>
      <w:r w:rsidR="0058153B">
        <w:t>are</w:t>
      </w:r>
      <w:r>
        <w:t xml:space="preserve"> </w:t>
      </w:r>
      <w:r w:rsidR="00602B02">
        <w:t>those in the older age bracket.</w:t>
      </w:r>
    </w:p>
    <w:p w:rsidR="00357781" w:rsidRPr="00D83A7E" w:rsidRDefault="00357781" w:rsidP="00DB20A0">
      <w:pPr>
        <w:pStyle w:val="FigureCaption"/>
      </w:pPr>
      <w:bookmarkStart w:id="77" w:name="_Toc507600276"/>
      <w:r w:rsidRPr="00D83A7E">
        <w:t>Figure 1.</w:t>
      </w:r>
      <w:r w:rsidR="004F3E6E">
        <w:t>5</w:t>
      </w:r>
      <w:r w:rsidRPr="00D83A7E">
        <w:t>: Labour force status for 18 to 30 year olds, July 2014</w:t>
      </w:r>
      <w:r>
        <w:t xml:space="preserve"> to December 2016</w:t>
      </w:r>
      <w:bookmarkEnd w:id="77"/>
    </w:p>
    <w:tbl>
      <w:tblPr>
        <w:tblW w:w="7513" w:type="dxa"/>
        <w:tblInd w:w="392" w:type="dxa"/>
        <w:tblLook w:val="04A0" w:firstRow="1" w:lastRow="0" w:firstColumn="1" w:lastColumn="0" w:noHBand="0" w:noVBand="1"/>
      </w:tblPr>
      <w:tblGrid>
        <w:gridCol w:w="1293"/>
        <w:gridCol w:w="1172"/>
        <w:gridCol w:w="1172"/>
        <w:gridCol w:w="1179"/>
        <w:gridCol w:w="960"/>
        <w:gridCol w:w="960"/>
        <w:gridCol w:w="777"/>
      </w:tblGrid>
      <w:tr w:rsidR="00D4591D" w:rsidRPr="00D4591D" w:rsidTr="00D34B2E">
        <w:trPr>
          <w:trHeight w:val="288"/>
          <w:tblHeader/>
        </w:trPr>
        <w:tc>
          <w:tcPr>
            <w:tcW w:w="1293" w:type="dxa"/>
            <w:tcBorders>
              <w:top w:val="single" w:sz="4" w:space="0" w:color="auto"/>
              <w:left w:val="single" w:sz="4" w:space="0" w:color="auto"/>
              <w:bottom w:val="single" w:sz="4" w:space="0" w:color="auto"/>
              <w:right w:val="single" w:sz="4" w:space="0" w:color="auto"/>
            </w:tcBorders>
            <w:shd w:val="clear" w:color="auto" w:fill="1E3D6B"/>
            <w:noWrap/>
            <w:vAlign w:val="bottom"/>
            <w:hideMark/>
          </w:tcPr>
          <w:p w:rsidR="00D4591D" w:rsidRPr="00D4591D" w:rsidRDefault="00864E02" w:rsidP="00DB20A0">
            <w:pPr>
              <w:keepNext/>
              <w:spacing w:after="0" w:line="240" w:lineRule="auto"/>
              <w:rPr>
                <w:rFonts w:ascii="Calibri" w:eastAsia="Times New Roman" w:hAnsi="Calibri" w:cs="Calibri"/>
                <w:b/>
                <w:color w:val="FFFFFF" w:themeColor="background2"/>
                <w:sz w:val="16"/>
                <w:szCs w:val="16"/>
                <w:lang w:eastAsia="en-AU"/>
              </w:rPr>
            </w:pPr>
            <w:bookmarkStart w:id="78" w:name="Title_15hidden"/>
            <w:bookmarkEnd w:id="78"/>
            <w:r w:rsidRPr="007A2B1C">
              <w:rPr>
                <w:noProof/>
                <w:lang w:eastAsia="en-AU"/>
              </w:rPr>
              <w:drawing>
                <wp:anchor distT="0" distB="0" distL="114300" distR="114300" simplePos="0" relativeHeight="251658243" behindDoc="0" locked="0" layoutInCell="1" allowOverlap="1" wp14:anchorId="37BE3666" wp14:editId="40956D32">
                  <wp:simplePos x="0" y="0"/>
                  <wp:positionH relativeFrom="column">
                    <wp:posOffset>-248285</wp:posOffset>
                  </wp:positionH>
                  <wp:positionV relativeFrom="paragraph">
                    <wp:posOffset>-25400</wp:posOffset>
                  </wp:positionV>
                  <wp:extent cx="5211445" cy="2169160"/>
                  <wp:effectExtent l="0" t="0" r="8255" b="2540"/>
                  <wp:wrapNone/>
                  <wp:docPr id="6" name="Picture 6" descr="Data in graph as described in the following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11445" cy="2169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591D" w:rsidRPr="00D4591D">
              <w:rPr>
                <w:rFonts w:ascii="Calibri" w:eastAsia="Times New Roman" w:hAnsi="Calibri" w:cs="Calibri"/>
                <w:b/>
                <w:color w:val="FFFFFF" w:themeColor="background2"/>
                <w:sz w:val="16"/>
                <w:szCs w:val="16"/>
                <w:lang w:eastAsia="en-AU"/>
              </w:rPr>
              <w:t>%</w:t>
            </w:r>
          </w:p>
        </w:tc>
        <w:tc>
          <w:tcPr>
            <w:tcW w:w="1172" w:type="dxa"/>
            <w:tcBorders>
              <w:top w:val="single" w:sz="4" w:space="0" w:color="auto"/>
              <w:left w:val="nil"/>
              <w:bottom w:val="single" w:sz="4" w:space="0" w:color="auto"/>
              <w:right w:val="single" w:sz="4" w:space="0" w:color="auto"/>
            </w:tcBorders>
            <w:shd w:val="clear" w:color="auto" w:fill="1E3D6B"/>
            <w:noWrap/>
            <w:vAlign w:val="bottom"/>
            <w:hideMark/>
          </w:tcPr>
          <w:p w:rsidR="00D4591D" w:rsidRPr="00D4591D" w:rsidRDefault="00D4591D" w:rsidP="00DB20A0">
            <w:pPr>
              <w:keepNext/>
              <w:spacing w:after="0" w:line="240" w:lineRule="auto"/>
              <w:rPr>
                <w:rFonts w:ascii="Calibri" w:eastAsia="Times New Roman" w:hAnsi="Calibri" w:cs="Calibri"/>
                <w:b/>
                <w:color w:val="FFFFFF" w:themeColor="background2"/>
                <w:sz w:val="16"/>
                <w:szCs w:val="16"/>
                <w:lang w:eastAsia="en-AU"/>
              </w:rPr>
            </w:pPr>
            <w:r w:rsidRPr="00D4591D">
              <w:rPr>
                <w:rFonts w:ascii="Calibri" w:eastAsia="Times New Roman" w:hAnsi="Calibri" w:cs="Calibri"/>
                <w:b/>
                <w:color w:val="FFFFFF" w:themeColor="background2"/>
                <w:sz w:val="16"/>
                <w:szCs w:val="16"/>
                <w:lang w:eastAsia="en-AU"/>
              </w:rPr>
              <w:t>Full time employment</w:t>
            </w:r>
          </w:p>
        </w:tc>
        <w:tc>
          <w:tcPr>
            <w:tcW w:w="1172" w:type="dxa"/>
            <w:tcBorders>
              <w:top w:val="single" w:sz="4" w:space="0" w:color="auto"/>
              <w:left w:val="nil"/>
              <w:bottom w:val="single" w:sz="4" w:space="0" w:color="auto"/>
              <w:right w:val="single" w:sz="4" w:space="0" w:color="auto"/>
            </w:tcBorders>
            <w:shd w:val="clear" w:color="auto" w:fill="1E3D6B"/>
            <w:noWrap/>
            <w:vAlign w:val="bottom"/>
            <w:hideMark/>
          </w:tcPr>
          <w:p w:rsidR="00D4591D" w:rsidRPr="00D4591D" w:rsidRDefault="00D4591D" w:rsidP="00DB20A0">
            <w:pPr>
              <w:keepNext/>
              <w:spacing w:after="0" w:line="240" w:lineRule="auto"/>
              <w:rPr>
                <w:rFonts w:ascii="Calibri" w:eastAsia="Times New Roman" w:hAnsi="Calibri" w:cs="Calibri"/>
                <w:b/>
                <w:color w:val="FFFFFF" w:themeColor="background2"/>
                <w:sz w:val="16"/>
                <w:szCs w:val="16"/>
                <w:lang w:eastAsia="en-AU"/>
              </w:rPr>
            </w:pPr>
            <w:r w:rsidRPr="00D4591D">
              <w:rPr>
                <w:rFonts w:ascii="Calibri" w:eastAsia="Times New Roman" w:hAnsi="Calibri" w:cs="Calibri"/>
                <w:b/>
                <w:color w:val="FFFFFF" w:themeColor="background2"/>
                <w:sz w:val="16"/>
                <w:szCs w:val="16"/>
                <w:lang w:eastAsia="en-AU"/>
              </w:rPr>
              <w:t>Part time employment</w:t>
            </w:r>
          </w:p>
        </w:tc>
        <w:tc>
          <w:tcPr>
            <w:tcW w:w="1179" w:type="dxa"/>
            <w:tcBorders>
              <w:top w:val="single" w:sz="4" w:space="0" w:color="auto"/>
              <w:left w:val="nil"/>
              <w:bottom w:val="single" w:sz="4" w:space="0" w:color="auto"/>
              <w:right w:val="single" w:sz="4" w:space="0" w:color="auto"/>
            </w:tcBorders>
            <w:shd w:val="clear" w:color="auto" w:fill="1E3D6B"/>
            <w:noWrap/>
            <w:vAlign w:val="bottom"/>
            <w:hideMark/>
          </w:tcPr>
          <w:p w:rsidR="00D4591D" w:rsidRPr="00D4591D" w:rsidRDefault="00D4591D" w:rsidP="00DB20A0">
            <w:pPr>
              <w:keepNext/>
              <w:spacing w:after="0" w:line="240" w:lineRule="auto"/>
              <w:rPr>
                <w:rFonts w:ascii="Calibri" w:eastAsia="Times New Roman" w:hAnsi="Calibri" w:cs="Calibri"/>
                <w:b/>
                <w:color w:val="FFFFFF" w:themeColor="background2"/>
                <w:sz w:val="16"/>
                <w:szCs w:val="16"/>
                <w:lang w:eastAsia="en-AU"/>
              </w:rPr>
            </w:pPr>
            <w:r w:rsidRPr="00D4591D">
              <w:rPr>
                <w:rFonts w:ascii="Calibri" w:eastAsia="Times New Roman" w:hAnsi="Calibri" w:cs="Calibri"/>
                <w:b/>
                <w:color w:val="FFFFFF" w:themeColor="background2"/>
                <w:sz w:val="16"/>
                <w:szCs w:val="16"/>
                <w:lang w:eastAsia="en-AU"/>
              </w:rPr>
              <w:t>Unemployed</w:t>
            </w:r>
          </w:p>
        </w:tc>
        <w:tc>
          <w:tcPr>
            <w:tcW w:w="960" w:type="dxa"/>
            <w:tcBorders>
              <w:top w:val="single" w:sz="4" w:space="0" w:color="auto"/>
              <w:left w:val="nil"/>
              <w:bottom w:val="single" w:sz="4" w:space="0" w:color="auto"/>
              <w:right w:val="single" w:sz="4" w:space="0" w:color="auto"/>
            </w:tcBorders>
            <w:shd w:val="clear" w:color="auto" w:fill="1E3D6B"/>
            <w:noWrap/>
            <w:vAlign w:val="bottom"/>
            <w:hideMark/>
          </w:tcPr>
          <w:p w:rsidR="00D4591D" w:rsidRPr="00D4591D" w:rsidRDefault="00D4591D" w:rsidP="00DB20A0">
            <w:pPr>
              <w:keepNext/>
              <w:spacing w:after="0" w:line="240" w:lineRule="auto"/>
              <w:rPr>
                <w:rFonts w:ascii="Calibri" w:eastAsia="Times New Roman" w:hAnsi="Calibri" w:cs="Calibri"/>
                <w:b/>
                <w:color w:val="FFFFFF" w:themeColor="background2"/>
                <w:sz w:val="16"/>
                <w:szCs w:val="16"/>
                <w:lang w:eastAsia="en-AU"/>
              </w:rPr>
            </w:pPr>
            <w:r w:rsidRPr="00D4591D">
              <w:rPr>
                <w:rFonts w:ascii="Calibri" w:eastAsia="Times New Roman" w:hAnsi="Calibri" w:cs="Calibri"/>
                <w:b/>
                <w:color w:val="FFFFFF" w:themeColor="background2"/>
                <w:sz w:val="16"/>
                <w:szCs w:val="16"/>
                <w:lang w:eastAsia="en-AU"/>
              </w:rPr>
              <w:t xml:space="preserve">Education only </w:t>
            </w:r>
          </w:p>
        </w:tc>
        <w:tc>
          <w:tcPr>
            <w:tcW w:w="960" w:type="dxa"/>
            <w:tcBorders>
              <w:top w:val="single" w:sz="4" w:space="0" w:color="auto"/>
              <w:left w:val="nil"/>
              <w:bottom w:val="single" w:sz="4" w:space="0" w:color="auto"/>
              <w:right w:val="single" w:sz="4" w:space="0" w:color="auto"/>
            </w:tcBorders>
            <w:shd w:val="clear" w:color="auto" w:fill="1E3D6B"/>
            <w:noWrap/>
            <w:vAlign w:val="bottom"/>
            <w:hideMark/>
          </w:tcPr>
          <w:p w:rsidR="00D4591D" w:rsidRPr="00D4591D" w:rsidRDefault="00D4591D" w:rsidP="00DB20A0">
            <w:pPr>
              <w:keepNext/>
              <w:spacing w:after="0" w:line="240" w:lineRule="auto"/>
              <w:rPr>
                <w:rFonts w:ascii="Calibri" w:eastAsia="Times New Roman" w:hAnsi="Calibri" w:cs="Calibri"/>
                <w:b/>
                <w:color w:val="FFFFFF" w:themeColor="background2"/>
                <w:sz w:val="16"/>
                <w:szCs w:val="16"/>
                <w:lang w:eastAsia="en-AU"/>
              </w:rPr>
            </w:pPr>
            <w:r w:rsidRPr="00D4591D">
              <w:rPr>
                <w:rFonts w:ascii="Calibri" w:eastAsia="Times New Roman" w:hAnsi="Calibri" w:cs="Calibri"/>
                <w:b/>
                <w:color w:val="FFFFFF" w:themeColor="background2"/>
                <w:sz w:val="16"/>
                <w:szCs w:val="16"/>
                <w:lang w:eastAsia="en-AU"/>
              </w:rPr>
              <w:t>NEET</w:t>
            </w:r>
          </w:p>
        </w:tc>
        <w:tc>
          <w:tcPr>
            <w:tcW w:w="777" w:type="dxa"/>
            <w:tcBorders>
              <w:top w:val="single" w:sz="4" w:space="0" w:color="auto"/>
              <w:left w:val="nil"/>
              <w:bottom w:val="single" w:sz="4" w:space="0" w:color="auto"/>
              <w:right w:val="single" w:sz="4" w:space="0" w:color="auto"/>
            </w:tcBorders>
            <w:shd w:val="clear" w:color="auto" w:fill="1E3D6B"/>
            <w:noWrap/>
            <w:vAlign w:val="bottom"/>
            <w:hideMark/>
          </w:tcPr>
          <w:p w:rsidR="00D4591D" w:rsidRPr="00D4591D" w:rsidRDefault="00D4591D" w:rsidP="00DB20A0">
            <w:pPr>
              <w:keepNext/>
              <w:spacing w:after="0" w:line="240" w:lineRule="auto"/>
              <w:rPr>
                <w:rFonts w:ascii="Calibri" w:eastAsia="Times New Roman" w:hAnsi="Calibri" w:cs="Calibri"/>
                <w:b/>
                <w:color w:val="FFFFFF" w:themeColor="background2"/>
                <w:sz w:val="16"/>
                <w:szCs w:val="16"/>
                <w:lang w:eastAsia="en-AU"/>
              </w:rPr>
            </w:pPr>
            <w:r w:rsidRPr="00D4591D">
              <w:rPr>
                <w:rFonts w:ascii="Calibri" w:eastAsia="Times New Roman" w:hAnsi="Calibri" w:cs="Calibri"/>
                <w:b/>
                <w:color w:val="FFFFFF" w:themeColor="background2"/>
                <w:sz w:val="16"/>
                <w:szCs w:val="16"/>
                <w:lang w:eastAsia="en-AU"/>
              </w:rPr>
              <w:t>Total</w:t>
            </w:r>
          </w:p>
        </w:tc>
      </w:tr>
      <w:tr w:rsidR="00D4591D" w:rsidRPr="00F607B0" w:rsidTr="00D34B2E">
        <w:trPr>
          <w:trHeight w:val="288"/>
        </w:trPr>
        <w:tc>
          <w:tcPr>
            <w:tcW w:w="1293" w:type="dxa"/>
            <w:tcBorders>
              <w:top w:val="nil"/>
              <w:left w:val="single" w:sz="4" w:space="0" w:color="auto"/>
              <w:bottom w:val="single" w:sz="4" w:space="0" w:color="auto"/>
              <w:right w:val="single" w:sz="4" w:space="0" w:color="auto"/>
            </w:tcBorders>
            <w:shd w:val="clear" w:color="auto" w:fill="auto"/>
            <w:noWrap/>
            <w:vAlign w:val="bottom"/>
            <w:hideMark/>
          </w:tcPr>
          <w:p w:rsidR="00D4591D" w:rsidRPr="00F607B0" w:rsidRDefault="00D4591D" w:rsidP="00DB20A0">
            <w:pPr>
              <w:keepNext/>
              <w:spacing w:after="0" w:line="240" w:lineRule="auto"/>
              <w:rPr>
                <w:rFonts w:ascii="Calibri" w:eastAsia="Times New Roman" w:hAnsi="Calibri" w:cs="Calibri"/>
                <w:color w:val="000000"/>
                <w:sz w:val="16"/>
                <w:szCs w:val="16"/>
                <w:lang w:eastAsia="en-AU"/>
              </w:rPr>
            </w:pPr>
            <w:r w:rsidRPr="00F607B0">
              <w:rPr>
                <w:rFonts w:ascii="Calibri" w:eastAsia="Times New Roman" w:hAnsi="Calibri" w:cs="Calibri"/>
                <w:color w:val="000000"/>
                <w:sz w:val="16"/>
                <w:szCs w:val="16"/>
                <w:lang w:eastAsia="en-AU"/>
              </w:rPr>
              <w:t>18 to 24 years</w:t>
            </w:r>
          </w:p>
        </w:tc>
        <w:tc>
          <w:tcPr>
            <w:tcW w:w="1172" w:type="dxa"/>
            <w:tcBorders>
              <w:top w:val="nil"/>
              <w:left w:val="nil"/>
              <w:bottom w:val="single" w:sz="4" w:space="0" w:color="auto"/>
              <w:right w:val="single" w:sz="4" w:space="0" w:color="auto"/>
            </w:tcBorders>
            <w:shd w:val="clear" w:color="auto" w:fill="auto"/>
            <w:noWrap/>
            <w:vAlign w:val="bottom"/>
            <w:hideMark/>
          </w:tcPr>
          <w:p w:rsidR="00D4591D" w:rsidRPr="00F607B0" w:rsidRDefault="00D4591D" w:rsidP="00DB20A0">
            <w:pPr>
              <w:keepNext/>
              <w:spacing w:after="0" w:line="240" w:lineRule="auto"/>
              <w:jc w:val="center"/>
              <w:rPr>
                <w:rFonts w:ascii="Calibri" w:eastAsia="Times New Roman" w:hAnsi="Calibri" w:cs="Calibri"/>
                <w:color w:val="000000"/>
                <w:sz w:val="16"/>
                <w:szCs w:val="16"/>
                <w:lang w:eastAsia="en-AU"/>
              </w:rPr>
            </w:pPr>
            <w:r w:rsidRPr="00F607B0">
              <w:rPr>
                <w:rFonts w:ascii="Calibri" w:eastAsia="Times New Roman" w:hAnsi="Calibri" w:cs="Calibri"/>
                <w:color w:val="000000"/>
                <w:sz w:val="16"/>
                <w:szCs w:val="16"/>
                <w:lang w:eastAsia="en-AU"/>
              </w:rPr>
              <w:t>36.8</w:t>
            </w:r>
          </w:p>
        </w:tc>
        <w:tc>
          <w:tcPr>
            <w:tcW w:w="1172" w:type="dxa"/>
            <w:tcBorders>
              <w:top w:val="nil"/>
              <w:left w:val="nil"/>
              <w:bottom w:val="single" w:sz="4" w:space="0" w:color="auto"/>
              <w:right w:val="single" w:sz="4" w:space="0" w:color="auto"/>
            </w:tcBorders>
            <w:shd w:val="clear" w:color="auto" w:fill="auto"/>
            <w:noWrap/>
            <w:vAlign w:val="bottom"/>
            <w:hideMark/>
          </w:tcPr>
          <w:p w:rsidR="00D4591D" w:rsidRPr="00F607B0" w:rsidRDefault="00D4591D" w:rsidP="00DB20A0">
            <w:pPr>
              <w:keepNext/>
              <w:spacing w:after="0" w:line="240" w:lineRule="auto"/>
              <w:jc w:val="center"/>
              <w:rPr>
                <w:rFonts w:ascii="Calibri" w:eastAsia="Times New Roman" w:hAnsi="Calibri" w:cs="Calibri"/>
                <w:color w:val="000000"/>
                <w:sz w:val="16"/>
                <w:szCs w:val="16"/>
                <w:lang w:eastAsia="en-AU"/>
              </w:rPr>
            </w:pPr>
            <w:r w:rsidRPr="00F607B0">
              <w:rPr>
                <w:rFonts w:ascii="Calibri" w:eastAsia="Times New Roman" w:hAnsi="Calibri" w:cs="Calibri"/>
                <w:color w:val="000000"/>
                <w:sz w:val="16"/>
                <w:szCs w:val="16"/>
                <w:lang w:eastAsia="en-AU"/>
              </w:rPr>
              <w:t>31.2</w:t>
            </w:r>
          </w:p>
        </w:tc>
        <w:tc>
          <w:tcPr>
            <w:tcW w:w="1179" w:type="dxa"/>
            <w:tcBorders>
              <w:top w:val="nil"/>
              <w:left w:val="nil"/>
              <w:bottom w:val="single" w:sz="4" w:space="0" w:color="auto"/>
              <w:right w:val="single" w:sz="4" w:space="0" w:color="auto"/>
            </w:tcBorders>
            <w:shd w:val="clear" w:color="auto" w:fill="auto"/>
            <w:noWrap/>
            <w:vAlign w:val="bottom"/>
            <w:hideMark/>
          </w:tcPr>
          <w:p w:rsidR="00D4591D" w:rsidRPr="00F607B0" w:rsidRDefault="00D4591D" w:rsidP="00DB20A0">
            <w:pPr>
              <w:keepNext/>
              <w:spacing w:after="0" w:line="240" w:lineRule="auto"/>
              <w:jc w:val="center"/>
              <w:rPr>
                <w:rFonts w:ascii="Calibri" w:eastAsia="Times New Roman" w:hAnsi="Calibri" w:cs="Calibri"/>
                <w:color w:val="000000"/>
                <w:sz w:val="16"/>
                <w:szCs w:val="16"/>
                <w:lang w:eastAsia="en-AU"/>
              </w:rPr>
            </w:pPr>
            <w:r w:rsidRPr="00F607B0">
              <w:rPr>
                <w:rFonts w:ascii="Calibri" w:eastAsia="Times New Roman" w:hAnsi="Calibri" w:cs="Calibri"/>
                <w:color w:val="000000"/>
                <w:sz w:val="16"/>
                <w:szCs w:val="16"/>
                <w:lang w:eastAsia="en-AU"/>
              </w:rPr>
              <w:t>8.8</w:t>
            </w:r>
          </w:p>
        </w:tc>
        <w:tc>
          <w:tcPr>
            <w:tcW w:w="960" w:type="dxa"/>
            <w:tcBorders>
              <w:top w:val="nil"/>
              <w:left w:val="nil"/>
              <w:bottom w:val="single" w:sz="4" w:space="0" w:color="auto"/>
              <w:right w:val="single" w:sz="4" w:space="0" w:color="auto"/>
            </w:tcBorders>
            <w:shd w:val="clear" w:color="auto" w:fill="auto"/>
            <w:noWrap/>
            <w:vAlign w:val="bottom"/>
            <w:hideMark/>
          </w:tcPr>
          <w:p w:rsidR="00D4591D" w:rsidRPr="00F607B0" w:rsidRDefault="00D4591D" w:rsidP="00DB20A0">
            <w:pPr>
              <w:keepNext/>
              <w:spacing w:after="0" w:line="240" w:lineRule="auto"/>
              <w:jc w:val="center"/>
              <w:rPr>
                <w:rFonts w:ascii="Calibri" w:eastAsia="Times New Roman" w:hAnsi="Calibri" w:cs="Calibri"/>
                <w:color w:val="000000"/>
                <w:sz w:val="16"/>
                <w:szCs w:val="16"/>
                <w:lang w:eastAsia="en-AU"/>
              </w:rPr>
            </w:pPr>
            <w:r w:rsidRPr="00F607B0">
              <w:rPr>
                <w:rFonts w:ascii="Calibri" w:eastAsia="Times New Roman" w:hAnsi="Calibri" w:cs="Calibri"/>
                <w:color w:val="000000"/>
                <w:sz w:val="16"/>
                <w:szCs w:val="16"/>
                <w:lang w:eastAsia="en-AU"/>
              </w:rPr>
              <w:t>15.6</w:t>
            </w:r>
          </w:p>
        </w:tc>
        <w:tc>
          <w:tcPr>
            <w:tcW w:w="960" w:type="dxa"/>
            <w:tcBorders>
              <w:top w:val="nil"/>
              <w:left w:val="nil"/>
              <w:bottom w:val="single" w:sz="4" w:space="0" w:color="auto"/>
              <w:right w:val="single" w:sz="4" w:space="0" w:color="auto"/>
            </w:tcBorders>
            <w:shd w:val="clear" w:color="auto" w:fill="auto"/>
            <w:noWrap/>
            <w:vAlign w:val="bottom"/>
            <w:hideMark/>
          </w:tcPr>
          <w:p w:rsidR="00D4591D" w:rsidRPr="00F607B0" w:rsidRDefault="00D4591D" w:rsidP="00DB20A0">
            <w:pPr>
              <w:keepNext/>
              <w:spacing w:after="0" w:line="240" w:lineRule="auto"/>
              <w:jc w:val="center"/>
              <w:rPr>
                <w:rFonts w:ascii="Calibri" w:eastAsia="Times New Roman" w:hAnsi="Calibri" w:cs="Calibri"/>
                <w:color w:val="000000"/>
                <w:sz w:val="16"/>
                <w:szCs w:val="16"/>
                <w:lang w:eastAsia="en-AU"/>
              </w:rPr>
            </w:pPr>
            <w:r w:rsidRPr="00F607B0">
              <w:rPr>
                <w:rFonts w:ascii="Calibri" w:eastAsia="Times New Roman" w:hAnsi="Calibri" w:cs="Calibri"/>
                <w:color w:val="000000"/>
                <w:sz w:val="16"/>
                <w:szCs w:val="16"/>
                <w:lang w:eastAsia="en-AU"/>
              </w:rPr>
              <w:t>7.6</w:t>
            </w:r>
          </w:p>
        </w:tc>
        <w:tc>
          <w:tcPr>
            <w:tcW w:w="777" w:type="dxa"/>
            <w:tcBorders>
              <w:top w:val="nil"/>
              <w:left w:val="nil"/>
              <w:bottom w:val="single" w:sz="4" w:space="0" w:color="auto"/>
              <w:right w:val="single" w:sz="4" w:space="0" w:color="auto"/>
            </w:tcBorders>
            <w:shd w:val="clear" w:color="auto" w:fill="auto"/>
            <w:noWrap/>
            <w:vAlign w:val="bottom"/>
            <w:hideMark/>
          </w:tcPr>
          <w:p w:rsidR="00D4591D" w:rsidRPr="00F607B0" w:rsidRDefault="00D4591D" w:rsidP="00DB20A0">
            <w:pPr>
              <w:keepNext/>
              <w:spacing w:after="0" w:line="240" w:lineRule="auto"/>
              <w:jc w:val="center"/>
              <w:rPr>
                <w:rFonts w:ascii="Calibri" w:eastAsia="Times New Roman" w:hAnsi="Calibri" w:cs="Calibri"/>
                <w:color w:val="000000"/>
                <w:sz w:val="16"/>
                <w:szCs w:val="16"/>
                <w:lang w:eastAsia="en-AU"/>
              </w:rPr>
            </w:pPr>
            <w:r w:rsidRPr="00F607B0">
              <w:rPr>
                <w:rFonts w:ascii="Calibri" w:eastAsia="Times New Roman" w:hAnsi="Calibri" w:cs="Calibri"/>
                <w:color w:val="000000"/>
                <w:sz w:val="16"/>
                <w:szCs w:val="16"/>
                <w:lang w:eastAsia="en-AU"/>
              </w:rPr>
              <w:t>100.0</w:t>
            </w:r>
          </w:p>
        </w:tc>
      </w:tr>
      <w:tr w:rsidR="00D4591D" w:rsidRPr="00F607B0" w:rsidTr="00D34B2E">
        <w:trPr>
          <w:trHeight w:val="288"/>
        </w:trPr>
        <w:tc>
          <w:tcPr>
            <w:tcW w:w="1293" w:type="dxa"/>
            <w:tcBorders>
              <w:top w:val="nil"/>
              <w:left w:val="single" w:sz="4" w:space="0" w:color="auto"/>
              <w:bottom w:val="single" w:sz="4" w:space="0" w:color="auto"/>
              <w:right w:val="single" w:sz="4" w:space="0" w:color="auto"/>
            </w:tcBorders>
            <w:shd w:val="clear" w:color="auto" w:fill="auto"/>
            <w:noWrap/>
            <w:vAlign w:val="bottom"/>
            <w:hideMark/>
          </w:tcPr>
          <w:p w:rsidR="00D4591D" w:rsidRPr="00F607B0" w:rsidRDefault="00D4591D" w:rsidP="00DB20A0">
            <w:pPr>
              <w:keepNext/>
              <w:spacing w:after="0" w:line="240" w:lineRule="auto"/>
              <w:rPr>
                <w:rFonts w:ascii="Calibri" w:eastAsia="Times New Roman" w:hAnsi="Calibri" w:cs="Calibri"/>
                <w:color w:val="000000"/>
                <w:sz w:val="16"/>
                <w:szCs w:val="16"/>
                <w:lang w:eastAsia="en-AU"/>
              </w:rPr>
            </w:pPr>
            <w:r w:rsidRPr="00F607B0">
              <w:rPr>
                <w:rFonts w:ascii="Calibri" w:eastAsia="Times New Roman" w:hAnsi="Calibri" w:cs="Calibri"/>
                <w:color w:val="000000"/>
                <w:sz w:val="16"/>
                <w:szCs w:val="16"/>
                <w:lang w:eastAsia="en-AU"/>
              </w:rPr>
              <w:t>25 to 30 years</w:t>
            </w:r>
          </w:p>
        </w:tc>
        <w:tc>
          <w:tcPr>
            <w:tcW w:w="1172" w:type="dxa"/>
            <w:tcBorders>
              <w:top w:val="nil"/>
              <w:left w:val="nil"/>
              <w:bottom w:val="single" w:sz="4" w:space="0" w:color="auto"/>
              <w:right w:val="single" w:sz="4" w:space="0" w:color="auto"/>
            </w:tcBorders>
            <w:shd w:val="clear" w:color="auto" w:fill="auto"/>
            <w:noWrap/>
            <w:vAlign w:val="bottom"/>
            <w:hideMark/>
          </w:tcPr>
          <w:p w:rsidR="00D4591D" w:rsidRPr="00F607B0" w:rsidRDefault="00D4591D" w:rsidP="00DB20A0">
            <w:pPr>
              <w:keepNext/>
              <w:spacing w:after="0" w:line="240" w:lineRule="auto"/>
              <w:jc w:val="center"/>
              <w:rPr>
                <w:rFonts w:ascii="Calibri" w:eastAsia="Times New Roman" w:hAnsi="Calibri" w:cs="Calibri"/>
                <w:color w:val="000000"/>
                <w:sz w:val="16"/>
                <w:szCs w:val="16"/>
                <w:lang w:eastAsia="en-AU"/>
              </w:rPr>
            </w:pPr>
            <w:r w:rsidRPr="00F607B0">
              <w:rPr>
                <w:rFonts w:ascii="Calibri" w:eastAsia="Times New Roman" w:hAnsi="Calibri" w:cs="Calibri"/>
                <w:color w:val="000000"/>
                <w:sz w:val="16"/>
                <w:szCs w:val="16"/>
                <w:lang w:eastAsia="en-AU"/>
              </w:rPr>
              <w:t>61.4</w:t>
            </w:r>
          </w:p>
        </w:tc>
        <w:tc>
          <w:tcPr>
            <w:tcW w:w="1172" w:type="dxa"/>
            <w:tcBorders>
              <w:top w:val="nil"/>
              <w:left w:val="nil"/>
              <w:bottom w:val="single" w:sz="4" w:space="0" w:color="auto"/>
              <w:right w:val="single" w:sz="4" w:space="0" w:color="auto"/>
            </w:tcBorders>
            <w:shd w:val="clear" w:color="auto" w:fill="auto"/>
            <w:noWrap/>
            <w:vAlign w:val="bottom"/>
            <w:hideMark/>
          </w:tcPr>
          <w:p w:rsidR="00D4591D" w:rsidRPr="00F607B0" w:rsidRDefault="00D4591D" w:rsidP="00DB20A0">
            <w:pPr>
              <w:keepNext/>
              <w:spacing w:after="0" w:line="240" w:lineRule="auto"/>
              <w:jc w:val="center"/>
              <w:rPr>
                <w:rFonts w:ascii="Calibri" w:eastAsia="Times New Roman" w:hAnsi="Calibri" w:cs="Calibri"/>
                <w:color w:val="000000"/>
                <w:sz w:val="16"/>
                <w:szCs w:val="16"/>
                <w:lang w:eastAsia="en-AU"/>
              </w:rPr>
            </w:pPr>
            <w:r w:rsidRPr="00F607B0">
              <w:rPr>
                <w:rFonts w:ascii="Calibri" w:eastAsia="Times New Roman" w:hAnsi="Calibri" w:cs="Calibri"/>
                <w:color w:val="000000"/>
                <w:sz w:val="16"/>
                <w:szCs w:val="16"/>
                <w:lang w:eastAsia="en-AU"/>
              </w:rPr>
              <w:t>16.8</w:t>
            </w:r>
          </w:p>
        </w:tc>
        <w:tc>
          <w:tcPr>
            <w:tcW w:w="1179" w:type="dxa"/>
            <w:tcBorders>
              <w:top w:val="nil"/>
              <w:left w:val="nil"/>
              <w:bottom w:val="single" w:sz="4" w:space="0" w:color="auto"/>
              <w:right w:val="single" w:sz="4" w:space="0" w:color="auto"/>
            </w:tcBorders>
            <w:shd w:val="clear" w:color="auto" w:fill="auto"/>
            <w:noWrap/>
            <w:vAlign w:val="bottom"/>
            <w:hideMark/>
          </w:tcPr>
          <w:p w:rsidR="00D4591D" w:rsidRPr="00F607B0" w:rsidRDefault="00D4591D" w:rsidP="00DB20A0">
            <w:pPr>
              <w:keepNext/>
              <w:spacing w:after="0" w:line="240" w:lineRule="auto"/>
              <w:jc w:val="center"/>
              <w:rPr>
                <w:rFonts w:ascii="Calibri" w:eastAsia="Times New Roman" w:hAnsi="Calibri" w:cs="Calibri"/>
                <w:color w:val="000000"/>
                <w:sz w:val="16"/>
                <w:szCs w:val="16"/>
                <w:lang w:eastAsia="en-AU"/>
              </w:rPr>
            </w:pPr>
            <w:r w:rsidRPr="00F607B0">
              <w:rPr>
                <w:rFonts w:ascii="Calibri" w:eastAsia="Times New Roman" w:hAnsi="Calibri" w:cs="Calibri"/>
                <w:color w:val="000000"/>
                <w:sz w:val="16"/>
                <w:szCs w:val="16"/>
                <w:lang w:eastAsia="en-AU"/>
              </w:rPr>
              <w:t>4.8</w:t>
            </w:r>
          </w:p>
        </w:tc>
        <w:tc>
          <w:tcPr>
            <w:tcW w:w="960" w:type="dxa"/>
            <w:tcBorders>
              <w:top w:val="nil"/>
              <w:left w:val="nil"/>
              <w:bottom w:val="single" w:sz="4" w:space="0" w:color="auto"/>
              <w:right w:val="single" w:sz="4" w:space="0" w:color="auto"/>
            </w:tcBorders>
            <w:shd w:val="clear" w:color="auto" w:fill="auto"/>
            <w:noWrap/>
            <w:vAlign w:val="bottom"/>
            <w:hideMark/>
          </w:tcPr>
          <w:p w:rsidR="00D4591D" w:rsidRPr="00F607B0" w:rsidRDefault="00D4591D" w:rsidP="00DB20A0">
            <w:pPr>
              <w:keepNext/>
              <w:spacing w:after="0" w:line="240" w:lineRule="auto"/>
              <w:jc w:val="center"/>
              <w:rPr>
                <w:rFonts w:ascii="Calibri" w:eastAsia="Times New Roman" w:hAnsi="Calibri" w:cs="Calibri"/>
                <w:color w:val="000000"/>
                <w:sz w:val="16"/>
                <w:szCs w:val="16"/>
                <w:lang w:eastAsia="en-AU"/>
              </w:rPr>
            </w:pPr>
            <w:r w:rsidRPr="00F607B0">
              <w:rPr>
                <w:rFonts w:ascii="Calibri" w:eastAsia="Times New Roman" w:hAnsi="Calibri" w:cs="Calibri"/>
                <w:color w:val="000000"/>
                <w:sz w:val="16"/>
                <w:szCs w:val="16"/>
                <w:lang w:eastAsia="en-AU"/>
              </w:rPr>
              <w:t>4.7</w:t>
            </w:r>
          </w:p>
        </w:tc>
        <w:tc>
          <w:tcPr>
            <w:tcW w:w="960" w:type="dxa"/>
            <w:tcBorders>
              <w:top w:val="nil"/>
              <w:left w:val="nil"/>
              <w:bottom w:val="single" w:sz="4" w:space="0" w:color="auto"/>
              <w:right w:val="single" w:sz="4" w:space="0" w:color="auto"/>
            </w:tcBorders>
            <w:shd w:val="clear" w:color="auto" w:fill="auto"/>
            <w:noWrap/>
            <w:vAlign w:val="bottom"/>
            <w:hideMark/>
          </w:tcPr>
          <w:p w:rsidR="00D4591D" w:rsidRPr="00F607B0" w:rsidRDefault="00D4591D" w:rsidP="00DB20A0">
            <w:pPr>
              <w:keepNext/>
              <w:spacing w:after="0" w:line="240" w:lineRule="auto"/>
              <w:jc w:val="center"/>
              <w:rPr>
                <w:rFonts w:ascii="Calibri" w:eastAsia="Times New Roman" w:hAnsi="Calibri" w:cs="Calibri"/>
                <w:color w:val="000000"/>
                <w:sz w:val="16"/>
                <w:szCs w:val="16"/>
                <w:lang w:eastAsia="en-AU"/>
              </w:rPr>
            </w:pPr>
            <w:r w:rsidRPr="00F607B0">
              <w:rPr>
                <w:rFonts w:ascii="Calibri" w:eastAsia="Times New Roman" w:hAnsi="Calibri" w:cs="Calibri"/>
                <w:color w:val="000000"/>
                <w:sz w:val="16"/>
                <w:szCs w:val="16"/>
                <w:lang w:eastAsia="en-AU"/>
              </w:rPr>
              <w:t>12.3</w:t>
            </w:r>
          </w:p>
        </w:tc>
        <w:tc>
          <w:tcPr>
            <w:tcW w:w="777" w:type="dxa"/>
            <w:tcBorders>
              <w:top w:val="nil"/>
              <w:left w:val="nil"/>
              <w:bottom w:val="single" w:sz="4" w:space="0" w:color="auto"/>
              <w:right w:val="single" w:sz="4" w:space="0" w:color="auto"/>
            </w:tcBorders>
            <w:shd w:val="clear" w:color="auto" w:fill="auto"/>
            <w:noWrap/>
            <w:vAlign w:val="bottom"/>
            <w:hideMark/>
          </w:tcPr>
          <w:p w:rsidR="00D4591D" w:rsidRPr="00F607B0" w:rsidRDefault="00D4591D" w:rsidP="00DB20A0">
            <w:pPr>
              <w:keepNext/>
              <w:spacing w:after="0" w:line="240" w:lineRule="auto"/>
              <w:jc w:val="center"/>
              <w:rPr>
                <w:rFonts w:ascii="Calibri" w:eastAsia="Times New Roman" w:hAnsi="Calibri" w:cs="Calibri"/>
                <w:color w:val="000000"/>
                <w:sz w:val="16"/>
                <w:szCs w:val="16"/>
                <w:lang w:eastAsia="en-AU"/>
              </w:rPr>
            </w:pPr>
            <w:r w:rsidRPr="00F607B0">
              <w:rPr>
                <w:rFonts w:ascii="Calibri" w:eastAsia="Times New Roman" w:hAnsi="Calibri" w:cs="Calibri"/>
                <w:color w:val="000000"/>
                <w:sz w:val="16"/>
                <w:szCs w:val="16"/>
                <w:lang w:eastAsia="en-AU"/>
              </w:rPr>
              <w:t>100.0</w:t>
            </w:r>
          </w:p>
        </w:tc>
      </w:tr>
    </w:tbl>
    <w:p w:rsidR="00357781" w:rsidRDefault="00357781" w:rsidP="00D4591D">
      <w:pPr>
        <w:pStyle w:val="Source"/>
        <w:keepNext/>
        <w:keepLines/>
        <w:spacing w:before="2400"/>
      </w:pPr>
      <w:r>
        <w:t xml:space="preserve">Note: </w:t>
      </w:r>
      <w:r w:rsidRPr="005E7490">
        <w:rPr>
          <w:b w:val="0"/>
        </w:rPr>
        <w:t xml:space="preserve">The education only cohort </w:t>
      </w:r>
      <w:r>
        <w:rPr>
          <w:b w:val="0"/>
        </w:rPr>
        <w:t xml:space="preserve">is restricted to people </w:t>
      </w:r>
      <w:r w:rsidRPr="005E7490">
        <w:rPr>
          <w:b w:val="0"/>
        </w:rPr>
        <w:t>who were in education</w:t>
      </w:r>
      <w:r>
        <w:rPr>
          <w:b w:val="0"/>
        </w:rPr>
        <w:t xml:space="preserve"> and </w:t>
      </w:r>
      <w:r w:rsidRPr="005E7490">
        <w:rPr>
          <w:b w:val="0"/>
        </w:rPr>
        <w:t>not in the labour force.</w:t>
      </w:r>
      <w:r>
        <w:t xml:space="preserve"> </w:t>
      </w:r>
    </w:p>
    <w:p w:rsidR="00357781" w:rsidRDefault="00357781" w:rsidP="00357781">
      <w:pPr>
        <w:pStyle w:val="Source"/>
      </w:pPr>
      <w:r>
        <w:t xml:space="preserve">Source: </w:t>
      </w:r>
      <w:r w:rsidRPr="00A162B9">
        <w:rPr>
          <w:b w:val="0"/>
        </w:rPr>
        <w:t>Customised data extract provided</w:t>
      </w:r>
      <w:r w:rsidRPr="00554AD3">
        <w:rPr>
          <w:b w:val="0"/>
        </w:rPr>
        <w:t xml:space="preserve"> by the ABS from </w:t>
      </w:r>
      <w:r w:rsidRPr="00395094">
        <w:rPr>
          <w:b w:val="0"/>
        </w:rPr>
        <w:t xml:space="preserve">the Labour Force </w:t>
      </w:r>
      <w:r>
        <w:rPr>
          <w:b w:val="0"/>
        </w:rPr>
        <w:t>S</w:t>
      </w:r>
      <w:r w:rsidRPr="00395094">
        <w:rPr>
          <w:b w:val="0"/>
        </w:rPr>
        <w:t>urvey, Australia</w:t>
      </w:r>
      <w:r w:rsidRPr="00554AD3">
        <w:rPr>
          <w:b w:val="0"/>
        </w:rPr>
        <w:t>. Calculations by the D</w:t>
      </w:r>
      <w:r w:rsidR="0070590D">
        <w:rPr>
          <w:b w:val="0"/>
        </w:rPr>
        <w:t xml:space="preserve">epartment </w:t>
      </w:r>
      <w:r w:rsidRPr="00554AD3">
        <w:rPr>
          <w:b w:val="0"/>
        </w:rPr>
        <w:t>o</w:t>
      </w:r>
      <w:r w:rsidR="0070590D">
        <w:rPr>
          <w:b w:val="0"/>
        </w:rPr>
        <w:t xml:space="preserve">f </w:t>
      </w:r>
      <w:r w:rsidRPr="00554AD3">
        <w:rPr>
          <w:b w:val="0"/>
        </w:rPr>
        <w:t>E</w:t>
      </w:r>
      <w:r w:rsidR="0070590D">
        <w:rPr>
          <w:b w:val="0"/>
        </w:rPr>
        <w:t>mployment</w:t>
      </w:r>
      <w:r w:rsidRPr="00554AD3">
        <w:rPr>
          <w:b w:val="0"/>
        </w:rPr>
        <w:t>.</w:t>
      </w:r>
    </w:p>
    <w:p w:rsidR="0062635B" w:rsidRPr="001D6B4A" w:rsidRDefault="0062635B" w:rsidP="00AE3B11">
      <w:pPr>
        <w:spacing w:before="120"/>
      </w:pPr>
      <w:r>
        <w:lastRenderedPageBreak/>
        <w:t>Key indicators, such as unemployment rates</w:t>
      </w:r>
      <w:r w:rsidR="0070590D">
        <w:t xml:space="preserve"> and</w:t>
      </w:r>
      <w:r>
        <w:t xml:space="preserve"> duration of job search</w:t>
      </w:r>
      <w:r w:rsidR="00297238">
        <w:t>,</w:t>
      </w:r>
      <w:r>
        <w:t xml:space="preserve"> demonstrate the differential impact of economic conditions on those at each end of the </w:t>
      </w:r>
      <w:r w:rsidR="004F3E6E">
        <w:t>JCB age target cohort (Table 1.</w:t>
      </w:r>
      <w:r w:rsidR="006561A8">
        <w:t>3</w:t>
      </w:r>
      <w:r>
        <w:t>).</w:t>
      </w:r>
    </w:p>
    <w:p w:rsidR="00BB493D" w:rsidRDefault="00357781" w:rsidP="00357781">
      <w:pPr>
        <w:pStyle w:val="TableCaption"/>
        <w:keepLines/>
      </w:pPr>
      <w:bookmarkStart w:id="79" w:name="_Toc507600304"/>
      <w:r w:rsidRPr="003A4B00">
        <w:t xml:space="preserve">Table </w:t>
      </w:r>
      <w:r w:rsidR="004F3E6E">
        <w:t>1.</w:t>
      </w:r>
      <w:r w:rsidR="006561A8">
        <w:t>3</w:t>
      </w:r>
      <w:r w:rsidRPr="003A4B00">
        <w:t xml:space="preserve">: </w:t>
      </w:r>
      <w:r>
        <w:t>Select labour market indicators for younger and older cohorts</w:t>
      </w:r>
      <w:bookmarkEnd w:id="79"/>
    </w:p>
    <w:p w:rsidR="00357781" w:rsidRDefault="00357781" w:rsidP="00297238">
      <w:pPr>
        <w:keepNext/>
        <w:keepLines/>
        <w:spacing w:before="120" w:after="0" w:line="240" w:lineRule="auto"/>
        <w:rPr>
          <w:rFonts w:ascii="Calibri" w:eastAsia="Times New Roman" w:hAnsi="Calibri" w:cs="Calibri"/>
          <w:b/>
          <w:bCs/>
          <w:color w:val="000000" w:themeColor="text1"/>
          <w:lang w:eastAsia="en-AU"/>
        </w:rPr>
      </w:pPr>
      <w:r w:rsidRPr="00297238">
        <w:rPr>
          <w:rFonts w:ascii="Calibri" w:eastAsia="Times New Roman" w:hAnsi="Calibri" w:cs="Calibri"/>
          <w:b/>
          <w:bCs/>
          <w:color w:val="000000" w:themeColor="text1"/>
          <w:lang w:eastAsia="en-AU"/>
        </w:rPr>
        <w:t xml:space="preserve"> </w:t>
      </w:r>
      <w:r w:rsidR="00BB493D" w:rsidRPr="00297238">
        <w:rPr>
          <w:rFonts w:ascii="Calibri" w:eastAsia="Times New Roman" w:hAnsi="Calibri" w:cs="Calibri"/>
          <w:b/>
          <w:bCs/>
          <w:color w:val="000000" w:themeColor="text1"/>
          <w:lang w:eastAsia="en-AU"/>
        </w:rPr>
        <w:t xml:space="preserve">Unemployment </w:t>
      </w:r>
      <w:r w:rsidR="00BB493D">
        <w:rPr>
          <w:rFonts w:ascii="Calibri" w:eastAsia="Times New Roman" w:hAnsi="Calibri" w:cs="Calibri"/>
          <w:b/>
          <w:bCs/>
          <w:color w:val="000000" w:themeColor="text1"/>
          <w:lang w:eastAsia="en-AU"/>
        </w:rPr>
        <w:t>r</w:t>
      </w:r>
      <w:r w:rsidR="00BB493D" w:rsidRPr="00297238">
        <w:rPr>
          <w:rFonts w:ascii="Calibri" w:eastAsia="Times New Roman" w:hAnsi="Calibri" w:cs="Calibri"/>
          <w:b/>
          <w:bCs/>
          <w:color w:val="000000" w:themeColor="text1"/>
          <w:lang w:eastAsia="en-AU"/>
        </w:rPr>
        <w:t>ate (per cent)</w:t>
      </w:r>
    </w:p>
    <w:tbl>
      <w:tblPr>
        <w:tblW w:w="8379" w:type="dxa"/>
        <w:tblInd w:w="93" w:type="dxa"/>
        <w:tblLayout w:type="fixed"/>
        <w:tblLook w:val="04A0" w:firstRow="1" w:lastRow="0" w:firstColumn="1" w:lastColumn="0" w:noHBand="0" w:noVBand="1"/>
      </w:tblPr>
      <w:tblGrid>
        <w:gridCol w:w="2567"/>
        <w:gridCol w:w="1559"/>
        <w:gridCol w:w="2268"/>
        <w:gridCol w:w="1985"/>
      </w:tblGrid>
      <w:tr w:rsidR="00297238" w:rsidRPr="00297238" w:rsidTr="00297238">
        <w:trPr>
          <w:trHeight w:val="397"/>
          <w:tblHeader/>
        </w:trPr>
        <w:tc>
          <w:tcPr>
            <w:tcW w:w="2567" w:type="dxa"/>
            <w:shd w:val="clear" w:color="000000" w:fill="1E3D6B"/>
            <w:noWrap/>
            <w:vAlign w:val="center"/>
            <w:hideMark/>
          </w:tcPr>
          <w:p w:rsidR="00357781" w:rsidRPr="00297238" w:rsidRDefault="00357781" w:rsidP="00297238">
            <w:pPr>
              <w:keepNext/>
              <w:keepLines/>
              <w:spacing w:after="0" w:line="240" w:lineRule="auto"/>
              <w:rPr>
                <w:rFonts w:ascii="Calibri" w:eastAsia="Times New Roman" w:hAnsi="Calibri" w:cs="Calibri"/>
                <w:b/>
                <w:bCs/>
                <w:color w:val="FFFFFF"/>
                <w:lang w:eastAsia="en-AU"/>
              </w:rPr>
            </w:pPr>
            <w:bookmarkStart w:id="80" w:name="Title_14a"/>
            <w:bookmarkEnd w:id="80"/>
          </w:p>
        </w:tc>
        <w:tc>
          <w:tcPr>
            <w:tcW w:w="1559" w:type="dxa"/>
            <w:shd w:val="clear" w:color="000000" w:fill="1E3D6B"/>
            <w:vAlign w:val="center"/>
            <w:hideMark/>
          </w:tcPr>
          <w:p w:rsidR="00357781" w:rsidRPr="00297238" w:rsidRDefault="00297238" w:rsidP="00297238">
            <w:pPr>
              <w:keepNext/>
              <w:keepLines/>
              <w:spacing w:after="0" w:line="240" w:lineRule="auto"/>
              <w:ind w:right="-392"/>
              <w:jc w:val="center"/>
              <w:rPr>
                <w:rFonts w:ascii="Calibri" w:eastAsia="Times New Roman" w:hAnsi="Calibri" w:cs="Calibri"/>
                <w:b/>
                <w:bCs/>
                <w:color w:val="FFFFFF"/>
                <w:lang w:eastAsia="en-AU"/>
              </w:rPr>
            </w:pPr>
            <w:r w:rsidRPr="00297238">
              <w:rPr>
                <w:rFonts w:ascii="Calibri" w:eastAsia="Times New Roman" w:hAnsi="Calibri" w:cs="Calibri"/>
                <w:b/>
                <w:bCs/>
                <w:color w:val="FFFFFF"/>
                <w:lang w:eastAsia="en-AU"/>
              </w:rPr>
              <w:t xml:space="preserve">Sep </w:t>
            </w:r>
            <w:r w:rsidR="00357781" w:rsidRPr="00297238">
              <w:rPr>
                <w:rFonts w:ascii="Calibri" w:eastAsia="Times New Roman" w:hAnsi="Calibri" w:cs="Calibri"/>
                <w:b/>
                <w:bCs/>
                <w:color w:val="FFFFFF"/>
                <w:lang w:eastAsia="en-AU"/>
              </w:rPr>
              <w:t>2008</w:t>
            </w:r>
          </w:p>
        </w:tc>
        <w:tc>
          <w:tcPr>
            <w:tcW w:w="2268" w:type="dxa"/>
            <w:shd w:val="clear" w:color="000000" w:fill="1E3D6B"/>
            <w:vAlign w:val="center"/>
          </w:tcPr>
          <w:p w:rsidR="00357781" w:rsidRPr="00297238" w:rsidRDefault="00297238" w:rsidP="00297238">
            <w:pPr>
              <w:keepNext/>
              <w:keepLines/>
              <w:spacing w:after="0" w:line="240" w:lineRule="auto"/>
              <w:ind w:right="-533"/>
              <w:jc w:val="center"/>
              <w:rPr>
                <w:rFonts w:ascii="Calibri" w:eastAsia="Times New Roman" w:hAnsi="Calibri" w:cs="Calibri"/>
                <w:b/>
                <w:bCs/>
                <w:color w:val="FFFFFF"/>
                <w:lang w:eastAsia="en-AU"/>
              </w:rPr>
            </w:pPr>
            <w:r w:rsidRPr="00297238">
              <w:rPr>
                <w:rFonts w:ascii="Calibri" w:eastAsia="Times New Roman" w:hAnsi="Calibri" w:cs="Calibri"/>
                <w:b/>
                <w:bCs/>
                <w:color w:val="FFFFFF"/>
                <w:lang w:eastAsia="en-AU"/>
              </w:rPr>
              <w:t xml:space="preserve">Jun </w:t>
            </w:r>
            <w:r w:rsidR="00357781" w:rsidRPr="00297238">
              <w:rPr>
                <w:rFonts w:ascii="Calibri" w:eastAsia="Times New Roman" w:hAnsi="Calibri" w:cs="Calibri"/>
                <w:b/>
                <w:bCs/>
                <w:color w:val="FFFFFF"/>
                <w:lang w:eastAsia="en-AU"/>
              </w:rPr>
              <w:t>2014</w:t>
            </w:r>
          </w:p>
        </w:tc>
        <w:tc>
          <w:tcPr>
            <w:tcW w:w="1985" w:type="dxa"/>
            <w:shd w:val="clear" w:color="000000" w:fill="1E3D6B"/>
            <w:vAlign w:val="center"/>
          </w:tcPr>
          <w:p w:rsidR="00357781" w:rsidRPr="00297238" w:rsidRDefault="00357781" w:rsidP="00297238">
            <w:pPr>
              <w:keepNext/>
              <w:keepLines/>
              <w:spacing w:after="0" w:line="240" w:lineRule="auto"/>
              <w:ind w:right="-391"/>
              <w:jc w:val="center"/>
              <w:rPr>
                <w:rFonts w:ascii="Calibri" w:eastAsia="Times New Roman" w:hAnsi="Calibri" w:cs="Calibri"/>
                <w:b/>
                <w:bCs/>
                <w:color w:val="FFFFFF"/>
                <w:lang w:eastAsia="en-AU"/>
              </w:rPr>
            </w:pPr>
            <w:r w:rsidRPr="00297238">
              <w:rPr>
                <w:rFonts w:ascii="Calibri" w:eastAsia="Times New Roman" w:hAnsi="Calibri" w:cs="Calibri"/>
                <w:b/>
                <w:bCs/>
                <w:color w:val="FFFFFF"/>
                <w:lang w:eastAsia="en-AU"/>
              </w:rPr>
              <w:t>Difference</w:t>
            </w:r>
          </w:p>
        </w:tc>
      </w:tr>
      <w:tr w:rsidR="00297238" w:rsidRPr="00EE070F" w:rsidTr="00297238">
        <w:trPr>
          <w:trHeight w:val="397"/>
        </w:trPr>
        <w:tc>
          <w:tcPr>
            <w:tcW w:w="2567" w:type="dxa"/>
            <w:shd w:val="clear" w:color="auto" w:fill="FFFFFF" w:themeFill="background2"/>
            <w:noWrap/>
            <w:vAlign w:val="center"/>
          </w:tcPr>
          <w:p w:rsidR="00357781" w:rsidRPr="00567DF4" w:rsidRDefault="00357781" w:rsidP="00384CED">
            <w:pPr>
              <w:keepNext/>
              <w:keepLines/>
              <w:spacing w:after="0" w:line="240" w:lineRule="auto"/>
              <w:rPr>
                <w:rFonts w:ascii="Calibri" w:eastAsia="Times New Roman" w:hAnsi="Calibri" w:cs="Calibri"/>
                <w:bCs/>
                <w:color w:val="000000" w:themeColor="text1"/>
                <w:lang w:eastAsia="en-AU"/>
              </w:rPr>
            </w:pPr>
            <w:r w:rsidRPr="00567DF4">
              <w:rPr>
                <w:rFonts w:ascii="Calibri" w:eastAsia="Times New Roman" w:hAnsi="Calibri" w:cs="Calibri"/>
                <w:bCs/>
                <w:color w:val="000000" w:themeColor="text1"/>
                <w:lang w:eastAsia="en-AU"/>
              </w:rPr>
              <w:t>18</w:t>
            </w:r>
            <w:r>
              <w:rPr>
                <w:rFonts w:ascii="Calibri" w:eastAsia="Times New Roman" w:hAnsi="Calibri" w:cs="Calibri"/>
                <w:bCs/>
                <w:color w:val="000000" w:themeColor="text1"/>
                <w:lang w:eastAsia="en-AU"/>
              </w:rPr>
              <w:t xml:space="preserve"> years to</w:t>
            </w:r>
            <w:r w:rsidRPr="00567DF4">
              <w:rPr>
                <w:rFonts w:ascii="Calibri" w:eastAsia="Times New Roman" w:hAnsi="Calibri" w:cs="Calibri"/>
                <w:bCs/>
                <w:color w:val="000000" w:themeColor="text1"/>
                <w:lang w:eastAsia="en-AU"/>
              </w:rPr>
              <w:t xml:space="preserve"> </w:t>
            </w:r>
            <w:r>
              <w:rPr>
                <w:rFonts w:ascii="Calibri" w:eastAsia="Times New Roman" w:hAnsi="Calibri" w:cs="Calibri"/>
                <w:bCs/>
                <w:color w:val="000000" w:themeColor="text1"/>
                <w:lang w:eastAsia="en-AU"/>
              </w:rPr>
              <w:t>24</w:t>
            </w:r>
            <w:r w:rsidRPr="00567DF4">
              <w:rPr>
                <w:rFonts w:ascii="Calibri" w:eastAsia="Times New Roman" w:hAnsi="Calibri" w:cs="Calibri"/>
                <w:bCs/>
                <w:color w:val="000000" w:themeColor="text1"/>
                <w:lang w:eastAsia="en-AU"/>
              </w:rPr>
              <w:t xml:space="preserve"> years</w:t>
            </w:r>
            <w:r>
              <w:rPr>
                <w:rFonts w:ascii="Calibri" w:eastAsia="Times New Roman" w:hAnsi="Calibri" w:cs="Calibri"/>
                <w:bCs/>
                <w:color w:val="000000" w:themeColor="text1"/>
                <w:lang w:eastAsia="en-AU"/>
              </w:rPr>
              <w:t xml:space="preserve"> </w:t>
            </w:r>
          </w:p>
        </w:tc>
        <w:tc>
          <w:tcPr>
            <w:tcW w:w="1559" w:type="dxa"/>
            <w:shd w:val="clear" w:color="auto" w:fill="FFFFFF" w:themeFill="background2"/>
            <w:vAlign w:val="center"/>
          </w:tcPr>
          <w:p w:rsidR="00357781" w:rsidRPr="00567DF4" w:rsidRDefault="00357781" w:rsidP="00297238">
            <w:pPr>
              <w:keepNext/>
              <w:keepLines/>
              <w:tabs>
                <w:tab w:val="left" w:pos="1451"/>
              </w:tabs>
              <w:spacing w:after="0" w:line="240" w:lineRule="auto"/>
              <w:ind w:right="279"/>
              <w:jc w:val="right"/>
              <w:rPr>
                <w:rFonts w:ascii="Calibri" w:eastAsia="Times New Roman" w:hAnsi="Calibri" w:cs="Calibri"/>
                <w:bCs/>
                <w:color w:val="000000" w:themeColor="text1"/>
                <w:lang w:eastAsia="en-AU"/>
              </w:rPr>
            </w:pPr>
            <w:r>
              <w:rPr>
                <w:rFonts w:ascii="Calibri" w:eastAsia="Times New Roman" w:hAnsi="Calibri" w:cs="Calibri"/>
                <w:bCs/>
                <w:color w:val="000000" w:themeColor="text1"/>
                <w:lang w:eastAsia="en-AU"/>
              </w:rPr>
              <w:t>7.1</w:t>
            </w:r>
          </w:p>
        </w:tc>
        <w:tc>
          <w:tcPr>
            <w:tcW w:w="2268" w:type="dxa"/>
            <w:shd w:val="clear" w:color="auto" w:fill="FFFFFF" w:themeFill="background2"/>
            <w:vAlign w:val="center"/>
          </w:tcPr>
          <w:p w:rsidR="00357781" w:rsidRPr="00567DF4" w:rsidRDefault="00357781" w:rsidP="00384CED">
            <w:pPr>
              <w:keepNext/>
              <w:keepLines/>
              <w:spacing w:after="0" w:line="240" w:lineRule="auto"/>
              <w:ind w:right="448"/>
              <w:jc w:val="right"/>
              <w:rPr>
                <w:rFonts w:ascii="Calibri" w:eastAsia="Times New Roman" w:hAnsi="Calibri" w:cs="Calibri"/>
                <w:bCs/>
                <w:color w:val="000000" w:themeColor="text1"/>
                <w:lang w:eastAsia="en-AU"/>
              </w:rPr>
            </w:pPr>
            <w:r>
              <w:rPr>
                <w:rFonts w:ascii="Calibri" w:eastAsia="Times New Roman" w:hAnsi="Calibri" w:cs="Calibri"/>
                <w:bCs/>
                <w:color w:val="000000" w:themeColor="text1"/>
                <w:lang w:eastAsia="en-AU"/>
              </w:rPr>
              <w:t xml:space="preserve">11.6 </w:t>
            </w:r>
          </w:p>
        </w:tc>
        <w:tc>
          <w:tcPr>
            <w:tcW w:w="1985" w:type="dxa"/>
            <w:shd w:val="clear" w:color="auto" w:fill="FFFFFF" w:themeFill="background2"/>
            <w:vAlign w:val="center"/>
          </w:tcPr>
          <w:p w:rsidR="00357781" w:rsidDel="00426106" w:rsidRDefault="00357781" w:rsidP="00384CED">
            <w:pPr>
              <w:keepNext/>
              <w:keepLines/>
              <w:spacing w:after="0" w:line="240" w:lineRule="auto"/>
              <w:ind w:right="448"/>
              <w:jc w:val="right"/>
              <w:rPr>
                <w:rFonts w:ascii="Calibri" w:eastAsia="Times New Roman" w:hAnsi="Calibri" w:cs="Calibri"/>
                <w:bCs/>
                <w:color w:val="000000" w:themeColor="text1"/>
                <w:lang w:eastAsia="en-AU"/>
              </w:rPr>
            </w:pPr>
            <w:r>
              <w:rPr>
                <w:rFonts w:ascii="Calibri" w:eastAsia="Times New Roman" w:hAnsi="Calibri" w:cs="Calibri"/>
                <w:bCs/>
                <w:color w:val="000000" w:themeColor="text1"/>
                <w:lang w:eastAsia="en-AU"/>
              </w:rPr>
              <w:t>4.5</w:t>
            </w:r>
          </w:p>
        </w:tc>
      </w:tr>
      <w:tr w:rsidR="00297238" w:rsidRPr="00EE070F" w:rsidTr="00297238">
        <w:trPr>
          <w:trHeight w:val="397"/>
        </w:trPr>
        <w:tc>
          <w:tcPr>
            <w:tcW w:w="2567" w:type="dxa"/>
            <w:tcBorders>
              <w:bottom w:val="single" w:sz="4" w:space="0" w:color="auto"/>
            </w:tcBorders>
            <w:shd w:val="clear" w:color="auto" w:fill="E5E5E5" w:themeFill="background1" w:themeFillTint="33"/>
            <w:noWrap/>
            <w:vAlign w:val="center"/>
          </w:tcPr>
          <w:p w:rsidR="00357781" w:rsidRPr="00567DF4" w:rsidRDefault="00357781" w:rsidP="00384CED">
            <w:pPr>
              <w:keepNext/>
              <w:keepLines/>
              <w:spacing w:after="0" w:line="240" w:lineRule="auto"/>
              <w:rPr>
                <w:rFonts w:ascii="Calibri" w:eastAsia="Times New Roman" w:hAnsi="Calibri" w:cs="Calibri"/>
                <w:bCs/>
                <w:color w:val="000000" w:themeColor="text1"/>
                <w:lang w:eastAsia="en-AU"/>
              </w:rPr>
            </w:pPr>
            <w:r>
              <w:rPr>
                <w:rFonts w:ascii="Calibri" w:eastAsia="Times New Roman" w:hAnsi="Calibri" w:cs="Calibri"/>
                <w:bCs/>
                <w:color w:val="000000" w:themeColor="text1"/>
                <w:lang w:eastAsia="en-AU"/>
              </w:rPr>
              <w:t>25 years to 30 years</w:t>
            </w:r>
          </w:p>
        </w:tc>
        <w:tc>
          <w:tcPr>
            <w:tcW w:w="1559" w:type="dxa"/>
            <w:tcBorders>
              <w:bottom w:val="single" w:sz="4" w:space="0" w:color="auto"/>
            </w:tcBorders>
            <w:shd w:val="clear" w:color="auto" w:fill="E5E5E5" w:themeFill="background1" w:themeFillTint="33"/>
            <w:vAlign w:val="center"/>
          </w:tcPr>
          <w:p w:rsidR="00357781" w:rsidRPr="00567DF4" w:rsidRDefault="00357781" w:rsidP="00297238">
            <w:pPr>
              <w:keepNext/>
              <w:keepLines/>
              <w:tabs>
                <w:tab w:val="left" w:pos="1451"/>
              </w:tabs>
              <w:spacing w:after="0" w:line="240" w:lineRule="auto"/>
              <w:ind w:right="279"/>
              <w:jc w:val="right"/>
              <w:rPr>
                <w:rFonts w:ascii="Calibri" w:eastAsia="Times New Roman" w:hAnsi="Calibri" w:cs="Calibri"/>
                <w:bCs/>
                <w:color w:val="000000" w:themeColor="text1"/>
                <w:lang w:eastAsia="en-AU"/>
              </w:rPr>
            </w:pPr>
            <w:r>
              <w:rPr>
                <w:rFonts w:ascii="Calibri" w:eastAsia="Times New Roman" w:hAnsi="Calibri" w:cs="Calibri"/>
                <w:bCs/>
                <w:color w:val="000000" w:themeColor="text1"/>
                <w:lang w:eastAsia="en-AU"/>
              </w:rPr>
              <w:t>4.1</w:t>
            </w:r>
          </w:p>
        </w:tc>
        <w:tc>
          <w:tcPr>
            <w:tcW w:w="2268" w:type="dxa"/>
            <w:tcBorders>
              <w:bottom w:val="single" w:sz="4" w:space="0" w:color="auto"/>
            </w:tcBorders>
            <w:shd w:val="clear" w:color="auto" w:fill="E5E5E5" w:themeFill="background1" w:themeFillTint="33"/>
            <w:vAlign w:val="center"/>
          </w:tcPr>
          <w:p w:rsidR="00357781" w:rsidRPr="00567DF4" w:rsidRDefault="00357781" w:rsidP="00384CED">
            <w:pPr>
              <w:keepNext/>
              <w:keepLines/>
              <w:spacing w:after="0" w:line="240" w:lineRule="auto"/>
              <w:ind w:right="448"/>
              <w:jc w:val="right"/>
              <w:rPr>
                <w:rFonts w:ascii="Calibri" w:eastAsia="Times New Roman" w:hAnsi="Calibri" w:cs="Calibri"/>
                <w:bCs/>
                <w:color w:val="000000" w:themeColor="text1"/>
                <w:lang w:eastAsia="en-AU"/>
              </w:rPr>
            </w:pPr>
            <w:r>
              <w:rPr>
                <w:rFonts w:ascii="Calibri" w:eastAsia="Times New Roman" w:hAnsi="Calibri" w:cs="Calibri"/>
                <w:bCs/>
                <w:color w:val="000000" w:themeColor="text1"/>
                <w:lang w:eastAsia="en-AU"/>
              </w:rPr>
              <w:t xml:space="preserve">5.7 </w:t>
            </w:r>
          </w:p>
        </w:tc>
        <w:tc>
          <w:tcPr>
            <w:tcW w:w="1985" w:type="dxa"/>
            <w:tcBorders>
              <w:bottom w:val="single" w:sz="4" w:space="0" w:color="auto"/>
            </w:tcBorders>
            <w:shd w:val="clear" w:color="auto" w:fill="E5E5E5" w:themeFill="background1" w:themeFillTint="33"/>
            <w:vAlign w:val="center"/>
          </w:tcPr>
          <w:p w:rsidR="00357781" w:rsidRDefault="00357781" w:rsidP="00384CED">
            <w:pPr>
              <w:keepNext/>
              <w:keepLines/>
              <w:spacing w:after="0" w:line="240" w:lineRule="auto"/>
              <w:ind w:right="448"/>
              <w:jc w:val="right"/>
              <w:rPr>
                <w:rFonts w:ascii="Calibri" w:eastAsia="Times New Roman" w:hAnsi="Calibri" w:cs="Calibri"/>
                <w:bCs/>
                <w:color w:val="000000" w:themeColor="text1"/>
                <w:lang w:eastAsia="en-AU"/>
              </w:rPr>
            </w:pPr>
            <w:r>
              <w:rPr>
                <w:rFonts w:ascii="Calibri" w:eastAsia="Times New Roman" w:hAnsi="Calibri" w:cs="Calibri"/>
                <w:bCs/>
                <w:color w:val="000000" w:themeColor="text1"/>
                <w:lang w:eastAsia="en-AU"/>
              </w:rPr>
              <w:t>1.6</w:t>
            </w:r>
          </w:p>
        </w:tc>
      </w:tr>
    </w:tbl>
    <w:p w:rsidR="00297238" w:rsidRDefault="00297238" w:rsidP="00297238">
      <w:pPr>
        <w:spacing w:before="120" w:after="0"/>
        <w:rPr>
          <w:rFonts w:ascii="Calibri" w:eastAsia="Times New Roman" w:hAnsi="Calibri" w:cs="Calibri"/>
          <w:b/>
          <w:bCs/>
          <w:color w:val="000000" w:themeColor="text1"/>
          <w:lang w:eastAsia="en-AU"/>
        </w:rPr>
      </w:pPr>
      <w:r w:rsidRPr="00185BE4">
        <w:rPr>
          <w:rFonts w:ascii="Calibri" w:eastAsia="Times New Roman" w:hAnsi="Calibri" w:cs="Calibri"/>
          <w:b/>
          <w:bCs/>
          <w:color w:val="000000" w:themeColor="text1"/>
          <w:lang w:eastAsia="en-AU"/>
        </w:rPr>
        <w:t xml:space="preserve">Job search </w:t>
      </w:r>
      <w:r>
        <w:rPr>
          <w:rFonts w:ascii="Calibri" w:eastAsia="Times New Roman" w:hAnsi="Calibri" w:cs="Calibri"/>
          <w:b/>
          <w:bCs/>
          <w:color w:val="000000" w:themeColor="text1"/>
          <w:lang w:eastAsia="en-AU"/>
        </w:rPr>
        <w:t>d</w:t>
      </w:r>
      <w:r w:rsidRPr="00185BE4">
        <w:rPr>
          <w:rFonts w:ascii="Calibri" w:eastAsia="Times New Roman" w:hAnsi="Calibri" w:cs="Calibri"/>
          <w:b/>
          <w:bCs/>
          <w:color w:val="000000" w:themeColor="text1"/>
          <w:lang w:eastAsia="en-AU"/>
        </w:rPr>
        <w:t>uration (weeks)</w:t>
      </w:r>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7"/>
        <w:gridCol w:w="1559"/>
        <w:gridCol w:w="2268"/>
        <w:gridCol w:w="1985"/>
      </w:tblGrid>
      <w:tr w:rsidR="00297238" w:rsidRPr="00185BE4" w:rsidTr="00297238">
        <w:trPr>
          <w:trHeight w:val="397"/>
          <w:tblHeader/>
        </w:trPr>
        <w:tc>
          <w:tcPr>
            <w:tcW w:w="2567" w:type="dxa"/>
            <w:tcBorders>
              <w:top w:val="nil"/>
              <w:left w:val="nil"/>
              <w:bottom w:val="nil"/>
              <w:right w:val="nil"/>
            </w:tcBorders>
            <w:shd w:val="clear" w:color="000000" w:fill="1E3D6B"/>
            <w:noWrap/>
            <w:vAlign w:val="center"/>
            <w:hideMark/>
          </w:tcPr>
          <w:p w:rsidR="00297238" w:rsidRPr="00185BE4" w:rsidRDefault="00297238" w:rsidP="00562F6E">
            <w:pPr>
              <w:keepNext/>
              <w:keepLines/>
              <w:spacing w:after="0" w:line="240" w:lineRule="auto"/>
              <w:rPr>
                <w:rFonts w:ascii="Calibri" w:eastAsia="Times New Roman" w:hAnsi="Calibri" w:cs="Calibri"/>
                <w:b/>
                <w:bCs/>
                <w:color w:val="FFFFFF"/>
                <w:lang w:eastAsia="en-AU"/>
              </w:rPr>
            </w:pPr>
            <w:bookmarkStart w:id="81" w:name="Title_14b"/>
            <w:bookmarkEnd w:id="81"/>
          </w:p>
        </w:tc>
        <w:tc>
          <w:tcPr>
            <w:tcW w:w="1559" w:type="dxa"/>
            <w:tcBorders>
              <w:top w:val="nil"/>
              <w:left w:val="nil"/>
              <w:bottom w:val="nil"/>
              <w:right w:val="nil"/>
            </w:tcBorders>
            <w:shd w:val="clear" w:color="000000" w:fill="1E3D6B"/>
            <w:vAlign w:val="center"/>
            <w:hideMark/>
          </w:tcPr>
          <w:p w:rsidR="00297238" w:rsidRPr="00185BE4" w:rsidRDefault="00297238" w:rsidP="00297238">
            <w:pPr>
              <w:keepNext/>
              <w:keepLines/>
              <w:spacing w:after="0" w:line="240" w:lineRule="auto"/>
              <w:ind w:right="-250"/>
              <w:jc w:val="center"/>
              <w:rPr>
                <w:rFonts w:ascii="Calibri" w:eastAsia="Times New Roman" w:hAnsi="Calibri" w:cs="Calibri"/>
                <w:b/>
                <w:bCs/>
                <w:color w:val="FFFFFF"/>
                <w:lang w:eastAsia="en-AU"/>
              </w:rPr>
            </w:pPr>
            <w:r w:rsidRPr="00185BE4">
              <w:rPr>
                <w:rFonts w:ascii="Calibri" w:eastAsia="Times New Roman" w:hAnsi="Calibri" w:cs="Calibri"/>
                <w:b/>
                <w:bCs/>
                <w:color w:val="FFFFFF"/>
                <w:lang w:eastAsia="en-AU"/>
              </w:rPr>
              <w:t>Sep 2008</w:t>
            </w:r>
          </w:p>
        </w:tc>
        <w:tc>
          <w:tcPr>
            <w:tcW w:w="2268" w:type="dxa"/>
            <w:tcBorders>
              <w:top w:val="nil"/>
              <w:left w:val="nil"/>
              <w:bottom w:val="nil"/>
              <w:right w:val="nil"/>
            </w:tcBorders>
            <w:shd w:val="clear" w:color="000000" w:fill="1E3D6B"/>
            <w:vAlign w:val="center"/>
          </w:tcPr>
          <w:p w:rsidR="00297238" w:rsidRPr="00185BE4" w:rsidRDefault="00297238" w:rsidP="00297238">
            <w:pPr>
              <w:keepNext/>
              <w:keepLines/>
              <w:spacing w:after="0" w:line="240" w:lineRule="auto"/>
              <w:ind w:right="-533"/>
              <w:jc w:val="center"/>
              <w:rPr>
                <w:rFonts w:ascii="Calibri" w:eastAsia="Times New Roman" w:hAnsi="Calibri" w:cs="Calibri"/>
                <w:b/>
                <w:bCs/>
                <w:color w:val="FFFFFF"/>
                <w:lang w:eastAsia="en-AU"/>
              </w:rPr>
            </w:pPr>
            <w:r>
              <w:rPr>
                <w:rFonts w:ascii="Calibri" w:eastAsia="Times New Roman" w:hAnsi="Calibri" w:cs="Calibri"/>
                <w:b/>
                <w:bCs/>
                <w:color w:val="FFFFFF"/>
                <w:lang w:eastAsia="en-AU"/>
              </w:rPr>
              <w:t>Jun 2014</w:t>
            </w:r>
          </w:p>
        </w:tc>
        <w:tc>
          <w:tcPr>
            <w:tcW w:w="1985" w:type="dxa"/>
            <w:tcBorders>
              <w:top w:val="nil"/>
              <w:left w:val="nil"/>
              <w:bottom w:val="nil"/>
              <w:right w:val="nil"/>
            </w:tcBorders>
            <w:shd w:val="clear" w:color="000000" w:fill="1E3D6B"/>
            <w:vAlign w:val="center"/>
          </w:tcPr>
          <w:p w:rsidR="00297238" w:rsidRPr="00185BE4" w:rsidRDefault="00297238" w:rsidP="00297238">
            <w:pPr>
              <w:keepNext/>
              <w:keepLines/>
              <w:spacing w:after="0" w:line="240" w:lineRule="auto"/>
              <w:ind w:right="-249"/>
              <w:jc w:val="center"/>
              <w:rPr>
                <w:rFonts w:ascii="Calibri" w:eastAsia="Times New Roman" w:hAnsi="Calibri" w:cs="Calibri"/>
                <w:b/>
                <w:bCs/>
                <w:color w:val="FFFFFF"/>
                <w:lang w:eastAsia="en-AU"/>
              </w:rPr>
            </w:pPr>
            <w:r w:rsidRPr="00185BE4">
              <w:rPr>
                <w:rFonts w:ascii="Calibri" w:eastAsia="Times New Roman" w:hAnsi="Calibri" w:cs="Calibri"/>
                <w:b/>
                <w:bCs/>
                <w:color w:val="FFFFFF"/>
                <w:lang w:eastAsia="en-AU"/>
              </w:rPr>
              <w:t>Difference</w:t>
            </w:r>
          </w:p>
        </w:tc>
      </w:tr>
      <w:tr w:rsidR="00297238" w:rsidRPr="00EE070F" w:rsidTr="00297238">
        <w:trPr>
          <w:trHeight w:val="397"/>
        </w:trPr>
        <w:tc>
          <w:tcPr>
            <w:tcW w:w="2567" w:type="dxa"/>
            <w:tcBorders>
              <w:top w:val="nil"/>
              <w:left w:val="nil"/>
              <w:bottom w:val="nil"/>
              <w:right w:val="nil"/>
            </w:tcBorders>
            <w:shd w:val="clear" w:color="auto" w:fill="FFFFFF" w:themeFill="background2"/>
            <w:noWrap/>
            <w:vAlign w:val="center"/>
          </w:tcPr>
          <w:p w:rsidR="00357781" w:rsidRDefault="00357781" w:rsidP="00297238">
            <w:pPr>
              <w:keepNext/>
              <w:keepLines/>
              <w:spacing w:after="0" w:line="240" w:lineRule="auto"/>
              <w:rPr>
                <w:rFonts w:ascii="Calibri" w:eastAsia="Times New Roman" w:hAnsi="Calibri" w:cs="Calibri"/>
                <w:bCs/>
                <w:color w:val="000000" w:themeColor="text1"/>
                <w:lang w:eastAsia="en-AU"/>
              </w:rPr>
            </w:pPr>
            <w:r w:rsidRPr="00567DF4">
              <w:rPr>
                <w:rFonts w:ascii="Calibri" w:eastAsia="Times New Roman" w:hAnsi="Calibri" w:cs="Calibri"/>
                <w:bCs/>
                <w:color w:val="000000" w:themeColor="text1"/>
                <w:lang w:eastAsia="en-AU"/>
              </w:rPr>
              <w:t>1</w:t>
            </w:r>
            <w:r>
              <w:rPr>
                <w:rFonts w:ascii="Calibri" w:eastAsia="Times New Roman" w:hAnsi="Calibri" w:cs="Calibri"/>
                <w:bCs/>
                <w:color w:val="000000" w:themeColor="text1"/>
                <w:lang w:eastAsia="en-AU"/>
              </w:rPr>
              <w:t>5 years to</w:t>
            </w:r>
            <w:r w:rsidRPr="00567DF4">
              <w:rPr>
                <w:rFonts w:ascii="Calibri" w:eastAsia="Times New Roman" w:hAnsi="Calibri" w:cs="Calibri"/>
                <w:bCs/>
                <w:color w:val="000000" w:themeColor="text1"/>
                <w:lang w:eastAsia="en-AU"/>
              </w:rPr>
              <w:t xml:space="preserve"> </w:t>
            </w:r>
            <w:r>
              <w:rPr>
                <w:rFonts w:ascii="Calibri" w:eastAsia="Times New Roman" w:hAnsi="Calibri" w:cs="Calibri"/>
                <w:bCs/>
                <w:color w:val="000000" w:themeColor="text1"/>
                <w:lang w:eastAsia="en-AU"/>
              </w:rPr>
              <w:t>24</w:t>
            </w:r>
            <w:r w:rsidRPr="00567DF4">
              <w:rPr>
                <w:rFonts w:ascii="Calibri" w:eastAsia="Times New Roman" w:hAnsi="Calibri" w:cs="Calibri"/>
                <w:bCs/>
                <w:color w:val="000000" w:themeColor="text1"/>
                <w:lang w:eastAsia="en-AU"/>
              </w:rPr>
              <w:t xml:space="preserve"> years</w:t>
            </w:r>
            <w:r>
              <w:rPr>
                <w:rFonts w:ascii="Calibri" w:eastAsia="Times New Roman" w:hAnsi="Calibri" w:cs="Calibri"/>
                <w:bCs/>
                <w:color w:val="000000" w:themeColor="text1"/>
                <w:lang w:eastAsia="en-AU"/>
              </w:rPr>
              <w:t xml:space="preserve"> </w:t>
            </w:r>
          </w:p>
        </w:tc>
        <w:tc>
          <w:tcPr>
            <w:tcW w:w="1559" w:type="dxa"/>
            <w:tcBorders>
              <w:top w:val="nil"/>
              <w:left w:val="nil"/>
              <w:bottom w:val="nil"/>
              <w:right w:val="nil"/>
            </w:tcBorders>
            <w:shd w:val="clear" w:color="auto" w:fill="FFFFFF" w:themeFill="background2"/>
            <w:vAlign w:val="center"/>
          </w:tcPr>
          <w:p w:rsidR="00357781" w:rsidRDefault="00357781" w:rsidP="00297238">
            <w:pPr>
              <w:keepNext/>
              <w:keepLines/>
              <w:tabs>
                <w:tab w:val="left" w:pos="1451"/>
              </w:tabs>
              <w:spacing w:after="0" w:line="240" w:lineRule="auto"/>
              <w:ind w:right="279"/>
              <w:jc w:val="right"/>
              <w:rPr>
                <w:rFonts w:ascii="Calibri" w:eastAsia="Times New Roman" w:hAnsi="Calibri" w:cs="Calibri"/>
                <w:bCs/>
                <w:color w:val="000000" w:themeColor="text1"/>
                <w:lang w:eastAsia="en-AU"/>
              </w:rPr>
            </w:pPr>
            <w:r>
              <w:rPr>
                <w:rFonts w:ascii="Calibri" w:eastAsia="Times New Roman" w:hAnsi="Calibri" w:cs="Calibri"/>
                <w:bCs/>
                <w:color w:val="000000" w:themeColor="text1"/>
                <w:lang w:eastAsia="en-AU"/>
              </w:rPr>
              <w:t>17.9</w:t>
            </w:r>
          </w:p>
        </w:tc>
        <w:tc>
          <w:tcPr>
            <w:tcW w:w="2268" w:type="dxa"/>
            <w:tcBorders>
              <w:top w:val="nil"/>
              <w:left w:val="nil"/>
              <w:bottom w:val="nil"/>
              <w:right w:val="nil"/>
            </w:tcBorders>
            <w:shd w:val="clear" w:color="auto" w:fill="FFFFFF" w:themeFill="background2"/>
            <w:vAlign w:val="center"/>
          </w:tcPr>
          <w:p w:rsidR="00357781" w:rsidRDefault="00297238" w:rsidP="00384CED">
            <w:pPr>
              <w:keepNext/>
              <w:keepLines/>
              <w:spacing w:after="0" w:line="240" w:lineRule="auto"/>
              <w:ind w:right="448"/>
              <w:jc w:val="right"/>
              <w:rPr>
                <w:rFonts w:ascii="Calibri" w:eastAsia="Times New Roman" w:hAnsi="Calibri" w:cs="Calibri"/>
                <w:bCs/>
                <w:color w:val="000000" w:themeColor="text1"/>
                <w:lang w:eastAsia="en-AU"/>
              </w:rPr>
            </w:pPr>
            <w:r>
              <w:rPr>
                <w:rFonts w:ascii="Calibri" w:eastAsia="Times New Roman" w:hAnsi="Calibri" w:cs="Calibri"/>
                <w:bCs/>
                <w:color w:val="000000" w:themeColor="text1"/>
                <w:lang w:eastAsia="en-AU"/>
              </w:rPr>
              <w:t>29.3</w:t>
            </w:r>
          </w:p>
        </w:tc>
        <w:tc>
          <w:tcPr>
            <w:tcW w:w="1985" w:type="dxa"/>
            <w:tcBorders>
              <w:top w:val="nil"/>
              <w:left w:val="nil"/>
              <w:bottom w:val="nil"/>
              <w:right w:val="nil"/>
            </w:tcBorders>
            <w:shd w:val="clear" w:color="auto" w:fill="FFFFFF" w:themeFill="background2"/>
            <w:vAlign w:val="center"/>
          </w:tcPr>
          <w:p w:rsidR="00357781" w:rsidRDefault="00297238" w:rsidP="00384CED">
            <w:pPr>
              <w:keepNext/>
              <w:keepLines/>
              <w:spacing w:after="0" w:line="240" w:lineRule="auto"/>
              <w:ind w:right="448"/>
              <w:jc w:val="right"/>
              <w:rPr>
                <w:rFonts w:ascii="Calibri" w:eastAsia="Times New Roman" w:hAnsi="Calibri" w:cs="Calibri"/>
                <w:bCs/>
                <w:color w:val="000000" w:themeColor="text1"/>
                <w:lang w:eastAsia="en-AU"/>
              </w:rPr>
            </w:pPr>
            <w:r>
              <w:rPr>
                <w:rFonts w:ascii="Calibri" w:eastAsia="Times New Roman" w:hAnsi="Calibri" w:cs="Calibri"/>
                <w:bCs/>
                <w:color w:val="000000" w:themeColor="text1"/>
                <w:lang w:eastAsia="en-AU"/>
              </w:rPr>
              <w:t>11.4</w:t>
            </w:r>
          </w:p>
        </w:tc>
      </w:tr>
      <w:tr w:rsidR="00297238" w:rsidRPr="00EE070F" w:rsidTr="00297238">
        <w:trPr>
          <w:trHeight w:val="397"/>
        </w:trPr>
        <w:tc>
          <w:tcPr>
            <w:tcW w:w="2567" w:type="dxa"/>
            <w:tcBorders>
              <w:top w:val="nil"/>
              <w:left w:val="nil"/>
              <w:bottom w:val="single" w:sz="4" w:space="0" w:color="auto"/>
              <w:right w:val="nil"/>
            </w:tcBorders>
            <w:shd w:val="clear" w:color="auto" w:fill="E5E5E5" w:themeFill="background1" w:themeFillTint="33"/>
            <w:noWrap/>
            <w:vAlign w:val="center"/>
          </w:tcPr>
          <w:p w:rsidR="00357781" w:rsidRDefault="00357781" w:rsidP="00384CED">
            <w:pPr>
              <w:keepNext/>
              <w:keepLines/>
              <w:spacing w:after="0" w:line="240" w:lineRule="auto"/>
              <w:rPr>
                <w:rFonts w:ascii="Calibri" w:eastAsia="Times New Roman" w:hAnsi="Calibri" w:cs="Calibri"/>
                <w:bCs/>
                <w:color w:val="000000" w:themeColor="text1"/>
                <w:lang w:eastAsia="en-AU"/>
              </w:rPr>
            </w:pPr>
            <w:r>
              <w:rPr>
                <w:rFonts w:ascii="Calibri" w:eastAsia="Times New Roman" w:hAnsi="Calibri" w:cs="Calibri"/>
                <w:bCs/>
                <w:color w:val="000000" w:themeColor="text1"/>
                <w:lang w:eastAsia="en-AU"/>
              </w:rPr>
              <w:t xml:space="preserve">25 years to 34 years </w:t>
            </w:r>
          </w:p>
        </w:tc>
        <w:tc>
          <w:tcPr>
            <w:tcW w:w="1559" w:type="dxa"/>
            <w:tcBorders>
              <w:top w:val="nil"/>
              <w:left w:val="nil"/>
              <w:bottom w:val="single" w:sz="4" w:space="0" w:color="auto"/>
              <w:right w:val="nil"/>
            </w:tcBorders>
            <w:shd w:val="clear" w:color="auto" w:fill="E5E5E5" w:themeFill="background1" w:themeFillTint="33"/>
            <w:vAlign w:val="center"/>
          </w:tcPr>
          <w:p w:rsidR="00357781" w:rsidRDefault="00357781" w:rsidP="00297238">
            <w:pPr>
              <w:keepNext/>
              <w:keepLines/>
              <w:tabs>
                <w:tab w:val="left" w:pos="1451"/>
              </w:tabs>
              <w:spacing w:after="0" w:line="240" w:lineRule="auto"/>
              <w:ind w:right="279"/>
              <w:jc w:val="right"/>
              <w:rPr>
                <w:rFonts w:ascii="Calibri" w:eastAsia="Times New Roman" w:hAnsi="Calibri" w:cs="Calibri"/>
                <w:bCs/>
                <w:color w:val="000000" w:themeColor="text1"/>
                <w:lang w:eastAsia="en-AU"/>
              </w:rPr>
            </w:pPr>
            <w:r>
              <w:rPr>
                <w:rFonts w:ascii="Calibri" w:eastAsia="Times New Roman" w:hAnsi="Calibri" w:cs="Calibri"/>
                <w:bCs/>
                <w:color w:val="000000" w:themeColor="text1"/>
                <w:lang w:eastAsia="en-AU"/>
              </w:rPr>
              <w:t>30.4</w:t>
            </w:r>
          </w:p>
        </w:tc>
        <w:tc>
          <w:tcPr>
            <w:tcW w:w="2268" w:type="dxa"/>
            <w:tcBorders>
              <w:top w:val="nil"/>
              <w:left w:val="nil"/>
              <w:bottom w:val="single" w:sz="4" w:space="0" w:color="auto"/>
              <w:right w:val="nil"/>
            </w:tcBorders>
            <w:shd w:val="clear" w:color="auto" w:fill="E5E5E5" w:themeFill="background1" w:themeFillTint="33"/>
            <w:vAlign w:val="center"/>
          </w:tcPr>
          <w:p w:rsidR="00357781" w:rsidRDefault="00297238" w:rsidP="00384CED">
            <w:pPr>
              <w:keepNext/>
              <w:keepLines/>
              <w:spacing w:after="0" w:line="240" w:lineRule="auto"/>
              <w:ind w:right="448"/>
              <w:jc w:val="right"/>
              <w:rPr>
                <w:rFonts w:ascii="Calibri" w:eastAsia="Times New Roman" w:hAnsi="Calibri" w:cs="Calibri"/>
                <w:bCs/>
                <w:color w:val="000000" w:themeColor="text1"/>
                <w:lang w:eastAsia="en-AU"/>
              </w:rPr>
            </w:pPr>
            <w:r>
              <w:rPr>
                <w:rFonts w:ascii="Calibri" w:eastAsia="Times New Roman" w:hAnsi="Calibri" w:cs="Calibri"/>
                <w:bCs/>
                <w:color w:val="000000" w:themeColor="text1"/>
                <w:lang w:eastAsia="en-AU"/>
              </w:rPr>
              <w:t>33.4</w:t>
            </w:r>
          </w:p>
        </w:tc>
        <w:tc>
          <w:tcPr>
            <w:tcW w:w="1985" w:type="dxa"/>
            <w:tcBorders>
              <w:top w:val="nil"/>
              <w:left w:val="nil"/>
              <w:bottom w:val="single" w:sz="4" w:space="0" w:color="auto"/>
              <w:right w:val="nil"/>
            </w:tcBorders>
            <w:shd w:val="clear" w:color="auto" w:fill="E5E5E5" w:themeFill="background1" w:themeFillTint="33"/>
            <w:vAlign w:val="center"/>
          </w:tcPr>
          <w:p w:rsidR="00357781" w:rsidRDefault="00297238" w:rsidP="00384CED">
            <w:pPr>
              <w:keepNext/>
              <w:keepLines/>
              <w:spacing w:after="0" w:line="240" w:lineRule="auto"/>
              <w:ind w:right="448"/>
              <w:jc w:val="right"/>
              <w:rPr>
                <w:rFonts w:ascii="Calibri" w:eastAsia="Times New Roman" w:hAnsi="Calibri" w:cs="Calibri"/>
                <w:bCs/>
                <w:color w:val="000000" w:themeColor="text1"/>
                <w:lang w:eastAsia="en-AU"/>
              </w:rPr>
            </w:pPr>
            <w:r>
              <w:rPr>
                <w:rFonts w:ascii="Calibri" w:eastAsia="Times New Roman" w:hAnsi="Calibri" w:cs="Calibri"/>
                <w:bCs/>
                <w:color w:val="000000" w:themeColor="text1"/>
                <w:lang w:eastAsia="en-AU"/>
              </w:rPr>
              <w:t>2.9</w:t>
            </w:r>
          </w:p>
        </w:tc>
      </w:tr>
    </w:tbl>
    <w:p w:rsidR="00357781" w:rsidRDefault="00357781" w:rsidP="00357781">
      <w:pPr>
        <w:pStyle w:val="Source"/>
        <w:keepNext/>
        <w:keepLines/>
        <w:rPr>
          <w:b w:val="0"/>
        </w:rPr>
      </w:pPr>
      <w:r w:rsidRPr="00C448FD">
        <w:t>Note</w:t>
      </w:r>
      <w:r>
        <w:t>s</w:t>
      </w:r>
      <w:r w:rsidRPr="00C448FD">
        <w:t>:</w:t>
      </w:r>
      <w:r>
        <w:rPr>
          <w:b w:val="0"/>
        </w:rPr>
        <w:t xml:space="preserve"> </w:t>
      </w:r>
    </w:p>
    <w:p w:rsidR="00357781" w:rsidRDefault="00357781" w:rsidP="00E3205B">
      <w:pPr>
        <w:pStyle w:val="Source"/>
        <w:keepNext/>
        <w:keepLines/>
        <w:numPr>
          <w:ilvl w:val="0"/>
          <w:numId w:val="95"/>
        </w:numPr>
        <w:rPr>
          <w:b w:val="0"/>
        </w:rPr>
      </w:pPr>
      <w:r>
        <w:rPr>
          <w:b w:val="0"/>
        </w:rPr>
        <w:t>Unemployment rates based on special data request from ABS Labour Force Survey.</w:t>
      </w:r>
    </w:p>
    <w:p w:rsidR="00297238" w:rsidRPr="00297238" w:rsidRDefault="00297238" w:rsidP="00E3205B">
      <w:pPr>
        <w:pStyle w:val="Source"/>
        <w:keepNext/>
        <w:keepLines/>
        <w:numPr>
          <w:ilvl w:val="0"/>
          <w:numId w:val="95"/>
        </w:numPr>
        <w:rPr>
          <w:b w:val="0"/>
        </w:rPr>
      </w:pPr>
      <w:r>
        <w:rPr>
          <w:b w:val="0"/>
        </w:rPr>
        <w:t>Job search duration</w:t>
      </w:r>
      <w:r w:rsidRPr="00211BD6">
        <w:rPr>
          <w:b w:val="0"/>
        </w:rPr>
        <w:t xml:space="preserve"> based on period of service in employment services.</w:t>
      </w:r>
    </w:p>
    <w:p w:rsidR="00357781" w:rsidRDefault="00357781" w:rsidP="00357781">
      <w:pPr>
        <w:pStyle w:val="Source"/>
        <w:rPr>
          <w:b w:val="0"/>
        </w:rPr>
      </w:pPr>
      <w:r w:rsidRPr="00567DF4">
        <w:t>Source:</w:t>
      </w:r>
      <w:r w:rsidRPr="003A4B00">
        <w:t xml:space="preserve"> </w:t>
      </w:r>
      <w:r w:rsidRPr="0020633D">
        <w:rPr>
          <w:b w:val="0"/>
        </w:rPr>
        <w:t>D</w:t>
      </w:r>
      <w:r w:rsidR="00710B46">
        <w:rPr>
          <w:b w:val="0"/>
        </w:rPr>
        <w:t xml:space="preserve">epartment </w:t>
      </w:r>
      <w:r w:rsidRPr="0020633D">
        <w:rPr>
          <w:b w:val="0"/>
        </w:rPr>
        <w:t>o</w:t>
      </w:r>
      <w:r w:rsidR="00710B46">
        <w:rPr>
          <w:b w:val="0"/>
        </w:rPr>
        <w:t xml:space="preserve">f </w:t>
      </w:r>
      <w:r w:rsidRPr="0020633D">
        <w:rPr>
          <w:b w:val="0"/>
        </w:rPr>
        <w:t>E</w:t>
      </w:r>
      <w:r w:rsidR="00710B46">
        <w:rPr>
          <w:b w:val="0"/>
        </w:rPr>
        <w:t>mployment</w:t>
      </w:r>
      <w:r w:rsidRPr="0020633D">
        <w:rPr>
          <w:b w:val="0"/>
        </w:rPr>
        <w:t xml:space="preserve"> administrative </w:t>
      </w:r>
      <w:r>
        <w:rPr>
          <w:b w:val="0"/>
        </w:rPr>
        <w:t>and ABS Labour Force Survey data</w:t>
      </w:r>
      <w:r w:rsidRPr="0020633D">
        <w:rPr>
          <w:b w:val="0"/>
        </w:rPr>
        <w:t>.</w:t>
      </w:r>
    </w:p>
    <w:p w:rsidR="0095154D" w:rsidRPr="00602B02" w:rsidRDefault="0095154D">
      <w:pPr>
        <w:rPr>
          <w:rFonts w:ascii="Calibri" w:eastAsiaTheme="majorEastAsia" w:hAnsi="Calibri" w:cstheme="majorBidi"/>
          <w:bCs/>
          <w:color w:val="000000" w:themeColor="text1"/>
          <w:sz w:val="24"/>
          <w:szCs w:val="24"/>
        </w:rPr>
      </w:pPr>
      <w:r>
        <w:br w:type="page"/>
      </w:r>
    </w:p>
    <w:p w:rsidR="001B0E12" w:rsidRPr="003A4B00" w:rsidRDefault="001B0E12" w:rsidP="0021079E">
      <w:pPr>
        <w:pStyle w:val="Heading1"/>
        <w:ind w:left="426" w:hanging="426"/>
      </w:pPr>
      <w:bookmarkStart w:id="82" w:name="_Toc478117544"/>
      <w:bookmarkStart w:id="83" w:name="_Toc507600231"/>
      <w:r w:rsidRPr="003A4B00">
        <w:lastRenderedPageBreak/>
        <w:t>2</w:t>
      </w:r>
      <w:r w:rsidRPr="003A4B00">
        <w:tab/>
      </w:r>
      <w:r w:rsidR="00F93C0A">
        <w:t>Evaluation approach</w:t>
      </w:r>
      <w:bookmarkEnd w:id="82"/>
      <w:bookmarkEnd w:id="83"/>
    </w:p>
    <w:p w:rsidR="00F93C0A" w:rsidRPr="003A4B00" w:rsidRDefault="001B0E12" w:rsidP="00F93C0A">
      <w:pPr>
        <w:pStyle w:val="Heading2"/>
      </w:pPr>
      <w:bookmarkStart w:id="84" w:name="_Toc385156625"/>
      <w:bookmarkStart w:id="85" w:name="_Toc387673537"/>
      <w:bookmarkStart w:id="86" w:name="_Toc478117545"/>
      <w:bookmarkStart w:id="87" w:name="_Toc507600232"/>
      <w:r w:rsidRPr="003A4B00">
        <w:t>2.1</w:t>
      </w:r>
      <w:r w:rsidRPr="003A4B00">
        <w:tab/>
      </w:r>
      <w:bookmarkEnd w:id="84"/>
      <w:bookmarkEnd w:id="85"/>
      <w:r w:rsidR="00F93C0A">
        <w:t>Key evaluation questions</w:t>
      </w:r>
      <w:bookmarkEnd w:id="86"/>
      <w:bookmarkEnd w:id="87"/>
    </w:p>
    <w:p w:rsidR="00F93C0A" w:rsidRPr="003A4B00" w:rsidRDefault="00F93C0A" w:rsidP="00F93C0A">
      <w:r>
        <w:t xml:space="preserve">This evaluation addresses </w:t>
      </w:r>
      <w:r w:rsidRPr="003A4B00">
        <w:t>four key questions:</w:t>
      </w:r>
    </w:p>
    <w:p w:rsidR="00F93C0A" w:rsidRPr="003A4B00" w:rsidRDefault="00F93C0A" w:rsidP="00E3205B">
      <w:pPr>
        <w:pStyle w:val="ListParagraph"/>
        <w:keepNext/>
        <w:numPr>
          <w:ilvl w:val="0"/>
          <w:numId w:val="68"/>
        </w:numPr>
      </w:pPr>
      <w:r w:rsidRPr="003A4B00">
        <w:t>D</w:t>
      </w:r>
      <w:r>
        <w:t>id</w:t>
      </w:r>
      <w:r w:rsidRPr="003A4B00">
        <w:t xml:space="preserve"> the</w:t>
      </w:r>
      <w:r w:rsidR="000C1436" w:rsidRPr="000C1436">
        <w:t xml:space="preserve"> </w:t>
      </w:r>
      <w:r w:rsidR="000C1436">
        <w:t>Job Commitment Bonus</w:t>
      </w:r>
      <w:r w:rsidRPr="003A4B00">
        <w:t xml:space="preserve"> </w:t>
      </w:r>
      <w:r w:rsidR="000C1436">
        <w:t>(</w:t>
      </w:r>
      <w:r>
        <w:t>JCB</w:t>
      </w:r>
      <w:r w:rsidR="000C1436">
        <w:t>)</w:t>
      </w:r>
      <w:r w:rsidRPr="003A4B00">
        <w:t xml:space="preserve"> influence take</w:t>
      </w:r>
      <w:r w:rsidR="0062635B">
        <w:t xml:space="preserve"> </w:t>
      </w:r>
      <w:r w:rsidRPr="003A4B00">
        <w:t>up and retention of employment among young (18 to 30 year</w:t>
      </w:r>
      <w:r w:rsidR="0055362F">
        <w:t xml:space="preserve"> old</w:t>
      </w:r>
      <w:r w:rsidRPr="003A4B00">
        <w:t>) long-term unemployed people?</w:t>
      </w:r>
    </w:p>
    <w:p w:rsidR="00F93C0A" w:rsidRPr="007A2A83" w:rsidRDefault="00F93C0A" w:rsidP="00E3205B">
      <w:pPr>
        <w:pStyle w:val="ListParagraph"/>
        <w:keepNext/>
        <w:numPr>
          <w:ilvl w:val="0"/>
          <w:numId w:val="68"/>
        </w:numPr>
        <w:tabs>
          <w:tab w:val="left" w:pos="227"/>
        </w:tabs>
        <w:suppressAutoHyphens/>
        <w:autoSpaceDE w:val="0"/>
        <w:autoSpaceDN w:val="0"/>
        <w:adjustRightInd w:val="0"/>
        <w:spacing w:before="20" w:after="198" w:line="300" w:lineRule="atLeast"/>
        <w:textAlignment w:val="center"/>
        <w:rPr>
          <w:rFonts w:ascii="Calibri" w:eastAsia="Univers" w:hAnsi="Calibri" w:cs="Garamond"/>
          <w:color w:val="000000"/>
          <w:lang w:eastAsia="en-AU"/>
        </w:rPr>
      </w:pPr>
      <w:r>
        <w:rPr>
          <w:rFonts w:ascii="Calibri" w:eastAsia="Univers" w:hAnsi="Calibri" w:cs="Garamond"/>
          <w:color w:val="000000"/>
          <w:lang w:eastAsia="en-AU"/>
        </w:rPr>
        <w:t>Did</w:t>
      </w:r>
      <w:r w:rsidRPr="007A2A83">
        <w:rPr>
          <w:rFonts w:ascii="Calibri" w:eastAsia="Univers" w:hAnsi="Calibri" w:cs="Garamond"/>
          <w:color w:val="000000"/>
          <w:lang w:eastAsia="en-AU"/>
        </w:rPr>
        <w:t xml:space="preserve"> employment outcomes and off-income support outcomes of young long-</w:t>
      </w:r>
      <w:r>
        <w:rPr>
          <w:rFonts w:ascii="Calibri" w:eastAsia="Univers" w:hAnsi="Calibri" w:cs="Garamond"/>
          <w:color w:val="000000"/>
          <w:lang w:eastAsia="en-AU"/>
        </w:rPr>
        <w:t>term unemployed people increase</w:t>
      </w:r>
      <w:r w:rsidRPr="007A2A83">
        <w:rPr>
          <w:rFonts w:ascii="Calibri" w:eastAsia="Univers" w:hAnsi="Calibri" w:cs="Garamond"/>
          <w:color w:val="000000"/>
          <w:lang w:eastAsia="en-AU"/>
        </w:rPr>
        <w:t xml:space="preserve"> </w:t>
      </w:r>
      <w:r>
        <w:rPr>
          <w:rFonts w:ascii="Calibri" w:eastAsia="Univers" w:hAnsi="Calibri" w:cs="Garamond"/>
          <w:color w:val="000000"/>
          <w:lang w:eastAsia="en-AU"/>
        </w:rPr>
        <w:t>following</w:t>
      </w:r>
      <w:r w:rsidRPr="007A2A83">
        <w:rPr>
          <w:rFonts w:ascii="Calibri" w:eastAsia="Univers" w:hAnsi="Calibri" w:cs="Garamond"/>
          <w:color w:val="000000"/>
          <w:lang w:eastAsia="en-AU"/>
        </w:rPr>
        <w:t xml:space="preserve"> the introduction of the </w:t>
      </w:r>
      <w:r>
        <w:rPr>
          <w:rFonts w:ascii="Calibri" w:eastAsia="Univers" w:hAnsi="Calibri" w:cs="Garamond"/>
          <w:color w:val="000000"/>
          <w:lang w:eastAsia="en-AU"/>
        </w:rPr>
        <w:t>JCB</w:t>
      </w:r>
      <w:r w:rsidRPr="007A2A83">
        <w:rPr>
          <w:rFonts w:ascii="Calibri" w:eastAsia="Univers" w:hAnsi="Calibri" w:cs="Garamond"/>
          <w:color w:val="000000"/>
          <w:lang w:eastAsia="en-AU"/>
        </w:rPr>
        <w:t>?</w:t>
      </w:r>
    </w:p>
    <w:p w:rsidR="00F93C0A" w:rsidRPr="007A2A83" w:rsidRDefault="00F93C0A" w:rsidP="00E3205B">
      <w:pPr>
        <w:pStyle w:val="ListParagraph"/>
        <w:keepNext/>
        <w:numPr>
          <w:ilvl w:val="0"/>
          <w:numId w:val="68"/>
        </w:numPr>
        <w:tabs>
          <w:tab w:val="left" w:pos="227"/>
        </w:tabs>
        <w:suppressAutoHyphens/>
        <w:autoSpaceDE w:val="0"/>
        <w:autoSpaceDN w:val="0"/>
        <w:adjustRightInd w:val="0"/>
        <w:spacing w:before="20" w:after="198" w:line="300" w:lineRule="atLeast"/>
        <w:textAlignment w:val="center"/>
        <w:rPr>
          <w:rFonts w:ascii="Calibri" w:eastAsia="Univers" w:hAnsi="Calibri" w:cs="Garamond"/>
          <w:color w:val="000000"/>
          <w:lang w:eastAsia="en-AU"/>
        </w:rPr>
      </w:pPr>
      <w:r w:rsidRPr="007A2A83">
        <w:rPr>
          <w:rFonts w:ascii="Calibri" w:eastAsia="Univers" w:hAnsi="Calibri" w:cs="Garamond"/>
          <w:color w:val="000000"/>
          <w:lang w:eastAsia="en-AU"/>
        </w:rPr>
        <w:t xml:space="preserve">What other types of financial incentive or support, if any, were received in conjunction with the </w:t>
      </w:r>
      <w:r>
        <w:rPr>
          <w:rFonts w:ascii="Calibri" w:eastAsia="Univers" w:hAnsi="Calibri" w:cs="Garamond"/>
          <w:color w:val="000000"/>
          <w:lang w:eastAsia="en-AU"/>
        </w:rPr>
        <w:t>JCB</w:t>
      </w:r>
      <w:r w:rsidR="00C2127F" w:rsidRPr="007A2A83">
        <w:rPr>
          <w:rFonts w:ascii="Calibri" w:eastAsia="Univers" w:hAnsi="Calibri" w:cs="Garamond"/>
          <w:color w:val="000000"/>
          <w:lang w:eastAsia="en-AU"/>
        </w:rPr>
        <w:t xml:space="preserve"> (for example, post placement</w:t>
      </w:r>
      <w:r w:rsidR="00C2127F">
        <w:rPr>
          <w:rFonts w:ascii="Calibri" w:eastAsia="Univers" w:hAnsi="Calibri" w:cs="Garamond"/>
          <w:color w:val="000000"/>
          <w:lang w:eastAsia="en-AU"/>
        </w:rPr>
        <w:t xml:space="preserve"> support</w:t>
      </w:r>
      <w:r w:rsidR="00C2127F" w:rsidRPr="007A2A83">
        <w:rPr>
          <w:rFonts w:ascii="Calibri" w:eastAsia="Univers" w:hAnsi="Calibri" w:cs="Garamond"/>
          <w:color w:val="000000"/>
          <w:lang w:eastAsia="en-AU"/>
        </w:rPr>
        <w:t>, job seeker payments and employer subsidies)</w:t>
      </w:r>
      <w:r w:rsidRPr="007A2A83">
        <w:rPr>
          <w:rFonts w:ascii="Calibri" w:eastAsia="Univers" w:hAnsi="Calibri" w:cs="Garamond"/>
          <w:color w:val="000000"/>
          <w:lang w:eastAsia="en-AU"/>
        </w:rPr>
        <w:t>?</w:t>
      </w:r>
      <w:r w:rsidR="00C2127F">
        <w:rPr>
          <w:rFonts w:ascii="Calibri" w:eastAsia="Univers" w:hAnsi="Calibri" w:cs="Garamond"/>
          <w:color w:val="000000"/>
          <w:lang w:eastAsia="en-AU"/>
        </w:rPr>
        <w:t xml:space="preserve"> </w:t>
      </w:r>
    </w:p>
    <w:p w:rsidR="00F93C0A" w:rsidRPr="007A2A83" w:rsidRDefault="00F93C0A" w:rsidP="00E3205B">
      <w:pPr>
        <w:pStyle w:val="ListParagraph"/>
        <w:keepNext/>
        <w:numPr>
          <w:ilvl w:val="0"/>
          <w:numId w:val="68"/>
        </w:numPr>
        <w:tabs>
          <w:tab w:val="left" w:pos="227"/>
        </w:tabs>
        <w:suppressAutoHyphens/>
        <w:autoSpaceDE w:val="0"/>
        <w:autoSpaceDN w:val="0"/>
        <w:adjustRightInd w:val="0"/>
        <w:spacing w:before="20" w:after="198" w:line="300" w:lineRule="atLeast"/>
        <w:textAlignment w:val="center"/>
        <w:rPr>
          <w:rFonts w:ascii="Calibri" w:eastAsia="Univers" w:hAnsi="Calibri" w:cs="Garamond"/>
          <w:color w:val="000000"/>
          <w:lang w:eastAsia="en-AU"/>
        </w:rPr>
      </w:pPr>
      <w:r>
        <w:rPr>
          <w:rFonts w:ascii="Calibri" w:eastAsia="Univers" w:hAnsi="Calibri" w:cs="Garamond"/>
          <w:color w:val="000000"/>
          <w:lang w:eastAsia="en-AU"/>
        </w:rPr>
        <w:t>Wa</w:t>
      </w:r>
      <w:r w:rsidRPr="007A2A83">
        <w:rPr>
          <w:rFonts w:ascii="Calibri" w:eastAsia="Univers" w:hAnsi="Calibri" w:cs="Garamond"/>
          <w:color w:val="000000"/>
          <w:lang w:eastAsia="en-AU"/>
        </w:rPr>
        <w:t xml:space="preserve">s the </w:t>
      </w:r>
      <w:r>
        <w:rPr>
          <w:rFonts w:ascii="Calibri" w:eastAsia="Univers" w:hAnsi="Calibri" w:cs="Garamond"/>
          <w:color w:val="000000"/>
          <w:lang w:eastAsia="en-AU"/>
        </w:rPr>
        <w:t xml:space="preserve">JCB </w:t>
      </w:r>
      <w:r w:rsidR="00602B02">
        <w:rPr>
          <w:rFonts w:ascii="Calibri" w:eastAsia="Univers" w:hAnsi="Calibri" w:cs="Garamond"/>
          <w:color w:val="000000"/>
          <w:lang w:eastAsia="en-AU"/>
        </w:rPr>
        <w:t>cost effective?</w:t>
      </w:r>
    </w:p>
    <w:p w:rsidR="00F93C0A" w:rsidRDefault="00F93C0A" w:rsidP="00F93C0A">
      <w:r>
        <w:t>F</w:t>
      </w:r>
      <w:r w:rsidRPr="003A4B00">
        <w:t>or further detail of</w:t>
      </w:r>
      <w:r w:rsidRPr="00ED420F">
        <w:t xml:space="preserve"> </w:t>
      </w:r>
      <w:r w:rsidRPr="003A4B00">
        <w:t>key indicators</w:t>
      </w:r>
      <w:r>
        <w:t xml:space="preserve"> for these</w:t>
      </w:r>
      <w:r w:rsidRPr="003A4B00">
        <w:t xml:space="preserve"> </w:t>
      </w:r>
      <w:r>
        <w:t xml:space="preserve">evaluation questions </w:t>
      </w:r>
      <w:r w:rsidRPr="003A4B00">
        <w:t xml:space="preserve">see Attachment </w:t>
      </w:r>
      <w:r w:rsidR="008145B2">
        <w:t>B</w:t>
      </w:r>
      <w:r>
        <w:t>.</w:t>
      </w:r>
    </w:p>
    <w:p w:rsidR="00F93C0A" w:rsidRDefault="00F93C0A" w:rsidP="00F93C0A">
      <w:pPr>
        <w:pStyle w:val="Heading2"/>
      </w:pPr>
      <w:bookmarkStart w:id="88" w:name="_Toc478117546"/>
      <w:bookmarkStart w:id="89" w:name="_Toc507600233"/>
      <w:r w:rsidRPr="005D4406">
        <w:t>2.</w:t>
      </w:r>
      <w:r>
        <w:t>2</w:t>
      </w:r>
      <w:r w:rsidRPr="005D4406">
        <w:tab/>
      </w:r>
      <w:r>
        <w:t>Scope</w:t>
      </w:r>
      <w:bookmarkEnd w:id="88"/>
      <w:bookmarkEnd w:id="89"/>
    </w:p>
    <w:p w:rsidR="00EB2F13" w:rsidRDefault="00AB13C2" w:rsidP="00EB2F13">
      <w:r w:rsidRPr="003A4B00">
        <w:t xml:space="preserve">This </w:t>
      </w:r>
      <w:r w:rsidR="00EB2F13">
        <w:t xml:space="preserve">report </w:t>
      </w:r>
      <w:r w:rsidRPr="003A4B00">
        <w:t xml:space="preserve">presents </w:t>
      </w:r>
      <w:r w:rsidR="00EB2F13">
        <w:t xml:space="preserve">findings based on claims lodged for the JCB </w:t>
      </w:r>
      <w:r w:rsidR="00925C84">
        <w:t xml:space="preserve">between </w:t>
      </w:r>
      <w:r w:rsidRPr="003A4B00">
        <w:t>1</w:t>
      </w:r>
      <w:r w:rsidR="00925C84">
        <w:t> </w:t>
      </w:r>
      <w:r w:rsidRPr="003A4B00">
        <w:t>July 201</w:t>
      </w:r>
      <w:r w:rsidR="00EB2F13">
        <w:t>5</w:t>
      </w:r>
      <w:r w:rsidRPr="003A4B00">
        <w:t xml:space="preserve"> </w:t>
      </w:r>
      <w:r w:rsidR="00925C84">
        <w:t>and</w:t>
      </w:r>
      <w:r w:rsidRPr="003A4B00">
        <w:t xml:space="preserve"> </w:t>
      </w:r>
      <w:r w:rsidR="00DB20A0">
        <w:t>31 March </w:t>
      </w:r>
      <w:r w:rsidR="00EB2F13">
        <w:t>2017</w:t>
      </w:r>
      <w:r w:rsidRPr="003A4B00">
        <w:t>.</w:t>
      </w:r>
      <w:r w:rsidR="00545DE9">
        <w:rPr>
          <w:rStyle w:val="FootnoteReference"/>
        </w:rPr>
        <w:footnoteReference w:id="25"/>
      </w:r>
      <w:r w:rsidRPr="003A4B00">
        <w:t xml:space="preserve"> </w:t>
      </w:r>
      <w:r w:rsidR="00351E35">
        <w:t xml:space="preserve">By </w:t>
      </w:r>
      <w:r w:rsidR="00EB2F13">
        <w:t>the cessation of th</w:t>
      </w:r>
      <w:r w:rsidR="00925C84">
        <w:t>e JCB</w:t>
      </w:r>
      <w:r w:rsidR="00EB2F13">
        <w:t xml:space="preserve"> program </w:t>
      </w:r>
      <w:r w:rsidR="008F29D7">
        <w:t xml:space="preserve">to new claimants </w:t>
      </w:r>
      <w:r w:rsidR="00B7294F">
        <w:t xml:space="preserve">on 31 December 2016 </w:t>
      </w:r>
      <w:r w:rsidR="00EB2F13">
        <w:t xml:space="preserve">young people who had exited income support from 1 July 2014 to 31 December 2015 </w:t>
      </w:r>
      <w:r w:rsidR="00925C84">
        <w:t xml:space="preserve">had the opportunity </w:t>
      </w:r>
      <w:r w:rsidR="00EB2F13">
        <w:t>to claim the first bonus if they met eligibility criteria</w:t>
      </w:r>
      <w:r w:rsidR="000E37AB">
        <w:t xml:space="preserve"> (Section 3.1)</w:t>
      </w:r>
      <w:r w:rsidR="00EB2F13">
        <w:t xml:space="preserve">. </w:t>
      </w:r>
      <w:r w:rsidR="00545DE9">
        <w:t xml:space="preserve">As the JCB ceased </w:t>
      </w:r>
      <w:r w:rsidR="000E37AB">
        <w:t>in December</w:t>
      </w:r>
      <w:r w:rsidR="00545DE9">
        <w:t xml:space="preserve"> 2016, o</w:t>
      </w:r>
      <w:r w:rsidR="00EB2F13">
        <w:t xml:space="preserve">nly those who </w:t>
      </w:r>
      <w:r w:rsidR="00925C84">
        <w:t xml:space="preserve">had </w:t>
      </w:r>
      <w:r w:rsidR="00EB2F13">
        <w:t>left income support between 1 July 2014 and 31</w:t>
      </w:r>
      <w:r w:rsidR="00925C84">
        <w:t> </w:t>
      </w:r>
      <w:r w:rsidR="00EB2F13">
        <w:t>December 2014 could potentially claim the second 24 month</w:t>
      </w:r>
      <w:r w:rsidR="004C38DD">
        <w:t>s</w:t>
      </w:r>
      <w:r w:rsidR="00EB2F13">
        <w:t xml:space="preserve"> bonus. </w:t>
      </w:r>
      <w:r w:rsidR="00972CB9">
        <w:t xml:space="preserve">Note that people had 90 days to lodge a claim for the bonus after becoming eligible (i.e. after a qualifying period). </w:t>
      </w:r>
      <w:r w:rsidR="00EB2F13">
        <w:t xml:space="preserve">Claims data for these people </w:t>
      </w:r>
      <w:r w:rsidR="00925C84">
        <w:t>is</w:t>
      </w:r>
      <w:r w:rsidR="00EB2F13">
        <w:t xml:space="preserve"> </w:t>
      </w:r>
      <w:r w:rsidR="00925C84">
        <w:t>us</w:t>
      </w:r>
      <w:r w:rsidR="00EB2F13">
        <w:t>ed</w:t>
      </w:r>
      <w:r w:rsidR="00C2127F">
        <w:t xml:space="preserve"> in conju</w:t>
      </w:r>
      <w:r w:rsidR="00EF09D8">
        <w:t>n</w:t>
      </w:r>
      <w:r w:rsidR="00C2127F">
        <w:t>ction</w:t>
      </w:r>
      <w:r w:rsidR="00EB2F13">
        <w:t xml:space="preserve"> with administrative data and other sources of evidence such as qualitative research to address the four key evaluation questions.</w:t>
      </w:r>
    </w:p>
    <w:p w:rsidR="00F93C0A" w:rsidRDefault="00F93C0A" w:rsidP="00F93C0A">
      <w:pPr>
        <w:pStyle w:val="Heading2"/>
      </w:pPr>
      <w:bookmarkStart w:id="90" w:name="_Toc478117547"/>
      <w:bookmarkStart w:id="91" w:name="_Toc507600234"/>
      <w:r>
        <w:t>2.3</w:t>
      </w:r>
      <w:r>
        <w:tab/>
      </w:r>
      <w:r w:rsidRPr="005D4406">
        <w:t>Limitations</w:t>
      </w:r>
      <w:bookmarkEnd w:id="90"/>
      <w:bookmarkEnd w:id="91"/>
    </w:p>
    <w:p w:rsidR="00B7294F" w:rsidRDefault="00925C84" w:rsidP="00F93C0A">
      <w:r w:rsidRPr="00614AE1">
        <w:t>R</w:t>
      </w:r>
      <w:r w:rsidRPr="005D4406">
        <w:t xml:space="preserve">esults presented in this report are best estimates of the number of claims made and approved, given </w:t>
      </w:r>
      <w:r w:rsidR="00DB1CFA">
        <w:t xml:space="preserve">the available </w:t>
      </w:r>
      <w:r>
        <w:t>monitoring</w:t>
      </w:r>
      <w:r w:rsidRPr="005D4406">
        <w:t xml:space="preserve"> data. For this reason, analysis </w:t>
      </w:r>
      <w:r>
        <w:t>i</w:t>
      </w:r>
      <w:r w:rsidRPr="005D4406">
        <w:t xml:space="preserve">s limited to </w:t>
      </w:r>
      <w:r>
        <w:t xml:space="preserve">the </w:t>
      </w:r>
      <w:r w:rsidRPr="005D4406">
        <w:t>as</w:t>
      </w:r>
      <w:r w:rsidR="00602B02">
        <w:t>pects considered most reliable.</w:t>
      </w:r>
    </w:p>
    <w:p w:rsidR="00925C84" w:rsidRDefault="00925C84" w:rsidP="00F93C0A">
      <w:r>
        <w:t xml:space="preserve">The JCB commenced </w:t>
      </w:r>
      <w:r w:rsidR="00511F42">
        <w:t xml:space="preserve">under </w:t>
      </w:r>
      <w:r w:rsidR="00DB1CFA">
        <w:t>Job Services Australia (</w:t>
      </w:r>
      <w:r>
        <w:t>JSA</w:t>
      </w:r>
      <w:r w:rsidR="00DB1CFA">
        <w:t>)</w:t>
      </w:r>
      <w:r>
        <w:t xml:space="preserve"> </w:t>
      </w:r>
      <w:r w:rsidR="00565CAB">
        <w:t>which</w:t>
      </w:r>
      <w:r w:rsidR="00DB1CFA">
        <w:t xml:space="preserve"> was replaced by jobactive</w:t>
      </w:r>
      <w:r w:rsidR="00FE268C">
        <w:t xml:space="preserve"> (July 2015)</w:t>
      </w:r>
      <w:r w:rsidR="00DB1CFA">
        <w:t>.</w:t>
      </w:r>
      <w:r>
        <w:t xml:space="preserve"> </w:t>
      </w:r>
      <w:r w:rsidR="00DB1CFA">
        <w:t>C</w:t>
      </w:r>
      <w:r w:rsidR="00AA43B0">
        <w:t>hange</w:t>
      </w:r>
      <w:r w:rsidR="00DB1CFA">
        <w:t>s</w:t>
      </w:r>
      <w:r w:rsidR="00AA43B0">
        <w:t xml:space="preserve"> in</w:t>
      </w:r>
      <w:r w:rsidR="00696F7F">
        <w:t xml:space="preserve"> the</w:t>
      </w:r>
      <w:r w:rsidR="00AA43B0">
        <w:t xml:space="preserve"> service delivery </w:t>
      </w:r>
      <w:r w:rsidR="00DB1CFA">
        <w:t xml:space="preserve">model </w:t>
      </w:r>
      <w:r w:rsidR="0062635B">
        <w:t>were</w:t>
      </w:r>
      <w:r w:rsidR="00511F42">
        <w:t xml:space="preserve"> </w:t>
      </w:r>
      <w:r w:rsidR="00696F7F">
        <w:t xml:space="preserve">factored into </w:t>
      </w:r>
      <w:r w:rsidR="00565CAB">
        <w:t xml:space="preserve">the </w:t>
      </w:r>
      <w:r w:rsidR="00696F7F">
        <w:t xml:space="preserve">JCB evaluation design and this </w:t>
      </w:r>
      <w:r w:rsidR="00DB1CFA">
        <w:t>limited the range of analysis available</w:t>
      </w:r>
      <w:r w:rsidR="00696F7F">
        <w:t>.</w:t>
      </w:r>
    </w:p>
    <w:p w:rsidR="001B0E12" w:rsidRPr="003A4B00" w:rsidRDefault="00F93C0A" w:rsidP="0002584A">
      <w:pPr>
        <w:pStyle w:val="Heading2"/>
        <w:rPr>
          <w:color w:val="000000" w:themeColor="text1"/>
          <w:sz w:val="20"/>
          <w:szCs w:val="20"/>
        </w:rPr>
      </w:pPr>
      <w:bookmarkStart w:id="92" w:name="_Toc478117548"/>
      <w:bookmarkStart w:id="93" w:name="_Toc507600235"/>
      <w:r w:rsidRPr="003A4B00">
        <w:lastRenderedPageBreak/>
        <w:t>2.</w:t>
      </w:r>
      <w:r>
        <w:t>4</w:t>
      </w:r>
      <w:r w:rsidRPr="003A4B00">
        <w:tab/>
      </w:r>
      <w:r w:rsidR="002171C4" w:rsidRPr="003A4B00">
        <w:t>Data sources</w:t>
      </w:r>
      <w:bookmarkEnd w:id="92"/>
      <w:bookmarkEnd w:id="93"/>
      <w:r w:rsidR="00967CFC" w:rsidRPr="003A4B00">
        <w:t xml:space="preserve"> </w:t>
      </w:r>
    </w:p>
    <w:p w:rsidR="00967CFC" w:rsidRPr="003A4B00" w:rsidRDefault="00696F7F" w:rsidP="006E5BDA">
      <w:pPr>
        <w:keepNext/>
        <w:rPr>
          <w:rFonts w:eastAsiaTheme="majorEastAsia"/>
        </w:rPr>
      </w:pPr>
      <w:r>
        <w:rPr>
          <w:rFonts w:eastAsiaTheme="majorEastAsia"/>
        </w:rPr>
        <w:t>This report incorporates i</w:t>
      </w:r>
      <w:r w:rsidR="00967CFC" w:rsidRPr="003A4B00">
        <w:rPr>
          <w:rFonts w:eastAsiaTheme="majorEastAsia"/>
        </w:rPr>
        <w:t>nformation from several sources</w:t>
      </w:r>
      <w:r w:rsidR="000E1BB1">
        <w:rPr>
          <w:rFonts w:eastAsiaTheme="majorEastAsia"/>
        </w:rPr>
        <w:t>,</w:t>
      </w:r>
      <w:r w:rsidR="00967CFC" w:rsidRPr="003A4B00">
        <w:rPr>
          <w:rFonts w:eastAsiaTheme="majorEastAsia"/>
        </w:rPr>
        <w:t xml:space="preserve"> including</w:t>
      </w:r>
      <w:r>
        <w:rPr>
          <w:rFonts w:eastAsiaTheme="majorEastAsia"/>
        </w:rPr>
        <w:t>:</w:t>
      </w:r>
    </w:p>
    <w:p w:rsidR="00321644" w:rsidRPr="003A4B00" w:rsidRDefault="00097684" w:rsidP="006F7968">
      <w:pPr>
        <w:pStyle w:val="Heading3"/>
      </w:pPr>
      <w:bookmarkStart w:id="94" w:name="_Toc478117549"/>
      <w:r>
        <w:rPr>
          <w:rFonts w:eastAsia="Univers"/>
          <w:lang w:eastAsia="en-AU"/>
        </w:rPr>
        <w:t>2.</w:t>
      </w:r>
      <w:r w:rsidR="00F93C0A">
        <w:rPr>
          <w:rFonts w:eastAsia="Univers"/>
          <w:lang w:eastAsia="en-AU"/>
        </w:rPr>
        <w:t>4</w:t>
      </w:r>
      <w:r w:rsidR="00CF7888">
        <w:rPr>
          <w:rFonts w:eastAsia="Univers"/>
          <w:lang w:eastAsia="en-AU"/>
        </w:rPr>
        <w:t>.1</w:t>
      </w:r>
      <w:r>
        <w:rPr>
          <w:rFonts w:eastAsia="Univers"/>
          <w:lang w:eastAsia="en-AU"/>
        </w:rPr>
        <w:tab/>
      </w:r>
      <w:r w:rsidR="00967CFC" w:rsidRPr="00097684">
        <w:rPr>
          <w:rFonts w:eastAsia="Univers"/>
          <w:lang w:eastAsia="en-AU"/>
        </w:rPr>
        <w:t>Qualitative research</w:t>
      </w:r>
      <w:bookmarkEnd w:id="94"/>
    </w:p>
    <w:p w:rsidR="00ED249F" w:rsidRDefault="001C281D" w:rsidP="00B83C41">
      <w:pPr>
        <w:spacing w:before="120"/>
      </w:pPr>
      <w:r>
        <w:t>Several rounds of qualitative research were undertaken for the evaluation including in March 2015</w:t>
      </w:r>
      <w:r w:rsidR="00A52E37">
        <w:t xml:space="preserve"> (Round 1)</w:t>
      </w:r>
      <w:r>
        <w:t>, November 2015</w:t>
      </w:r>
      <w:r w:rsidR="00A52E37">
        <w:t xml:space="preserve"> (Round 2)</w:t>
      </w:r>
      <w:r>
        <w:t>, October 2016</w:t>
      </w:r>
      <w:r w:rsidR="00A52E37">
        <w:t xml:space="preserve"> (Round 3)</w:t>
      </w:r>
      <w:r>
        <w:t xml:space="preserve"> and </w:t>
      </w:r>
      <w:r w:rsidR="00B30F5E">
        <w:t xml:space="preserve">July </w:t>
      </w:r>
      <w:r>
        <w:t>2017</w:t>
      </w:r>
      <w:r w:rsidR="00A52E37">
        <w:t xml:space="preserve"> (Round 4)</w:t>
      </w:r>
      <w:r>
        <w:t xml:space="preserve">. The scope, aims and timing of </w:t>
      </w:r>
      <w:r w:rsidR="006F43F0">
        <w:t xml:space="preserve">these rounds of </w:t>
      </w:r>
      <w:r>
        <w:t xml:space="preserve">research </w:t>
      </w:r>
      <w:r w:rsidR="0062635B">
        <w:t xml:space="preserve">varied and </w:t>
      </w:r>
      <w:r w:rsidR="006F43F0">
        <w:t>are</w:t>
      </w:r>
      <w:r>
        <w:t xml:space="preserve"> detailed in Attachment </w:t>
      </w:r>
      <w:r w:rsidR="003E6D12">
        <w:t>C</w:t>
      </w:r>
      <w:r>
        <w:t>.</w:t>
      </w:r>
      <w:bookmarkStart w:id="95" w:name="_Toc478117551"/>
      <w:r w:rsidR="00B30F5E">
        <w:rPr>
          <w:rStyle w:val="FootnoteReference"/>
        </w:rPr>
        <w:footnoteReference w:id="26"/>
      </w:r>
    </w:p>
    <w:p w:rsidR="00097684" w:rsidRPr="003A4B00" w:rsidRDefault="00097684" w:rsidP="00625F6D">
      <w:pPr>
        <w:pStyle w:val="Heading3"/>
      </w:pPr>
      <w:bookmarkStart w:id="96" w:name="_Toc478117554"/>
      <w:bookmarkEnd w:id="95"/>
      <w:r>
        <w:t>2.</w:t>
      </w:r>
      <w:r w:rsidR="00F93C0A">
        <w:t>4</w:t>
      </w:r>
      <w:r w:rsidR="00CF7888">
        <w:t>.2</w:t>
      </w:r>
      <w:r>
        <w:tab/>
        <w:t xml:space="preserve">Administrative </w:t>
      </w:r>
      <w:r w:rsidR="001C281D">
        <w:t xml:space="preserve">and survey </w:t>
      </w:r>
      <w:r w:rsidR="00625F6D">
        <w:t>d</w:t>
      </w:r>
      <w:r>
        <w:t>ata</w:t>
      </w:r>
      <w:bookmarkEnd w:id="96"/>
    </w:p>
    <w:p w:rsidR="0021100B" w:rsidRPr="003A4B00" w:rsidRDefault="00ED249F" w:rsidP="0021100B">
      <w:pPr>
        <w:rPr>
          <w:rFonts w:eastAsiaTheme="majorEastAsia"/>
        </w:rPr>
      </w:pPr>
      <w:r>
        <w:rPr>
          <w:rFonts w:eastAsiaTheme="majorEastAsia"/>
        </w:rPr>
        <w:t xml:space="preserve">Administrative and survey data sources used in this evaluation are detailed in Attachment </w:t>
      </w:r>
      <w:r w:rsidR="003E6D12">
        <w:rPr>
          <w:rFonts w:eastAsiaTheme="majorEastAsia"/>
        </w:rPr>
        <w:t>D</w:t>
      </w:r>
      <w:r>
        <w:rPr>
          <w:rFonts w:eastAsiaTheme="majorEastAsia"/>
        </w:rPr>
        <w:t>.</w:t>
      </w:r>
    </w:p>
    <w:p w:rsidR="00F93C0A" w:rsidRPr="00FD657D" w:rsidRDefault="00F93C0A" w:rsidP="00F93C0A">
      <w:pPr>
        <w:pStyle w:val="Heading2"/>
      </w:pPr>
      <w:bookmarkStart w:id="97" w:name="_Toc478117560"/>
      <w:bookmarkStart w:id="98" w:name="_Toc507600236"/>
      <w:r w:rsidRPr="00FD657D">
        <w:t>2.</w:t>
      </w:r>
      <w:r>
        <w:t>5</w:t>
      </w:r>
      <w:r w:rsidRPr="00FD657D">
        <w:tab/>
      </w:r>
      <w:r>
        <w:t>Administrative data analysis</w:t>
      </w:r>
      <w:bookmarkEnd w:id="97"/>
      <w:bookmarkEnd w:id="98"/>
    </w:p>
    <w:p w:rsidR="00F93C0A" w:rsidRPr="005D4406" w:rsidRDefault="00F93C0A" w:rsidP="00F93C0A">
      <w:pPr>
        <w:pStyle w:val="Heading3"/>
      </w:pPr>
      <w:bookmarkStart w:id="99" w:name="_Toc478117561"/>
      <w:r w:rsidRPr="005D4406">
        <w:t>2.</w:t>
      </w:r>
      <w:r>
        <w:t>5</w:t>
      </w:r>
      <w:r w:rsidRPr="005D4406">
        <w:t>.1</w:t>
      </w:r>
      <w:r w:rsidRPr="005D4406">
        <w:tab/>
      </w:r>
      <w:r>
        <w:t>Study</w:t>
      </w:r>
      <w:r w:rsidRPr="005D4406">
        <w:t xml:space="preserve"> population</w:t>
      </w:r>
      <w:r>
        <w:t>s</w:t>
      </w:r>
      <w:bookmarkEnd w:id="99"/>
    </w:p>
    <w:p w:rsidR="00D35C50" w:rsidRDefault="00AB13C2">
      <w:r>
        <w:t xml:space="preserve">Attachment </w:t>
      </w:r>
      <w:r w:rsidR="003E6D12">
        <w:t>E</w:t>
      </w:r>
      <w:r>
        <w:t xml:space="preserve"> explains the study populations used for the </w:t>
      </w:r>
      <w:r w:rsidR="000B1DAE">
        <w:t>analyses in Section 4</w:t>
      </w:r>
      <w:r w:rsidR="0018655B">
        <w:t>. These analyses</w:t>
      </w:r>
      <w:r w:rsidR="000B1DAE">
        <w:t xml:space="preserve"> deal with</w:t>
      </w:r>
      <w:r w:rsidR="00710B46">
        <w:t xml:space="preserve"> the</w:t>
      </w:r>
      <w:r w:rsidR="000B1DAE">
        <w:t xml:space="preserve"> potential impact of</w:t>
      </w:r>
      <w:r w:rsidR="00710B46">
        <w:t xml:space="preserve"> the</w:t>
      </w:r>
      <w:r>
        <w:t xml:space="preserve"> JCB on job search </w:t>
      </w:r>
      <w:r w:rsidR="000B1DAE">
        <w:t>behaviour and</w:t>
      </w:r>
      <w:r>
        <w:t xml:space="preserve"> sustained employment.</w:t>
      </w:r>
      <w:r w:rsidR="00EF09D8" w:rsidRPr="00EF09D8">
        <w:t xml:space="preserve"> </w:t>
      </w:r>
      <w:r w:rsidR="00EF09D8">
        <w:t>Job seekers serviced in JSA or jobactive are used for these study populations</w:t>
      </w:r>
      <w:r w:rsidR="000B1DAE">
        <w:t>. The</w:t>
      </w:r>
      <w:r w:rsidR="0062635B">
        <w:t>se</w:t>
      </w:r>
      <w:r w:rsidR="00EF09D8">
        <w:t xml:space="preserve"> job seekers </w:t>
      </w:r>
      <w:r w:rsidR="000B1DAE">
        <w:t xml:space="preserve">were </w:t>
      </w:r>
      <w:r w:rsidR="00EF09D8">
        <w:t xml:space="preserve">registered in </w:t>
      </w:r>
      <w:r w:rsidR="000B1DAE">
        <w:t>employment</w:t>
      </w:r>
      <w:r w:rsidR="00EF09D8">
        <w:t xml:space="preserve"> service</w:t>
      </w:r>
      <w:r w:rsidR="000B1DAE">
        <w:t>s</w:t>
      </w:r>
      <w:r w:rsidR="00EF09D8">
        <w:t xml:space="preserve"> managed by the DoE, for wh</w:t>
      </w:r>
      <w:r w:rsidR="000B1DAE">
        <w:t>o</w:t>
      </w:r>
      <w:r w:rsidR="0018655B">
        <w:t>m</w:t>
      </w:r>
      <w:r w:rsidR="00EF09D8">
        <w:t xml:space="preserve"> comprehensive administrative </w:t>
      </w:r>
      <w:r w:rsidR="000B1DAE">
        <w:t>data wa</w:t>
      </w:r>
      <w:r w:rsidR="00EF09D8">
        <w:t>s</w:t>
      </w:r>
      <w:r w:rsidR="0018655B">
        <w:t xml:space="preserve"> readily</w:t>
      </w:r>
      <w:r w:rsidR="00EF09D8">
        <w:t xml:space="preserve"> available.</w:t>
      </w:r>
    </w:p>
    <w:p w:rsidR="00D35C50" w:rsidRDefault="00D35C50" w:rsidP="00D35C50">
      <w:pPr>
        <w:pStyle w:val="Heading3"/>
      </w:pPr>
      <w:r w:rsidRPr="005D4406">
        <w:t>2.</w:t>
      </w:r>
      <w:r>
        <w:t>5</w:t>
      </w:r>
      <w:r w:rsidRPr="005D4406">
        <w:t>.</w:t>
      </w:r>
      <w:r>
        <w:t>2</w:t>
      </w:r>
      <w:r w:rsidRPr="005D4406">
        <w:tab/>
      </w:r>
      <w:r>
        <w:t>Age groups used in analyses</w:t>
      </w:r>
    </w:p>
    <w:p w:rsidR="00D35C50" w:rsidRDefault="00D35C50" w:rsidP="00D35C50">
      <w:pPr>
        <w:spacing w:before="120"/>
        <w:rPr>
          <w:color w:val="000000" w:themeColor="text1"/>
        </w:rPr>
      </w:pPr>
      <w:r>
        <w:rPr>
          <w:color w:val="000000" w:themeColor="text1"/>
        </w:rPr>
        <w:t xml:space="preserve">The target age for the JCB </w:t>
      </w:r>
      <w:r w:rsidR="006F43F0">
        <w:rPr>
          <w:color w:val="000000" w:themeColor="text1"/>
        </w:rPr>
        <w:t xml:space="preserve">were </w:t>
      </w:r>
      <w:r>
        <w:rPr>
          <w:color w:val="000000" w:themeColor="text1"/>
        </w:rPr>
        <w:t xml:space="preserve">young adults aged 18 </w:t>
      </w:r>
      <w:r w:rsidR="00736FEC">
        <w:rPr>
          <w:color w:val="000000" w:themeColor="text1"/>
        </w:rPr>
        <w:t xml:space="preserve">to </w:t>
      </w:r>
      <w:r>
        <w:rPr>
          <w:color w:val="000000" w:themeColor="text1"/>
        </w:rPr>
        <w:t xml:space="preserve">under 31 at the time of </w:t>
      </w:r>
      <w:r w:rsidR="0062635B">
        <w:rPr>
          <w:color w:val="000000" w:themeColor="text1"/>
        </w:rPr>
        <w:t xml:space="preserve">leaving </w:t>
      </w:r>
      <w:r>
        <w:rPr>
          <w:color w:val="000000" w:themeColor="text1"/>
        </w:rPr>
        <w:t>income support.</w:t>
      </w:r>
    </w:p>
    <w:p w:rsidR="00D35C50" w:rsidRDefault="00D35C50" w:rsidP="00D35C50">
      <w:pPr>
        <w:spacing w:before="120"/>
        <w:rPr>
          <w:color w:val="000000" w:themeColor="text1"/>
        </w:rPr>
      </w:pPr>
      <w:r>
        <w:rPr>
          <w:color w:val="000000" w:themeColor="text1"/>
        </w:rPr>
        <w:t xml:space="preserve">For </w:t>
      </w:r>
      <w:r w:rsidR="00670225">
        <w:rPr>
          <w:color w:val="000000" w:themeColor="text1"/>
        </w:rPr>
        <w:t xml:space="preserve">the purposes of this evaluation, where relevant, </w:t>
      </w:r>
      <w:r>
        <w:rPr>
          <w:color w:val="000000" w:themeColor="text1"/>
        </w:rPr>
        <w:t xml:space="preserve">young adults are segregated into two age groups: those aged under 25 and 25 or older. </w:t>
      </w:r>
      <w:r w:rsidR="00670225">
        <w:rPr>
          <w:color w:val="000000" w:themeColor="text1"/>
        </w:rPr>
        <w:t>This is because t</w:t>
      </w:r>
      <w:r>
        <w:rPr>
          <w:color w:val="000000" w:themeColor="text1"/>
        </w:rPr>
        <w:t>hese two groups are</w:t>
      </w:r>
      <w:r w:rsidR="006F43F0">
        <w:rPr>
          <w:color w:val="000000" w:themeColor="text1"/>
        </w:rPr>
        <w:t xml:space="preserve"> </w:t>
      </w:r>
      <w:r w:rsidR="0029257A">
        <w:rPr>
          <w:color w:val="000000" w:themeColor="text1"/>
        </w:rPr>
        <w:t xml:space="preserve">sufficiently </w:t>
      </w:r>
      <w:r>
        <w:rPr>
          <w:color w:val="000000" w:themeColor="text1"/>
        </w:rPr>
        <w:t xml:space="preserve">different </w:t>
      </w:r>
      <w:r w:rsidR="0029257A">
        <w:rPr>
          <w:color w:val="000000" w:themeColor="text1"/>
        </w:rPr>
        <w:t>to respond differently to the JCB</w:t>
      </w:r>
      <w:r w:rsidR="00FE1013">
        <w:rPr>
          <w:color w:val="000000" w:themeColor="text1"/>
        </w:rPr>
        <w:t>.</w:t>
      </w:r>
      <w:r w:rsidR="00670225">
        <w:rPr>
          <w:color w:val="000000" w:themeColor="text1"/>
        </w:rPr>
        <w:t xml:space="preserve"> </w:t>
      </w:r>
      <w:r w:rsidR="0029257A">
        <w:rPr>
          <w:color w:val="000000" w:themeColor="text1"/>
        </w:rPr>
        <w:t xml:space="preserve">This difference may affect </w:t>
      </w:r>
      <w:r w:rsidR="001F340D">
        <w:rPr>
          <w:color w:val="000000" w:themeColor="text1"/>
        </w:rPr>
        <w:t>the indicators</w:t>
      </w:r>
      <w:r>
        <w:rPr>
          <w:color w:val="000000" w:themeColor="text1"/>
        </w:rPr>
        <w:t xml:space="preserve"> considered.</w:t>
      </w:r>
    </w:p>
    <w:p w:rsidR="00CE0034" w:rsidRDefault="00D35C50" w:rsidP="004C5B83">
      <w:pPr>
        <w:spacing w:before="120"/>
        <w:rPr>
          <w:color w:val="000000" w:themeColor="text1"/>
        </w:rPr>
      </w:pPr>
      <w:r>
        <w:rPr>
          <w:color w:val="000000" w:themeColor="text1"/>
        </w:rPr>
        <w:t>For instance, those in the younger age group (18 to 24 years) are more likely to be in education</w:t>
      </w:r>
      <w:r w:rsidR="005E7490">
        <w:rPr>
          <w:color w:val="000000" w:themeColor="text1"/>
        </w:rPr>
        <w:t xml:space="preserve"> (Figure 1.</w:t>
      </w:r>
      <w:r w:rsidR="003463D4">
        <w:rPr>
          <w:color w:val="000000" w:themeColor="text1"/>
        </w:rPr>
        <w:t>5</w:t>
      </w:r>
      <w:r w:rsidR="005E7490">
        <w:rPr>
          <w:color w:val="000000" w:themeColor="text1"/>
        </w:rPr>
        <w:t>)</w:t>
      </w:r>
      <w:r w:rsidR="0029257A">
        <w:rPr>
          <w:color w:val="000000" w:themeColor="text1"/>
        </w:rPr>
        <w:t>. T</w:t>
      </w:r>
      <w:r>
        <w:rPr>
          <w:color w:val="000000" w:themeColor="text1"/>
        </w:rPr>
        <w:t xml:space="preserve">hey display different barriers to employment, motivation and </w:t>
      </w:r>
      <w:r w:rsidR="006F43F0">
        <w:rPr>
          <w:color w:val="000000" w:themeColor="text1"/>
        </w:rPr>
        <w:t xml:space="preserve">aspects of </w:t>
      </w:r>
      <w:r>
        <w:rPr>
          <w:color w:val="000000" w:themeColor="text1"/>
        </w:rPr>
        <w:t xml:space="preserve">behaviour. </w:t>
      </w:r>
      <w:r w:rsidR="0029257A">
        <w:rPr>
          <w:color w:val="000000" w:themeColor="text1"/>
        </w:rPr>
        <w:t>By</w:t>
      </w:r>
      <w:r>
        <w:rPr>
          <w:color w:val="000000" w:themeColor="text1"/>
        </w:rPr>
        <w:t xml:space="preserve"> 25</w:t>
      </w:r>
      <w:r>
        <w:rPr>
          <w:rFonts w:cstheme="minorHAnsi"/>
          <w:color w:val="000000" w:themeColor="text1"/>
        </w:rPr>
        <w:t xml:space="preserve"> y</w:t>
      </w:r>
      <w:r>
        <w:rPr>
          <w:color w:val="000000" w:themeColor="text1"/>
        </w:rPr>
        <w:t xml:space="preserve">ears of age some external factors change that </w:t>
      </w:r>
      <w:r w:rsidR="006F43F0">
        <w:rPr>
          <w:color w:val="000000" w:themeColor="text1"/>
        </w:rPr>
        <w:t xml:space="preserve">may </w:t>
      </w:r>
      <w:r>
        <w:rPr>
          <w:color w:val="000000" w:themeColor="text1"/>
        </w:rPr>
        <w:t>influence the measures being analysed, such as eligibility for particular types of income support (e.g. YA) and dependent child status for students.</w:t>
      </w:r>
      <w:r w:rsidR="00EC1AF9">
        <w:rPr>
          <w:color w:val="000000" w:themeColor="text1"/>
        </w:rPr>
        <w:t xml:space="preserve"> Many more in this age</w:t>
      </w:r>
      <w:r w:rsidR="00ED249F">
        <w:rPr>
          <w:color w:val="000000" w:themeColor="text1"/>
        </w:rPr>
        <w:t xml:space="preserve"> </w:t>
      </w:r>
      <w:r w:rsidR="00EC1AF9">
        <w:rPr>
          <w:color w:val="000000" w:themeColor="text1"/>
        </w:rPr>
        <w:t xml:space="preserve">group are </w:t>
      </w:r>
      <w:r w:rsidR="001C4455">
        <w:rPr>
          <w:color w:val="000000" w:themeColor="text1"/>
        </w:rPr>
        <w:t xml:space="preserve">starting </w:t>
      </w:r>
      <w:r w:rsidR="00EC1AF9">
        <w:rPr>
          <w:color w:val="000000" w:themeColor="text1"/>
        </w:rPr>
        <w:t>famil</w:t>
      </w:r>
      <w:r w:rsidR="001C4455">
        <w:rPr>
          <w:color w:val="000000" w:themeColor="text1"/>
        </w:rPr>
        <w:t xml:space="preserve">ies or </w:t>
      </w:r>
      <w:r w:rsidR="00C50D3B">
        <w:rPr>
          <w:color w:val="000000" w:themeColor="text1"/>
        </w:rPr>
        <w:t xml:space="preserve">becoming partnered </w:t>
      </w:r>
      <w:r w:rsidR="00FE1013">
        <w:rPr>
          <w:color w:val="000000" w:themeColor="text1"/>
        </w:rPr>
        <w:t>which</w:t>
      </w:r>
      <w:r w:rsidR="00EC1AF9">
        <w:rPr>
          <w:color w:val="000000" w:themeColor="text1"/>
        </w:rPr>
        <w:t xml:space="preserve"> may influence their response to the JCB.</w:t>
      </w:r>
      <w:r w:rsidR="00670225">
        <w:rPr>
          <w:color w:val="000000" w:themeColor="text1"/>
        </w:rPr>
        <w:t xml:space="preserve"> </w:t>
      </w:r>
      <w:r w:rsidR="001B7433">
        <w:rPr>
          <w:color w:val="000000" w:themeColor="text1"/>
        </w:rPr>
        <w:t>Also as noted earlier, the impact on these groups of changes in economic conditions is quite different</w:t>
      </w:r>
      <w:r w:rsidR="00736FEC">
        <w:rPr>
          <w:color w:val="000000" w:themeColor="text1"/>
        </w:rPr>
        <w:t>.</w:t>
      </w:r>
      <w:r w:rsidR="001B7433">
        <w:rPr>
          <w:color w:val="000000" w:themeColor="text1"/>
        </w:rPr>
        <w:t xml:space="preserve"> (Section 1.2)</w:t>
      </w:r>
    </w:p>
    <w:p w:rsidR="00CE0034" w:rsidRPr="003A4B00" w:rsidRDefault="00CE0034" w:rsidP="00CE0034">
      <w:pPr>
        <w:pStyle w:val="Heading2"/>
      </w:pPr>
      <w:bookmarkStart w:id="100" w:name="_Toc507600237"/>
      <w:r>
        <w:lastRenderedPageBreak/>
        <w:t>2.6</w:t>
      </w:r>
      <w:r w:rsidRPr="003A4B00">
        <w:tab/>
      </w:r>
      <w:r>
        <w:t>Behavioural change model</w:t>
      </w:r>
      <w:bookmarkEnd w:id="100"/>
      <w:r w:rsidRPr="003A4B00">
        <w:t xml:space="preserve"> </w:t>
      </w:r>
    </w:p>
    <w:p w:rsidR="004D2A1A" w:rsidRDefault="00CE0034" w:rsidP="004D2A1A">
      <w:r>
        <w:t xml:space="preserve">To enhance understanding of behaviour in relation to the JCB, this evaluation uses the </w:t>
      </w:r>
      <w:r w:rsidR="00607E08" w:rsidRPr="006A1048">
        <w:rPr>
          <w:i/>
        </w:rPr>
        <w:t>Trans-theoretical</w:t>
      </w:r>
      <w:r w:rsidR="00607E08">
        <w:t xml:space="preserve"> </w:t>
      </w:r>
      <w:r w:rsidR="00607E08" w:rsidRPr="004968D9">
        <w:rPr>
          <w:i/>
        </w:rPr>
        <w:t xml:space="preserve">Stages of </w:t>
      </w:r>
      <w:r w:rsidR="00607E08">
        <w:rPr>
          <w:i/>
        </w:rPr>
        <w:t xml:space="preserve">Change </w:t>
      </w:r>
      <w:r w:rsidR="00607E08" w:rsidRPr="00264090">
        <w:t>model</w:t>
      </w:r>
      <w:r>
        <w:t xml:space="preserve"> of behaviour change (TTM), or the </w:t>
      </w:r>
      <w:r w:rsidRPr="00AB6CAE">
        <w:rPr>
          <w:i/>
        </w:rPr>
        <w:t>Stages of Change</w:t>
      </w:r>
      <w:r w:rsidR="00E67192">
        <w:rPr>
          <w:i/>
        </w:rPr>
        <w:t xml:space="preserve"> </w:t>
      </w:r>
      <w:r w:rsidR="00E67192" w:rsidRPr="00E67192">
        <w:t>to aid interpretation of qualitative research results</w:t>
      </w:r>
      <w:r w:rsidRPr="00E67192">
        <w:t>.</w:t>
      </w:r>
      <w:r>
        <w:t xml:space="preserve"> DiClemente and Prochaska developed the </w:t>
      </w:r>
      <w:r w:rsidR="00607E08" w:rsidRPr="002219CA">
        <w:t>TTM</w:t>
      </w:r>
      <w:r>
        <w:t xml:space="preserve"> in the early 1980s</w:t>
      </w:r>
      <w:r w:rsidR="00302541">
        <w:t xml:space="preserve"> (Prochaska et al, 2013)</w:t>
      </w:r>
      <w:r>
        <w:t xml:space="preserve">, based on their clinical observations of how people went about modifying problem behaviours such as smoking, overeating and problem drinking. While some models focus on specific dimensions of change, the TTM is a comprehensive model that recognises that people are at varying stages of preparedness for change, and not all are willing </w:t>
      </w:r>
      <w:r w:rsidRPr="00A30F7E">
        <w:t>or able to make immediate or permanent behaviour change.</w:t>
      </w:r>
      <w:r>
        <w:t xml:space="preserve"> Further detail on this model and discussion around its use for participant behaviour in</w:t>
      </w:r>
      <w:r w:rsidRPr="000F4F63">
        <w:t xml:space="preserve"> </w:t>
      </w:r>
      <w:r>
        <w:t>relation to the JCB is explored in Section 5.</w:t>
      </w:r>
    </w:p>
    <w:p w:rsidR="000C3D4C" w:rsidRPr="004D2A1A" w:rsidRDefault="000C3D4C" w:rsidP="004D2A1A">
      <w:r>
        <w:br w:type="page"/>
      </w:r>
    </w:p>
    <w:p w:rsidR="009A20EE" w:rsidRDefault="00545DE9" w:rsidP="00E3205B">
      <w:pPr>
        <w:pStyle w:val="Heading1"/>
        <w:numPr>
          <w:ilvl w:val="0"/>
          <w:numId w:val="86"/>
        </w:numPr>
        <w:tabs>
          <w:tab w:val="left" w:pos="567"/>
        </w:tabs>
        <w:ind w:left="426" w:hanging="426"/>
      </w:pPr>
      <w:bookmarkStart w:id="101" w:name="_Toc507600238"/>
      <w:r>
        <w:lastRenderedPageBreak/>
        <w:t>J</w:t>
      </w:r>
      <w:r w:rsidR="00FE1013">
        <w:t xml:space="preserve">ob </w:t>
      </w:r>
      <w:r>
        <w:t>C</w:t>
      </w:r>
      <w:r w:rsidR="00FE1013">
        <w:t xml:space="preserve">ommitment </w:t>
      </w:r>
      <w:r>
        <w:t>B</w:t>
      </w:r>
      <w:r w:rsidR="00FE1013">
        <w:t>onus</w:t>
      </w:r>
      <w:r>
        <w:t xml:space="preserve"> results</w:t>
      </w:r>
      <w:bookmarkEnd w:id="101"/>
    </w:p>
    <w:p w:rsidR="00CC19DF" w:rsidRPr="00CC19DF" w:rsidRDefault="00CC19DF" w:rsidP="00CC19DF">
      <w:r>
        <w:t xml:space="preserve">The </w:t>
      </w:r>
      <w:r w:rsidR="00FE1013">
        <w:t>Job Commitment Bonus (</w:t>
      </w:r>
      <w:r>
        <w:t>JCB</w:t>
      </w:r>
      <w:r w:rsidR="00FE1013">
        <w:t>)</w:t>
      </w:r>
      <w:r>
        <w:t xml:space="preserve"> </w:t>
      </w:r>
      <w:r w:rsidR="005475E0">
        <w:t xml:space="preserve">was an incentive </w:t>
      </w:r>
      <w:r w:rsidR="00CD1244">
        <w:t>to get a job and leave and remain off inco</w:t>
      </w:r>
      <w:r w:rsidR="00670225">
        <w:t>me support</w:t>
      </w:r>
      <w:r w:rsidR="005475E0">
        <w:t xml:space="preserve">. </w:t>
      </w:r>
      <w:r w:rsidR="00261709">
        <w:t>C</w:t>
      </w:r>
      <w:r>
        <w:t>onsequen</w:t>
      </w:r>
      <w:r w:rsidR="00261709">
        <w:t>tly</w:t>
      </w:r>
      <w:r w:rsidR="005475E0">
        <w:t>,</w:t>
      </w:r>
      <w:r>
        <w:t xml:space="preserve"> the </w:t>
      </w:r>
      <w:r w:rsidR="003A3B30">
        <w:t xml:space="preserve">administrative </w:t>
      </w:r>
      <w:r w:rsidR="00261709">
        <w:t xml:space="preserve">data </w:t>
      </w:r>
      <w:r>
        <w:t xml:space="preserve">from </w:t>
      </w:r>
      <w:r w:rsidR="00AD38A1">
        <w:t>Department of Employment (</w:t>
      </w:r>
      <w:r>
        <w:t>DoE</w:t>
      </w:r>
      <w:r w:rsidR="00AD38A1">
        <w:t xml:space="preserve">) </w:t>
      </w:r>
      <w:r>
        <w:t>and</w:t>
      </w:r>
      <w:r w:rsidR="00AD38A1">
        <w:t xml:space="preserve"> Department of Human Services (</w:t>
      </w:r>
      <w:r>
        <w:t>DHS</w:t>
      </w:r>
      <w:r w:rsidR="00AD38A1">
        <w:t>)</w:t>
      </w:r>
      <w:r>
        <w:t xml:space="preserve"> </w:t>
      </w:r>
      <w:r w:rsidR="005475E0">
        <w:t xml:space="preserve">lacks employment information for these people as </w:t>
      </w:r>
      <w:r w:rsidR="00D75CA7">
        <w:t xml:space="preserve">most </w:t>
      </w:r>
      <w:r w:rsidR="005475E0">
        <w:t>had no need to remain in contact with the income support system or their employment service providers</w:t>
      </w:r>
      <w:r w:rsidR="00D75CA7">
        <w:t xml:space="preserve"> after gaining employment and exiting income support</w:t>
      </w:r>
      <w:r w:rsidR="005475E0">
        <w:t>.</w:t>
      </w:r>
      <w:r w:rsidR="00EC1AF9">
        <w:t xml:space="preserve"> </w:t>
      </w:r>
      <w:r w:rsidR="001F3741">
        <w:t>Q</w:t>
      </w:r>
      <w:r w:rsidR="00B97943">
        <w:t xml:space="preserve">ualitative research was conducted </w:t>
      </w:r>
      <w:r w:rsidR="003A3B30">
        <w:t xml:space="preserve">for this group </w:t>
      </w:r>
      <w:r w:rsidR="00C25360">
        <w:t xml:space="preserve">to </w:t>
      </w:r>
      <w:r w:rsidR="00EC1AF9">
        <w:t>inform the evaluation about the employment details</w:t>
      </w:r>
      <w:r w:rsidR="003A3B30">
        <w:t>,</w:t>
      </w:r>
      <w:r w:rsidR="00EC1AF9">
        <w:t xml:space="preserve"> </w:t>
      </w:r>
      <w:r w:rsidR="003A3B30">
        <w:t>participant awareness, views of, and behavioural responses to the bonus</w:t>
      </w:r>
      <w:r w:rsidR="00B97943">
        <w:t xml:space="preserve">. </w:t>
      </w:r>
      <w:r w:rsidR="006F43F0">
        <w:t>F</w:t>
      </w:r>
      <w:r w:rsidR="00B97943">
        <w:t xml:space="preserve">indings </w:t>
      </w:r>
      <w:r w:rsidR="001F3741">
        <w:t xml:space="preserve">are </w:t>
      </w:r>
      <w:r w:rsidR="00B97943">
        <w:t>discussed in this section</w:t>
      </w:r>
      <w:r w:rsidR="003A3B30">
        <w:t>.</w:t>
      </w:r>
      <w:r w:rsidR="00B97943">
        <w:t xml:space="preserve"> Where </w:t>
      </w:r>
      <w:r w:rsidR="003A3B30">
        <w:t>available</w:t>
      </w:r>
      <w:r w:rsidR="00B97943">
        <w:t>, quantitative data from administrative syste</w:t>
      </w:r>
      <w:r w:rsidR="00294B93">
        <w:t xml:space="preserve">ms and departmental surveys </w:t>
      </w:r>
      <w:r w:rsidR="00706193">
        <w:t>are</w:t>
      </w:r>
      <w:r w:rsidR="00294B93">
        <w:t xml:space="preserve"> </w:t>
      </w:r>
      <w:r w:rsidR="00261709">
        <w:t xml:space="preserve">also </w:t>
      </w:r>
      <w:r w:rsidR="00545DE9">
        <w:t>presented</w:t>
      </w:r>
      <w:r w:rsidR="00B97943">
        <w:t>.</w:t>
      </w:r>
    </w:p>
    <w:p w:rsidR="0077033B" w:rsidRPr="006128DA" w:rsidRDefault="006128DA" w:rsidP="006128DA">
      <w:pPr>
        <w:pStyle w:val="Heading2"/>
      </w:pPr>
      <w:bookmarkStart w:id="102" w:name="_Toc478117563"/>
      <w:bookmarkStart w:id="103" w:name="_Toc507600239"/>
      <w:r>
        <w:t>3.1</w:t>
      </w:r>
      <w:r>
        <w:tab/>
      </w:r>
      <w:r w:rsidR="0077033B" w:rsidRPr="006128DA">
        <w:t>Program design</w:t>
      </w:r>
      <w:bookmarkEnd w:id="102"/>
      <w:bookmarkEnd w:id="103"/>
      <w:r w:rsidR="00624424" w:rsidRPr="006128DA">
        <w:t xml:space="preserve"> </w:t>
      </w:r>
    </w:p>
    <w:p w:rsidR="006561A8" w:rsidRPr="0018315C" w:rsidRDefault="006561A8" w:rsidP="007B55C3">
      <w:pPr>
        <w:keepNext/>
        <w:pBdr>
          <w:top w:val="single" w:sz="4" w:space="1" w:color="auto"/>
          <w:left w:val="single" w:sz="4" w:space="4" w:color="auto"/>
          <w:bottom w:val="single" w:sz="4" w:space="1" w:color="auto"/>
          <w:right w:val="single" w:sz="4" w:space="4" w:color="auto"/>
        </w:pBdr>
        <w:shd w:val="clear" w:color="auto" w:fill="FDCBA0"/>
        <w:spacing w:after="120"/>
        <w:rPr>
          <w:rStyle w:val="Strong"/>
        </w:rPr>
      </w:pPr>
      <w:r w:rsidRPr="0018315C">
        <w:rPr>
          <w:rStyle w:val="Strong"/>
        </w:rPr>
        <w:t>Highlights</w:t>
      </w:r>
    </w:p>
    <w:p w:rsidR="0098568C" w:rsidRDefault="00545DE9" w:rsidP="007B55C3">
      <w:pPr>
        <w:keepNext/>
        <w:pBdr>
          <w:top w:val="single" w:sz="4" w:space="1" w:color="auto"/>
          <w:left w:val="single" w:sz="4" w:space="4" w:color="auto"/>
          <w:bottom w:val="single" w:sz="4" w:space="1" w:color="auto"/>
          <w:right w:val="single" w:sz="4" w:space="4" w:color="auto"/>
        </w:pBdr>
        <w:shd w:val="clear" w:color="auto" w:fill="FDCBA0"/>
        <w:spacing w:after="0"/>
      </w:pPr>
      <w:r>
        <w:t>T</w:t>
      </w:r>
      <w:r w:rsidR="0098568C">
        <w:t>he JCB differed from traditional Australian</w:t>
      </w:r>
      <w:r w:rsidR="00CD1244" w:rsidRPr="00CD1244">
        <w:t xml:space="preserve"> </w:t>
      </w:r>
      <w:r w:rsidR="00CD1244">
        <w:t>active labour market programs</w:t>
      </w:r>
      <w:r w:rsidR="0098568C">
        <w:t xml:space="preserve">, as it was </w:t>
      </w:r>
      <w:r w:rsidR="00CD1244">
        <w:t xml:space="preserve">a payment </w:t>
      </w:r>
      <w:r w:rsidR="0098568C">
        <w:t xml:space="preserve">available directly to the </w:t>
      </w:r>
      <w:r w:rsidR="001F3741">
        <w:t xml:space="preserve">employee </w:t>
      </w:r>
      <w:r w:rsidR="0098568C">
        <w:t>rather than the employer</w:t>
      </w:r>
      <w:r>
        <w:t>.</w:t>
      </w:r>
    </w:p>
    <w:p w:rsidR="00481CE9" w:rsidRDefault="00545DE9" w:rsidP="00545DE9">
      <w:pPr>
        <w:keepNext/>
        <w:pBdr>
          <w:top w:val="single" w:sz="4" w:space="1" w:color="auto"/>
          <w:left w:val="single" w:sz="4" w:space="4" w:color="auto"/>
          <w:bottom w:val="single" w:sz="4" w:space="1" w:color="auto"/>
          <w:right w:val="single" w:sz="4" w:space="4" w:color="auto"/>
        </w:pBdr>
        <w:shd w:val="clear" w:color="auto" w:fill="FDCBA0"/>
        <w:spacing w:before="120" w:after="0"/>
      </w:pPr>
      <w:r>
        <w:t>T</w:t>
      </w:r>
      <w:r w:rsidR="0098568C">
        <w:t xml:space="preserve">he program design was constrained by requirements to comply with </w:t>
      </w:r>
      <w:r w:rsidR="0018352B">
        <w:t xml:space="preserve">legislation that was </w:t>
      </w:r>
      <w:r w:rsidR="00CD1244">
        <w:t xml:space="preserve">highly </w:t>
      </w:r>
      <w:r w:rsidR="0018352B">
        <w:t>prescriptive</w:t>
      </w:r>
      <w:r w:rsidR="00EC1AF9">
        <w:t xml:space="preserve">. This </w:t>
      </w:r>
      <w:r w:rsidR="00481CE9">
        <w:t>result</w:t>
      </w:r>
      <w:r w:rsidR="00EC1AF9">
        <w:t xml:space="preserve">ed </w:t>
      </w:r>
      <w:r w:rsidR="00481CE9">
        <w:t xml:space="preserve">in complex </w:t>
      </w:r>
      <w:r w:rsidR="0098568C">
        <w:t>eligibility requirements</w:t>
      </w:r>
      <w:r>
        <w:t>.</w:t>
      </w:r>
    </w:p>
    <w:p w:rsidR="006A5726" w:rsidRDefault="00EC1AF9" w:rsidP="006A5726">
      <w:pPr>
        <w:spacing w:before="120" w:after="0"/>
      </w:pPr>
      <w:r>
        <w:t>P</w:t>
      </w:r>
      <w:r w:rsidR="006A5726" w:rsidRPr="003A4B00">
        <w:t>rograms to encourage income support recipients off welfare have either a positive or negative approach. The JCB differ</w:t>
      </w:r>
      <w:r w:rsidR="006A5726">
        <w:t>ed</w:t>
      </w:r>
      <w:r w:rsidR="006A5726" w:rsidRPr="003A4B00">
        <w:t xml:space="preserve"> from </w:t>
      </w:r>
      <w:r w:rsidR="006A5726">
        <w:t>traditional</w:t>
      </w:r>
      <w:r w:rsidR="006A5726" w:rsidRPr="003A4B00">
        <w:t xml:space="preserve"> Australian</w:t>
      </w:r>
      <w:r w:rsidR="00101A38">
        <w:t xml:space="preserve"> </w:t>
      </w:r>
      <w:r w:rsidR="00CD1244">
        <w:t>active labour market program</w:t>
      </w:r>
      <w:r w:rsidR="00101A38">
        <w:t xml:space="preserve">s, </w:t>
      </w:r>
      <w:r w:rsidR="006A5726" w:rsidRPr="003A4B00">
        <w:t xml:space="preserve">as it </w:t>
      </w:r>
      <w:r w:rsidR="006A5726">
        <w:t>wa</w:t>
      </w:r>
      <w:r w:rsidR="006A5726" w:rsidRPr="003A4B00">
        <w:t xml:space="preserve">s a positive incentive program </w:t>
      </w:r>
      <w:r w:rsidR="001F3741">
        <w:t xml:space="preserve">targeted </w:t>
      </w:r>
      <w:r w:rsidR="006A5726" w:rsidRPr="003A4B00">
        <w:t>directly to the job seeker.</w:t>
      </w:r>
    </w:p>
    <w:p w:rsidR="006A5726" w:rsidRDefault="006A5726" w:rsidP="006A5726">
      <w:pPr>
        <w:spacing w:before="120" w:after="0"/>
        <w:rPr>
          <w:szCs w:val="20"/>
        </w:rPr>
      </w:pPr>
      <w:r>
        <w:t xml:space="preserve">Another unique aspect of this program was that the </w:t>
      </w:r>
      <w:r w:rsidR="001F3741">
        <w:t xml:space="preserve">potentially eligible </w:t>
      </w:r>
      <w:r w:rsidR="00EC1AF9">
        <w:t>group</w:t>
      </w:r>
      <w:r w:rsidR="003A3B30">
        <w:t xml:space="preserve"> (</w:t>
      </w:r>
      <w:r w:rsidR="003A3B30">
        <w:rPr>
          <w:szCs w:val="20"/>
        </w:rPr>
        <w:t xml:space="preserve">those who had </w:t>
      </w:r>
      <w:r w:rsidR="003A3B30" w:rsidRPr="004968D9">
        <w:rPr>
          <w:i/>
          <w:szCs w:val="20"/>
        </w:rPr>
        <w:t>left</w:t>
      </w:r>
      <w:r w:rsidR="003A3B30">
        <w:rPr>
          <w:szCs w:val="20"/>
        </w:rPr>
        <w:t xml:space="preserve"> the income support system)</w:t>
      </w:r>
      <w:r w:rsidR="00EC1AF9">
        <w:t xml:space="preserve"> </w:t>
      </w:r>
      <w:r w:rsidR="001F3741">
        <w:t xml:space="preserve">were </w:t>
      </w:r>
      <w:r>
        <w:t xml:space="preserve">not </w:t>
      </w:r>
      <w:r w:rsidR="003A3B30">
        <w:t>typically</w:t>
      </w:r>
      <w:r w:rsidR="00D46489">
        <w:rPr>
          <w:szCs w:val="20"/>
        </w:rPr>
        <w:t xml:space="preserve"> </w:t>
      </w:r>
      <w:r w:rsidR="003A3B30">
        <w:rPr>
          <w:szCs w:val="20"/>
        </w:rPr>
        <w:t>the</w:t>
      </w:r>
      <w:r>
        <w:rPr>
          <w:szCs w:val="20"/>
        </w:rPr>
        <w:t xml:space="preserve"> focus for DHS service delivery</w:t>
      </w:r>
      <w:r w:rsidR="003A3B30">
        <w:rPr>
          <w:szCs w:val="20"/>
        </w:rPr>
        <w:t>.</w:t>
      </w:r>
      <w:r>
        <w:rPr>
          <w:szCs w:val="20"/>
        </w:rPr>
        <w:t xml:space="preserve"> This </w:t>
      </w:r>
      <w:r w:rsidR="003A3B30">
        <w:rPr>
          <w:szCs w:val="20"/>
        </w:rPr>
        <w:t xml:space="preserve">presented </w:t>
      </w:r>
      <w:r>
        <w:rPr>
          <w:szCs w:val="20"/>
        </w:rPr>
        <w:t>challenges in terms of communication</w:t>
      </w:r>
      <w:r w:rsidR="00101A38">
        <w:rPr>
          <w:szCs w:val="20"/>
        </w:rPr>
        <w:t xml:space="preserve"> </w:t>
      </w:r>
      <w:r w:rsidR="004E6989">
        <w:rPr>
          <w:szCs w:val="20"/>
        </w:rPr>
        <w:t>(S</w:t>
      </w:r>
      <w:r>
        <w:rPr>
          <w:szCs w:val="20"/>
        </w:rPr>
        <w:t>ection</w:t>
      </w:r>
      <w:r w:rsidR="00545DE9">
        <w:rPr>
          <w:szCs w:val="20"/>
        </w:rPr>
        <w:t xml:space="preserve"> 3.3</w:t>
      </w:r>
      <w:r w:rsidR="004E6989">
        <w:rPr>
          <w:szCs w:val="20"/>
        </w:rPr>
        <w:t>)</w:t>
      </w:r>
      <w:r>
        <w:rPr>
          <w:szCs w:val="20"/>
        </w:rPr>
        <w:t>.</w:t>
      </w:r>
    </w:p>
    <w:p w:rsidR="006A5726" w:rsidRDefault="00D46489" w:rsidP="006A5726">
      <w:pPr>
        <w:spacing w:before="120" w:after="0"/>
        <w:rPr>
          <w:szCs w:val="20"/>
        </w:rPr>
      </w:pPr>
      <w:r>
        <w:rPr>
          <w:szCs w:val="20"/>
        </w:rPr>
        <w:t xml:space="preserve">DHS </w:t>
      </w:r>
      <w:r w:rsidR="006A5726">
        <w:rPr>
          <w:szCs w:val="20"/>
        </w:rPr>
        <w:t xml:space="preserve">had </w:t>
      </w:r>
      <w:r w:rsidR="004B2ED6">
        <w:rPr>
          <w:szCs w:val="20"/>
        </w:rPr>
        <w:t xml:space="preserve">responsibility for the </w:t>
      </w:r>
      <w:r w:rsidR="00EC1AF9">
        <w:rPr>
          <w:szCs w:val="20"/>
        </w:rPr>
        <w:t>technological infrastructure</w:t>
      </w:r>
      <w:r w:rsidR="004B2ED6">
        <w:rPr>
          <w:szCs w:val="20"/>
        </w:rPr>
        <w:t xml:space="preserve">, </w:t>
      </w:r>
      <w:r w:rsidR="006A5726">
        <w:rPr>
          <w:szCs w:val="20"/>
        </w:rPr>
        <w:t>delivery of the JCB on-line system</w:t>
      </w:r>
      <w:r w:rsidR="004B2ED6">
        <w:rPr>
          <w:szCs w:val="20"/>
        </w:rPr>
        <w:t xml:space="preserve"> and payments</w:t>
      </w:r>
      <w:r w:rsidR="00933DA8">
        <w:rPr>
          <w:szCs w:val="20"/>
        </w:rPr>
        <w:t>. DHS and DoE consulted in the delivery of th</w:t>
      </w:r>
      <w:r w:rsidR="004E6989">
        <w:rPr>
          <w:szCs w:val="20"/>
        </w:rPr>
        <w:t>e</w:t>
      </w:r>
      <w:r w:rsidR="00933DA8">
        <w:rPr>
          <w:szCs w:val="20"/>
        </w:rPr>
        <w:t xml:space="preserve"> program, with DoE having</w:t>
      </w:r>
      <w:r>
        <w:rPr>
          <w:szCs w:val="20"/>
        </w:rPr>
        <w:t xml:space="preserve"> responsibility for the</w:t>
      </w:r>
      <w:r w:rsidR="00545DE9">
        <w:rPr>
          <w:szCs w:val="20"/>
        </w:rPr>
        <w:t xml:space="preserve"> policy,</w:t>
      </w:r>
      <w:r>
        <w:rPr>
          <w:szCs w:val="20"/>
        </w:rPr>
        <w:t xml:space="preserve"> monitoring</w:t>
      </w:r>
      <w:r w:rsidR="004B2ED6">
        <w:rPr>
          <w:szCs w:val="20"/>
        </w:rPr>
        <w:t xml:space="preserve">, </w:t>
      </w:r>
      <w:r>
        <w:rPr>
          <w:szCs w:val="20"/>
        </w:rPr>
        <w:t xml:space="preserve">implementation </w:t>
      </w:r>
      <w:r w:rsidR="004B2ED6">
        <w:rPr>
          <w:szCs w:val="20"/>
        </w:rPr>
        <w:t xml:space="preserve">and evaluation </w:t>
      </w:r>
      <w:r>
        <w:rPr>
          <w:szCs w:val="20"/>
        </w:rPr>
        <w:t>of the program.</w:t>
      </w:r>
    </w:p>
    <w:p w:rsidR="004E6989" w:rsidRDefault="004E6989" w:rsidP="00AA510E">
      <w:pPr>
        <w:pStyle w:val="Heading3"/>
      </w:pPr>
      <w:r>
        <w:t>Eligibility</w:t>
      </w:r>
    </w:p>
    <w:p w:rsidR="008370C3" w:rsidRDefault="00A3678B" w:rsidP="004968D9">
      <w:pPr>
        <w:spacing w:before="120" w:after="0"/>
        <w:rPr>
          <w:szCs w:val="20"/>
        </w:rPr>
      </w:pPr>
      <w:r>
        <w:rPr>
          <w:szCs w:val="20"/>
        </w:rPr>
        <w:t xml:space="preserve">The JCB program was enacted through </w:t>
      </w:r>
      <w:r w:rsidRPr="00B50DFB">
        <w:rPr>
          <w:szCs w:val="20"/>
        </w:rPr>
        <w:t>Social Security Legislation</w:t>
      </w:r>
      <w:r>
        <w:rPr>
          <w:i/>
          <w:szCs w:val="20"/>
        </w:rPr>
        <w:t>.</w:t>
      </w:r>
      <w:r>
        <w:rPr>
          <w:rStyle w:val="FootnoteReference"/>
          <w:i/>
          <w:szCs w:val="20"/>
        </w:rPr>
        <w:footnoteReference w:id="27"/>
      </w:r>
      <w:r w:rsidRPr="00F505F0">
        <w:rPr>
          <w:i/>
          <w:szCs w:val="20"/>
        </w:rPr>
        <w:t xml:space="preserve"> </w:t>
      </w:r>
      <w:r w:rsidR="004E6989">
        <w:rPr>
          <w:szCs w:val="20"/>
        </w:rPr>
        <w:t>A</w:t>
      </w:r>
      <w:r>
        <w:rPr>
          <w:szCs w:val="20"/>
        </w:rPr>
        <w:t>ccording to this legislation</w:t>
      </w:r>
      <w:r w:rsidR="00CD1244">
        <w:rPr>
          <w:szCs w:val="20"/>
        </w:rPr>
        <w:t>,</w:t>
      </w:r>
      <w:r>
        <w:rPr>
          <w:szCs w:val="20"/>
        </w:rPr>
        <w:t xml:space="preserve"> a</w:t>
      </w:r>
      <w:r w:rsidR="00787A06">
        <w:rPr>
          <w:szCs w:val="20"/>
        </w:rPr>
        <w:t xml:space="preserve"> person was eligible for t</w:t>
      </w:r>
      <w:r w:rsidR="00207F58">
        <w:rPr>
          <w:szCs w:val="20"/>
        </w:rPr>
        <w:t>he first ($2</w:t>
      </w:r>
      <w:r w:rsidR="008370C3">
        <w:rPr>
          <w:szCs w:val="20"/>
        </w:rPr>
        <w:t>500) bonus</w:t>
      </w:r>
      <w:r w:rsidR="00787A06">
        <w:rPr>
          <w:szCs w:val="20"/>
        </w:rPr>
        <w:t xml:space="preserve"> if they satisfied each of the following criteria</w:t>
      </w:r>
      <w:r w:rsidR="008370C3">
        <w:rPr>
          <w:szCs w:val="20"/>
        </w:rPr>
        <w:t>:</w:t>
      </w:r>
    </w:p>
    <w:p w:rsidR="008370C3" w:rsidRPr="00626C70" w:rsidRDefault="00787A06" w:rsidP="00626C70">
      <w:pPr>
        <w:pStyle w:val="ListBullet"/>
      </w:pPr>
      <w:r w:rsidRPr="00626C70">
        <w:rPr>
          <w:rStyle w:val="ListParagraphChar"/>
        </w:rPr>
        <w:t>they were</w:t>
      </w:r>
      <w:r w:rsidR="008370C3" w:rsidRPr="00626C70">
        <w:rPr>
          <w:rStyle w:val="ListParagraphChar"/>
        </w:rPr>
        <w:t xml:space="preserve"> aged 18 or over and under 31 and, for a continuous period of at least 12 months while</w:t>
      </w:r>
      <w:r w:rsidR="008370C3" w:rsidRPr="00626C70">
        <w:t xml:space="preserve"> they were in this age bracket, they received the following (either </w:t>
      </w:r>
      <w:r w:rsidR="00602B02">
        <w:t>on its own, or in combination):</w:t>
      </w:r>
    </w:p>
    <w:p w:rsidR="008370C3" w:rsidRPr="00787A06" w:rsidRDefault="008370C3" w:rsidP="00283E3D">
      <w:pPr>
        <w:pStyle w:val="ListBullet2"/>
        <w:numPr>
          <w:ilvl w:val="2"/>
          <w:numId w:val="45"/>
        </w:numPr>
      </w:pPr>
      <w:r w:rsidRPr="00787A06">
        <w:t xml:space="preserve">Newstart Allowance </w:t>
      </w:r>
      <w:r w:rsidR="00565CAB">
        <w:t>(N</w:t>
      </w:r>
      <w:r w:rsidR="002C734B">
        <w:t>S</w:t>
      </w:r>
      <w:r w:rsidR="00565CAB">
        <w:t>A)</w:t>
      </w:r>
    </w:p>
    <w:p w:rsidR="008370C3" w:rsidRPr="00787A06" w:rsidRDefault="008370C3" w:rsidP="00283E3D">
      <w:pPr>
        <w:pStyle w:val="ListBullet2"/>
        <w:numPr>
          <w:ilvl w:val="2"/>
          <w:numId w:val="45"/>
        </w:numPr>
      </w:pPr>
      <w:r w:rsidRPr="00787A06">
        <w:lastRenderedPageBreak/>
        <w:t>Youth Allowance</w:t>
      </w:r>
      <w:r w:rsidR="00565CAB">
        <w:t xml:space="preserve"> (YA)</w:t>
      </w:r>
      <w:r w:rsidR="00641963">
        <w:t>(O)</w:t>
      </w:r>
      <w:r w:rsidRPr="00787A06">
        <w:t xml:space="preserve"> (</w:t>
      </w:r>
      <w:r w:rsidR="00E67192">
        <w:t>that is, excludes</w:t>
      </w:r>
      <w:r w:rsidRPr="00787A06">
        <w:t xml:space="preserve"> Youth Allowance received as a full-time st</w:t>
      </w:r>
      <w:r w:rsidR="00787A06">
        <w:t>udent, or as a new apprentice)</w:t>
      </w:r>
    </w:p>
    <w:p w:rsidR="008370C3" w:rsidRPr="00787A06" w:rsidRDefault="008370C3" w:rsidP="00656A3A">
      <w:pPr>
        <w:pStyle w:val="ListBullet2"/>
        <w:keepNext/>
        <w:numPr>
          <w:ilvl w:val="0"/>
          <w:numId w:val="3"/>
        </w:numPr>
        <w:ind w:left="714" w:hanging="357"/>
      </w:pPr>
      <w:r w:rsidRPr="00787A06">
        <w:t xml:space="preserve">either: </w:t>
      </w:r>
    </w:p>
    <w:p w:rsidR="004B2ED6" w:rsidRDefault="008370C3" w:rsidP="00D561B1">
      <w:pPr>
        <w:pStyle w:val="ListBullet2"/>
      </w:pPr>
      <w:r w:rsidRPr="00787A06">
        <w:t>after 12 months of the continuous period of receipt of N</w:t>
      </w:r>
      <w:r w:rsidR="002C734B">
        <w:t>S</w:t>
      </w:r>
      <w:r w:rsidRPr="00787A06">
        <w:t>A and/or YA</w:t>
      </w:r>
      <w:r w:rsidR="00641963">
        <w:t>(O)</w:t>
      </w:r>
      <w:r w:rsidRPr="00787A06">
        <w:t xml:space="preserve"> the person start</w:t>
      </w:r>
      <w:r w:rsidR="00787A06">
        <w:t>ed</w:t>
      </w:r>
      <w:r w:rsidRPr="00787A06">
        <w:t xml:space="preserve"> gainful work in Australia on the day after that period end</w:t>
      </w:r>
      <w:r w:rsidR="004B2ED6">
        <w:t>ed</w:t>
      </w:r>
    </w:p>
    <w:p w:rsidR="008370C3" w:rsidRPr="00D561B1" w:rsidRDefault="008370C3" w:rsidP="00D561B1">
      <w:pPr>
        <w:autoSpaceDE w:val="0"/>
        <w:autoSpaceDN w:val="0"/>
        <w:adjustRightInd w:val="0"/>
        <w:spacing w:after="20" w:line="240" w:lineRule="auto"/>
        <w:ind w:left="720"/>
      </w:pPr>
      <w:r w:rsidRPr="00D561B1">
        <w:t xml:space="preserve">or </w:t>
      </w:r>
    </w:p>
    <w:p w:rsidR="008370C3" w:rsidRPr="00787A06" w:rsidRDefault="008370C3" w:rsidP="0084644B">
      <w:pPr>
        <w:pStyle w:val="ListBullet2"/>
      </w:pPr>
      <w:r w:rsidRPr="00787A06">
        <w:t>the person start</w:t>
      </w:r>
      <w:r w:rsidR="00787A06">
        <w:t>ed</w:t>
      </w:r>
      <w:r w:rsidRPr="00787A06">
        <w:t xml:space="preserve"> gainful work in Australia within 30 days after the 12 month continuous period of receipt of N</w:t>
      </w:r>
      <w:r w:rsidR="002C734B">
        <w:t>S</w:t>
      </w:r>
      <w:r w:rsidRPr="00787A06">
        <w:t>A</w:t>
      </w:r>
      <w:r w:rsidR="00787A06">
        <w:t xml:space="preserve"> and/or YA</w:t>
      </w:r>
      <w:r w:rsidR="00641963">
        <w:t>(O)</w:t>
      </w:r>
      <w:r w:rsidR="00787A06">
        <w:t xml:space="preserve"> ended</w:t>
      </w:r>
    </w:p>
    <w:p w:rsidR="008370C3" w:rsidRPr="00787A06" w:rsidRDefault="008370C3" w:rsidP="00626C70">
      <w:pPr>
        <w:pStyle w:val="ListBullet2"/>
        <w:numPr>
          <w:ilvl w:val="0"/>
          <w:numId w:val="3"/>
        </w:numPr>
      </w:pPr>
      <w:r w:rsidRPr="00787A06">
        <w:t>the person remain</w:t>
      </w:r>
      <w:r w:rsidR="00787A06">
        <w:t>ed</w:t>
      </w:r>
      <w:r w:rsidRPr="00787A06">
        <w:t xml:space="preserve"> in gainful work continuously for</w:t>
      </w:r>
      <w:r w:rsidR="00787A06">
        <w:t xml:space="preserve"> 12 months</w:t>
      </w:r>
      <w:r w:rsidRPr="00787A06">
        <w:t xml:space="preserve"> </w:t>
      </w:r>
    </w:p>
    <w:p w:rsidR="008370C3" w:rsidRPr="00787A06" w:rsidRDefault="00787A06" w:rsidP="00626C70">
      <w:pPr>
        <w:pStyle w:val="ListBullet2"/>
        <w:numPr>
          <w:ilvl w:val="0"/>
          <w:numId w:val="3"/>
        </w:numPr>
      </w:pPr>
      <w:r>
        <w:t>the person wa</w:t>
      </w:r>
      <w:r w:rsidR="008370C3" w:rsidRPr="00787A06">
        <w:t>s an Australian resident throughout this period of gainful work.</w:t>
      </w:r>
    </w:p>
    <w:p w:rsidR="008370C3" w:rsidRDefault="00787A06" w:rsidP="008370C3">
      <w:pPr>
        <w:spacing w:before="120" w:after="0"/>
        <w:rPr>
          <w:rFonts w:cstheme="minorHAnsi"/>
          <w:color w:val="000000"/>
        </w:rPr>
      </w:pPr>
      <w:r>
        <w:rPr>
          <w:rFonts w:cstheme="minorHAnsi"/>
          <w:color w:val="000000"/>
        </w:rPr>
        <w:t>If</w:t>
      </w:r>
      <w:r w:rsidR="008370C3" w:rsidRPr="00787A06">
        <w:rPr>
          <w:rFonts w:cstheme="minorHAnsi"/>
          <w:color w:val="000000"/>
        </w:rPr>
        <w:t xml:space="preserve"> the person receive</w:t>
      </w:r>
      <w:r>
        <w:rPr>
          <w:rFonts w:cstheme="minorHAnsi"/>
          <w:color w:val="000000"/>
        </w:rPr>
        <w:t>d</w:t>
      </w:r>
      <w:r w:rsidR="008370C3" w:rsidRPr="00787A06">
        <w:rPr>
          <w:rFonts w:cstheme="minorHAnsi"/>
          <w:color w:val="000000"/>
        </w:rPr>
        <w:t xml:space="preserve"> an income support payment in relation to any day in the work period, i.e. the period of 12 months continuous gainful work</w:t>
      </w:r>
      <w:r w:rsidR="004B2ED6">
        <w:rPr>
          <w:rFonts w:cstheme="minorHAnsi"/>
          <w:color w:val="000000"/>
        </w:rPr>
        <w:t>,</w:t>
      </w:r>
      <w:r>
        <w:rPr>
          <w:rFonts w:cstheme="minorHAnsi"/>
          <w:color w:val="000000"/>
        </w:rPr>
        <w:t xml:space="preserve"> they were not eligible</w:t>
      </w:r>
      <w:r w:rsidR="008370C3" w:rsidRPr="00787A06">
        <w:rPr>
          <w:rFonts w:cstheme="minorHAnsi"/>
          <w:color w:val="000000"/>
        </w:rPr>
        <w:t xml:space="preserve">. </w:t>
      </w:r>
      <w:r>
        <w:rPr>
          <w:rFonts w:cstheme="minorHAnsi"/>
          <w:color w:val="000000"/>
        </w:rPr>
        <w:t>Similar rules applied for the second bonus.</w:t>
      </w:r>
    </w:p>
    <w:p w:rsidR="00787A06" w:rsidRDefault="00207F58" w:rsidP="00CD1244">
      <w:pPr>
        <w:spacing w:before="240"/>
        <w:rPr>
          <w:szCs w:val="20"/>
        </w:rPr>
      </w:pPr>
      <w:r>
        <w:t>Some t</w:t>
      </w:r>
      <w:r w:rsidRPr="003A4B00">
        <w:t xml:space="preserve">ypes of employment </w:t>
      </w:r>
      <w:r>
        <w:t>did</w:t>
      </w:r>
      <w:r w:rsidRPr="003A4B00">
        <w:t xml:space="preserve"> not </w:t>
      </w:r>
      <w:r w:rsidR="00264375">
        <w:t xml:space="preserve">qualify </w:t>
      </w:r>
      <w:r w:rsidR="00587FCA">
        <w:t>for the</w:t>
      </w:r>
      <w:r w:rsidRPr="003A4B00">
        <w:t xml:space="preserve"> </w:t>
      </w:r>
      <w:r>
        <w:t xml:space="preserve">bonus. </w:t>
      </w:r>
      <w:r w:rsidR="004E6989">
        <w:t>For example</w:t>
      </w:r>
      <w:r w:rsidR="00B8111F">
        <w:t>,</w:t>
      </w:r>
      <w:r w:rsidR="004E6989">
        <w:t xml:space="preserve"> work</w:t>
      </w:r>
      <w:r w:rsidRPr="003A4B00">
        <w:t xml:space="preserve"> </w:t>
      </w:r>
      <w:r w:rsidRPr="00074528">
        <w:t xml:space="preserve">which </w:t>
      </w:r>
      <w:r w:rsidRPr="00805D52">
        <w:t xml:space="preserve">did not involve a real commitment to workforce participation, or which </w:t>
      </w:r>
      <w:r>
        <w:t>wa</w:t>
      </w:r>
      <w:r w:rsidRPr="00805D52">
        <w:t>s not</w:t>
      </w:r>
      <w:r>
        <w:t xml:space="preserve"> </w:t>
      </w:r>
      <w:r w:rsidRPr="00805D52">
        <w:t>likely to lead to the development of workplace skil</w:t>
      </w:r>
      <w:r w:rsidRPr="00C65DC6">
        <w:t>ls</w:t>
      </w:r>
      <w:r>
        <w:t>.</w:t>
      </w:r>
      <w:r w:rsidR="00CD1244">
        <w:rPr>
          <w:szCs w:val="20"/>
        </w:rPr>
        <w:t xml:space="preserve"> </w:t>
      </w:r>
      <w:r w:rsidR="00787A06">
        <w:rPr>
          <w:szCs w:val="20"/>
        </w:rPr>
        <w:t>The</w:t>
      </w:r>
      <w:r w:rsidR="00B8111F">
        <w:rPr>
          <w:szCs w:val="20"/>
        </w:rPr>
        <w:t xml:space="preserve"> legislation </w:t>
      </w:r>
      <w:r w:rsidR="00787A06">
        <w:rPr>
          <w:szCs w:val="20"/>
        </w:rPr>
        <w:t>included the definition of ‘gainful work’</w:t>
      </w:r>
      <w:r w:rsidR="00B8111F">
        <w:rPr>
          <w:szCs w:val="20"/>
        </w:rPr>
        <w:t xml:space="preserve"> and </w:t>
      </w:r>
      <w:r w:rsidR="004B2ED6">
        <w:rPr>
          <w:szCs w:val="20"/>
        </w:rPr>
        <w:t xml:space="preserve">established </w:t>
      </w:r>
      <w:r w:rsidR="001038D0">
        <w:rPr>
          <w:szCs w:val="20"/>
        </w:rPr>
        <w:t xml:space="preserve">a </w:t>
      </w:r>
      <w:r w:rsidR="00787A06">
        <w:rPr>
          <w:szCs w:val="20"/>
        </w:rPr>
        <w:t xml:space="preserve">90-day </w:t>
      </w:r>
      <w:r w:rsidR="0018352B">
        <w:rPr>
          <w:szCs w:val="20"/>
        </w:rPr>
        <w:t>deadline</w:t>
      </w:r>
      <w:r w:rsidR="00787A06">
        <w:rPr>
          <w:szCs w:val="20"/>
        </w:rPr>
        <w:t xml:space="preserve"> for </w:t>
      </w:r>
      <w:r w:rsidR="004B2ED6">
        <w:rPr>
          <w:szCs w:val="20"/>
        </w:rPr>
        <w:t xml:space="preserve">bonus </w:t>
      </w:r>
      <w:r w:rsidR="00787A06">
        <w:rPr>
          <w:szCs w:val="20"/>
        </w:rPr>
        <w:t xml:space="preserve">claims </w:t>
      </w:r>
      <w:r w:rsidR="0018352B">
        <w:rPr>
          <w:szCs w:val="20"/>
        </w:rPr>
        <w:t xml:space="preserve">to be lodged </w:t>
      </w:r>
      <w:r w:rsidR="00787A06">
        <w:rPr>
          <w:szCs w:val="20"/>
        </w:rPr>
        <w:t>after qualification.</w:t>
      </w:r>
    </w:p>
    <w:p w:rsidR="005830E6" w:rsidRDefault="000603F7" w:rsidP="005830E6">
      <w:pPr>
        <w:spacing w:before="120" w:after="0"/>
        <w:rPr>
          <w:szCs w:val="20"/>
        </w:rPr>
      </w:pPr>
      <w:r>
        <w:rPr>
          <w:szCs w:val="20"/>
        </w:rPr>
        <w:t xml:space="preserve">The </w:t>
      </w:r>
      <w:r w:rsidR="00B8111F">
        <w:rPr>
          <w:szCs w:val="20"/>
        </w:rPr>
        <w:t xml:space="preserve">Secretary </w:t>
      </w:r>
      <w:r>
        <w:rPr>
          <w:szCs w:val="20"/>
        </w:rPr>
        <w:t xml:space="preserve">at the Department of Employment also made further eligibility determinations </w:t>
      </w:r>
      <w:r w:rsidR="005830E6">
        <w:rPr>
          <w:szCs w:val="20"/>
        </w:rPr>
        <w:t>relating to:</w:t>
      </w:r>
    </w:p>
    <w:p w:rsidR="007F417E" w:rsidRDefault="005830E6" w:rsidP="00A16659">
      <w:pPr>
        <w:pStyle w:val="ListParagraph"/>
        <w:numPr>
          <w:ilvl w:val="0"/>
          <w:numId w:val="39"/>
        </w:numPr>
        <w:spacing w:before="120" w:after="0"/>
        <w:rPr>
          <w:rFonts w:cstheme="minorHAnsi"/>
          <w:szCs w:val="20"/>
        </w:rPr>
      </w:pPr>
      <w:r w:rsidRPr="005830E6">
        <w:rPr>
          <w:rFonts w:cstheme="minorHAnsi"/>
          <w:szCs w:val="20"/>
        </w:rPr>
        <w:t>periods of continuous gainful work that were eligible</w:t>
      </w:r>
      <w:r w:rsidR="00B8111F">
        <w:rPr>
          <w:rFonts w:cstheme="minorHAnsi"/>
          <w:szCs w:val="20"/>
        </w:rPr>
        <w:t xml:space="preserve"> that did not </w:t>
      </w:r>
      <w:r w:rsidRPr="005830E6">
        <w:rPr>
          <w:rFonts w:cstheme="minorHAnsi"/>
          <w:szCs w:val="20"/>
        </w:rPr>
        <w:t xml:space="preserve">break </w:t>
      </w:r>
      <w:r>
        <w:rPr>
          <w:rFonts w:cstheme="minorHAnsi"/>
          <w:szCs w:val="20"/>
        </w:rPr>
        <w:t>the 12 month</w:t>
      </w:r>
    </w:p>
    <w:p w:rsidR="005830E6" w:rsidRPr="005830E6" w:rsidRDefault="005830E6" w:rsidP="00A16659">
      <w:pPr>
        <w:pStyle w:val="ListParagraph"/>
        <w:numPr>
          <w:ilvl w:val="0"/>
          <w:numId w:val="39"/>
        </w:numPr>
        <w:spacing w:before="120" w:after="0"/>
        <w:rPr>
          <w:rFonts w:cstheme="minorHAnsi"/>
          <w:szCs w:val="20"/>
        </w:rPr>
      </w:pPr>
      <w:r w:rsidRPr="005830E6">
        <w:rPr>
          <w:rFonts w:cstheme="minorHAnsi"/>
          <w:szCs w:val="20"/>
        </w:rPr>
        <w:t>period</w:t>
      </w:r>
      <w:r w:rsidR="007F417E">
        <w:rPr>
          <w:rFonts w:cstheme="minorHAnsi"/>
          <w:szCs w:val="20"/>
        </w:rPr>
        <w:t>s</w:t>
      </w:r>
      <w:r w:rsidRPr="005830E6">
        <w:rPr>
          <w:rFonts w:cstheme="minorHAnsi"/>
          <w:szCs w:val="20"/>
        </w:rPr>
        <w:t xml:space="preserve"> of </w:t>
      </w:r>
      <w:r>
        <w:rPr>
          <w:rFonts w:cstheme="minorHAnsi"/>
          <w:szCs w:val="20"/>
        </w:rPr>
        <w:t xml:space="preserve">continuous </w:t>
      </w:r>
      <w:r w:rsidRPr="005830E6">
        <w:rPr>
          <w:rFonts w:cstheme="minorHAnsi"/>
          <w:szCs w:val="20"/>
        </w:rPr>
        <w:t>work</w:t>
      </w:r>
      <w:r>
        <w:rPr>
          <w:rFonts w:cstheme="minorHAnsi"/>
          <w:szCs w:val="20"/>
        </w:rPr>
        <w:t xml:space="preserve"> required to qualify for the bonus, being</w:t>
      </w:r>
      <w:r w:rsidRPr="005830E6">
        <w:rPr>
          <w:rFonts w:cstheme="minorHAnsi"/>
          <w:szCs w:val="20"/>
        </w:rPr>
        <w:t>:</w:t>
      </w:r>
    </w:p>
    <w:p w:rsidR="005830E6" w:rsidRPr="005830E6" w:rsidRDefault="005830E6" w:rsidP="00A16659">
      <w:pPr>
        <w:pStyle w:val="ListParagraph"/>
        <w:numPr>
          <w:ilvl w:val="1"/>
          <w:numId w:val="39"/>
        </w:numPr>
        <w:autoSpaceDE w:val="0"/>
        <w:autoSpaceDN w:val="0"/>
        <w:adjustRightInd w:val="0"/>
        <w:spacing w:after="0" w:line="240" w:lineRule="auto"/>
        <w:rPr>
          <w:rFonts w:cstheme="minorHAnsi"/>
        </w:rPr>
      </w:pPr>
      <w:r w:rsidRPr="005830E6">
        <w:rPr>
          <w:rFonts w:cstheme="minorHAnsi"/>
        </w:rPr>
        <w:t xml:space="preserve">authorised paid </w:t>
      </w:r>
      <w:r w:rsidR="00587FCA">
        <w:rPr>
          <w:rFonts w:cstheme="minorHAnsi"/>
        </w:rPr>
        <w:t xml:space="preserve">leave </w:t>
      </w:r>
      <w:r w:rsidR="00B8111F">
        <w:rPr>
          <w:rFonts w:cstheme="minorHAnsi"/>
        </w:rPr>
        <w:t xml:space="preserve">(such as </w:t>
      </w:r>
      <w:r w:rsidRPr="005830E6">
        <w:rPr>
          <w:rFonts w:cstheme="minorHAnsi"/>
        </w:rPr>
        <w:t>annual</w:t>
      </w:r>
      <w:r w:rsidR="00B8111F">
        <w:rPr>
          <w:rFonts w:cstheme="minorHAnsi"/>
        </w:rPr>
        <w:t xml:space="preserve">, </w:t>
      </w:r>
      <w:r w:rsidRPr="005830E6">
        <w:rPr>
          <w:rFonts w:cstheme="minorHAnsi"/>
        </w:rPr>
        <w:t xml:space="preserve">personal </w:t>
      </w:r>
      <w:r w:rsidR="00B8111F">
        <w:rPr>
          <w:rFonts w:cstheme="minorHAnsi"/>
        </w:rPr>
        <w:t xml:space="preserve">and </w:t>
      </w:r>
      <w:r w:rsidRPr="005830E6">
        <w:rPr>
          <w:rFonts w:cstheme="minorHAnsi"/>
        </w:rPr>
        <w:t>carer’s leave</w:t>
      </w:r>
      <w:r w:rsidR="00B8111F">
        <w:rPr>
          <w:rFonts w:cstheme="minorHAnsi"/>
        </w:rPr>
        <w:t>)</w:t>
      </w:r>
    </w:p>
    <w:p w:rsidR="005830E6" w:rsidRPr="005830E6" w:rsidRDefault="005830E6" w:rsidP="00A16659">
      <w:pPr>
        <w:pStyle w:val="ListParagraph"/>
        <w:numPr>
          <w:ilvl w:val="1"/>
          <w:numId w:val="39"/>
        </w:numPr>
        <w:autoSpaceDE w:val="0"/>
        <w:autoSpaceDN w:val="0"/>
        <w:adjustRightInd w:val="0"/>
        <w:spacing w:after="0" w:line="240" w:lineRule="auto"/>
        <w:rPr>
          <w:rFonts w:cstheme="minorHAnsi"/>
        </w:rPr>
      </w:pPr>
      <w:r w:rsidRPr="005830E6">
        <w:rPr>
          <w:rFonts w:cstheme="minorHAnsi"/>
        </w:rPr>
        <w:t xml:space="preserve">authorised unpaid leave </w:t>
      </w:r>
      <w:r w:rsidR="00B8111F">
        <w:rPr>
          <w:rFonts w:cstheme="minorHAnsi"/>
        </w:rPr>
        <w:t>(</w:t>
      </w:r>
      <w:r w:rsidRPr="005830E6">
        <w:rPr>
          <w:rFonts w:cstheme="minorHAnsi"/>
        </w:rPr>
        <w:t>of no more than 28 days</w:t>
      </w:r>
      <w:r w:rsidR="00B8111F">
        <w:rPr>
          <w:rFonts w:cstheme="minorHAnsi"/>
        </w:rPr>
        <w:t>)</w:t>
      </w:r>
    </w:p>
    <w:p w:rsidR="005830E6" w:rsidRPr="005830E6" w:rsidRDefault="005830E6" w:rsidP="00A16659">
      <w:pPr>
        <w:pStyle w:val="ListParagraph"/>
        <w:numPr>
          <w:ilvl w:val="1"/>
          <w:numId w:val="39"/>
        </w:numPr>
        <w:autoSpaceDE w:val="0"/>
        <w:autoSpaceDN w:val="0"/>
        <w:adjustRightInd w:val="0"/>
        <w:spacing w:after="0" w:line="240" w:lineRule="auto"/>
        <w:rPr>
          <w:rFonts w:cstheme="minorHAnsi"/>
        </w:rPr>
      </w:pPr>
      <w:r w:rsidRPr="005830E6">
        <w:rPr>
          <w:rFonts w:cstheme="minorHAnsi"/>
        </w:rPr>
        <w:t>no</w:t>
      </w:r>
      <w:r>
        <w:rPr>
          <w:rFonts w:cstheme="minorHAnsi"/>
        </w:rPr>
        <w:t xml:space="preserve"> longer than</w:t>
      </w:r>
      <w:r w:rsidRPr="005830E6">
        <w:rPr>
          <w:rFonts w:cstheme="minorHAnsi"/>
        </w:rPr>
        <w:t xml:space="preserve"> five business day</w:t>
      </w:r>
      <w:r>
        <w:rPr>
          <w:rFonts w:cstheme="minorHAnsi"/>
        </w:rPr>
        <w:t xml:space="preserve"> break</w:t>
      </w:r>
      <w:r w:rsidRPr="005830E6">
        <w:rPr>
          <w:rFonts w:cstheme="minorHAnsi"/>
        </w:rPr>
        <w:t xml:space="preserve"> between </w:t>
      </w:r>
      <w:r>
        <w:rPr>
          <w:rFonts w:cstheme="minorHAnsi"/>
        </w:rPr>
        <w:t>the end and start of the next period of</w:t>
      </w:r>
      <w:r w:rsidRPr="005830E6">
        <w:rPr>
          <w:rFonts w:cstheme="minorHAnsi"/>
        </w:rPr>
        <w:t xml:space="preserve"> gainful work by the person, </w:t>
      </w:r>
      <w:r w:rsidR="00B8111F">
        <w:rPr>
          <w:rFonts w:cstheme="minorHAnsi"/>
        </w:rPr>
        <w:t>(</w:t>
      </w:r>
      <w:r w:rsidRPr="005830E6">
        <w:rPr>
          <w:rFonts w:cstheme="minorHAnsi"/>
        </w:rPr>
        <w:t xml:space="preserve">provided that </w:t>
      </w:r>
      <w:r>
        <w:rPr>
          <w:rFonts w:cstheme="minorHAnsi"/>
        </w:rPr>
        <w:t xml:space="preserve">such breaks did </w:t>
      </w:r>
      <w:r w:rsidRPr="005830E6">
        <w:rPr>
          <w:rFonts w:cstheme="minorHAnsi"/>
        </w:rPr>
        <w:t>not exceed 28 days in total</w:t>
      </w:r>
      <w:r w:rsidR="00B8111F">
        <w:rPr>
          <w:rFonts w:cstheme="minorHAnsi"/>
        </w:rPr>
        <w:t>)</w:t>
      </w:r>
    </w:p>
    <w:p w:rsidR="005830E6" w:rsidRPr="005830E6" w:rsidRDefault="005830E6" w:rsidP="00A16659">
      <w:pPr>
        <w:pStyle w:val="ListParagraph"/>
        <w:numPr>
          <w:ilvl w:val="0"/>
          <w:numId w:val="39"/>
        </w:numPr>
        <w:spacing w:before="120" w:after="0"/>
        <w:rPr>
          <w:szCs w:val="20"/>
        </w:rPr>
      </w:pPr>
      <w:r w:rsidRPr="005830E6">
        <w:rPr>
          <w:szCs w:val="20"/>
        </w:rPr>
        <w:t>circumstances in which the JCB would not be paid</w:t>
      </w:r>
      <w:r w:rsidR="00376D88">
        <w:rPr>
          <w:szCs w:val="20"/>
        </w:rPr>
        <w:t xml:space="preserve">, </w:t>
      </w:r>
      <w:r w:rsidR="00B8111F">
        <w:rPr>
          <w:szCs w:val="20"/>
        </w:rPr>
        <w:t>(</w:t>
      </w:r>
      <w:r w:rsidR="00376D88">
        <w:rPr>
          <w:szCs w:val="20"/>
        </w:rPr>
        <w:t>such as the kinds of work for which the JCB was not payable</w:t>
      </w:r>
      <w:r w:rsidR="00B8111F">
        <w:rPr>
          <w:szCs w:val="20"/>
        </w:rPr>
        <w:t>)</w:t>
      </w:r>
      <w:r w:rsidRPr="005830E6">
        <w:rPr>
          <w:szCs w:val="20"/>
        </w:rPr>
        <w:t>.</w:t>
      </w:r>
    </w:p>
    <w:p w:rsidR="006E1DE6" w:rsidRDefault="00B8111F" w:rsidP="006E1DE6">
      <w:pPr>
        <w:spacing w:before="120" w:after="0"/>
        <w:rPr>
          <w:szCs w:val="20"/>
        </w:rPr>
      </w:pPr>
      <w:r>
        <w:rPr>
          <w:szCs w:val="20"/>
        </w:rPr>
        <w:t>In late 2016 v</w:t>
      </w:r>
      <w:r w:rsidR="00BF4277">
        <w:rPr>
          <w:szCs w:val="20"/>
        </w:rPr>
        <w:t>iews</w:t>
      </w:r>
      <w:r w:rsidR="006E1DE6">
        <w:rPr>
          <w:szCs w:val="20"/>
        </w:rPr>
        <w:t xml:space="preserve"> </w:t>
      </w:r>
      <w:r w:rsidR="00841D2B">
        <w:rPr>
          <w:szCs w:val="20"/>
        </w:rPr>
        <w:t xml:space="preserve">on JCB program were sought from </w:t>
      </w:r>
      <w:r w:rsidR="00571F79">
        <w:rPr>
          <w:szCs w:val="20"/>
        </w:rPr>
        <w:t xml:space="preserve">DoE and DHS management and staff </w:t>
      </w:r>
      <w:r w:rsidR="006E1DE6">
        <w:rPr>
          <w:szCs w:val="20"/>
        </w:rPr>
        <w:t xml:space="preserve">involved with </w:t>
      </w:r>
      <w:r w:rsidR="001B7433">
        <w:rPr>
          <w:szCs w:val="20"/>
        </w:rPr>
        <w:t>its</w:t>
      </w:r>
      <w:r w:rsidR="00841D2B">
        <w:rPr>
          <w:szCs w:val="20"/>
        </w:rPr>
        <w:t xml:space="preserve"> implementation and delivery</w:t>
      </w:r>
      <w:r w:rsidR="00BF4277">
        <w:rPr>
          <w:szCs w:val="20"/>
        </w:rPr>
        <w:t xml:space="preserve">. </w:t>
      </w:r>
      <w:r w:rsidR="00587FCA">
        <w:rPr>
          <w:szCs w:val="20"/>
        </w:rPr>
        <w:t xml:space="preserve">Staff </w:t>
      </w:r>
      <w:r w:rsidR="00A3678B">
        <w:rPr>
          <w:szCs w:val="20"/>
        </w:rPr>
        <w:t xml:space="preserve">felt </w:t>
      </w:r>
      <w:r w:rsidR="003869CF">
        <w:rPr>
          <w:szCs w:val="20"/>
        </w:rPr>
        <w:t>that</w:t>
      </w:r>
      <w:r w:rsidR="00CD1244">
        <w:rPr>
          <w:szCs w:val="20"/>
        </w:rPr>
        <w:t xml:space="preserve"> greater flexibility in the</w:t>
      </w:r>
      <w:r w:rsidR="00264375">
        <w:rPr>
          <w:szCs w:val="20"/>
        </w:rPr>
        <w:t xml:space="preserve"> </w:t>
      </w:r>
      <w:r w:rsidR="003869CF">
        <w:rPr>
          <w:szCs w:val="20"/>
        </w:rPr>
        <w:t>eligibility requirements</w:t>
      </w:r>
      <w:r w:rsidR="00CD1244">
        <w:rPr>
          <w:szCs w:val="20"/>
        </w:rPr>
        <w:t xml:space="preserve"> would have facilitated a more effective</w:t>
      </w:r>
      <w:r w:rsidR="003869CF">
        <w:rPr>
          <w:szCs w:val="20"/>
        </w:rPr>
        <w:t xml:space="preserve"> program</w:t>
      </w:r>
      <w:r w:rsidR="00CD1244">
        <w:rPr>
          <w:szCs w:val="20"/>
        </w:rPr>
        <w:t xml:space="preserve"> design</w:t>
      </w:r>
      <w:r w:rsidR="003869CF">
        <w:rPr>
          <w:szCs w:val="20"/>
        </w:rPr>
        <w:t xml:space="preserve">. </w:t>
      </w:r>
      <w:r>
        <w:rPr>
          <w:szCs w:val="20"/>
        </w:rPr>
        <w:t>While t</w:t>
      </w:r>
      <w:r w:rsidR="00BF4277">
        <w:rPr>
          <w:szCs w:val="20"/>
        </w:rPr>
        <w:t xml:space="preserve">he legislation clearly defined the </w:t>
      </w:r>
      <w:r w:rsidR="00ED49ED">
        <w:rPr>
          <w:szCs w:val="20"/>
        </w:rPr>
        <w:t>JCB</w:t>
      </w:r>
      <w:r w:rsidR="009D56EB" w:rsidRPr="009D56EB">
        <w:rPr>
          <w:szCs w:val="20"/>
        </w:rPr>
        <w:t xml:space="preserve"> eligibility </w:t>
      </w:r>
      <w:r w:rsidR="00BF4277" w:rsidRPr="009D56EB">
        <w:rPr>
          <w:szCs w:val="20"/>
        </w:rPr>
        <w:t>criteria</w:t>
      </w:r>
      <w:r>
        <w:rPr>
          <w:szCs w:val="20"/>
        </w:rPr>
        <w:t>,</w:t>
      </w:r>
      <w:r w:rsidR="00BF4277">
        <w:rPr>
          <w:szCs w:val="20"/>
        </w:rPr>
        <w:t xml:space="preserve"> </w:t>
      </w:r>
      <w:r w:rsidR="00ED49ED">
        <w:rPr>
          <w:szCs w:val="20"/>
        </w:rPr>
        <w:t>the rules</w:t>
      </w:r>
      <w:r w:rsidR="009D56EB" w:rsidRPr="009D56EB">
        <w:rPr>
          <w:szCs w:val="20"/>
        </w:rPr>
        <w:t xml:space="preserve"> were complex</w:t>
      </w:r>
      <w:r w:rsidR="009D56EB">
        <w:rPr>
          <w:szCs w:val="20"/>
        </w:rPr>
        <w:t xml:space="preserve"> and rigid</w:t>
      </w:r>
      <w:r w:rsidR="009D56EB" w:rsidRPr="009D56EB">
        <w:rPr>
          <w:szCs w:val="20"/>
        </w:rPr>
        <w:t xml:space="preserve">. </w:t>
      </w:r>
      <w:r w:rsidR="00BF4277">
        <w:rPr>
          <w:szCs w:val="20"/>
        </w:rPr>
        <w:t>This meant</w:t>
      </w:r>
      <w:r>
        <w:rPr>
          <w:szCs w:val="20"/>
        </w:rPr>
        <w:t xml:space="preserve"> that</w:t>
      </w:r>
      <w:r w:rsidR="00BF4277">
        <w:rPr>
          <w:szCs w:val="20"/>
        </w:rPr>
        <w:t xml:space="preserve"> staff from </w:t>
      </w:r>
      <w:r w:rsidR="00BF4277" w:rsidRPr="009D56EB">
        <w:rPr>
          <w:szCs w:val="20"/>
        </w:rPr>
        <w:t xml:space="preserve">both departments </w:t>
      </w:r>
      <w:r w:rsidR="00BF4277">
        <w:rPr>
          <w:szCs w:val="20"/>
        </w:rPr>
        <w:t xml:space="preserve">had to </w:t>
      </w:r>
      <w:r w:rsidR="009D56EB" w:rsidRPr="009D56EB">
        <w:rPr>
          <w:szCs w:val="20"/>
        </w:rPr>
        <w:t xml:space="preserve">work out finer </w:t>
      </w:r>
      <w:r w:rsidR="006E1DE6">
        <w:rPr>
          <w:szCs w:val="20"/>
        </w:rPr>
        <w:t xml:space="preserve">program design </w:t>
      </w:r>
      <w:r w:rsidR="009D56EB" w:rsidRPr="009D56EB">
        <w:rPr>
          <w:szCs w:val="20"/>
        </w:rPr>
        <w:t>details</w:t>
      </w:r>
      <w:r w:rsidR="00384CED">
        <w:rPr>
          <w:szCs w:val="20"/>
        </w:rPr>
        <w:t>. Such details included</w:t>
      </w:r>
      <w:r w:rsidR="009D56EB" w:rsidRPr="009D56EB">
        <w:rPr>
          <w:szCs w:val="20"/>
        </w:rPr>
        <w:t xml:space="preserve"> for example: </w:t>
      </w:r>
      <w:r w:rsidR="006E1DE6">
        <w:rPr>
          <w:szCs w:val="20"/>
        </w:rPr>
        <w:t>the treatment of apprentices and</w:t>
      </w:r>
      <w:r w:rsidR="009D56EB" w:rsidRPr="009D56EB">
        <w:rPr>
          <w:szCs w:val="20"/>
        </w:rPr>
        <w:t xml:space="preserve"> those working casual/part-time</w:t>
      </w:r>
      <w:r w:rsidR="006E1DE6">
        <w:rPr>
          <w:szCs w:val="20"/>
        </w:rPr>
        <w:t xml:space="preserve"> but off income support</w:t>
      </w:r>
      <w:r w:rsidR="00841D2B">
        <w:rPr>
          <w:szCs w:val="20"/>
        </w:rPr>
        <w:t>;</w:t>
      </w:r>
      <w:r w:rsidR="009D56EB" w:rsidRPr="009D56EB">
        <w:rPr>
          <w:szCs w:val="20"/>
        </w:rPr>
        <w:t xml:space="preserve"> the date to be used as the exit date from income support</w:t>
      </w:r>
      <w:r w:rsidR="00841D2B">
        <w:rPr>
          <w:szCs w:val="20"/>
        </w:rPr>
        <w:t>;</w:t>
      </w:r>
      <w:r w:rsidR="00D53B4E">
        <w:rPr>
          <w:rStyle w:val="FootnoteReference"/>
          <w:szCs w:val="20"/>
        </w:rPr>
        <w:footnoteReference w:id="28"/>
      </w:r>
      <w:r w:rsidR="006E1DE6">
        <w:rPr>
          <w:szCs w:val="20"/>
        </w:rPr>
        <w:t xml:space="preserve"> and the delivery mode (whether it should be a demand driven or automated payment system)</w:t>
      </w:r>
      <w:r w:rsidR="009D56EB" w:rsidRPr="009D56EB">
        <w:rPr>
          <w:szCs w:val="20"/>
        </w:rPr>
        <w:t xml:space="preserve">. </w:t>
      </w:r>
      <w:r w:rsidR="00587FCA">
        <w:rPr>
          <w:szCs w:val="20"/>
        </w:rPr>
        <w:t>S</w:t>
      </w:r>
      <w:r w:rsidR="00D53B4E">
        <w:rPr>
          <w:szCs w:val="20"/>
        </w:rPr>
        <w:t>taff</w:t>
      </w:r>
      <w:r w:rsidR="006E1DE6">
        <w:rPr>
          <w:szCs w:val="20"/>
        </w:rPr>
        <w:t xml:space="preserve"> </w:t>
      </w:r>
      <w:r w:rsidR="00BF4277">
        <w:rPr>
          <w:szCs w:val="20"/>
        </w:rPr>
        <w:t xml:space="preserve">also </w:t>
      </w:r>
      <w:r w:rsidR="006E1DE6">
        <w:rPr>
          <w:szCs w:val="20"/>
        </w:rPr>
        <w:t xml:space="preserve">stated that the JCB program design complexity made </w:t>
      </w:r>
      <w:r w:rsidR="006E1DE6" w:rsidRPr="00571F79">
        <w:rPr>
          <w:szCs w:val="20"/>
        </w:rPr>
        <w:t xml:space="preserve">effective communication with the target audience more </w:t>
      </w:r>
      <w:r w:rsidR="00BF4277">
        <w:rPr>
          <w:szCs w:val="20"/>
        </w:rPr>
        <w:t>problematic</w:t>
      </w:r>
      <w:r w:rsidR="006E1DE6">
        <w:rPr>
          <w:szCs w:val="20"/>
        </w:rPr>
        <w:t xml:space="preserve"> (</w:t>
      </w:r>
      <w:r w:rsidR="00841D2B">
        <w:rPr>
          <w:szCs w:val="20"/>
        </w:rPr>
        <w:t>Se</w:t>
      </w:r>
      <w:r w:rsidR="00606C95">
        <w:rPr>
          <w:szCs w:val="20"/>
        </w:rPr>
        <w:t>ction 3.3).</w:t>
      </w:r>
    </w:p>
    <w:p w:rsidR="005B09B9" w:rsidRDefault="006128DA" w:rsidP="006128DA">
      <w:pPr>
        <w:pStyle w:val="Heading2"/>
      </w:pPr>
      <w:bookmarkStart w:id="104" w:name="_Toc478117564"/>
      <w:bookmarkStart w:id="105" w:name="_Toc507600240"/>
      <w:r>
        <w:lastRenderedPageBreak/>
        <w:t>3.2</w:t>
      </w:r>
      <w:r>
        <w:tab/>
      </w:r>
      <w:r w:rsidR="005B09B9">
        <w:t>Implementation</w:t>
      </w:r>
      <w:r w:rsidR="00497279">
        <w:t xml:space="preserve"> of the online application system</w:t>
      </w:r>
      <w:bookmarkEnd w:id="104"/>
      <w:bookmarkEnd w:id="105"/>
    </w:p>
    <w:p w:rsidR="00C14DAC" w:rsidRPr="0018315C" w:rsidRDefault="00C14DAC" w:rsidP="007B55C3">
      <w:pPr>
        <w:keepNext/>
        <w:pBdr>
          <w:top w:val="single" w:sz="4" w:space="1" w:color="auto"/>
          <w:left w:val="single" w:sz="4" w:space="4" w:color="auto"/>
          <w:bottom w:val="single" w:sz="4" w:space="1" w:color="auto"/>
          <w:right w:val="single" w:sz="4" w:space="4" w:color="auto"/>
        </w:pBdr>
        <w:shd w:val="clear" w:color="auto" w:fill="FDCBA0"/>
        <w:spacing w:after="120"/>
        <w:rPr>
          <w:rStyle w:val="Strong"/>
        </w:rPr>
      </w:pPr>
      <w:r w:rsidRPr="0018315C">
        <w:rPr>
          <w:rStyle w:val="Strong"/>
        </w:rPr>
        <w:t>Highlights</w:t>
      </w:r>
    </w:p>
    <w:p w:rsidR="009E2C6C" w:rsidRDefault="005177A7" w:rsidP="005177A7">
      <w:pPr>
        <w:keepNext/>
        <w:pBdr>
          <w:top w:val="single" w:sz="4" w:space="1" w:color="auto"/>
          <w:left w:val="single" w:sz="4" w:space="4" w:color="auto"/>
          <w:bottom w:val="single" w:sz="4" w:space="1" w:color="auto"/>
          <w:right w:val="single" w:sz="4" w:space="4" w:color="auto"/>
        </w:pBdr>
        <w:shd w:val="clear" w:color="auto" w:fill="FDCBA0"/>
        <w:spacing w:before="120" w:after="0"/>
      </w:pPr>
      <w:r>
        <w:t>T</w:t>
      </w:r>
      <w:r w:rsidR="00A128C5">
        <w:t xml:space="preserve">he </w:t>
      </w:r>
      <w:r w:rsidR="00384CED">
        <w:t xml:space="preserve">online </w:t>
      </w:r>
      <w:r w:rsidR="00AD38A1">
        <w:t xml:space="preserve">system </w:t>
      </w:r>
      <w:r w:rsidR="00384CED">
        <w:t xml:space="preserve">to apply for the bonus </w:t>
      </w:r>
      <w:r w:rsidR="00A128C5">
        <w:t>was implemented on budget, on time and within policy parameters</w:t>
      </w:r>
      <w:r>
        <w:t>. S</w:t>
      </w:r>
      <w:r w:rsidR="009E2C6C">
        <w:t xml:space="preserve">mooth implementation </w:t>
      </w:r>
      <w:r w:rsidR="00DF7100">
        <w:t xml:space="preserve">was </w:t>
      </w:r>
      <w:r w:rsidR="00841D2B">
        <w:t xml:space="preserve">the </w:t>
      </w:r>
      <w:r w:rsidR="00DF7100">
        <w:t>result of</w:t>
      </w:r>
      <w:r w:rsidR="009E2C6C">
        <w:t xml:space="preserve"> good </w:t>
      </w:r>
      <w:r w:rsidR="00F71ECD">
        <w:t xml:space="preserve">staff </w:t>
      </w:r>
      <w:r w:rsidR="009E2C6C">
        <w:t xml:space="preserve">communication, </w:t>
      </w:r>
      <w:r w:rsidR="00736FEC">
        <w:t xml:space="preserve">a </w:t>
      </w:r>
      <w:r w:rsidR="009E2C6C">
        <w:t xml:space="preserve">strong emphasis on training and </w:t>
      </w:r>
      <w:r w:rsidR="00736FEC">
        <w:t xml:space="preserve">good </w:t>
      </w:r>
      <w:r w:rsidR="009E2C6C">
        <w:t>risk management.</w:t>
      </w:r>
    </w:p>
    <w:p w:rsidR="00497279" w:rsidRDefault="00DF7100" w:rsidP="00497279">
      <w:pPr>
        <w:spacing w:before="120"/>
      </w:pPr>
      <w:r>
        <w:t>T</w:t>
      </w:r>
      <w:r w:rsidR="005B09B9" w:rsidRPr="006A5726">
        <w:t xml:space="preserve">he </w:t>
      </w:r>
      <w:r w:rsidR="00841D2B">
        <w:t xml:space="preserve">JCB </w:t>
      </w:r>
      <w:r w:rsidR="005B09B9" w:rsidRPr="006A5726">
        <w:t xml:space="preserve">program </w:t>
      </w:r>
      <w:r w:rsidR="00384CED">
        <w:t xml:space="preserve">was </w:t>
      </w:r>
      <w:r w:rsidR="005B09B9" w:rsidRPr="006A5726">
        <w:t xml:space="preserve">designed and delivered </w:t>
      </w:r>
      <w:r w:rsidR="00D431C4">
        <w:t>with</w:t>
      </w:r>
      <w:r w:rsidR="005B09B9" w:rsidRPr="006A5726">
        <w:t>in a tight time</w:t>
      </w:r>
      <w:r w:rsidR="0012585D">
        <w:t>frame</w:t>
      </w:r>
      <w:r w:rsidR="005B09B9" w:rsidRPr="006A5726">
        <w:t xml:space="preserve">. </w:t>
      </w:r>
      <w:r w:rsidR="00CD1244">
        <w:t>It was</w:t>
      </w:r>
      <w:r w:rsidR="00277236">
        <w:t xml:space="preserve"> targeted at </w:t>
      </w:r>
      <w:r w:rsidR="00277236">
        <w:rPr>
          <w:szCs w:val="20"/>
        </w:rPr>
        <w:t xml:space="preserve">those who had left the income support system who had no need to remain in contact with DHS. </w:t>
      </w:r>
      <w:r w:rsidR="005B09B9">
        <w:rPr>
          <w:szCs w:val="20"/>
        </w:rPr>
        <w:t xml:space="preserve">As </w:t>
      </w:r>
      <w:r w:rsidR="00841D2B">
        <w:rPr>
          <w:szCs w:val="20"/>
        </w:rPr>
        <w:t xml:space="preserve">this was a </w:t>
      </w:r>
      <w:r>
        <w:rPr>
          <w:szCs w:val="20"/>
        </w:rPr>
        <w:t xml:space="preserve">group </w:t>
      </w:r>
      <w:r w:rsidR="005B09B9">
        <w:rPr>
          <w:szCs w:val="20"/>
        </w:rPr>
        <w:t>not previously dealt with</w:t>
      </w:r>
      <w:r>
        <w:rPr>
          <w:szCs w:val="20"/>
        </w:rPr>
        <w:t xml:space="preserve"> by </w:t>
      </w:r>
      <w:r w:rsidR="00277236">
        <w:rPr>
          <w:szCs w:val="20"/>
        </w:rPr>
        <w:t xml:space="preserve">either </w:t>
      </w:r>
      <w:r>
        <w:rPr>
          <w:szCs w:val="20"/>
        </w:rPr>
        <w:t>DHS</w:t>
      </w:r>
      <w:r w:rsidR="005B09B9">
        <w:rPr>
          <w:szCs w:val="20"/>
        </w:rPr>
        <w:t xml:space="preserve"> </w:t>
      </w:r>
      <w:r>
        <w:rPr>
          <w:szCs w:val="20"/>
        </w:rPr>
        <w:t>or DoE</w:t>
      </w:r>
      <w:r w:rsidR="000E1BF0">
        <w:rPr>
          <w:szCs w:val="20"/>
        </w:rPr>
        <w:t>. T</w:t>
      </w:r>
      <w:r w:rsidR="00384CED">
        <w:rPr>
          <w:szCs w:val="20"/>
        </w:rPr>
        <w:t>here was a general lack of</w:t>
      </w:r>
      <w:r w:rsidR="005B09B9">
        <w:rPr>
          <w:szCs w:val="20"/>
        </w:rPr>
        <w:t xml:space="preserve"> experience in delivering </w:t>
      </w:r>
      <w:r w:rsidR="00587FCA">
        <w:rPr>
          <w:szCs w:val="20"/>
        </w:rPr>
        <w:t>this type of</w:t>
      </w:r>
      <w:r w:rsidR="005B09B9">
        <w:rPr>
          <w:szCs w:val="20"/>
        </w:rPr>
        <w:t xml:space="preserve"> policy initiative</w:t>
      </w:r>
      <w:r w:rsidR="00E24D1E">
        <w:rPr>
          <w:szCs w:val="20"/>
        </w:rPr>
        <w:t xml:space="preserve"> to such a group</w:t>
      </w:r>
      <w:r w:rsidR="005B09B9">
        <w:rPr>
          <w:szCs w:val="20"/>
        </w:rPr>
        <w:t>.</w:t>
      </w:r>
      <w:r w:rsidR="00497279">
        <w:rPr>
          <w:szCs w:val="20"/>
        </w:rPr>
        <w:t xml:space="preserve"> Compounding this complexity, the on-line application system </w:t>
      </w:r>
      <w:r w:rsidR="002C734B">
        <w:rPr>
          <w:szCs w:val="20"/>
        </w:rPr>
        <w:t xml:space="preserve">was the first system built, both </w:t>
      </w:r>
      <w:r w:rsidR="002C734B">
        <w:t>as a stand-alone system</w:t>
      </w:r>
      <w:r w:rsidR="002C734B">
        <w:rPr>
          <w:szCs w:val="20"/>
        </w:rPr>
        <w:t xml:space="preserve"> and on the </w:t>
      </w:r>
      <w:r w:rsidR="00497279">
        <w:t>new DHS IT platform.</w:t>
      </w:r>
      <w:r w:rsidR="005177A7">
        <w:t xml:space="preserve"> Notwithstanding these </w:t>
      </w:r>
      <w:r w:rsidR="00CD1244">
        <w:t>challenges</w:t>
      </w:r>
      <w:r w:rsidR="005177A7">
        <w:t xml:space="preserve">, </w:t>
      </w:r>
      <w:r w:rsidR="00D431C4">
        <w:t>the system</w:t>
      </w:r>
      <w:r w:rsidR="00D431C4" w:rsidRPr="006A5726">
        <w:t xml:space="preserve"> </w:t>
      </w:r>
      <w:r w:rsidR="00497279" w:rsidRPr="006A5726">
        <w:t xml:space="preserve">was implemented on budget, on time and within the </w:t>
      </w:r>
      <w:r w:rsidR="00587FCA" w:rsidRPr="006A5726">
        <w:t xml:space="preserve">policy </w:t>
      </w:r>
      <w:r w:rsidR="00497279" w:rsidRPr="006A5726">
        <w:t>parameters</w:t>
      </w:r>
      <w:r w:rsidR="00587FCA">
        <w:t>.</w:t>
      </w:r>
    </w:p>
    <w:p w:rsidR="005B09B9" w:rsidRDefault="005B09B9" w:rsidP="005B09B9">
      <w:pPr>
        <w:spacing w:before="120"/>
      </w:pPr>
      <w:r>
        <w:t xml:space="preserve">DHS </w:t>
      </w:r>
      <w:r w:rsidR="00497279">
        <w:t>establishe</w:t>
      </w:r>
      <w:r>
        <w:t xml:space="preserve">d a </w:t>
      </w:r>
      <w:r w:rsidRPr="0043352E">
        <w:t>centralised</w:t>
      </w:r>
      <w:r>
        <w:t xml:space="preserve"> </w:t>
      </w:r>
      <w:r w:rsidR="00497279">
        <w:t>claims processing</w:t>
      </w:r>
      <w:r>
        <w:t xml:space="preserve"> </w:t>
      </w:r>
      <w:r w:rsidRPr="00DE6309">
        <w:t>team in Queensland</w:t>
      </w:r>
      <w:r>
        <w:t>,</w:t>
      </w:r>
      <w:r w:rsidRPr="00DE6309">
        <w:t xml:space="preserve"> </w:t>
      </w:r>
      <w:r>
        <w:t>with a number of back-up staff</w:t>
      </w:r>
      <w:r w:rsidRPr="00DE6309">
        <w:t xml:space="preserve"> </w:t>
      </w:r>
      <w:r>
        <w:t xml:space="preserve">also </w:t>
      </w:r>
      <w:r w:rsidRPr="00DE6309">
        <w:t>trained in processing</w:t>
      </w:r>
      <w:r>
        <w:t>, to manage risk and ensure that claims and issues were resolved quickly. DHS staff reported that this system worked well.</w:t>
      </w:r>
      <w:r w:rsidR="000E06F3" w:rsidRPr="000E06F3">
        <w:t xml:space="preserve"> </w:t>
      </w:r>
      <w:r w:rsidR="000E06F3">
        <w:t xml:space="preserve">Key </w:t>
      </w:r>
      <w:r w:rsidR="000E06F3" w:rsidRPr="009019D6">
        <w:t xml:space="preserve">staff spent </w:t>
      </w:r>
      <w:r w:rsidR="000E06F3">
        <w:t xml:space="preserve">a significant amount of </w:t>
      </w:r>
      <w:r w:rsidR="000E06F3" w:rsidRPr="009019D6">
        <w:t xml:space="preserve">time in Canberra </w:t>
      </w:r>
      <w:r w:rsidR="000E06F3">
        <w:t>during</w:t>
      </w:r>
      <w:r w:rsidR="000E06F3" w:rsidRPr="009019D6">
        <w:t xml:space="preserve"> the </w:t>
      </w:r>
      <w:r w:rsidR="000E06F3">
        <w:t xml:space="preserve">planning and development phases, and </w:t>
      </w:r>
      <w:r w:rsidR="000E06F3" w:rsidRPr="0041131D">
        <w:t>during implementation</w:t>
      </w:r>
      <w:r w:rsidR="00841D2B">
        <w:t xml:space="preserve">, </w:t>
      </w:r>
      <w:r w:rsidR="000E06F3">
        <w:t>enabl</w:t>
      </w:r>
      <w:r w:rsidR="00841D2B">
        <w:t>ing</w:t>
      </w:r>
      <w:r w:rsidR="000E06F3">
        <w:t xml:space="preserve"> them to gain a good understanding</w:t>
      </w:r>
      <w:r w:rsidR="000E06F3" w:rsidRPr="0041131D">
        <w:t xml:space="preserve"> of the systems and processes</w:t>
      </w:r>
      <w:r w:rsidR="000E06F3">
        <w:t xml:space="preserve">. A </w:t>
      </w:r>
      <w:r w:rsidR="000E06F3" w:rsidRPr="0041131D">
        <w:t xml:space="preserve">detailed risk management plan </w:t>
      </w:r>
      <w:r w:rsidR="000E06F3">
        <w:t>was develop</w:t>
      </w:r>
      <w:r w:rsidR="008725BB">
        <w:t>ed</w:t>
      </w:r>
      <w:r w:rsidR="00DA499E">
        <w:t xml:space="preserve"> (for the planning and implementation phases)</w:t>
      </w:r>
      <w:r w:rsidR="008725BB">
        <w:t>.</w:t>
      </w:r>
      <w:r w:rsidR="00F71ECD">
        <w:t xml:space="preserve"> </w:t>
      </w:r>
      <w:r w:rsidR="008725BB">
        <w:t>S</w:t>
      </w:r>
      <w:r w:rsidR="000E06F3">
        <w:t>taff felt that they were well prepared when the online system went live on 1 July 2015.</w:t>
      </w:r>
    </w:p>
    <w:p w:rsidR="00D7504D" w:rsidRDefault="00DA499E" w:rsidP="00D7504D">
      <w:pPr>
        <w:spacing w:before="120"/>
      </w:pPr>
      <w:r>
        <w:t>Th</w:t>
      </w:r>
      <w:r w:rsidR="00CA445A">
        <w:t xml:space="preserve">e </w:t>
      </w:r>
      <w:r w:rsidR="00D431C4">
        <w:t xml:space="preserve">new DHS </w:t>
      </w:r>
      <w:r w:rsidR="00CA445A">
        <w:t>platform</w:t>
      </w:r>
      <w:r>
        <w:t xml:space="preserve"> posed some restrictions for </w:t>
      </w:r>
      <w:r w:rsidR="00497279">
        <w:t xml:space="preserve">the </w:t>
      </w:r>
      <w:r>
        <w:t>JCB</w:t>
      </w:r>
      <w:r w:rsidR="00497279">
        <w:t xml:space="preserve"> build. F</w:t>
      </w:r>
      <w:r w:rsidR="00CA445A">
        <w:t>or instance</w:t>
      </w:r>
      <w:r w:rsidR="00602B02">
        <w:t>,</w:t>
      </w:r>
      <w:r w:rsidR="00CA445A">
        <w:t xml:space="preserve"> </w:t>
      </w:r>
      <w:r w:rsidR="00565043">
        <w:t xml:space="preserve">the link on </w:t>
      </w:r>
      <w:r w:rsidR="001B7433">
        <w:t>myGov</w:t>
      </w:r>
      <w:r>
        <w:t xml:space="preserve"> account</w:t>
      </w:r>
      <w:r w:rsidR="00CA445A">
        <w:t>s</w:t>
      </w:r>
      <w:r>
        <w:t xml:space="preserve"> </w:t>
      </w:r>
      <w:r w:rsidR="00497279">
        <w:t xml:space="preserve">to </w:t>
      </w:r>
      <w:r>
        <w:t xml:space="preserve">claim the JCB could only be </w:t>
      </w:r>
      <w:r w:rsidR="00CA445A">
        <w:t>made available</w:t>
      </w:r>
      <w:r w:rsidR="00497279">
        <w:t xml:space="preserve"> to </w:t>
      </w:r>
      <w:r w:rsidR="005177A7">
        <w:t>applicants</w:t>
      </w:r>
      <w:r w:rsidR="00CA445A">
        <w:t xml:space="preserve"> once</w:t>
      </w:r>
      <w:r>
        <w:t xml:space="preserve"> DHS considered </w:t>
      </w:r>
      <w:r w:rsidR="00497279">
        <w:t xml:space="preserve">that </w:t>
      </w:r>
      <w:r w:rsidR="00CA445A">
        <w:t xml:space="preserve">people </w:t>
      </w:r>
      <w:r w:rsidR="00497279">
        <w:t xml:space="preserve">were </w:t>
      </w:r>
      <w:r w:rsidR="00CA445A">
        <w:t xml:space="preserve">potentially </w:t>
      </w:r>
      <w:r>
        <w:t>eligible</w:t>
      </w:r>
      <w:r w:rsidR="00D431C4">
        <w:t>. This meant</w:t>
      </w:r>
      <w:r w:rsidR="00CA445A">
        <w:t xml:space="preserve"> </w:t>
      </w:r>
      <w:r w:rsidR="00D431C4">
        <w:t xml:space="preserve">the link </w:t>
      </w:r>
      <w:r>
        <w:t xml:space="preserve">was </w:t>
      </w:r>
      <w:r w:rsidR="00CA445A">
        <w:t xml:space="preserve">not </w:t>
      </w:r>
      <w:r w:rsidR="00497279">
        <w:t xml:space="preserve">visible to applicants </w:t>
      </w:r>
      <w:r w:rsidR="00CA445A">
        <w:t>until</w:t>
      </w:r>
      <w:r>
        <w:t xml:space="preserve"> </w:t>
      </w:r>
      <w:r w:rsidR="00497279">
        <w:t>they</w:t>
      </w:r>
      <w:r>
        <w:t xml:space="preserve"> had been off income support for 12</w:t>
      </w:r>
      <w:r w:rsidR="0012585D">
        <w:t> </w:t>
      </w:r>
      <w:r>
        <w:t>months.</w:t>
      </w:r>
      <w:r w:rsidR="0051451F">
        <w:rPr>
          <w:rStyle w:val="FootnoteReference"/>
        </w:rPr>
        <w:footnoteReference w:id="29"/>
      </w:r>
      <w:r>
        <w:t xml:space="preserve"> </w:t>
      </w:r>
      <w:r w:rsidR="00D7504D">
        <w:t xml:space="preserve">The </w:t>
      </w:r>
      <w:r w:rsidR="00D7504D" w:rsidRPr="00D7504D">
        <w:t>DHS payment</w:t>
      </w:r>
      <w:r w:rsidR="00D7504D">
        <w:t xml:space="preserve"> system</w:t>
      </w:r>
      <w:r w:rsidR="00D7504D" w:rsidRPr="00D7504D">
        <w:t xml:space="preserve"> usually allow</w:t>
      </w:r>
      <w:r w:rsidR="00D7504D">
        <w:t>s</w:t>
      </w:r>
      <w:r w:rsidR="00D7504D" w:rsidRPr="00D7504D">
        <w:t xml:space="preserve"> customers </w:t>
      </w:r>
      <w:r w:rsidR="00587FCA">
        <w:t xml:space="preserve">capacity to </w:t>
      </w:r>
      <w:r w:rsidR="00D7504D" w:rsidRPr="00D7504D">
        <w:t>test their eligibility</w:t>
      </w:r>
      <w:r w:rsidR="00497279">
        <w:t xml:space="preserve"> for payments</w:t>
      </w:r>
      <w:r w:rsidR="00D7504D" w:rsidRPr="00D7504D">
        <w:t xml:space="preserve">, </w:t>
      </w:r>
      <w:r w:rsidR="00D7504D">
        <w:t>but as the JCB</w:t>
      </w:r>
      <w:r w:rsidR="00D7504D" w:rsidRPr="00D7504D">
        <w:t xml:space="preserve"> link only became live when </w:t>
      </w:r>
      <w:r w:rsidR="00D7504D">
        <w:t>people were potentially</w:t>
      </w:r>
      <w:r w:rsidR="00D7504D" w:rsidRPr="00D7504D">
        <w:t xml:space="preserve"> eligible</w:t>
      </w:r>
      <w:r w:rsidR="00497279">
        <w:t>,</w:t>
      </w:r>
      <w:r w:rsidR="00D7504D">
        <w:t xml:space="preserve"> </w:t>
      </w:r>
      <w:r w:rsidR="00565043">
        <w:t>people</w:t>
      </w:r>
      <w:r w:rsidR="00D7504D">
        <w:t xml:space="preserve"> could </w:t>
      </w:r>
      <w:r w:rsidR="00587FCA">
        <w:t xml:space="preserve">not do a prior </w:t>
      </w:r>
      <w:r w:rsidR="00D7504D">
        <w:t xml:space="preserve">check </w:t>
      </w:r>
      <w:r w:rsidR="00587FCA">
        <w:t xml:space="preserve">of </w:t>
      </w:r>
      <w:r w:rsidR="00D7504D">
        <w:t xml:space="preserve">their eligibility. DHS created </w:t>
      </w:r>
      <w:r w:rsidR="00587FCA">
        <w:t xml:space="preserve">manual </w:t>
      </w:r>
      <w:r w:rsidR="00D7504D">
        <w:t xml:space="preserve">links for </w:t>
      </w:r>
      <w:r w:rsidR="00497279">
        <w:t xml:space="preserve">a few </w:t>
      </w:r>
      <w:r w:rsidR="00565043">
        <w:t>people</w:t>
      </w:r>
      <w:r w:rsidR="00D7504D" w:rsidRPr="00D7504D">
        <w:t xml:space="preserve"> </w:t>
      </w:r>
      <w:r w:rsidR="008725BB">
        <w:t xml:space="preserve">who </w:t>
      </w:r>
      <w:r w:rsidR="00497279">
        <w:t xml:space="preserve">requested </w:t>
      </w:r>
      <w:r w:rsidR="00587FCA">
        <w:t>this</w:t>
      </w:r>
      <w:r w:rsidR="00D431C4">
        <w:t xml:space="preserve">. </w:t>
      </w:r>
      <w:r w:rsidR="005C2D90">
        <w:t>Even i</w:t>
      </w:r>
      <w:r w:rsidR="008725BB">
        <w:t xml:space="preserve">f </w:t>
      </w:r>
      <w:r w:rsidR="00587FCA">
        <w:t xml:space="preserve">the facility had been </w:t>
      </w:r>
      <w:r w:rsidR="004C6670">
        <w:t>more frequently requested</w:t>
      </w:r>
      <w:r w:rsidR="00D431C4">
        <w:t>, however,</w:t>
      </w:r>
      <w:r w:rsidR="004C6670">
        <w:t xml:space="preserve"> </w:t>
      </w:r>
      <w:r w:rsidR="00D7504D">
        <w:t xml:space="preserve">there were </w:t>
      </w:r>
      <w:r w:rsidR="008725BB">
        <w:t>in</w:t>
      </w:r>
      <w:r w:rsidR="00D7504D">
        <w:t>sufficient resources to provide this functionality</w:t>
      </w:r>
      <w:r w:rsidR="008725BB">
        <w:t xml:space="preserve"> more broadly</w:t>
      </w:r>
      <w:r w:rsidR="00D7504D">
        <w:t>.</w:t>
      </w:r>
    </w:p>
    <w:p w:rsidR="003F287B" w:rsidRDefault="00DA499E" w:rsidP="00DA499E">
      <w:pPr>
        <w:spacing w:before="120"/>
      </w:pPr>
      <w:r>
        <w:t xml:space="preserve">While the </w:t>
      </w:r>
      <w:r w:rsidR="00CA445A">
        <w:t xml:space="preserve">online </w:t>
      </w:r>
      <w:r>
        <w:t>processing system worked smoothly</w:t>
      </w:r>
      <w:r w:rsidR="00CA445A">
        <w:t>,</w:t>
      </w:r>
      <w:r>
        <w:t xml:space="preserve"> there were issues with the Management Information System (which had to extract data from both the old and new </w:t>
      </w:r>
      <w:r w:rsidR="009E2C6C">
        <w:t xml:space="preserve">DHS IT </w:t>
      </w:r>
      <w:r>
        <w:t xml:space="preserve">platforms). </w:t>
      </w:r>
      <w:r w:rsidR="008725BB">
        <w:t xml:space="preserve">The </w:t>
      </w:r>
      <w:r w:rsidR="00CA445A">
        <w:t xml:space="preserve">reporting </w:t>
      </w:r>
      <w:r w:rsidR="008A6E4B">
        <w:t>solution was less than ideal (requiring considerable manual processing for both DHS and DoE)</w:t>
      </w:r>
      <w:r w:rsidR="008725BB">
        <w:t xml:space="preserve">. This </w:t>
      </w:r>
      <w:r w:rsidR="008A6E4B">
        <w:t xml:space="preserve">would have </w:t>
      </w:r>
      <w:r w:rsidR="008725BB">
        <w:t xml:space="preserve">presented </w:t>
      </w:r>
      <w:r w:rsidR="008A6E4B">
        <w:t xml:space="preserve">significant </w:t>
      </w:r>
      <w:r w:rsidR="008725BB">
        <w:t>challenges</w:t>
      </w:r>
      <w:r w:rsidR="008A6E4B">
        <w:t xml:space="preserve"> had the bonus take-up rate been higher</w:t>
      </w:r>
      <w:r w:rsidR="008725BB">
        <w:t xml:space="preserve">. The </w:t>
      </w:r>
      <w:r w:rsidR="008A6E4B">
        <w:t>system</w:t>
      </w:r>
      <w:r w:rsidR="00277236">
        <w:t>,</w:t>
      </w:r>
      <w:r w:rsidR="008A6E4B">
        <w:t xml:space="preserve"> while labour intensive, worked</w:t>
      </w:r>
      <w:r w:rsidR="008725BB">
        <w:t xml:space="preserve"> for the actual number of claimants</w:t>
      </w:r>
      <w:r w:rsidR="008A6E4B">
        <w:t>.</w:t>
      </w:r>
    </w:p>
    <w:p w:rsidR="003F287B" w:rsidRDefault="003F287B">
      <w:r>
        <w:br w:type="page"/>
      </w:r>
    </w:p>
    <w:p w:rsidR="00CC19DF" w:rsidRDefault="006128DA" w:rsidP="006128DA">
      <w:pPr>
        <w:pStyle w:val="Heading2"/>
      </w:pPr>
      <w:bookmarkStart w:id="106" w:name="_Toc507600241"/>
      <w:r>
        <w:lastRenderedPageBreak/>
        <w:t>3.3</w:t>
      </w:r>
      <w:r>
        <w:tab/>
      </w:r>
      <w:r w:rsidR="00CC19DF">
        <w:t>Communication</w:t>
      </w:r>
      <w:bookmarkEnd w:id="106"/>
    </w:p>
    <w:p w:rsidR="00C14DAC" w:rsidRPr="0018315C" w:rsidRDefault="00C14DAC" w:rsidP="007B55C3">
      <w:pPr>
        <w:keepNext/>
        <w:pBdr>
          <w:top w:val="single" w:sz="4" w:space="1" w:color="auto"/>
          <w:left w:val="single" w:sz="4" w:space="4" w:color="auto"/>
          <w:bottom w:val="single" w:sz="4" w:space="1" w:color="auto"/>
          <w:right w:val="single" w:sz="4" w:space="4" w:color="auto"/>
        </w:pBdr>
        <w:shd w:val="clear" w:color="auto" w:fill="FDCBA0"/>
        <w:spacing w:after="120"/>
        <w:rPr>
          <w:rStyle w:val="Strong"/>
        </w:rPr>
      </w:pPr>
      <w:r w:rsidRPr="0018315C">
        <w:rPr>
          <w:rStyle w:val="Strong"/>
        </w:rPr>
        <w:t>Highlights</w:t>
      </w:r>
    </w:p>
    <w:p w:rsidR="00CC19DF" w:rsidRDefault="00F81B6E" w:rsidP="005177A7">
      <w:pPr>
        <w:keepNext/>
        <w:pBdr>
          <w:top w:val="single" w:sz="4" w:space="1" w:color="auto"/>
          <w:left w:val="single" w:sz="4" w:space="4" w:color="auto"/>
          <w:bottom w:val="single" w:sz="4" w:space="1" w:color="auto"/>
          <w:right w:val="single" w:sz="4" w:space="4" w:color="auto"/>
        </w:pBdr>
        <w:shd w:val="clear" w:color="auto" w:fill="FDCBA0"/>
        <w:spacing w:before="120" w:after="0"/>
      </w:pPr>
      <w:r>
        <w:t>N</w:t>
      </w:r>
      <w:r w:rsidR="0032222C">
        <w:t xml:space="preserve">o </w:t>
      </w:r>
      <w:r>
        <w:t xml:space="preserve">funding was </w:t>
      </w:r>
      <w:r w:rsidR="00D431C4">
        <w:t>explicit</w:t>
      </w:r>
      <w:r w:rsidR="00C62651">
        <w:t>ly</w:t>
      </w:r>
      <w:r w:rsidR="00D431C4">
        <w:t xml:space="preserve"> </w:t>
      </w:r>
      <w:r w:rsidR="0032222C">
        <w:t xml:space="preserve">allocated </w:t>
      </w:r>
      <w:r w:rsidR="00CC19DF">
        <w:t xml:space="preserve">for </w:t>
      </w:r>
      <w:r w:rsidR="005177A7">
        <w:t>program</w:t>
      </w:r>
      <w:r w:rsidR="00CC19DF">
        <w:t xml:space="preserve"> communication</w:t>
      </w:r>
      <w:r w:rsidR="00F71ECD">
        <w:t xml:space="preserve"> with potential applicants.</w:t>
      </w:r>
    </w:p>
    <w:p w:rsidR="00FF4B7A" w:rsidRDefault="00FF4B7A" w:rsidP="005177A7">
      <w:pPr>
        <w:keepNext/>
        <w:pBdr>
          <w:top w:val="single" w:sz="4" w:space="1" w:color="auto"/>
          <w:left w:val="single" w:sz="4" w:space="4" w:color="auto"/>
          <w:bottom w:val="single" w:sz="4" w:space="1" w:color="auto"/>
          <w:right w:val="single" w:sz="4" w:space="4" w:color="auto"/>
        </w:pBdr>
        <w:shd w:val="clear" w:color="auto" w:fill="FDCBA0"/>
        <w:spacing w:before="120" w:after="0"/>
      </w:pPr>
      <w:r>
        <w:t xml:space="preserve">Communication was limited to written and electronic mail from DHS to possible eligible participants once they had left support and more ad hoc promotion from employment service providers. </w:t>
      </w:r>
    </w:p>
    <w:p w:rsidR="00FF4B7A" w:rsidRDefault="00FF4B7A" w:rsidP="005177A7">
      <w:pPr>
        <w:keepNext/>
        <w:pBdr>
          <w:top w:val="single" w:sz="4" w:space="1" w:color="auto"/>
          <w:left w:val="single" w:sz="4" w:space="4" w:color="auto"/>
          <w:bottom w:val="single" w:sz="4" w:space="1" w:color="auto"/>
          <w:right w:val="single" w:sz="4" w:space="4" w:color="auto"/>
        </w:pBdr>
        <w:shd w:val="clear" w:color="auto" w:fill="FDCBA0"/>
        <w:spacing w:before="120" w:after="0"/>
      </w:pPr>
      <w:r>
        <w:t>Word of mouth from claimants was another ad hoc way people became aware of the bonus.</w:t>
      </w:r>
    </w:p>
    <w:p w:rsidR="001B1FFF" w:rsidRDefault="00FF4B7A" w:rsidP="004968D9">
      <w:pPr>
        <w:keepNext/>
        <w:pBdr>
          <w:top w:val="single" w:sz="4" w:space="1" w:color="auto"/>
          <w:left w:val="single" w:sz="4" w:space="4" w:color="auto"/>
          <w:bottom w:val="single" w:sz="4" w:space="1" w:color="auto"/>
          <w:right w:val="single" w:sz="4" w:space="4" w:color="auto"/>
        </w:pBdr>
        <w:shd w:val="clear" w:color="auto" w:fill="FDCBA0"/>
        <w:spacing w:before="120" w:after="0"/>
      </w:pPr>
      <w:r>
        <w:t>Communication as a barrier to take</w:t>
      </w:r>
      <w:r w:rsidR="00606C95">
        <w:t>-up is addressed in Section 3.7.</w:t>
      </w:r>
    </w:p>
    <w:p w:rsidR="00BE22C7" w:rsidRPr="00211CE8" w:rsidRDefault="00BE22C7" w:rsidP="00F81B6E">
      <w:pPr>
        <w:spacing w:before="120"/>
      </w:pPr>
      <w:bookmarkStart w:id="107" w:name="_Toc478117567"/>
      <w:r w:rsidRPr="00211CE8">
        <w:t>There were four main players in the communication of the JCB. These were: DHS; DoE; employment service providers; and young</w:t>
      </w:r>
      <w:r w:rsidR="00D431C4" w:rsidRPr="00211CE8">
        <w:t xml:space="preserve"> adult</w:t>
      </w:r>
      <w:r w:rsidR="00C62651">
        <w:t>s</w:t>
      </w:r>
      <w:r w:rsidR="00277236">
        <w:t>.</w:t>
      </w:r>
    </w:p>
    <w:p w:rsidR="00AA5A03" w:rsidRPr="00B83C41" w:rsidRDefault="00AA5A03" w:rsidP="00BC64A3">
      <w:pPr>
        <w:pStyle w:val="Heading3"/>
      </w:pPr>
      <w:r w:rsidRPr="00B83C41">
        <w:t>Department of Human Services</w:t>
      </w:r>
      <w:bookmarkEnd w:id="107"/>
    </w:p>
    <w:p w:rsidR="000A02FE" w:rsidRPr="00B83C41" w:rsidRDefault="000A02FE" w:rsidP="00BC64A3">
      <w:pPr>
        <w:pStyle w:val="Heading4"/>
      </w:pPr>
      <w:r w:rsidRPr="00B83C41">
        <w:t>Before eligibility</w:t>
      </w:r>
    </w:p>
    <w:p w:rsidR="00AA5A03" w:rsidRPr="00DD67B4" w:rsidRDefault="00AA5A03" w:rsidP="00AA5A03">
      <w:pPr>
        <w:spacing w:before="120"/>
      </w:pPr>
      <w:r w:rsidRPr="00AA5A03">
        <w:rPr>
          <w:color w:val="000000" w:themeColor="text1"/>
        </w:rPr>
        <w:t xml:space="preserve">There were two </w:t>
      </w:r>
      <w:r w:rsidR="009125E6">
        <w:rPr>
          <w:color w:val="000000" w:themeColor="text1"/>
        </w:rPr>
        <w:t>form</w:t>
      </w:r>
      <w:r w:rsidRPr="00AA5A03">
        <w:rPr>
          <w:color w:val="000000" w:themeColor="text1"/>
        </w:rPr>
        <w:t>s of direct</w:t>
      </w:r>
      <w:r w:rsidR="005177A7">
        <w:rPr>
          <w:color w:val="000000" w:themeColor="text1"/>
        </w:rPr>
        <w:t xml:space="preserve"> </w:t>
      </w:r>
      <w:r w:rsidRPr="00AA5A03">
        <w:rPr>
          <w:color w:val="000000" w:themeColor="text1"/>
        </w:rPr>
        <w:t>communication with people who might become eligible</w:t>
      </w:r>
      <w:r w:rsidR="007F33D6">
        <w:rPr>
          <w:color w:val="000000" w:themeColor="text1"/>
        </w:rPr>
        <w:t xml:space="preserve"> for the </w:t>
      </w:r>
      <w:r w:rsidR="0032222C">
        <w:rPr>
          <w:color w:val="000000" w:themeColor="text1"/>
        </w:rPr>
        <w:t>JCB</w:t>
      </w:r>
      <w:r w:rsidR="007F33D6">
        <w:t>.</w:t>
      </w:r>
    </w:p>
    <w:p w:rsidR="00AA5A03" w:rsidRPr="00975815" w:rsidRDefault="002C734B" w:rsidP="00283E3D">
      <w:pPr>
        <w:pStyle w:val="ListParagraph"/>
        <w:numPr>
          <w:ilvl w:val="0"/>
          <w:numId w:val="47"/>
        </w:numPr>
        <w:ind w:left="714" w:hanging="357"/>
        <w:contextualSpacing w:val="0"/>
      </w:pPr>
      <w:r>
        <w:t>A</w:t>
      </w:r>
      <w:r w:rsidR="00AA5A03" w:rsidRPr="00975815">
        <w:t xml:space="preserve"> one</w:t>
      </w:r>
      <w:r w:rsidR="00127D43">
        <w:t>-</w:t>
      </w:r>
      <w:r w:rsidR="00AA5A03" w:rsidRPr="00975815">
        <w:t>o</w:t>
      </w:r>
      <w:r w:rsidR="00127D43">
        <w:t xml:space="preserve">ff </w:t>
      </w:r>
      <w:r w:rsidR="001B7433">
        <w:t>mail out</w:t>
      </w:r>
      <w:r w:rsidR="00C62651">
        <w:t xml:space="preserve"> </w:t>
      </w:r>
      <w:r w:rsidR="00F81B6E">
        <w:t>occurred</w:t>
      </w:r>
      <w:r w:rsidR="00AA5A03" w:rsidRPr="00975815">
        <w:t xml:space="preserve"> between 16 and 19 June 2014, immediately prior to the program commencing. In total, 135,496 letters were sent to existing young adult recipients of NSA and YA(O), who had been in receipt of payment for 12 months or more, </w:t>
      </w:r>
      <w:r w:rsidR="00602B02">
        <w:t>informing them about the bonus.</w:t>
      </w:r>
    </w:p>
    <w:p w:rsidR="008823B7" w:rsidRPr="008823B7" w:rsidRDefault="00AA5A03" w:rsidP="00283E3D">
      <w:pPr>
        <w:pStyle w:val="ListParagraph"/>
        <w:numPr>
          <w:ilvl w:val="0"/>
          <w:numId w:val="47"/>
        </w:numPr>
        <w:ind w:left="714" w:hanging="357"/>
        <w:contextualSpacing w:val="0"/>
      </w:pPr>
      <w:r w:rsidRPr="00004649">
        <w:t>A paragraph alerting people to the</w:t>
      </w:r>
      <w:r w:rsidR="00A63CA1">
        <w:t xml:space="preserve">ir potential JCB </w:t>
      </w:r>
      <w:r w:rsidRPr="00004649">
        <w:t>eligib</w:t>
      </w:r>
      <w:r w:rsidR="00A63CA1">
        <w:t>i</w:t>
      </w:r>
      <w:r w:rsidRPr="00004649">
        <w:t>l</w:t>
      </w:r>
      <w:r w:rsidR="00A63CA1">
        <w:t>ity</w:t>
      </w:r>
      <w:r w:rsidRPr="00004649">
        <w:t xml:space="preserve"> was included in the DHS letter sent</w:t>
      </w:r>
      <w:r w:rsidR="005177A7">
        <w:t xml:space="preserve"> when people</w:t>
      </w:r>
      <w:r w:rsidR="00127D43">
        <w:t xml:space="preserve"> left income support</w:t>
      </w:r>
      <w:r w:rsidRPr="00004649">
        <w:t>. The paragraph directed readers to the DHS JCB webpage for further</w:t>
      </w:r>
      <w:r w:rsidRPr="008823B7">
        <w:t xml:space="preserve"> information. The inclusion of this paragraph ceased in July 2016, </w:t>
      </w:r>
      <w:r w:rsidR="00A63CA1">
        <w:t>after</w:t>
      </w:r>
      <w:r w:rsidR="00A63CA1" w:rsidRPr="008823B7">
        <w:t xml:space="preserve"> </w:t>
      </w:r>
      <w:r w:rsidRPr="008823B7">
        <w:t>the decision to cancel the program. In total, an estimated 122,123 letters</w:t>
      </w:r>
      <w:r w:rsidR="00C62651">
        <w:t xml:space="preserve"> were sent </w:t>
      </w:r>
      <w:r w:rsidR="0084644B">
        <w:t xml:space="preserve">with </w:t>
      </w:r>
      <w:r w:rsidR="00A63CA1">
        <w:t>this paragraph</w:t>
      </w:r>
      <w:r w:rsidR="0084644B">
        <w:t xml:space="preserve"> included</w:t>
      </w:r>
      <w:r w:rsidR="00A63CA1">
        <w:t xml:space="preserve"> </w:t>
      </w:r>
      <w:r w:rsidR="008823B7" w:rsidRPr="008823B7">
        <w:t>(</w:t>
      </w:r>
      <w:r w:rsidR="00902930" w:rsidRPr="00902930">
        <w:t xml:space="preserve">Attachment F, </w:t>
      </w:r>
      <w:hyperlink w:anchor="Title_F1" w:history="1">
        <w:r w:rsidR="00902930" w:rsidRPr="00746C0E">
          <w:rPr>
            <w:rStyle w:val="Hyperlink"/>
          </w:rPr>
          <w:t>Table F.1</w:t>
        </w:r>
      </w:hyperlink>
      <w:r w:rsidR="008823B7" w:rsidRPr="008823B7">
        <w:t>)</w:t>
      </w:r>
      <w:bookmarkStart w:id="108" w:name="Title_F24"/>
      <w:bookmarkStart w:id="109" w:name="Place_F1"/>
      <w:bookmarkEnd w:id="108"/>
      <w:bookmarkEnd w:id="109"/>
      <w:r w:rsidR="008823B7" w:rsidRPr="008823B7">
        <w:t>.</w:t>
      </w:r>
    </w:p>
    <w:p w:rsidR="00766DB6" w:rsidRPr="00127D43" w:rsidRDefault="00AA5A03" w:rsidP="00AD38A1">
      <w:pPr>
        <w:rPr>
          <w:color w:val="000000" w:themeColor="text1"/>
        </w:rPr>
      </w:pPr>
      <w:r w:rsidRPr="00127D43">
        <w:rPr>
          <w:color w:val="000000" w:themeColor="text1"/>
        </w:rPr>
        <w:t xml:space="preserve">An obvious issue with this communication is that it </w:t>
      </w:r>
      <w:r w:rsidR="00173739">
        <w:rPr>
          <w:color w:val="000000" w:themeColor="text1"/>
        </w:rPr>
        <w:t>occurred</w:t>
      </w:r>
      <w:r w:rsidR="00173739" w:rsidRPr="00127D43">
        <w:rPr>
          <w:color w:val="000000" w:themeColor="text1"/>
        </w:rPr>
        <w:t xml:space="preserve"> </w:t>
      </w:r>
      <w:r w:rsidRPr="00127D43">
        <w:rPr>
          <w:color w:val="000000" w:themeColor="text1"/>
        </w:rPr>
        <w:t xml:space="preserve">around nine to 12 months before </w:t>
      </w:r>
      <w:r w:rsidR="00D431C4">
        <w:rPr>
          <w:color w:val="000000" w:themeColor="text1"/>
        </w:rPr>
        <w:t xml:space="preserve">people were </w:t>
      </w:r>
      <w:r w:rsidR="000E326D">
        <w:rPr>
          <w:color w:val="000000" w:themeColor="text1"/>
        </w:rPr>
        <w:t>eligible</w:t>
      </w:r>
      <w:r w:rsidR="00D431C4">
        <w:rPr>
          <w:color w:val="000000" w:themeColor="text1"/>
        </w:rPr>
        <w:t xml:space="preserve"> to claim</w:t>
      </w:r>
      <w:r w:rsidRPr="00127D43">
        <w:rPr>
          <w:color w:val="000000" w:themeColor="text1"/>
        </w:rPr>
        <w:t>.</w:t>
      </w:r>
    </w:p>
    <w:p w:rsidR="000A02FE" w:rsidRPr="00B83C41" w:rsidRDefault="000A02FE" w:rsidP="00BC64A3">
      <w:pPr>
        <w:pStyle w:val="Heading4"/>
      </w:pPr>
      <w:bookmarkStart w:id="110" w:name="_Toc478117568"/>
      <w:r w:rsidRPr="00B83C41">
        <w:t>After eligibility</w:t>
      </w:r>
      <w:bookmarkEnd w:id="110"/>
    </w:p>
    <w:p w:rsidR="009727FD" w:rsidRPr="00004649" w:rsidRDefault="007F33D6" w:rsidP="00CC19DF">
      <w:pPr>
        <w:spacing w:before="120"/>
      </w:pPr>
      <w:r>
        <w:t>Once</w:t>
      </w:r>
      <w:r w:rsidR="00CC19DF">
        <w:t xml:space="preserve"> DHS records indicated that </w:t>
      </w:r>
      <w:r w:rsidR="00565043">
        <w:t>people</w:t>
      </w:r>
      <w:r w:rsidR="00CC19DF">
        <w:t xml:space="preserve"> </w:t>
      </w:r>
      <w:r w:rsidR="00A63CA1">
        <w:t xml:space="preserve">may </w:t>
      </w:r>
      <w:r w:rsidR="00CC19DF">
        <w:t xml:space="preserve">be eligible for the bonus an electronic reminder message system was used to try to contact </w:t>
      </w:r>
      <w:r w:rsidR="005177A7">
        <w:t>them</w:t>
      </w:r>
      <w:r w:rsidR="00CC19DF">
        <w:t xml:space="preserve">. </w:t>
      </w:r>
      <w:r w:rsidR="00CC19DF" w:rsidRPr="00004649">
        <w:t>These messages were sent when people reached 12 and 24 months o</w:t>
      </w:r>
      <w:r w:rsidR="00127D43">
        <w:t>ff income support</w:t>
      </w:r>
      <w:r w:rsidR="00CC19DF" w:rsidRPr="00004649">
        <w:t xml:space="preserve">. </w:t>
      </w:r>
      <w:r w:rsidR="0084644B">
        <w:t xml:space="preserve">These messages were sent until 31 December 2016. </w:t>
      </w:r>
      <w:r w:rsidR="00CC19DF" w:rsidRPr="00004649">
        <w:t>Only eligible former DHS customers who had registered for, and linked their Centrelink Online and myGov Accounts</w:t>
      </w:r>
      <w:r w:rsidR="00FD2A6D">
        <w:t>,</w:t>
      </w:r>
      <w:r w:rsidR="00CC19DF" w:rsidRPr="00004649">
        <w:t xml:space="preserve"> could receive these messages. Figure 3.1 </w:t>
      </w:r>
      <w:r w:rsidR="0028699E">
        <w:t>outlines</w:t>
      </w:r>
      <w:r w:rsidR="0028699E" w:rsidRPr="00004649">
        <w:t xml:space="preserve"> </w:t>
      </w:r>
      <w:r w:rsidR="00CC19DF" w:rsidRPr="00004649">
        <w:t>the communication hierarchy originally pr</w:t>
      </w:r>
      <w:r w:rsidR="00602B02">
        <w:t>oposed for these notifications.</w:t>
      </w:r>
    </w:p>
    <w:p w:rsidR="00CC19DF" w:rsidRPr="00D83A7E" w:rsidRDefault="00CC19DF" w:rsidP="005314B7">
      <w:pPr>
        <w:pStyle w:val="FigureCaption"/>
      </w:pPr>
      <w:bookmarkStart w:id="111" w:name="_Toc475458993"/>
      <w:bookmarkStart w:id="112" w:name="_Toc507600277"/>
      <w:r w:rsidRPr="00D83A7E">
        <w:lastRenderedPageBreak/>
        <w:t>Figure 3.1: Proposed communication hierarchy for reminder messages</w:t>
      </w:r>
      <w:bookmarkEnd w:id="111"/>
      <w:bookmarkEnd w:id="112"/>
    </w:p>
    <w:p w:rsidR="001A7459" w:rsidRDefault="00867C30" w:rsidP="004C5B83">
      <w:pPr>
        <w:pStyle w:val="Source"/>
      </w:pPr>
      <w:r>
        <w:rPr>
          <w:noProof/>
          <w:lang w:eastAsia="en-AU"/>
        </w:rPr>
        <w:drawing>
          <wp:inline distT="0" distB="0" distL="0" distR="0" wp14:anchorId="1DFD3F1D" wp14:editId="176B1082">
            <wp:extent cx="3818890" cy="5333365"/>
            <wp:effectExtent l="0" t="0" r="0" b="635"/>
            <wp:docPr id="34" name="Picture 34" descr="Flow chart showing the proposed communication hierarchy for reminder messages. &#10;The first question asked is: Is the customer registered for online letters? If yes, then issue letter to the online letters service.&#10;Else if no, then is the customer registered for electronic messaging email? If yes, then issue email if appropriate.&#10;Else if no, then is the customer registered for electronic messaging, SMS? If yes then issue SMS if appropriate.&#10;Else if no, then the final option is to issue a paper lett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8890" cy="5333365"/>
                    </a:xfrm>
                    <a:prstGeom prst="rect">
                      <a:avLst/>
                    </a:prstGeom>
                    <a:noFill/>
                  </pic:spPr>
                </pic:pic>
              </a:graphicData>
            </a:graphic>
          </wp:inline>
        </w:drawing>
      </w:r>
    </w:p>
    <w:p w:rsidR="00CC19DF" w:rsidRDefault="00CC19DF" w:rsidP="004C5B83">
      <w:pPr>
        <w:pStyle w:val="Source"/>
      </w:pPr>
      <w:r w:rsidRPr="004C5B83">
        <w:t>Source:</w:t>
      </w:r>
      <w:r w:rsidRPr="004C5B83">
        <w:rPr>
          <w:b w:val="0"/>
        </w:rPr>
        <w:t xml:space="preserve"> Department of Human Services.</w:t>
      </w:r>
    </w:p>
    <w:p w:rsidR="0028699E" w:rsidRDefault="00127D43" w:rsidP="00127D43">
      <w:pPr>
        <w:spacing w:before="120"/>
      </w:pPr>
      <w:bookmarkStart w:id="113" w:name="_Toc478117569"/>
      <w:r w:rsidRPr="00004649">
        <w:t xml:space="preserve">Paper letters were not sent to former </w:t>
      </w:r>
      <w:r w:rsidR="00A63CA1" w:rsidRPr="00004649">
        <w:t xml:space="preserve">DHS </w:t>
      </w:r>
      <w:r w:rsidRPr="00004649">
        <w:t xml:space="preserve">customers </w:t>
      </w:r>
      <w:r>
        <w:t xml:space="preserve">as privacy requirements </w:t>
      </w:r>
      <w:r w:rsidR="0028699E">
        <w:t xml:space="preserve">were not confirmed before the program was </w:t>
      </w:r>
      <w:r>
        <w:t>cancelled</w:t>
      </w:r>
      <w:r w:rsidR="00173739">
        <w:t>.</w:t>
      </w:r>
    </w:p>
    <w:p w:rsidR="00127D43" w:rsidRPr="00004649" w:rsidRDefault="0028699E" w:rsidP="00127D43">
      <w:pPr>
        <w:spacing w:before="120"/>
      </w:pPr>
      <w:r>
        <w:t>R</w:t>
      </w:r>
      <w:r w:rsidR="00127D43" w:rsidRPr="00004649">
        <w:t xml:space="preserve">eminder notifications were </w:t>
      </w:r>
      <w:r>
        <w:t xml:space="preserve">also </w:t>
      </w:r>
      <w:r w:rsidR="00127D43" w:rsidRPr="00004649">
        <w:t>not sent to people who did not meet residency or citizenship eligibility criteria, whereas the initial paragraph</w:t>
      </w:r>
      <w:r w:rsidR="00173739">
        <w:t>s</w:t>
      </w:r>
      <w:r w:rsidR="00127D43" w:rsidRPr="00004649">
        <w:t xml:space="preserve"> </w:t>
      </w:r>
      <w:r w:rsidR="00173739">
        <w:t xml:space="preserve">(included in the cancellation letter) </w:t>
      </w:r>
      <w:r w:rsidR="00127D43" w:rsidRPr="00004649">
        <w:t>were.</w:t>
      </w:r>
    </w:p>
    <w:p w:rsidR="00127D43" w:rsidRDefault="00833D85" w:rsidP="00127D43">
      <w:pPr>
        <w:spacing w:before="120"/>
      </w:pPr>
      <w:r>
        <w:t>T</w:t>
      </w:r>
      <w:r w:rsidR="00127D43" w:rsidRPr="00004649">
        <w:t>he electronic reminder messages reach</w:t>
      </w:r>
      <w:r w:rsidR="0028699E">
        <w:t>ed</w:t>
      </w:r>
      <w:r w:rsidR="00127D43" w:rsidRPr="00004649">
        <w:t xml:space="preserve"> </w:t>
      </w:r>
      <w:r>
        <w:t xml:space="preserve">an estimated </w:t>
      </w:r>
      <w:r w:rsidR="00127D43" w:rsidRPr="00004649">
        <w:t xml:space="preserve">54 per cent of </w:t>
      </w:r>
      <w:r w:rsidR="00B150F7">
        <w:t>18 to 30</w:t>
      </w:r>
      <w:r w:rsidR="00A564B2">
        <w:t xml:space="preserve"> </w:t>
      </w:r>
      <w:r w:rsidR="00B150F7">
        <w:t>year olds</w:t>
      </w:r>
      <w:r w:rsidR="00127D43" w:rsidRPr="00004649">
        <w:t xml:space="preserve"> who remained off income support for 12 months or longer</w:t>
      </w:r>
      <w:r w:rsidR="00173739">
        <w:t xml:space="preserve"> as at </w:t>
      </w:r>
      <w:r w:rsidR="00A564B2">
        <w:t>31 </w:t>
      </w:r>
      <w:r w:rsidR="00173739">
        <w:t>March</w:t>
      </w:r>
      <w:r w:rsidR="00A564B2">
        <w:t> </w:t>
      </w:r>
      <w:r w:rsidR="00173739">
        <w:t>2016</w:t>
      </w:r>
      <w:r w:rsidR="00127D43" w:rsidRPr="00004649">
        <w:t>.</w:t>
      </w:r>
    </w:p>
    <w:p w:rsidR="005177A7" w:rsidRPr="00B83C41" w:rsidRDefault="005177A7" w:rsidP="00BC64A3">
      <w:pPr>
        <w:pStyle w:val="Heading3"/>
      </w:pPr>
      <w:r>
        <w:t>Other government promotion</w:t>
      </w:r>
    </w:p>
    <w:p w:rsidR="005177A7" w:rsidRPr="00004649" w:rsidRDefault="005177A7" w:rsidP="005177A7">
      <w:pPr>
        <w:spacing w:before="120" w:after="0"/>
        <w:rPr>
          <w:color w:val="000000" w:themeColor="text1"/>
        </w:rPr>
      </w:pPr>
      <w:r w:rsidRPr="00004649">
        <w:rPr>
          <w:color w:val="000000" w:themeColor="text1"/>
        </w:rPr>
        <w:t>There were various other forms of program promotion designed to reach job seekers and the general public including:</w:t>
      </w:r>
    </w:p>
    <w:p w:rsidR="005177A7" w:rsidRDefault="005177A7" w:rsidP="007F2BBB">
      <w:pPr>
        <w:pStyle w:val="ListParagraph"/>
        <w:numPr>
          <w:ilvl w:val="0"/>
          <w:numId w:val="42"/>
        </w:numPr>
        <w:rPr>
          <w:color w:val="000000" w:themeColor="text1"/>
        </w:rPr>
      </w:pPr>
      <w:r>
        <w:rPr>
          <w:color w:val="000000" w:themeColor="text1"/>
        </w:rPr>
        <w:t>t</w:t>
      </w:r>
      <w:r w:rsidRPr="00DD67B4">
        <w:rPr>
          <w:color w:val="000000" w:themeColor="text1"/>
        </w:rPr>
        <w:t xml:space="preserve">he Minister for Employment issued a press release at the commencement of the program </w:t>
      </w:r>
    </w:p>
    <w:p w:rsidR="005177A7" w:rsidRDefault="005177A7" w:rsidP="007F2BBB">
      <w:pPr>
        <w:pStyle w:val="ListParagraph"/>
        <w:numPr>
          <w:ilvl w:val="0"/>
          <w:numId w:val="42"/>
        </w:numPr>
        <w:rPr>
          <w:color w:val="000000" w:themeColor="text1"/>
        </w:rPr>
      </w:pPr>
      <w:r w:rsidRPr="00DD67B4">
        <w:rPr>
          <w:color w:val="000000" w:themeColor="text1"/>
        </w:rPr>
        <w:t>the D</w:t>
      </w:r>
      <w:r>
        <w:rPr>
          <w:color w:val="000000" w:themeColor="text1"/>
        </w:rPr>
        <w:t>oE</w:t>
      </w:r>
      <w:r w:rsidRPr="00DD67B4">
        <w:rPr>
          <w:color w:val="000000" w:themeColor="text1"/>
        </w:rPr>
        <w:t xml:space="preserve"> website </w:t>
      </w:r>
      <w:r>
        <w:rPr>
          <w:color w:val="000000" w:themeColor="text1"/>
        </w:rPr>
        <w:t>where</w:t>
      </w:r>
      <w:r w:rsidRPr="00DD67B4">
        <w:rPr>
          <w:color w:val="000000" w:themeColor="text1"/>
        </w:rPr>
        <w:t xml:space="preserve"> eligibility criteria, FAQs and case study examples</w:t>
      </w:r>
      <w:r w:rsidRPr="00257F48">
        <w:rPr>
          <w:color w:val="000000" w:themeColor="text1"/>
        </w:rPr>
        <w:t xml:space="preserve"> </w:t>
      </w:r>
      <w:r>
        <w:rPr>
          <w:color w:val="000000" w:themeColor="text1"/>
        </w:rPr>
        <w:t>were provided</w:t>
      </w:r>
    </w:p>
    <w:p w:rsidR="005177A7" w:rsidRPr="00257F48" w:rsidRDefault="005177A7" w:rsidP="007F2BBB">
      <w:pPr>
        <w:pStyle w:val="ListParagraph"/>
        <w:numPr>
          <w:ilvl w:val="0"/>
          <w:numId w:val="42"/>
        </w:numPr>
        <w:rPr>
          <w:color w:val="000000" w:themeColor="text1"/>
        </w:rPr>
      </w:pPr>
      <w:r w:rsidRPr="00257F48">
        <w:rPr>
          <w:color w:val="000000" w:themeColor="text1"/>
        </w:rPr>
        <w:t>a webpage on the DHS website</w:t>
      </w:r>
    </w:p>
    <w:p w:rsidR="005177A7" w:rsidRPr="00257F48" w:rsidRDefault="005177A7" w:rsidP="007F2BBB">
      <w:pPr>
        <w:pStyle w:val="ListParagraph"/>
        <w:numPr>
          <w:ilvl w:val="0"/>
          <w:numId w:val="42"/>
        </w:numPr>
        <w:rPr>
          <w:color w:val="000000" w:themeColor="text1"/>
        </w:rPr>
      </w:pPr>
      <w:r w:rsidRPr="00257F48">
        <w:rPr>
          <w:color w:val="000000" w:themeColor="text1"/>
        </w:rPr>
        <w:lastRenderedPageBreak/>
        <w:t xml:space="preserve">reference to the JCB in some brochures available at DHS </w:t>
      </w:r>
      <w:r>
        <w:rPr>
          <w:color w:val="000000" w:themeColor="text1"/>
        </w:rPr>
        <w:t>Customer Service Centres</w:t>
      </w:r>
    </w:p>
    <w:p w:rsidR="005177A7" w:rsidRPr="00257F48" w:rsidRDefault="005177A7" w:rsidP="007F2BBB">
      <w:pPr>
        <w:pStyle w:val="ListParagraph"/>
        <w:numPr>
          <w:ilvl w:val="0"/>
          <w:numId w:val="42"/>
        </w:numPr>
        <w:rPr>
          <w:color w:val="000000" w:themeColor="text1"/>
        </w:rPr>
      </w:pPr>
      <w:r w:rsidRPr="00257F48">
        <w:rPr>
          <w:color w:val="000000" w:themeColor="text1"/>
        </w:rPr>
        <w:t xml:space="preserve">inclusion in auto-reel screen shows at DHS </w:t>
      </w:r>
      <w:r>
        <w:rPr>
          <w:color w:val="000000" w:themeColor="text1"/>
        </w:rPr>
        <w:t>Customer Service Centres</w:t>
      </w:r>
    </w:p>
    <w:p w:rsidR="005177A7" w:rsidRPr="00257F48" w:rsidRDefault="005177A7" w:rsidP="007F2BBB">
      <w:pPr>
        <w:pStyle w:val="ListParagraph"/>
        <w:numPr>
          <w:ilvl w:val="0"/>
          <w:numId w:val="42"/>
        </w:numPr>
        <w:rPr>
          <w:color w:val="000000" w:themeColor="text1"/>
        </w:rPr>
      </w:pPr>
      <w:r w:rsidRPr="00257F48">
        <w:rPr>
          <w:color w:val="000000" w:themeColor="text1"/>
        </w:rPr>
        <w:t xml:space="preserve">social media such as </w:t>
      </w:r>
      <w:r w:rsidR="0028699E">
        <w:rPr>
          <w:color w:val="000000" w:themeColor="text1"/>
        </w:rPr>
        <w:t xml:space="preserve">a </w:t>
      </w:r>
      <w:r w:rsidRPr="00257F48">
        <w:rPr>
          <w:color w:val="000000" w:themeColor="text1"/>
        </w:rPr>
        <w:t>YouTube video</w:t>
      </w:r>
      <w:r w:rsidR="00B150F7">
        <w:rPr>
          <w:color w:val="000000" w:themeColor="text1"/>
        </w:rPr>
        <w:t xml:space="preserve">, </w:t>
      </w:r>
      <w:r w:rsidRPr="00257F48">
        <w:rPr>
          <w:color w:val="000000" w:themeColor="text1"/>
        </w:rPr>
        <w:t>Facebook</w:t>
      </w:r>
      <w:r>
        <w:rPr>
          <w:color w:val="000000" w:themeColor="text1"/>
        </w:rPr>
        <w:t xml:space="preserve"> and </w:t>
      </w:r>
      <w:r w:rsidRPr="00DD67B4">
        <w:rPr>
          <w:color w:val="000000" w:themeColor="text1"/>
        </w:rPr>
        <w:t xml:space="preserve">twitter </w:t>
      </w:r>
      <w:r w:rsidR="0028699E">
        <w:rPr>
          <w:color w:val="000000" w:themeColor="text1"/>
        </w:rPr>
        <w:t>information</w:t>
      </w:r>
    </w:p>
    <w:p w:rsidR="005177A7" w:rsidRDefault="005177A7" w:rsidP="007F2BBB">
      <w:pPr>
        <w:pStyle w:val="ListParagraph"/>
        <w:numPr>
          <w:ilvl w:val="0"/>
          <w:numId w:val="42"/>
        </w:numPr>
        <w:rPr>
          <w:color w:val="000000" w:themeColor="text1"/>
        </w:rPr>
      </w:pPr>
      <w:r w:rsidRPr="00257F48">
        <w:rPr>
          <w:color w:val="000000" w:themeColor="text1"/>
        </w:rPr>
        <w:t>a translated press article and SBS r</w:t>
      </w:r>
      <w:r>
        <w:rPr>
          <w:color w:val="000000" w:themeColor="text1"/>
        </w:rPr>
        <w:t xml:space="preserve">adio script for </w:t>
      </w:r>
      <w:r w:rsidR="00C50D3B">
        <w:rPr>
          <w:color w:val="000000" w:themeColor="text1"/>
        </w:rPr>
        <w:t xml:space="preserve">Culturally </w:t>
      </w:r>
      <w:r w:rsidR="00FD2A6D">
        <w:rPr>
          <w:color w:val="000000" w:themeColor="text1"/>
        </w:rPr>
        <w:t xml:space="preserve">and </w:t>
      </w:r>
      <w:r w:rsidR="00C50D3B">
        <w:rPr>
          <w:color w:val="000000" w:themeColor="text1"/>
        </w:rPr>
        <w:t>L</w:t>
      </w:r>
      <w:r w:rsidR="00FD2A6D">
        <w:rPr>
          <w:color w:val="000000" w:themeColor="text1"/>
        </w:rPr>
        <w:t xml:space="preserve">inguistically </w:t>
      </w:r>
      <w:r w:rsidR="00C50D3B">
        <w:rPr>
          <w:color w:val="000000" w:themeColor="text1"/>
        </w:rPr>
        <w:t>D</w:t>
      </w:r>
      <w:r w:rsidR="00FD2A6D">
        <w:rPr>
          <w:color w:val="000000" w:themeColor="text1"/>
        </w:rPr>
        <w:t>iverse (</w:t>
      </w:r>
      <w:r>
        <w:rPr>
          <w:color w:val="000000" w:themeColor="text1"/>
        </w:rPr>
        <w:t>CALD</w:t>
      </w:r>
      <w:r w:rsidR="00FD2A6D">
        <w:rPr>
          <w:color w:val="000000" w:themeColor="text1"/>
        </w:rPr>
        <w:t>)</w:t>
      </w:r>
      <w:r>
        <w:rPr>
          <w:color w:val="000000" w:themeColor="text1"/>
        </w:rPr>
        <w:t xml:space="preserve"> customers</w:t>
      </w:r>
    </w:p>
    <w:p w:rsidR="005177A7" w:rsidRDefault="005177A7" w:rsidP="007F2BBB">
      <w:pPr>
        <w:pStyle w:val="ListParagraph"/>
        <w:numPr>
          <w:ilvl w:val="0"/>
          <w:numId w:val="42"/>
        </w:numPr>
        <w:rPr>
          <w:color w:val="000000" w:themeColor="text1"/>
        </w:rPr>
      </w:pPr>
      <w:r w:rsidRPr="00DD67B4">
        <w:rPr>
          <w:color w:val="000000" w:themeColor="text1"/>
        </w:rPr>
        <w:t>information published on various online channels such as Youth.gov.au.</w:t>
      </w:r>
    </w:p>
    <w:p w:rsidR="00AA5A03" w:rsidRPr="00B83C41" w:rsidRDefault="00AA5A03" w:rsidP="00BC64A3">
      <w:pPr>
        <w:pStyle w:val="Heading3"/>
      </w:pPr>
      <w:r w:rsidRPr="00B83C41">
        <w:t>Employment Service Providers</w:t>
      </w:r>
      <w:bookmarkEnd w:id="113"/>
    </w:p>
    <w:p w:rsidR="00AA5A03" w:rsidRPr="00004649" w:rsidRDefault="00123FA5" w:rsidP="00F83B9D">
      <w:pPr>
        <w:spacing w:before="120"/>
        <w:rPr>
          <w:color w:val="000000" w:themeColor="text1"/>
        </w:rPr>
      </w:pPr>
      <w:r w:rsidRPr="00E964F1">
        <w:t>DoE developed a communication strategy (which had both departments responsible for actioning specific components).</w:t>
      </w:r>
      <w:r w:rsidR="00F83B9D">
        <w:t xml:space="preserve"> </w:t>
      </w:r>
      <w:r w:rsidR="00D743DB">
        <w:rPr>
          <w:color w:val="000000" w:themeColor="text1"/>
        </w:rPr>
        <w:t>T</w:t>
      </w:r>
      <w:r w:rsidR="00AA5A03">
        <w:rPr>
          <w:color w:val="000000" w:themeColor="text1"/>
        </w:rPr>
        <w:t xml:space="preserve">he </w:t>
      </w:r>
      <w:r w:rsidR="007F33D6">
        <w:rPr>
          <w:color w:val="000000" w:themeColor="text1"/>
        </w:rPr>
        <w:t>stra</w:t>
      </w:r>
      <w:r w:rsidR="00AA5A03">
        <w:rPr>
          <w:color w:val="000000" w:themeColor="text1"/>
        </w:rPr>
        <w:t>tegy</w:t>
      </w:r>
      <w:r w:rsidR="00AA5A03" w:rsidRPr="00004649">
        <w:rPr>
          <w:color w:val="000000" w:themeColor="text1"/>
        </w:rPr>
        <w:t xml:space="preserve"> </w:t>
      </w:r>
      <w:r w:rsidR="00B150F7">
        <w:rPr>
          <w:color w:val="000000" w:themeColor="text1"/>
        </w:rPr>
        <w:t xml:space="preserve">assumed </w:t>
      </w:r>
      <w:r w:rsidR="00AA5A03" w:rsidRPr="00004649">
        <w:rPr>
          <w:color w:val="000000" w:themeColor="text1"/>
        </w:rPr>
        <w:t xml:space="preserve">that </w:t>
      </w:r>
      <w:r w:rsidR="004C6670">
        <w:rPr>
          <w:color w:val="000000" w:themeColor="text1"/>
        </w:rPr>
        <w:t xml:space="preserve">employment service </w:t>
      </w:r>
      <w:r w:rsidR="00AA5A03" w:rsidRPr="00004649">
        <w:rPr>
          <w:color w:val="000000" w:themeColor="text1"/>
        </w:rPr>
        <w:t>providers would play an important role in the promotion of the JCB program to</w:t>
      </w:r>
      <w:r w:rsidR="00B150F7">
        <w:rPr>
          <w:color w:val="000000" w:themeColor="text1"/>
        </w:rPr>
        <w:t xml:space="preserve"> young adult</w:t>
      </w:r>
      <w:r w:rsidR="00277236" w:rsidRPr="00277236">
        <w:t xml:space="preserve"> </w:t>
      </w:r>
      <w:r w:rsidR="00277236">
        <w:t>long term unemployed</w:t>
      </w:r>
      <w:r w:rsidR="00277236" w:rsidRPr="00211CE8">
        <w:t xml:space="preserve"> people</w:t>
      </w:r>
      <w:r w:rsidR="00277236">
        <w:t xml:space="preserve"> (LTU)</w:t>
      </w:r>
      <w:r w:rsidR="00AA5A03" w:rsidRPr="00004649">
        <w:rPr>
          <w:color w:val="000000" w:themeColor="text1"/>
        </w:rPr>
        <w:t xml:space="preserve"> job seekers</w:t>
      </w:r>
      <w:r w:rsidR="009521B4">
        <w:rPr>
          <w:color w:val="000000" w:themeColor="text1"/>
        </w:rPr>
        <w:t xml:space="preserve"> on their caseload</w:t>
      </w:r>
      <w:r w:rsidR="00AA5A03" w:rsidRPr="00004649">
        <w:rPr>
          <w:color w:val="000000" w:themeColor="text1"/>
        </w:rPr>
        <w:t>. Initial promotion of the JCB focussed on the National Employment Services Association (NESA) and employment service provider CEOs. Other departmental communications aimed at employment service providers included:</w:t>
      </w:r>
    </w:p>
    <w:p w:rsidR="00AA5A03" w:rsidRPr="00975815" w:rsidRDefault="00AA5A03" w:rsidP="007F2BBB">
      <w:pPr>
        <w:pStyle w:val="ListParagraph"/>
        <w:numPr>
          <w:ilvl w:val="0"/>
          <w:numId w:val="42"/>
        </w:numPr>
        <w:rPr>
          <w:color w:val="000000" w:themeColor="text1"/>
        </w:rPr>
      </w:pPr>
      <w:r w:rsidRPr="00975815">
        <w:rPr>
          <w:color w:val="000000" w:themeColor="text1"/>
        </w:rPr>
        <w:t>a news item on the Provider Portal</w:t>
      </w:r>
      <w:r w:rsidR="009521B4">
        <w:rPr>
          <w:rStyle w:val="FootnoteReference"/>
          <w:color w:val="000000" w:themeColor="text1"/>
        </w:rPr>
        <w:footnoteReference w:id="30"/>
      </w:r>
      <w:r w:rsidRPr="00975815">
        <w:rPr>
          <w:color w:val="000000" w:themeColor="text1"/>
        </w:rPr>
        <w:t xml:space="preserve"> encouraging providers to use the JCB to motivate job seekers </w:t>
      </w:r>
    </w:p>
    <w:p w:rsidR="009521B4" w:rsidRDefault="00AA5A03" w:rsidP="007F2BBB">
      <w:pPr>
        <w:pStyle w:val="ListParagraph"/>
        <w:numPr>
          <w:ilvl w:val="0"/>
          <w:numId w:val="42"/>
        </w:numPr>
        <w:rPr>
          <w:color w:val="000000" w:themeColor="text1"/>
        </w:rPr>
      </w:pPr>
      <w:r w:rsidRPr="009521B4">
        <w:rPr>
          <w:color w:val="000000" w:themeColor="text1"/>
        </w:rPr>
        <w:t xml:space="preserve">information about the JCB on the Provider </w:t>
      </w:r>
      <w:r w:rsidR="009521B4">
        <w:rPr>
          <w:color w:val="000000" w:themeColor="text1"/>
        </w:rPr>
        <w:t>Portal</w:t>
      </w:r>
    </w:p>
    <w:p w:rsidR="00050D59" w:rsidRPr="00050D59" w:rsidRDefault="00AA5A03" w:rsidP="004968D9">
      <w:pPr>
        <w:pStyle w:val="ListParagraph"/>
        <w:numPr>
          <w:ilvl w:val="0"/>
          <w:numId w:val="42"/>
        </w:numPr>
        <w:rPr>
          <w:rFonts w:ascii="Calibri" w:eastAsia="Times New Roman" w:hAnsi="Calibri" w:cs="Calibri"/>
          <w:color w:val="000000"/>
          <w:lang w:eastAsia="en-AU"/>
        </w:rPr>
      </w:pPr>
      <w:r w:rsidRPr="009521B4">
        <w:rPr>
          <w:color w:val="000000" w:themeColor="text1"/>
        </w:rPr>
        <w:t>postcards, posters and fact sheets about the JCB distributed to providers to use and distribute as they saw fit.</w:t>
      </w:r>
    </w:p>
    <w:p w:rsidR="000230E7" w:rsidRPr="00B83C41" w:rsidRDefault="000230E7" w:rsidP="000230E7">
      <w:pPr>
        <w:pStyle w:val="Heading3"/>
      </w:pPr>
      <w:r w:rsidRPr="00B83C41">
        <w:t>Long</w:t>
      </w:r>
      <w:r w:rsidR="00F83B9D">
        <w:t>-</w:t>
      </w:r>
      <w:r w:rsidRPr="00B83C41">
        <w:t>term unemployed job seekers</w:t>
      </w:r>
    </w:p>
    <w:p w:rsidR="000230E7" w:rsidRDefault="000230E7" w:rsidP="000230E7">
      <w:pPr>
        <w:spacing w:before="120"/>
        <w:rPr>
          <w:color w:val="000000" w:themeColor="text1"/>
        </w:rPr>
      </w:pPr>
      <w:r>
        <w:rPr>
          <w:color w:val="000000" w:themeColor="text1"/>
        </w:rPr>
        <w:t>Some participants in the qualitative research stated that once they had learnt of the JCB they told others who might be interested.</w:t>
      </w:r>
    </w:p>
    <w:p w:rsidR="000230E7" w:rsidRDefault="000230E7" w:rsidP="000230E7">
      <w:pPr>
        <w:pStyle w:val="QuotationJCB"/>
      </w:pPr>
      <w:r w:rsidRPr="001E0106">
        <w:t xml:space="preserve">I found out, my sister told me, she was on Centrelink at the time, and I called up probably about a month before I could apply for it, just to see when I would be eligible because like why would I not? </w:t>
      </w:r>
    </w:p>
    <w:p w:rsidR="000230E7" w:rsidRPr="001E0106" w:rsidRDefault="002361DB" w:rsidP="004968D9">
      <w:pPr>
        <w:pStyle w:val="quopteJCB-source"/>
        <w:spacing w:before="0"/>
      </w:pPr>
      <w:r>
        <w:t>October 2016 (Round 3),</w:t>
      </w:r>
      <w:r w:rsidR="000230E7">
        <w:t xml:space="preserve"> received JCB, focus group,</w:t>
      </w:r>
      <w:r w:rsidR="000230E7" w:rsidRPr="001E0106">
        <w:t xml:space="preserve"> </w:t>
      </w:r>
      <w:r w:rsidR="000230E7">
        <w:t>Sydney</w:t>
      </w:r>
    </w:p>
    <w:p w:rsidR="00A4073F" w:rsidRPr="00B83C41" w:rsidRDefault="00A4073F" w:rsidP="00BC64A3">
      <w:pPr>
        <w:pStyle w:val="Heading4"/>
      </w:pPr>
      <w:r w:rsidRPr="00B83C41">
        <w:t>Possible observer effect</w:t>
      </w:r>
    </w:p>
    <w:p w:rsidR="00A4073F" w:rsidRDefault="00A4073F" w:rsidP="00A4073F">
      <w:pPr>
        <w:shd w:val="clear" w:color="auto" w:fill="FFFFFF" w:themeFill="background2"/>
        <w:spacing w:after="120"/>
      </w:pPr>
      <w:r>
        <w:t>C</w:t>
      </w:r>
      <w:r w:rsidRPr="003A4B00">
        <w:t>ommunications</w:t>
      </w:r>
      <w:r>
        <w:t xml:space="preserve"> from the </w:t>
      </w:r>
      <w:r w:rsidR="00A8350D">
        <w:t xml:space="preserve">DoE </w:t>
      </w:r>
      <w:r>
        <w:t>Post Program Monitoring (PPM) survey (</w:t>
      </w:r>
      <w:r w:rsidR="001A7696">
        <w:t>Attachment D</w:t>
      </w:r>
      <w:r>
        <w:t>)</w:t>
      </w:r>
      <w:r w:rsidRPr="003A4B00">
        <w:t xml:space="preserve"> </w:t>
      </w:r>
      <w:r>
        <w:t>may</w:t>
      </w:r>
      <w:r w:rsidRPr="003A4B00">
        <w:t xml:space="preserve"> have encouraged some people to apply for the bonus. As this was sent around the same time as the DHS electronic reminder it </w:t>
      </w:r>
      <w:r>
        <w:t>may</w:t>
      </w:r>
      <w:r w:rsidRPr="003A4B00">
        <w:t xml:space="preserve"> have also served as a reminder </w:t>
      </w:r>
      <w:r>
        <w:t>to</w:t>
      </w:r>
      <w:r w:rsidRPr="003A4B00">
        <w:t xml:space="preserve"> eligible applicants.</w:t>
      </w:r>
    </w:p>
    <w:p w:rsidR="00A94A33" w:rsidRDefault="00A94A33" w:rsidP="00A4073F">
      <w:pPr>
        <w:shd w:val="clear" w:color="auto" w:fill="FFFFFF" w:themeFill="background2"/>
        <w:spacing w:after="120"/>
      </w:pPr>
      <w:r>
        <w:t xml:space="preserve">Also, recruitment for </w:t>
      </w:r>
      <w:r w:rsidR="00334778">
        <w:t xml:space="preserve">the </w:t>
      </w:r>
      <w:r>
        <w:t xml:space="preserve">qualitative </w:t>
      </w:r>
      <w:r w:rsidR="00F83B9D">
        <w:t>field</w:t>
      </w:r>
      <w:r>
        <w:t xml:space="preserve">work for this evaluation may also have created an increased awareness of the program </w:t>
      </w:r>
      <w:r w:rsidR="00DD3EBE">
        <w:t>among</w:t>
      </w:r>
      <w:r>
        <w:t xml:space="preserve"> those contacted. In fact, a few participants in the </w:t>
      </w:r>
      <w:r w:rsidR="00050D59">
        <w:t>Round 2</w:t>
      </w:r>
      <w:r>
        <w:t xml:space="preserve"> </w:t>
      </w:r>
      <w:r w:rsidR="00334778">
        <w:t xml:space="preserve">fieldwork </w:t>
      </w:r>
      <w:r>
        <w:t xml:space="preserve">indicated they </w:t>
      </w:r>
      <w:r w:rsidR="00DD3EBE">
        <w:t xml:space="preserve">only became </w:t>
      </w:r>
      <w:r>
        <w:t xml:space="preserve">aware of the bonus </w:t>
      </w:r>
      <w:r w:rsidR="00F83B9D">
        <w:t xml:space="preserve">after receiving </w:t>
      </w:r>
      <w:r>
        <w:t xml:space="preserve">the call </w:t>
      </w:r>
      <w:r w:rsidR="00427F31">
        <w:t xml:space="preserve">about the </w:t>
      </w:r>
      <w:r>
        <w:t>re</w:t>
      </w:r>
      <w:r w:rsidR="00427F31">
        <w:t>search</w:t>
      </w:r>
      <w:r>
        <w:t xml:space="preserve"> </w:t>
      </w:r>
      <w:r w:rsidR="00DD3EBE">
        <w:t xml:space="preserve">and </w:t>
      </w:r>
      <w:r>
        <w:t>had lodged a claim</w:t>
      </w:r>
      <w:r w:rsidR="00F83B9D" w:rsidRPr="00F83B9D">
        <w:t xml:space="preserve"> </w:t>
      </w:r>
      <w:r w:rsidR="00F83B9D">
        <w:t>as a result</w:t>
      </w:r>
      <w:r>
        <w:t>.</w:t>
      </w:r>
    </w:p>
    <w:p w:rsidR="00497279" w:rsidRDefault="006128DA" w:rsidP="006128DA">
      <w:pPr>
        <w:pStyle w:val="Heading2"/>
      </w:pPr>
      <w:bookmarkStart w:id="114" w:name="_Toc507600242"/>
      <w:r>
        <w:lastRenderedPageBreak/>
        <w:t>3.4</w:t>
      </w:r>
      <w:r w:rsidR="00497279">
        <w:tab/>
      </w:r>
      <w:bookmarkStart w:id="115" w:name="_Toc478117571"/>
      <w:r w:rsidR="00497279">
        <w:t>Applicatio</w:t>
      </w:r>
      <w:r w:rsidR="009E2C6C">
        <w:t>n process</w:t>
      </w:r>
      <w:bookmarkEnd w:id="114"/>
      <w:bookmarkEnd w:id="115"/>
      <w:r w:rsidR="009E2C6C">
        <w:t xml:space="preserve"> </w:t>
      </w:r>
    </w:p>
    <w:p w:rsidR="00C14DAC" w:rsidRPr="0018315C" w:rsidRDefault="00C14DAC" w:rsidP="007B55C3">
      <w:pPr>
        <w:keepNext/>
        <w:pBdr>
          <w:top w:val="single" w:sz="4" w:space="1" w:color="auto"/>
          <w:left w:val="single" w:sz="4" w:space="4" w:color="auto"/>
          <w:bottom w:val="single" w:sz="4" w:space="1" w:color="auto"/>
          <w:right w:val="single" w:sz="4" w:space="4" w:color="auto"/>
        </w:pBdr>
        <w:shd w:val="clear" w:color="auto" w:fill="FDCBA0"/>
        <w:spacing w:after="120"/>
        <w:rPr>
          <w:rStyle w:val="Strong"/>
        </w:rPr>
      </w:pPr>
      <w:r w:rsidRPr="0018315C">
        <w:rPr>
          <w:rStyle w:val="Strong"/>
        </w:rPr>
        <w:t>Highlights</w:t>
      </w:r>
    </w:p>
    <w:p w:rsidR="0096250C" w:rsidRDefault="00FA32B0" w:rsidP="00FA32B0">
      <w:pPr>
        <w:keepNext/>
        <w:pBdr>
          <w:top w:val="single" w:sz="4" w:space="1" w:color="auto"/>
          <w:left w:val="single" w:sz="4" w:space="4" w:color="auto"/>
          <w:bottom w:val="single" w:sz="4" w:space="1" w:color="auto"/>
          <w:right w:val="single" w:sz="4" w:space="4" w:color="auto"/>
        </w:pBdr>
        <w:shd w:val="clear" w:color="auto" w:fill="FDCBA0"/>
        <w:spacing w:before="120" w:after="0"/>
      </w:pPr>
      <w:r>
        <w:t>M</w:t>
      </w:r>
      <w:r w:rsidR="00497279">
        <w:t xml:space="preserve">ost applicants found the online system well organised and the application process </w:t>
      </w:r>
      <w:r w:rsidR="00364381">
        <w:t>relatively easy to follow</w:t>
      </w:r>
      <w:r w:rsidR="00427F31">
        <w:t>.</w:t>
      </w:r>
      <w:r w:rsidR="00A37029">
        <w:t xml:space="preserve"> Payments were also more timely than expected.</w:t>
      </w:r>
    </w:p>
    <w:p w:rsidR="00497279" w:rsidRDefault="0096250C" w:rsidP="00FA32B0">
      <w:pPr>
        <w:keepNext/>
        <w:pBdr>
          <w:top w:val="single" w:sz="4" w:space="1" w:color="auto"/>
          <w:left w:val="single" w:sz="4" w:space="4" w:color="auto"/>
          <w:bottom w:val="single" w:sz="4" w:space="1" w:color="auto"/>
          <w:right w:val="single" w:sz="4" w:space="4" w:color="auto"/>
        </w:pBdr>
        <w:shd w:val="clear" w:color="auto" w:fill="FDCBA0"/>
        <w:spacing w:before="120" w:after="0"/>
      </w:pPr>
      <w:r>
        <w:t xml:space="preserve">While collating supporting documentation was not a problem for many, some </w:t>
      </w:r>
      <w:r w:rsidR="00F71ECD">
        <w:t xml:space="preserve">anticipated </w:t>
      </w:r>
      <w:r>
        <w:t>that it would be difficult.</w:t>
      </w:r>
    </w:p>
    <w:p w:rsidR="00FA32B0" w:rsidRDefault="00FA32B0" w:rsidP="00FA32B0">
      <w:pPr>
        <w:keepNext/>
        <w:pBdr>
          <w:top w:val="single" w:sz="4" w:space="1" w:color="auto"/>
          <w:left w:val="single" w:sz="4" w:space="4" w:color="auto"/>
          <w:bottom w:val="single" w:sz="4" w:space="1" w:color="auto"/>
          <w:right w:val="single" w:sz="4" w:space="4" w:color="auto"/>
        </w:pBdr>
        <w:shd w:val="clear" w:color="auto" w:fill="FDCBA0"/>
        <w:spacing w:before="120" w:after="0"/>
      </w:pPr>
      <w:r>
        <w:t xml:space="preserve">Issues </w:t>
      </w:r>
      <w:r w:rsidR="00B150F7">
        <w:t xml:space="preserve">that were </w:t>
      </w:r>
      <w:r w:rsidR="002C5152">
        <w:t>identified</w:t>
      </w:r>
      <w:r>
        <w:t xml:space="preserve"> with the application process </w:t>
      </w:r>
      <w:r w:rsidR="00A52E37">
        <w:t>included</w:t>
      </w:r>
      <w:r>
        <w:t>:</w:t>
      </w:r>
    </w:p>
    <w:p w:rsidR="00187001" w:rsidRDefault="00427F31" w:rsidP="00E3205B">
      <w:pPr>
        <w:pStyle w:val="ListParagraph"/>
        <w:keepNext/>
        <w:numPr>
          <w:ilvl w:val="0"/>
          <w:numId w:val="67"/>
        </w:numPr>
        <w:pBdr>
          <w:top w:val="single" w:sz="4" w:space="1" w:color="auto"/>
          <w:left w:val="single" w:sz="4" w:space="4" w:color="auto"/>
          <w:bottom w:val="single" w:sz="4" w:space="1" w:color="auto"/>
          <w:right w:val="single" w:sz="4" w:space="4" w:color="auto"/>
        </w:pBdr>
        <w:shd w:val="clear" w:color="auto" w:fill="FDCBA0"/>
        <w:spacing w:before="120" w:after="0"/>
        <w:ind w:left="426" w:hanging="426"/>
      </w:pPr>
      <w:r>
        <w:t>there was no automatic</w:t>
      </w:r>
      <w:r w:rsidR="00187001">
        <w:t xml:space="preserve"> acknowledgement of claims </w:t>
      </w:r>
      <w:r w:rsidR="00A21A3C">
        <w:t>or</w:t>
      </w:r>
      <w:r>
        <w:t xml:space="preserve"> </w:t>
      </w:r>
      <w:r w:rsidR="00187001">
        <w:t>ability to check on claim progress</w:t>
      </w:r>
    </w:p>
    <w:p w:rsidR="00FA32B0" w:rsidRDefault="00FA32B0" w:rsidP="00E3205B">
      <w:pPr>
        <w:pStyle w:val="ListParagraph"/>
        <w:keepNext/>
        <w:numPr>
          <w:ilvl w:val="0"/>
          <w:numId w:val="67"/>
        </w:numPr>
        <w:pBdr>
          <w:top w:val="single" w:sz="4" w:space="1" w:color="auto"/>
          <w:left w:val="single" w:sz="4" w:space="4" w:color="auto"/>
          <w:bottom w:val="single" w:sz="4" w:space="1" w:color="auto"/>
          <w:right w:val="single" w:sz="4" w:space="4" w:color="auto"/>
        </w:pBdr>
        <w:shd w:val="clear" w:color="auto" w:fill="FDCBA0"/>
        <w:spacing w:before="120" w:after="0"/>
        <w:ind w:left="426" w:hanging="426"/>
      </w:pPr>
      <w:r>
        <w:t>a</w:t>
      </w:r>
      <w:r w:rsidR="0012732E">
        <w:t xml:space="preserve">ccessing myGov accounts </w:t>
      </w:r>
      <w:r>
        <w:t xml:space="preserve">was problematic for some as their accounts had become inactive </w:t>
      </w:r>
    </w:p>
    <w:p w:rsidR="00497279" w:rsidRDefault="00FA32B0" w:rsidP="00E3205B">
      <w:pPr>
        <w:pStyle w:val="ListParagraph"/>
        <w:keepNext/>
        <w:numPr>
          <w:ilvl w:val="0"/>
          <w:numId w:val="67"/>
        </w:numPr>
        <w:pBdr>
          <w:top w:val="single" w:sz="4" w:space="1" w:color="auto"/>
          <w:left w:val="single" w:sz="4" w:space="4" w:color="auto"/>
          <w:bottom w:val="single" w:sz="4" w:space="1" w:color="auto"/>
          <w:right w:val="single" w:sz="4" w:space="4" w:color="auto"/>
        </w:pBdr>
        <w:shd w:val="clear" w:color="auto" w:fill="FDCBA0"/>
        <w:spacing w:before="120" w:after="0"/>
        <w:ind w:left="426" w:hanging="426"/>
      </w:pPr>
      <w:r>
        <w:t>l</w:t>
      </w:r>
      <w:r w:rsidR="00497279">
        <w:t xml:space="preserve">imited knowledge about the JCB in </w:t>
      </w:r>
      <w:r w:rsidR="00EC4E01">
        <w:t xml:space="preserve">some </w:t>
      </w:r>
      <w:r w:rsidR="00497279">
        <w:t>DHS Customer Service Centres.</w:t>
      </w:r>
    </w:p>
    <w:p w:rsidR="00497279" w:rsidRPr="00497279" w:rsidRDefault="00497279" w:rsidP="00497279">
      <w:pPr>
        <w:pStyle w:val="Source"/>
        <w:ind w:left="360"/>
        <w:rPr>
          <w:b w:val="0"/>
        </w:rPr>
      </w:pPr>
    </w:p>
    <w:p w:rsidR="00AB26F1" w:rsidRDefault="00A52E37" w:rsidP="00AB26F1">
      <w:pPr>
        <w:spacing w:before="120" w:after="0"/>
        <w:rPr>
          <w:szCs w:val="20"/>
        </w:rPr>
      </w:pPr>
      <w:r>
        <w:rPr>
          <w:szCs w:val="20"/>
        </w:rPr>
        <w:t>Applicants</w:t>
      </w:r>
      <w:r w:rsidR="00AB26F1">
        <w:rPr>
          <w:szCs w:val="20"/>
        </w:rPr>
        <w:t xml:space="preserve"> lodged claims using their myGov accounts, by providing employment details, includ</w:t>
      </w:r>
      <w:r>
        <w:rPr>
          <w:szCs w:val="20"/>
        </w:rPr>
        <w:t>ing</w:t>
      </w:r>
      <w:r w:rsidR="00AB26F1">
        <w:rPr>
          <w:szCs w:val="20"/>
        </w:rPr>
        <w:t xml:space="preserve"> the</w:t>
      </w:r>
      <w:r>
        <w:rPr>
          <w:szCs w:val="20"/>
        </w:rPr>
        <w:t xml:space="preserve"> employer</w:t>
      </w:r>
      <w:r w:rsidR="001A7696">
        <w:rPr>
          <w:szCs w:val="20"/>
        </w:rPr>
        <w:t>’</w:t>
      </w:r>
      <w:r>
        <w:rPr>
          <w:szCs w:val="20"/>
        </w:rPr>
        <w:t xml:space="preserve">s </w:t>
      </w:r>
      <w:r w:rsidR="00AB26F1">
        <w:rPr>
          <w:szCs w:val="20"/>
        </w:rPr>
        <w:t xml:space="preserve">ABN </w:t>
      </w:r>
      <w:r>
        <w:rPr>
          <w:szCs w:val="20"/>
        </w:rPr>
        <w:t>(for all their employers over the period worked)</w:t>
      </w:r>
      <w:r w:rsidR="00AB26F1">
        <w:rPr>
          <w:szCs w:val="20"/>
        </w:rPr>
        <w:t xml:space="preserve"> and </w:t>
      </w:r>
      <w:r w:rsidR="001D79BD">
        <w:rPr>
          <w:szCs w:val="20"/>
        </w:rPr>
        <w:t xml:space="preserve">by </w:t>
      </w:r>
      <w:r w:rsidR="00AB26F1">
        <w:rPr>
          <w:szCs w:val="20"/>
        </w:rPr>
        <w:t>submitting:</w:t>
      </w:r>
    </w:p>
    <w:p w:rsidR="00AB26F1" w:rsidRPr="00A4075C" w:rsidRDefault="00AB26F1" w:rsidP="00A16659">
      <w:pPr>
        <w:pStyle w:val="ListParagraph"/>
        <w:numPr>
          <w:ilvl w:val="0"/>
          <w:numId w:val="40"/>
        </w:numPr>
        <w:spacing w:before="120" w:after="0"/>
        <w:rPr>
          <w:szCs w:val="20"/>
        </w:rPr>
      </w:pPr>
      <w:r w:rsidRPr="00A4075C">
        <w:rPr>
          <w:szCs w:val="20"/>
        </w:rPr>
        <w:t>the first and the most recent payslips from each employer and one payslip per quarter in a work period from any employer and/or</w:t>
      </w:r>
    </w:p>
    <w:p w:rsidR="00AB26F1" w:rsidRDefault="00AB26F1" w:rsidP="00A16659">
      <w:pPr>
        <w:pStyle w:val="ListParagraph"/>
        <w:numPr>
          <w:ilvl w:val="0"/>
          <w:numId w:val="40"/>
        </w:numPr>
        <w:spacing w:before="120" w:after="0"/>
        <w:rPr>
          <w:szCs w:val="20"/>
        </w:rPr>
      </w:pPr>
      <w:r w:rsidRPr="00A4075C">
        <w:rPr>
          <w:szCs w:val="20"/>
        </w:rPr>
        <w:t>evidence of income earned from a business (for self-employed work).</w:t>
      </w:r>
    </w:p>
    <w:p w:rsidR="00AB26F1" w:rsidRDefault="00427F31" w:rsidP="00AB26F1">
      <w:pPr>
        <w:spacing w:before="120" w:after="0"/>
        <w:rPr>
          <w:szCs w:val="20"/>
        </w:rPr>
      </w:pPr>
      <w:r>
        <w:rPr>
          <w:szCs w:val="20"/>
        </w:rPr>
        <w:t>A</w:t>
      </w:r>
      <w:r w:rsidR="00AB26F1">
        <w:rPr>
          <w:szCs w:val="20"/>
        </w:rPr>
        <w:t xml:space="preserve">pplication forms (paper) </w:t>
      </w:r>
      <w:r>
        <w:rPr>
          <w:szCs w:val="20"/>
        </w:rPr>
        <w:t xml:space="preserve">could also be lodged </w:t>
      </w:r>
      <w:r w:rsidR="00AB26F1">
        <w:rPr>
          <w:szCs w:val="20"/>
        </w:rPr>
        <w:t>at DHS Customer Service Centres.</w:t>
      </w:r>
    </w:p>
    <w:p w:rsidR="00AB26F1" w:rsidRDefault="00AB26F1" w:rsidP="00AB26F1">
      <w:pPr>
        <w:spacing w:before="120"/>
      </w:pPr>
      <w:r w:rsidRPr="003A4B00">
        <w:t>Applicants ha</w:t>
      </w:r>
      <w:r>
        <w:t>d</w:t>
      </w:r>
      <w:r w:rsidRPr="003A4B00">
        <w:t xml:space="preserve"> 90 days to apply for the </w:t>
      </w:r>
      <w:r w:rsidR="007F6C70">
        <w:t>bonus</w:t>
      </w:r>
      <w:r w:rsidRPr="003A4B00">
        <w:t xml:space="preserve"> from the day they</w:t>
      </w:r>
      <w:r w:rsidR="00EC4E01">
        <w:t xml:space="preserve"> first</w:t>
      </w:r>
      <w:r w:rsidRPr="003A4B00">
        <w:t xml:space="preserve"> met eligibility requirements. People who miss</w:t>
      </w:r>
      <w:r>
        <w:t>ed</w:t>
      </w:r>
      <w:r w:rsidRPr="003A4B00">
        <w:t xml:space="preserve"> the 90 day </w:t>
      </w:r>
      <w:r w:rsidR="00A52E37">
        <w:t>window</w:t>
      </w:r>
      <w:r w:rsidRPr="003A4B00">
        <w:t xml:space="preserve"> ha</w:t>
      </w:r>
      <w:r>
        <w:t>d</w:t>
      </w:r>
      <w:r w:rsidRPr="003A4B00">
        <w:t xml:space="preserve"> a second opportunity to claim JCB1</w:t>
      </w:r>
      <w:r>
        <w:t>,</w:t>
      </w:r>
      <w:r w:rsidRPr="003A4B00">
        <w:t xml:space="preserve"> when lodging a claim for the second bonus</w:t>
      </w:r>
      <w:r>
        <w:t xml:space="preserve">. However, they had to be eligible and approved for both bonuses to receive </w:t>
      </w:r>
      <w:r w:rsidR="007F6C70">
        <w:t>JCB1</w:t>
      </w:r>
      <w:r>
        <w:t xml:space="preserve"> at this second opportunity.</w:t>
      </w:r>
      <w:r w:rsidRPr="003A4B00">
        <w:t xml:space="preserve"> </w:t>
      </w:r>
      <w:r w:rsidRPr="00AB26F1">
        <w:t xml:space="preserve">Applicants were advised in writing whether their claim was granted, rejected or required further evidence. There was an appeals process for </w:t>
      </w:r>
      <w:r w:rsidR="007F6C70">
        <w:t xml:space="preserve">rejected </w:t>
      </w:r>
      <w:r w:rsidRPr="00AB26F1">
        <w:t>claim</w:t>
      </w:r>
      <w:r w:rsidR="007F6C70">
        <w:t>s</w:t>
      </w:r>
      <w:r w:rsidRPr="00AB26F1">
        <w:t>.</w:t>
      </w:r>
    </w:p>
    <w:p w:rsidR="004A6FC4" w:rsidRDefault="00AF32E9" w:rsidP="00AF32E9">
      <w:pPr>
        <w:pStyle w:val="Heading3"/>
      </w:pPr>
      <w:r>
        <w:t>3.4.1</w:t>
      </w:r>
      <w:r>
        <w:tab/>
      </w:r>
      <w:r w:rsidR="004A6FC4">
        <w:t>Eligibility</w:t>
      </w:r>
    </w:p>
    <w:p w:rsidR="004A6FC4" w:rsidRDefault="0096250C" w:rsidP="004A6FC4">
      <w:pPr>
        <w:spacing w:before="120"/>
      </w:pPr>
      <w:r>
        <w:rPr>
          <w:szCs w:val="20"/>
        </w:rPr>
        <w:t>Research p</w:t>
      </w:r>
      <w:r w:rsidR="004A6FC4">
        <w:rPr>
          <w:szCs w:val="20"/>
        </w:rPr>
        <w:t>articipants</w:t>
      </w:r>
      <w:r w:rsidR="004A6FC4" w:rsidRPr="00F84A12">
        <w:rPr>
          <w:szCs w:val="20"/>
        </w:rPr>
        <w:t xml:space="preserve"> who had lodged a </w:t>
      </w:r>
      <w:r w:rsidR="00247216">
        <w:rPr>
          <w:szCs w:val="20"/>
        </w:rPr>
        <w:t xml:space="preserve">JCB </w:t>
      </w:r>
      <w:r w:rsidR="004A6FC4" w:rsidRPr="00F84A12">
        <w:rPr>
          <w:szCs w:val="20"/>
        </w:rPr>
        <w:t xml:space="preserve">claim </w:t>
      </w:r>
      <w:r w:rsidR="004A6FC4">
        <w:rPr>
          <w:szCs w:val="20"/>
        </w:rPr>
        <w:t xml:space="preserve">said that they </w:t>
      </w:r>
      <w:r w:rsidR="004A6FC4" w:rsidRPr="00F84A12">
        <w:rPr>
          <w:szCs w:val="20"/>
        </w:rPr>
        <w:t xml:space="preserve">researched eligibility criteria </w:t>
      </w:r>
      <w:r w:rsidR="004A6FC4">
        <w:rPr>
          <w:szCs w:val="20"/>
        </w:rPr>
        <w:t>mostly from</w:t>
      </w:r>
      <w:r w:rsidR="004A6FC4" w:rsidRPr="00F84A12">
        <w:rPr>
          <w:szCs w:val="20"/>
        </w:rPr>
        <w:t xml:space="preserve"> government websi</w:t>
      </w:r>
      <w:r w:rsidR="004A6FC4">
        <w:rPr>
          <w:szCs w:val="20"/>
        </w:rPr>
        <w:t>tes (Centrelink, DHS and myGov).</w:t>
      </w:r>
      <w:r w:rsidR="004A6FC4" w:rsidRPr="00934B23">
        <w:t xml:space="preserve"> </w:t>
      </w:r>
      <w:r w:rsidR="004A6FC4" w:rsidRPr="003A4B00">
        <w:t>Participants were generally confident of their eligibility based on th</w:t>
      </w:r>
      <w:r w:rsidR="00247216">
        <w:t xml:space="preserve">is </w:t>
      </w:r>
      <w:r w:rsidR="004A6FC4" w:rsidRPr="003A4B00">
        <w:t>research</w:t>
      </w:r>
      <w:r w:rsidR="00602B02">
        <w:t>.</w:t>
      </w:r>
    </w:p>
    <w:p w:rsidR="004A6FC4" w:rsidRDefault="004A6FC4" w:rsidP="004A6FC4">
      <w:pPr>
        <w:spacing w:before="120"/>
      </w:pPr>
      <w:r>
        <w:t>The restriction that the on-line link to apply was only available once people had been off income support for at least 12 months was raised by some, with one participant mentioning that he had used the on-line eligibility checker (that only became available once the live link for the JCB was available on myGov):</w:t>
      </w:r>
    </w:p>
    <w:p w:rsidR="004A6FC4" w:rsidRPr="00AB26F1" w:rsidRDefault="004A6FC4" w:rsidP="004A6FC4">
      <w:pPr>
        <w:pStyle w:val="QuotationJCB"/>
      </w:pPr>
      <w:r w:rsidRPr="00AB26F1">
        <w:t>So you have to wait exactly 12 months to the day for you to be able to go online and actually apply for it. So the day that you last receive your payment to that very day so you can’t actually apply for it just before that so it’s ready on that day. It says “Look you can apply for it” but it doesn’t give you that timeframe and when you can actually apply for it.</w:t>
      </w:r>
    </w:p>
    <w:p w:rsidR="004A6FC4" w:rsidRPr="004A774E" w:rsidRDefault="002361DB" w:rsidP="004968D9">
      <w:pPr>
        <w:pStyle w:val="quopteJCB-source"/>
        <w:spacing w:before="0"/>
        <w:rPr>
          <w:rFonts w:eastAsia="Times New Roman"/>
          <w:lang w:eastAsia="en-AU"/>
        </w:rPr>
      </w:pPr>
      <w:r>
        <w:rPr>
          <w:rFonts w:eastAsia="Times New Roman"/>
          <w:lang w:eastAsia="en-AU"/>
        </w:rPr>
        <w:t>November 2015 (Round 2),</w:t>
      </w:r>
      <w:r w:rsidR="004A6FC4" w:rsidRPr="004A774E">
        <w:rPr>
          <w:rFonts w:eastAsia="Times New Roman"/>
          <w:lang w:eastAsia="en-AU"/>
        </w:rPr>
        <w:t xml:space="preserve"> </w:t>
      </w:r>
      <w:r w:rsidR="004A6FC4">
        <w:rPr>
          <w:rFonts w:eastAsia="Times New Roman"/>
          <w:lang w:eastAsia="en-AU"/>
        </w:rPr>
        <w:t xml:space="preserve">received JCB, </w:t>
      </w:r>
      <w:r w:rsidR="004A6FC4" w:rsidRPr="004A774E">
        <w:rPr>
          <w:rFonts w:eastAsia="Times New Roman"/>
          <w:lang w:eastAsia="en-AU"/>
        </w:rPr>
        <w:t>female, under 25 years, non-metropolitan</w:t>
      </w:r>
    </w:p>
    <w:p w:rsidR="004A6FC4" w:rsidRPr="004A774E" w:rsidRDefault="004A6FC4" w:rsidP="004A6FC4">
      <w:pPr>
        <w:pStyle w:val="QuotationJCB"/>
      </w:pPr>
      <w:r w:rsidRPr="004A774E">
        <w:lastRenderedPageBreak/>
        <w:t>I think I just got an email. And it said “If I’d like to participate in a survey”, or something like that. And then I click on to it and it was like eight questions and then that determined whether I was eligible for it.</w:t>
      </w:r>
    </w:p>
    <w:p w:rsidR="004A6FC4" w:rsidRPr="003A4B00" w:rsidRDefault="002361DB" w:rsidP="004968D9">
      <w:pPr>
        <w:pStyle w:val="quopteJCB-source"/>
        <w:spacing w:before="0"/>
      </w:pPr>
      <w:r>
        <w:t>November 2015 (Round 2),</w:t>
      </w:r>
      <w:r w:rsidR="004A6FC4" w:rsidRPr="004A774E">
        <w:rPr>
          <w:rFonts w:eastAsia="Times New Roman"/>
          <w:lang w:eastAsia="en-AU"/>
        </w:rPr>
        <w:t xml:space="preserve"> </w:t>
      </w:r>
      <w:r w:rsidR="004A6FC4">
        <w:rPr>
          <w:rFonts w:eastAsia="Times New Roman"/>
          <w:lang w:eastAsia="en-AU"/>
        </w:rPr>
        <w:t xml:space="preserve">received JCB, </w:t>
      </w:r>
      <w:r w:rsidR="004A6FC4" w:rsidRPr="004A774E">
        <w:t>male, 25 years or more, non-metropolitan</w:t>
      </w:r>
    </w:p>
    <w:p w:rsidR="00EA7AEA" w:rsidRDefault="00427F31" w:rsidP="00EA7AEA">
      <w:pPr>
        <w:spacing w:before="120"/>
      </w:pPr>
      <w:r>
        <w:t>People</w:t>
      </w:r>
      <w:r w:rsidRPr="003A4B00">
        <w:t xml:space="preserve"> </w:t>
      </w:r>
      <w:r w:rsidR="00EA7AEA">
        <w:t>with</w:t>
      </w:r>
      <w:r w:rsidR="00EA7AEA" w:rsidRPr="003A4B00">
        <w:t xml:space="preserve"> further queries either telephoned or visited a DHS shopfront. </w:t>
      </w:r>
      <w:r w:rsidR="00EA7AEA">
        <w:t xml:space="preserve">These </w:t>
      </w:r>
      <w:r w:rsidR="00EA7AEA" w:rsidRPr="003A4B00">
        <w:t xml:space="preserve">participants found that </w:t>
      </w:r>
      <w:r w:rsidR="00EA7AEA">
        <w:t>while</w:t>
      </w:r>
      <w:r w:rsidR="00EA7AEA" w:rsidRPr="003A4B00">
        <w:t xml:space="preserve"> staff members</w:t>
      </w:r>
      <w:r w:rsidR="00EA7AEA" w:rsidRPr="00AD7939">
        <w:t xml:space="preserve"> </w:t>
      </w:r>
      <w:r w:rsidR="00EA7AEA" w:rsidRPr="003A4B00">
        <w:t xml:space="preserve">were helpful, </w:t>
      </w:r>
      <w:r w:rsidR="00EA7AEA">
        <w:t>some had limited JCB</w:t>
      </w:r>
      <w:r w:rsidR="00EA7AEA" w:rsidRPr="003A4B00">
        <w:t xml:space="preserve"> knowledge.</w:t>
      </w:r>
    </w:p>
    <w:p w:rsidR="00EA7AEA" w:rsidRDefault="00EA7AEA" w:rsidP="00EA7AEA">
      <w:pPr>
        <w:pStyle w:val="QuotationJCB"/>
      </w:pPr>
      <w:r>
        <w:t>After one year to my work, I was very excited and go to Centrelink and report them that yes I’m one year now I can get the bonus. But the person who I’m talking in the centre, I showed them the letter that they sent me, because it’s telling me it’s from the Centrelink, they don’t even know about.</w:t>
      </w:r>
    </w:p>
    <w:p w:rsidR="00EA7AEA" w:rsidRDefault="00EA7AEA" w:rsidP="004968D9">
      <w:pPr>
        <w:pStyle w:val="quopteJCB-source"/>
        <w:spacing w:before="0"/>
      </w:pPr>
      <w:r>
        <w:t xml:space="preserve"> </w:t>
      </w:r>
      <w:r w:rsidR="002361DB">
        <w:t>October 2016 (Round 3),</w:t>
      </w:r>
      <w:r>
        <w:t xml:space="preserve"> received JCB, focus group,</w:t>
      </w:r>
      <w:r w:rsidRPr="0085604E">
        <w:t xml:space="preserve"> </w:t>
      </w:r>
      <w:r>
        <w:t>Gold Coast</w:t>
      </w:r>
    </w:p>
    <w:p w:rsidR="00EA7AEA" w:rsidRDefault="00EA7AEA" w:rsidP="007D65F2">
      <w:pPr>
        <w:pStyle w:val="QuotationJCB"/>
      </w:pPr>
      <w:r>
        <w:t xml:space="preserve">I think there needs to be a lot more clarification with the actual Centrelink Employees, like I went in there to ask them about my first one and I got three different answers from four different people. </w:t>
      </w:r>
    </w:p>
    <w:p w:rsidR="00247216" w:rsidRPr="000702DA" w:rsidRDefault="002361DB" w:rsidP="004968D9">
      <w:pPr>
        <w:pStyle w:val="quopteJCB-source"/>
        <w:spacing w:before="0"/>
      </w:pPr>
      <w:r>
        <w:t>October 2016 (Round 3),</w:t>
      </w:r>
      <w:r w:rsidR="00247216">
        <w:t xml:space="preserve"> received JCB, focus group, Sydney</w:t>
      </w:r>
    </w:p>
    <w:p w:rsidR="004A6FC4" w:rsidRPr="004A6FC4" w:rsidRDefault="00AF32E9" w:rsidP="00247216">
      <w:pPr>
        <w:pStyle w:val="Heading3"/>
      </w:pPr>
      <w:r>
        <w:t>3.4.2</w:t>
      </w:r>
      <w:r>
        <w:tab/>
      </w:r>
      <w:r w:rsidR="00EA7AEA">
        <w:t>Lodgement</w:t>
      </w:r>
    </w:p>
    <w:p w:rsidR="00A83AB7" w:rsidRDefault="00A83AB7" w:rsidP="00247216">
      <w:pPr>
        <w:pStyle w:val="Heading4"/>
      </w:pPr>
      <w:r>
        <w:t xml:space="preserve">Positive </w:t>
      </w:r>
      <w:r w:rsidR="00656A3A">
        <w:t>experiences</w:t>
      </w:r>
    </w:p>
    <w:p w:rsidR="009F7A5B" w:rsidRDefault="00427F31" w:rsidP="009F7A5B">
      <w:pPr>
        <w:spacing w:before="120"/>
      </w:pPr>
      <w:r>
        <w:t>E</w:t>
      </w:r>
      <w:r w:rsidR="00AB26F1">
        <w:t xml:space="preserve">xperiences with the application process were discussed with </w:t>
      </w:r>
      <w:r w:rsidR="001D79BD">
        <w:t xml:space="preserve">a small sample of </w:t>
      </w:r>
      <w:r w:rsidR="00474F55">
        <w:t>JCB applicants.</w:t>
      </w:r>
      <w:r w:rsidR="00AB26F1">
        <w:rPr>
          <w:rStyle w:val="FootnoteReference"/>
        </w:rPr>
        <w:footnoteReference w:id="31"/>
      </w:r>
      <w:r w:rsidR="00AB26F1" w:rsidRPr="003A4B00">
        <w:t xml:space="preserve"> </w:t>
      </w:r>
      <w:r w:rsidR="00AB26F1">
        <w:t>The application process</w:t>
      </w:r>
      <w:r w:rsidR="00AB26F1" w:rsidRPr="003A4B00">
        <w:t xml:space="preserve"> appeared more straightforward for </w:t>
      </w:r>
      <w:r w:rsidR="00AB26F1">
        <w:t>claimants</w:t>
      </w:r>
      <w:r w:rsidR="00AB26F1" w:rsidRPr="003A4B00">
        <w:t xml:space="preserve"> w</w:t>
      </w:r>
      <w:r w:rsidR="00474F55">
        <w:t>ith</w:t>
      </w:r>
      <w:r w:rsidR="00AB26F1" w:rsidRPr="003A4B00">
        <w:t xml:space="preserve"> previous </w:t>
      </w:r>
      <w:r w:rsidR="00AB26F1">
        <w:t>m</w:t>
      </w:r>
      <w:r w:rsidR="00AB26F1" w:rsidRPr="003A4B00">
        <w:t xml:space="preserve">yGov </w:t>
      </w:r>
      <w:r w:rsidR="00474F55">
        <w:t>experience</w:t>
      </w:r>
      <w:r w:rsidR="00AB26F1" w:rsidRPr="003A4B00">
        <w:t xml:space="preserve">. Overall, time taken to complete the application was within </w:t>
      </w:r>
      <w:r w:rsidR="001A7696">
        <w:t xml:space="preserve">their </w:t>
      </w:r>
      <w:r w:rsidR="00AB26F1" w:rsidRPr="003A4B00">
        <w:t>expectations</w:t>
      </w:r>
      <w:r w:rsidR="009F7A5B">
        <w:t>.</w:t>
      </w:r>
    </w:p>
    <w:p w:rsidR="00A83AB7" w:rsidRPr="00497279" w:rsidRDefault="00A83AB7" w:rsidP="00A83AB7">
      <w:pPr>
        <w:spacing w:before="120"/>
        <w:rPr>
          <w:szCs w:val="20"/>
        </w:rPr>
      </w:pPr>
      <w:r>
        <w:rPr>
          <w:szCs w:val="20"/>
        </w:rPr>
        <w:t xml:space="preserve">Many participants who </w:t>
      </w:r>
      <w:r w:rsidRPr="00497279">
        <w:rPr>
          <w:szCs w:val="20"/>
        </w:rPr>
        <w:t xml:space="preserve">applied for the </w:t>
      </w:r>
      <w:r w:rsidR="007A14C1">
        <w:rPr>
          <w:szCs w:val="20"/>
        </w:rPr>
        <w:t>b</w:t>
      </w:r>
      <w:r w:rsidRPr="00497279">
        <w:rPr>
          <w:szCs w:val="20"/>
        </w:rPr>
        <w:t>onus found the application process relatively straightforward</w:t>
      </w:r>
      <w:r>
        <w:rPr>
          <w:szCs w:val="20"/>
        </w:rPr>
        <w:t xml:space="preserve"> and the system well organised. F</w:t>
      </w:r>
      <w:r w:rsidRPr="00497279">
        <w:rPr>
          <w:szCs w:val="20"/>
        </w:rPr>
        <w:t>or some the process was easier than anticipat</w:t>
      </w:r>
      <w:r w:rsidR="00AF32E9">
        <w:rPr>
          <w:szCs w:val="20"/>
        </w:rPr>
        <w:t>ed</w:t>
      </w:r>
      <w:r w:rsidRPr="00497279">
        <w:rPr>
          <w:szCs w:val="20"/>
        </w:rPr>
        <w:t>.</w:t>
      </w:r>
    </w:p>
    <w:p w:rsidR="00A83AB7" w:rsidRDefault="00A83AB7" w:rsidP="00A83AB7">
      <w:pPr>
        <w:pStyle w:val="QuotationJCB"/>
      </w:pPr>
      <w:r>
        <w:t xml:space="preserve">Yeah I did it online. All you’ve got to do is go online and just say when did you work, who did you work for and when did you start and do you still work and whatever, and they know when you got off Centrelink. </w:t>
      </w:r>
    </w:p>
    <w:p w:rsidR="00A83AB7" w:rsidRDefault="002361DB" w:rsidP="004968D9">
      <w:pPr>
        <w:pStyle w:val="quopteJCB-source"/>
        <w:spacing w:before="0"/>
      </w:pPr>
      <w:r>
        <w:t>October 2016 (Round 3),</w:t>
      </w:r>
      <w:r w:rsidR="00A83AB7">
        <w:t xml:space="preserve"> received JCB, focus group,</w:t>
      </w:r>
      <w:r w:rsidR="00A83AB7" w:rsidRPr="00D3595D">
        <w:t xml:space="preserve"> </w:t>
      </w:r>
      <w:r w:rsidR="00A83AB7">
        <w:t>Sydney</w:t>
      </w:r>
    </w:p>
    <w:p w:rsidR="00A83AB7" w:rsidRDefault="00A83AB7" w:rsidP="007D65F2">
      <w:pPr>
        <w:pStyle w:val="QuotationJCB"/>
      </w:pPr>
      <w:r>
        <w:t>With the applications I used their website mainly, I just went on because it was all electronic based and it was just easier to complete, and they had the help boxes so if there was a question that you didn’t know exactly what it was referring to, there’s like a little question mark, you hover over it, it gives you more information, so it just makes it easier for if you have a problem,</w:t>
      </w:r>
      <w:r w:rsidR="00C962FC">
        <w:t xml:space="preserve"> or misunderstanding something.</w:t>
      </w:r>
      <w:r>
        <w:t xml:space="preserve"> And they’ve got, either you upload documents, so you just scan them into the computer and put it up there, and it saves you creating duplicates. </w:t>
      </w:r>
    </w:p>
    <w:p w:rsidR="00A83AB7" w:rsidRDefault="002361DB" w:rsidP="004968D9">
      <w:pPr>
        <w:pStyle w:val="quopteJCB-source"/>
        <w:spacing w:before="0"/>
      </w:pPr>
      <w:r>
        <w:t>October 2016 (Round 3),</w:t>
      </w:r>
      <w:r w:rsidR="00A83AB7">
        <w:t xml:space="preserve"> received JCB, interview, regional NSW</w:t>
      </w:r>
    </w:p>
    <w:p w:rsidR="008F4186" w:rsidRPr="00FE4E8A" w:rsidRDefault="008F4186" w:rsidP="008F4186">
      <w:pPr>
        <w:spacing w:before="120"/>
      </w:pPr>
      <w:r w:rsidRPr="00FE4E8A">
        <w:t xml:space="preserve">Generally, </w:t>
      </w:r>
      <w:r w:rsidR="007A14C1">
        <w:t>for those participants who had received the</w:t>
      </w:r>
      <w:r>
        <w:t xml:space="preserve"> bonus, processing times were timely and appropriate. Some stated that this exceeded their expectations, with some finding the funds </w:t>
      </w:r>
      <w:r>
        <w:lastRenderedPageBreak/>
        <w:t>deposited in their bank accounts before they were notified by DHS that their application had been successful.</w:t>
      </w:r>
      <w:r w:rsidRPr="00FE4E8A">
        <w:t xml:space="preserve"> </w:t>
      </w:r>
    </w:p>
    <w:p w:rsidR="008F4186" w:rsidRDefault="008F4186" w:rsidP="008F4186">
      <w:pPr>
        <w:pStyle w:val="QuotationJCB"/>
      </w:pPr>
      <w:r>
        <w:t>It was actually relatively quick; I think it was maybe a week to two weeks. So it was quite a fast turnaround, I was expecting a little longer based on some of the stuff you had to put in to Centrelink, it does take a little bit, because it’s</w:t>
      </w:r>
      <w:r w:rsidR="00602B02">
        <w:t xml:space="preserve"> a big government organisation.</w:t>
      </w:r>
    </w:p>
    <w:p w:rsidR="008F4186" w:rsidRPr="00A44C7C" w:rsidRDefault="002361DB" w:rsidP="004968D9">
      <w:pPr>
        <w:pStyle w:val="quopteJCB-source"/>
        <w:spacing w:before="0"/>
        <w:rPr>
          <w:b/>
        </w:rPr>
      </w:pPr>
      <w:r>
        <w:t>October 2016 (Round 3),</w:t>
      </w:r>
      <w:r w:rsidR="008F4186">
        <w:t xml:space="preserve"> received JCB, interview, regional NSW</w:t>
      </w:r>
    </w:p>
    <w:p w:rsidR="008F4186" w:rsidRDefault="008F4186" w:rsidP="007D65F2">
      <w:pPr>
        <w:pStyle w:val="QuotationJCB"/>
      </w:pPr>
      <w:r>
        <w:t>I was surprised at how quick it went through.</w:t>
      </w:r>
    </w:p>
    <w:p w:rsidR="008F4186" w:rsidRPr="00260B80" w:rsidRDefault="008F4186" w:rsidP="004968D9">
      <w:pPr>
        <w:pStyle w:val="quopteJCB-source"/>
        <w:spacing w:before="0"/>
      </w:pPr>
      <w:r>
        <w:t xml:space="preserve"> </w:t>
      </w:r>
      <w:r w:rsidR="002361DB">
        <w:t>October 2016 (Round 3),</w:t>
      </w:r>
      <w:r>
        <w:t xml:space="preserve"> received JCB, focus group,</w:t>
      </w:r>
      <w:r w:rsidRPr="0085604E">
        <w:t xml:space="preserve"> </w:t>
      </w:r>
      <w:r>
        <w:t>Gold Coast</w:t>
      </w:r>
    </w:p>
    <w:p w:rsidR="008F4186" w:rsidRDefault="008F4186" w:rsidP="007D65F2">
      <w:pPr>
        <w:pStyle w:val="QuotationJCB"/>
      </w:pPr>
      <w:r>
        <w:t>Because I actually looked in my bank statement and it was, I noticed it was up and I thought “I wonder if that was the [JCB]” and yeah it was.</w:t>
      </w:r>
    </w:p>
    <w:p w:rsidR="008F4186" w:rsidRDefault="008F4186" w:rsidP="004968D9">
      <w:pPr>
        <w:pStyle w:val="quopteJCB-source"/>
        <w:spacing w:before="0"/>
      </w:pPr>
      <w:r>
        <w:t xml:space="preserve"> </w:t>
      </w:r>
      <w:r w:rsidR="002361DB">
        <w:t>November 2015 (Round 2),</w:t>
      </w:r>
      <w:r w:rsidRPr="004A774E">
        <w:rPr>
          <w:rFonts w:eastAsia="Times New Roman"/>
          <w:lang w:eastAsia="en-AU"/>
        </w:rPr>
        <w:t xml:space="preserve"> </w:t>
      </w:r>
      <w:r>
        <w:rPr>
          <w:rFonts w:eastAsia="Times New Roman"/>
          <w:lang w:eastAsia="en-AU"/>
        </w:rPr>
        <w:t xml:space="preserve">received JCB, </w:t>
      </w:r>
      <w:r>
        <w:t>male, 25 years or more, non-metropolitan</w:t>
      </w:r>
    </w:p>
    <w:p w:rsidR="00A83AB7" w:rsidRDefault="00A83AB7" w:rsidP="004968D9">
      <w:pPr>
        <w:pStyle w:val="Heading4"/>
      </w:pPr>
      <w:r>
        <w:t xml:space="preserve">Negative </w:t>
      </w:r>
      <w:r w:rsidR="00656A3A">
        <w:t>experiences</w:t>
      </w:r>
    </w:p>
    <w:p w:rsidR="00AB26F1" w:rsidRPr="00AB26F1" w:rsidRDefault="00A37029" w:rsidP="00AB26F1">
      <w:pPr>
        <w:spacing w:before="120"/>
      </w:pPr>
      <w:r>
        <w:t xml:space="preserve">Many research </w:t>
      </w:r>
      <w:r w:rsidR="00A83AB7" w:rsidRPr="003A4B00">
        <w:t xml:space="preserve">participants </w:t>
      </w:r>
      <w:r w:rsidR="00A83AB7">
        <w:t>sought assistance with their applications at a DHS Customer Service Centre. T</w:t>
      </w:r>
      <w:r w:rsidR="00AB26F1" w:rsidRPr="00AB26F1">
        <w:t xml:space="preserve">here were issues of unfamiliarity for people who had not previously used myGov and had been advised to claim </w:t>
      </w:r>
      <w:r w:rsidR="009F7A5B">
        <w:t>online</w:t>
      </w:r>
      <w:r w:rsidR="00AB26F1" w:rsidRPr="00AB26F1">
        <w:t>. Some found themselves locked out of</w:t>
      </w:r>
      <w:r w:rsidR="009F7A5B">
        <w:t xml:space="preserve"> their</w:t>
      </w:r>
      <w:r w:rsidR="00AB26F1" w:rsidRPr="00AB26F1">
        <w:t xml:space="preserve"> </w:t>
      </w:r>
      <w:r w:rsidR="009F7A5B">
        <w:t>DHS</w:t>
      </w:r>
      <w:r w:rsidR="00AB26F1" w:rsidRPr="00AB26F1">
        <w:t xml:space="preserve"> accounts or unable to remember log-in details, as they had not accessed the</w:t>
      </w:r>
      <w:r w:rsidR="009F7A5B">
        <w:t>ir</w:t>
      </w:r>
      <w:r w:rsidR="00AB26F1" w:rsidRPr="00AB26F1">
        <w:t xml:space="preserve"> account</w:t>
      </w:r>
      <w:r w:rsidR="001A7696">
        <w:t>s</w:t>
      </w:r>
      <w:r w:rsidR="00AB26F1" w:rsidRPr="00AB26F1">
        <w:t xml:space="preserve"> </w:t>
      </w:r>
      <w:r w:rsidR="001D79BD">
        <w:t>for over a year</w:t>
      </w:r>
      <w:r w:rsidR="00AB26F1" w:rsidRPr="00AB26F1">
        <w:t>.</w:t>
      </w:r>
    </w:p>
    <w:p w:rsidR="00AB26F1" w:rsidRPr="00AB26F1" w:rsidRDefault="00AB26F1" w:rsidP="00CD44C4">
      <w:pPr>
        <w:pStyle w:val="QuotationJCB"/>
      </w:pPr>
      <w:r w:rsidRPr="00AB26F1">
        <w:t>I guess as it was my first time using myGov, navigating my way around and becoming, like, a member of, like, the Centrelink part of myGov took a bit of figuring out. And yeah, I found that bit a little bit challenging.</w:t>
      </w:r>
    </w:p>
    <w:p w:rsidR="00AB26F1" w:rsidRPr="00AB26F1" w:rsidRDefault="002361DB" w:rsidP="004968D9">
      <w:pPr>
        <w:pStyle w:val="quopteJCB-source"/>
        <w:spacing w:before="0"/>
        <w:rPr>
          <w:rFonts w:eastAsia="Times New Roman"/>
          <w:lang w:eastAsia="en-AU"/>
        </w:rPr>
      </w:pPr>
      <w:r>
        <w:rPr>
          <w:rFonts w:eastAsia="Times New Roman"/>
          <w:lang w:eastAsia="en-AU"/>
        </w:rPr>
        <w:t>November 2015 (Round 2),</w:t>
      </w:r>
      <w:r w:rsidR="00C00195" w:rsidRPr="004A774E">
        <w:rPr>
          <w:rFonts w:eastAsia="Times New Roman"/>
          <w:lang w:eastAsia="en-AU"/>
        </w:rPr>
        <w:t xml:space="preserve"> </w:t>
      </w:r>
      <w:r w:rsidR="007D5865">
        <w:rPr>
          <w:rFonts w:eastAsia="Times New Roman"/>
          <w:lang w:eastAsia="en-AU"/>
        </w:rPr>
        <w:t xml:space="preserve">received JCB, </w:t>
      </w:r>
      <w:r w:rsidR="00C00195" w:rsidRPr="004A774E">
        <w:rPr>
          <w:rFonts w:eastAsia="Times New Roman"/>
          <w:lang w:eastAsia="en-AU"/>
        </w:rPr>
        <w:t>female</w:t>
      </w:r>
      <w:r w:rsidR="00AB26F1" w:rsidRPr="004A774E">
        <w:rPr>
          <w:rFonts w:eastAsia="Times New Roman"/>
          <w:lang w:eastAsia="en-AU"/>
        </w:rPr>
        <w:t>, 25 years or more, non-</w:t>
      </w:r>
      <w:r w:rsidR="00C00195" w:rsidRPr="004A774E">
        <w:rPr>
          <w:rFonts w:eastAsia="Times New Roman"/>
          <w:lang w:eastAsia="en-AU"/>
        </w:rPr>
        <w:t>metropolitan</w:t>
      </w:r>
    </w:p>
    <w:p w:rsidR="00AB26F1" w:rsidRPr="00AB26F1" w:rsidRDefault="00AB26F1" w:rsidP="007D65F2">
      <w:pPr>
        <w:pStyle w:val="QuotationJCB"/>
      </w:pPr>
      <w:r w:rsidRPr="00AB26F1">
        <w:t>It says that you can apply online [though Centrelink account], and I attempted to go through using my login and all of that sort of thing, but all of my permissions, obviously since I haven’t received any financial aid in such a long time they’ve removed a lot of my permissions.</w:t>
      </w:r>
    </w:p>
    <w:p w:rsidR="00AB26F1" w:rsidRPr="00AB26F1" w:rsidRDefault="002361DB" w:rsidP="004968D9">
      <w:pPr>
        <w:pStyle w:val="quopteJCB-source"/>
        <w:spacing w:before="0"/>
        <w:rPr>
          <w:rFonts w:eastAsia="Times New Roman"/>
          <w:lang w:eastAsia="en-AU"/>
        </w:rPr>
      </w:pPr>
      <w:r>
        <w:rPr>
          <w:rFonts w:eastAsia="Times New Roman"/>
          <w:lang w:eastAsia="en-AU"/>
        </w:rPr>
        <w:t>November 2015 (Round 2),</w:t>
      </w:r>
      <w:r w:rsidR="00C00195" w:rsidRPr="004A774E">
        <w:rPr>
          <w:rFonts w:eastAsia="Times New Roman"/>
          <w:lang w:eastAsia="en-AU"/>
        </w:rPr>
        <w:t xml:space="preserve"> </w:t>
      </w:r>
      <w:r w:rsidR="007D5865">
        <w:rPr>
          <w:rFonts w:eastAsia="Times New Roman"/>
          <w:lang w:eastAsia="en-AU"/>
        </w:rPr>
        <w:t xml:space="preserve">received JCB, </w:t>
      </w:r>
      <w:r w:rsidR="00C00195" w:rsidRPr="004A774E">
        <w:rPr>
          <w:rFonts w:eastAsia="Times New Roman"/>
          <w:lang w:eastAsia="en-AU"/>
        </w:rPr>
        <w:t>female</w:t>
      </w:r>
      <w:r w:rsidR="00AB26F1" w:rsidRPr="004A774E">
        <w:rPr>
          <w:rFonts w:eastAsia="Times New Roman"/>
          <w:lang w:eastAsia="en-AU"/>
        </w:rPr>
        <w:t xml:space="preserve">, under 25 years, </w:t>
      </w:r>
      <w:r w:rsidR="00C00195" w:rsidRPr="004A774E">
        <w:rPr>
          <w:rFonts w:eastAsia="Times New Roman"/>
          <w:lang w:eastAsia="en-AU"/>
        </w:rPr>
        <w:t>metropolitan</w:t>
      </w:r>
    </w:p>
    <w:p w:rsidR="00E2724D" w:rsidRDefault="00AB26F1" w:rsidP="004968D9">
      <w:pPr>
        <w:spacing w:before="240"/>
        <w:rPr>
          <w:szCs w:val="20"/>
        </w:rPr>
      </w:pPr>
      <w:r>
        <w:rPr>
          <w:szCs w:val="20"/>
        </w:rPr>
        <w:t>A</w:t>
      </w:r>
      <w:r w:rsidRPr="003A4B00">
        <w:t xml:space="preserve"> few incidents o</w:t>
      </w:r>
      <w:r>
        <w:t>f technical glitches within the m</w:t>
      </w:r>
      <w:r w:rsidRPr="003A4B00">
        <w:t>yGov system</w:t>
      </w:r>
      <w:r>
        <w:t xml:space="preserve"> were raised</w:t>
      </w:r>
      <w:r w:rsidR="009F7A5B">
        <w:t xml:space="preserve"> by those who had applied in both tranches of fieldwork</w:t>
      </w:r>
      <w:r w:rsidR="00A37FDB">
        <w:t xml:space="preserve"> (Round 2 and 3)</w:t>
      </w:r>
      <w:r w:rsidRPr="003A4B00">
        <w:t xml:space="preserve">, including site crashes when uploading supporting documentation, automatically logging off when progressing through the application, and </w:t>
      </w:r>
      <w:r>
        <w:t>lack of support for</w:t>
      </w:r>
      <w:r w:rsidRPr="003A4B00">
        <w:t xml:space="preserve"> large PDF files</w:t>
      </w:r>
      <w:r>
        <w:t xml:space="preserve"> and</w:t>
      </w:r>
      <w:r w:rsidR="00E2724D">
        <w:rPr>
          <w:szCs w:val="20"/>
        </w:rPr>
        <w:t xml:space="preserve"> some people had problems with lodging using a mobile phone.</w:t>
      </w:r>
    </w:p>
    <w:p w:rsidR="00E2724D" w:rsidRDefault="00E2724D" w:rsidP="00CD44C4">
      <w:pPr>
        <w:pStyle w:val="QuotationJCB"/>
      </w:pPr>
      <w:r>
        <w:t xml:space="preserve">I actually started filling out the application form and the website won’t recognise my company’s ABN. </w:t>
      </w:r>
    </w:p>
    <w:p w:rsidR="00E2724D" w:rsidRDefault="002361DB" w:rsidP="004968D9">
      <w:pPr>
        <w:pStyle w:val="quopteJCB-source"/>
        <w:spacing w:before="0"/>
      </w:pPr>
      <w:r>
        <w:t>October 2016 (Round 3),</w:t>
      </w:r>
      <w:r w:rsidR="00AD60DE">
        <w:t xml:space="preserve"> </w:t>
      </w:r>
      <w:r w:rsidR="006B5D6A">
        <w:t>not yet claimed</w:t>
      </w:r>
      <w:r w:rsidR="003318FB">
        <w:t>, focus group,</w:t>
      </w:r>
      <w:r w:rsidR="00E2724D">
        <w:t xml:space="preserve"> </w:t>
      </w:r>
      <w:r w:rsidR="00C00195">
        <w:t>Brisbane</w:t>
      </w:r>
      <w:r w:rsidR="00E2724D">
        <w:t xml:space="preserve"> </w:t>
      </w:r>
    </w:p>
    <w:p w:rsidR="00E2724D" w:rsidRDefault="00E2724D" w:rsidP="007D65F2">
      <w:pPr>
        <w:pStyle w:val="QuotationJCB"/>
      </w:pPr>
      <w:r>
        <w:t>Yeah it was pretty difficult to get it in, it took me almost three weeks to lodge my first claim. I couldn’t do it online; I had to go into the office a few times.</w:t>
      </w:r>
    </w:p>
    <w:p w:rsidR="00E2724D" w:rsidRPr="000702DA" w:rsidRDefault="00E2724D" w:rsidP="004968D9">
      <w:pPr>
        <w:pStyle w:val="quopteJCB-source"/>
        <w:spacing w:before="0"/>
      </w:pPr>
      <w:r>
        <w:t xml:space="preserve"> </w:t>
      </w:r>
      <w:r w:rsidR="002361DB">
        <w:t>October 2016 (Round 3),</w:t>
      </w:r>
      <w:r w:rsidR="00AD60DE">
        <w:t xml:space="preserve"> received JCB</w:t>
      </w:r>
      <w:r w:rsidR="003318FB">
        <w:t>, focus group,</w:t>
      </w:r>
      <w:r>
        <w:t xml:space="preserve"> </w:t>
      </w:r>
      <w:r w:rsidR="00C00195">
        <w:t>Sydney</w:t>
      </w:r>
    </w:p>
    <w:p w:rsidR="00E2724D" w:rsidRDefault="00E2724D" w:rsidP="007D2ECC">
      <w:pPr>
        <w:pStyle w:val="QuotationJCB"/>
      </w:pPr>
      <w:r>
        <w:t xml:space="preserve">I had a bit of an issue with it though because I tried to send it through the Centrelink app, but my phone was distorting the picture, so they couldn’t actually read it, it was all blurry, so I had a bit of an issue with that and had to send it in a couple of times, but it got there. </w:t>
      </w:r>
    </w:p>
    <w:p w:rsidR="00E2724D" w:rsidRDefault="002361DB" w:rsidP="004968D9">
      <w:pPr>
        <w:pStyle w:val="quopteJCB-source"/>
        <w:spacing w:before="0"/>
      </w:pPr>
      <w:r>
        <w:t>October 2016 (Round 3),</w:t>
      </w:r>
      <w:r w:rsidR="00AD60DE">
        <w:t xml:space="preserve"> received JCB</w:t>
      </w:r>
      <w:r w:rsidR="003318FB">
        <w:t>, interview,</w:t>
      </w:r>
      <w:r w:rsidR="00E2724D">
        <w:t xml:space="preserve"> </w:t>
      </w:r>
      <w:r w:rsidR="003318FB">
        <w:t>regional NSW</w:t>
      </w:r>
    </w:p>
    <w:p w:rsidR="0002187E" w:rsidRDefault="009F7A5B" w:rsidP="006D2ACF">
      <w:pPr>
        <w:spacing w:before="120"/>
        <w:rPr>
          <w:szCs w:val="20"/>
        </w:rPr>
      </w:pPr>
      <w:r>
        <w:rPr>
          <w:szCs w:val="20"/>
        </w:rPr>
        <w:lastRenderedPageBreak/>
        <w:t>So</w:t>
      </w:r>
      <w:r w:rsidR="00950290">
        <w:rPr>
          <w:szCs w:val="20"/>
        </w:rPr>
        <w:t xml:space="preserve">me who applied </w:t>
      </w:r>
      <w:r>
        <w:rPr>
          <w:szCs w:val="20"/>
        </w:rPr>
        <w:t xml:space="preserve">for the bonus </w:t>
      </w:r>
      <w:r w:rsidR="00950290">
        <w:rPr>
          <w:szCs w:val="20"/>
        </w:rPr>
        <w:t>considered the time required to collate all supporting documentation was acceptable</w:t>
      </w:r>
      <w:r w:rsidR="00CB7B51">
        <w:rPr>
          <w:szCs w:val="20"/>
        </w:rPr>
        <w:t xml:space="preserve"> and many had no problems providing this information</w:t>
      </w:r>
      <w:r>
        <w:rPr>
          <w:szCs w:val="20"/>
        </w:rPr>
        <w:t>. Others</w:t>
      </w:r>
      <w:r w:rsidR="004F5DE1">
        <w:rPr>
          <w:szCs w:val="20"/>
        </w:rPr>
        <w:t xml:space="preserve"> had</w:t>
      </w:r>
      <w:r w:rsidR="009470D9">
        <w:rPr>
          <w:szCs w:val="20"/>
        </w:rPr>
        <w:t xml:space="preserve"> difficulty getting all the required information together in a </w:t>
      </w:r>
      <w:r w:rsidR="004F5DE1">
        <w:rPr>
          <w:szCs w:val="20"/>
        </w:rPr>
        <w:t xml:space="preserve">relatively </w:t>
      </w:r>
      <w:r w:rsidR="009470D9">
        <w:rPr>
          <w:szCs w:val="20"/>
        </w:rPr>
        <w:t xml:space="preserve">short </w:t>
      </w:r>
      <w:r w:rsidR="004F5DE1">
        <w:rPr>
          <w:szCs w:val="20"/>
        </w:rPr>
        <w:t>timeframe</w:t>
      </w:r>
      <w:r w:rsidR="009470D9">
        <w:rPr>
          <w:szCs w:val="20"/>
        </w:rPr>
        <w:t xml:space="preserve"> (having only become aware of the JCB late in their 90-day claim window period), while </w:t>
      </w:r>
      <w:r w:rsidR="00950290">
        <w:rPr>
          <w:szCs w:val="20"/>
        </w:rPr>
        <w:t xml:space="preserve">others who had not claimed </w:t>
      </w:r>
      <w:r w:rsidR="009470D9">
        <w:rPr>
          <w:szCs w:val="20"/>
        </w:rPr>
        <w:t xml:space="preserve">the bonus </w:t>
      </w:r>
      <w:r w:rsidR="00950290">
        <w:rPr>
          <w:szCs w:val="20"/>
        </w:rPr>
        <w:t xml:space="preserve">thought this </w:t>
      </w:r>
      <w:r w:rsidR="009470D9">
        <w:rPr>
          <w:szCs w:val="20"/>
        </w:rPr>
        <w:t>would be</w:t>
      </w:r>
      <w:r w:rsidR="00950290">
        <w:rPr>
          <w:szCs w:val="20"/>
        </w:rPr>
        <w:t xml:space="preserve"> an issue</w:t>
      </w:r>
      <w:r w:rsidR="009470D9">
        <w:rPr>
          <w:szCs w:val="20"/>
        </w:rPr>
        <w:t xml:space="preserve"> for them</w:t>
      </w:r>
      <w:r w:rsidR="0002187E">
        <w:rPr>
          <w:szCs w:val="20"/>
        </w:rPr>
        <w:t>:</w:t>
      </w:r>
    </w:p>
    <w:p w:rsidR="0002187E" w:rsidRDefault="0002187E" w:rsidP="007D65F2">
      <w:pPr>
        <w:pStyle w:val="QuotationJCB"/>
        <w:keepNext w:val="0"/>
      </w:pPr>
      <w:r>
        <w:t>Well yeah, as soon as I was told that I need to get, all of the information on my pay slips for the last 12 months that was already going to be too much for me to investigate something I wasn’t really sure about.</w:t>
      </w:r>
    </w:p>
    <w:p w:rsidR="0002187E" w:rsidRPr="00260B80" w:rsidRDefault="002361DB" w:rsidP="004968D9">
      <w:pPr>
        <w:pStyle w:val="quopteJCB-source"/>
        <w:spacing w:before="0"/>
      </w:pPr>
      <w:r>
        <w:t>October 2016 (Round 3),</w:t>
      </w:r>
      <w:r w:rsidR="006B5D6A">
        <w:t xml:space="preserve"> n</w:t>
      </w:r>
      <w:r w:rsidR="003318FB">
        <w:t xml:space="preserve">ot </w:t>
      </w:r>
      <w:r w:rsidR="00BC469D">
        <w:t>y</w:t>
      </w:r>
      <w:r w:rsidR="003318FB">
        <w:t xml:space="preserve">et </w:t>
      </w:r>
      <w:r w:rsidR="00BC469D">
        <w:t>c</w:t>
      </w:r>
      <w:r w:rsidR="00415F1D">
        <w:t>l</w:t>
      </w:r>
      <w:r w:rsidR="003318FB">
        <w:t>aimed</w:t>
      </w:r>
      <w:r w:rsidR="00C00195">
        <w:t>,</w:t>
      </w:r>
      <w:r w:rsidR="0002187E" w:rsidRPr="00BA52DF">
        <w:t xml:space="preserve"> </w:t>
      </w:r>
      <w:r w:rsidR="00C00195">
        <w:t>focus group, Melbourne</w:t>
      </w:r>
    </w:p>
    <w:p w:rsidR="0002187E" w:rsidRDefault="0002187E" w:rsidP="007D65F2">
      <w:pPr>
        <w:pStyle w:val="QuotationJCB"/>
      </w:pPr>
      <w:r w:rsidRPr="00260B80">
        <w:t>I don’t get pay slips, I invoice.</w:t>
      </w:r>
      <w:r>
        <w:t xml:space="preserve"> </w:t>
      </w:r>
      <w:r w:rsidRPr="00260B80">
        <w:t>Monthly, I get paid monthly, so I don’t really get a pay slip as such.</w:t>
      </w:r>
      <w:r>
        <w:t xml:space="preserve"> </w:t>
      </w:r>
      <w:r w:rsidRPr="00260B80">
        <w:t>So I don’t know if tha</w:t>
      </w:r>
      <w:r w:rsidR="00602B02">
        <w:t>t would cause problems with it.</w:t>
      </w:r>
    </w:p>
    <w:p w:rsidR="0002187E" w:rsidRDefault="002361DB" w:rsidP="004968D9">
      <w:pPr>
        <w:pStyle w:val="quopteJCB-source"/>
        <w:spacing w:before="0"/>
      </w:pPr>
      <w:r>
        <w:t>October 2016 (Round 3),</w:t>
      </w:r>
      <w:r w:rsidR="00AD60DE">
        <w:t xml:space="preserve"> not yet claimed</w:t>
      </w:r>
      <w:r w:rsidR="00C00195">
        <w:t>,</w:t>
      </w:r>
      <w:r w:rsidR="0002187E" w:rsidRPr="00260B80">
        <w:t xml:space="preserve"> </w:t>
      </w:r>
      <w:r w:rsidR="00C00195">
        <w:t>focus group,</w:t>
      </w:r>
      <w:r w:rsidR="0002187E" w:rsidRPr="00260B80">
        <w:t xml:space="preserve"> </w:t>
      </w:r>
      <w:r w:rsidR="00C00195">
        <w:t>Gold Coast</w:t>
      </w:r>
    </w:p>
    <w:p w:rsidR="009F7A5B" w:rsidRPr="009F7A5B" w:rsidRDefault="0016353A" w:rsidP="009F7A5B">
      <w:pPr>
        <w:spacing w:before="120"/>
      </w:pPr>
      <w:r>
        <w:t>The lack of an</w:t>
      </w:r>
      <w:r w:rsidR="004F5DE1">
        <w:t xml:space="preserve"> automated response</w:t>
      </w:r>
      <w:r w:rsidR="004F5DE1" w:rsidRPr="004F5DE1">
        <w:t xml:space="preserve"> </w:t>
      </w:r>
      <w:r w:rsidR="004F5DE1" w:rsidRPr="009F7A5B">
        <w:t>acknowledging receipt</w:t>
      </w:r>
      <w:r>
        <w:t xml:space="preserve"> of </w:t>
      </w:r>
      <w:r w:rsidR="004F5DE1">
        <w:t>application</w:t>
      </w:r>
      <w:r>
        <w:t>s</w:t>
      </w:r>
      <w:r w:rsidR="004F5DE1">
        <w:t xml:space="preserve"> </w:t>
      </w:r>
      <w:r>
        <w:t xml:space="preserve">and the inability </w:t>
      </w:r>
      <w:r w:rsidR="004F5DE1">
        <w:t xml:space="preserve">to check </w:t>
      </w:r>
      <w:r w:rsidR="005E6A4F">
        <w:t xml:space="preserve">their </w:t>
      </w:r>
      <w:r w:rsidR="004F5DE1">
        <w:t xml:space="preserve">progress were </w:t>
      </w:r>
      <w:r>
        <w:t xml:space="preserve">considered </w:t>
      </w:r>
      <w:r w:rsidR="00FE7456">
        <w:t xml:space="preserve">weaknesses </w:t>
      </w:r>
      <w:r>
        <w:t xml:space="preserve">of the </w:t>
      </w:r>
      <w:r w:rsidR="00B81DA4">
        <w:t xml:space="preserve">on-line </w:t>
      </w:r>
      <w:r>
        <w:t>system</w:t>
      </w:r>
      <w:r w:rsidR="009F7A5B" w:rsidRPr="009F7A5B">
        <w:t xml:space="preserve">. </w:t>
      </w:r>
      <w:r>
        <w:t xml:space="preserve">Some </w:t>
      </w:r>
      <w:r w:rsidR="009F7A5B" w:rsidRPr="009F7A5B">
        <w:t xml:space="preserve">participants </w:t>
      </w:r>
      <w:r>
        <w:t xml:space="preserve">stated they </w:t>
      </w:r>
      <w:r w:rsidR="009F7A5B">
        <w:t>had</w:t>
      </w:r>
      <w:r w:rsidR="009F7A5B" w:rsidRPr="009F7A5B">
        <w:t xml:space="preserve"> followed up with </w:t>
      </w:r>
      <w:r w:rsidR="001D79BD">
        <w:t>DHS</w:t>
      </w:r>
      <w:r w:rsidR="009F7A5B" w:rsidRPr="009F7A5B">
        <w:t xml:space="preserve"> to ensure their application</w:t>
      </w:r>
      <w:r>
        <w:t>s</w:t>
      </w:r>
      <w:r w:rsidR="009F7A5B" w:rsidRPr="009F7A5B">
        <w:t xml:space="preserve"> had been received and </w:t>
      </w:r>
      <w:r w:rsidR="001A7696">
        <w:t xml:space="preserve">to </w:t>
      </w:r>
      <w:r w:rsidR="009F7A5B" w:rsidRPr="009F7A5B">
        <w:t xml:space="preserve">check </w:t>
      </w:r>
      <w:r w:rsidR="001A7696">
        <w:t xml:space="preserve">their </w:t>
      </w:r>
      <w:r w:rsidR="009F7A5B" w:rsidRPr="009F7A5B">
        <w:t>status.</w:t>
      </w:r>
    </w:p>
    <w:p w:rsidR="006D2ACF" w:rsidRDefault="001D79BD" w:rsidP="006D2ACF">
      <w:pPr>
        <w:spacing w:before="120"/>
      </w:pPr>
      <w:r>
        <w:t>DoE</w:t>
      </w:r>
      <w:r w:rsidR="006D2ACF">
        <w:t xml:space="preserve"> </w:t>
      </w:r>
      <w:r w:rsidR="00CD583B">
        <w:t xml:space="preserve">established a complaints email </w:t>
      </w:r>
      <w:r>
        <w:t xml:space="preserve">link </w:t>
      </w:r>
      <w:r w:rsidR="00CD583B">
        <w:t xml:space="preserve">from the </w:t>
      </w:r>
      <w:r w:rsidR="001A7696">
        <w:t xml:space="preserve">department’s </w:t>
      </w:r>
      <w:r w:rsidR="00CD583B">
        <w:t xml:space="preserve">website and </w:t>
      </w:r>
      <w:r w:rsidR="006D2ACF">
        <w:t xml:space="preserve">responded to </w:t>
      </w:r>
      <w:r w:rsidR="006D2ACF" w:rsidRPr="003A71DE">
        <w:t xml:space="preserve">approximately </w:t>
      </w:r>
      <w:r w:rsidR="006D2ACF" w:rsidRPr="003A71DE">
        <w:rPr>
          <w:color w:val="000000" w:themeColor="text1"/>
        </w:rPr>
        <w:t>360</w:t>
      </w:r>
      <w:r w:rsidR="006D2ACF" w:rsidRPr="00AF32E9">
        <w:t xml:space="preserve"> </w:t>
      </w:r>
      <w:r w:rsidR="006D2ACF">
        <w:t xml:space="preserve">emails. Long wait times for the DHS telephone call centre was </w:t>
      </w:r>
      <w:r w:rsidR="00BD2047">
        <w:t>often</w:t>
      </w:r>
      <w:r w:rsidR="006D2ACF">
        <w:t xml:space="preserve"> the reason </w:t>
      </w:r>
      <w:r w:rsidR="00565043">
        <w:t>people</w:t>
      </w:r>
      <w:r w:rsidR="006D2ACF">
        <w:t xml:space="preserve"> sent enquiries to the </w:t>
      </w:r>
      <w:r>
        <w:t>DoE</w:t>
      </w:r>
      <w:r w:rsidR="006D2ACF">
        <w:t xml:space="preserve"> mailbox.</w:t>
      </w:r>
    </w:p>
    <w:p w:rsidR="009B2BF7" w:rsidRDefault="00CD583B" w:rsidP="006D2ACF">
      <w:pPr>
        <w:spacing w:before="120"/>
      </w:pPr>
      <w:r>
        <w:t xml:space="preserve">Most </w:t>
      </w:r>
      <w:r w:rsidR="00EA7AEA">
        <w:t xml:space="preserve">applicant </w:t>
      </w:r>
      <w:r>
        <w:t xml:space="preserve">issues </w:t>
      </w:r>
      <w:r w:rsidR="00EA7AEA">
        <w:t xml:space="preserve">mentioned by </w:t>
      </w:r>
      <w:r>
        <w:t xml:space="preserve">DHS staff </w:t>
      </w:r>
      <w:r w:rsidR="0016353A">
        <w:t>align</w:t>
      </w:r>
      <w:r w:rsidR="008F4186">
        <w:t>ed</w:t>
      </w:r>
      <w:r w:rsidR="0016353A">
        <w:t xml:space="preserve"> with </w:t>
      </w:r>
      <w:r w:rsidR="00EA7AEA">
        <w:t>participant complaints recorded</w:t>
      </w:r>
      <w:r w:rsidR="0016353A">
        <w:t xml:space="preserve"> in fieldwork, </w:t>
      </w:r>
      <w:r w:rsidR="00EA7AEA">
        <w:t xml:space="preserve">and </w:t>
      </w:r>
      <w:r w:rsidR="0016353A">
        <w:t>related to</w:t>
      </w:r>
      <w:r w:rsidR="009B2BF7">
        <w:t>:</w:t>
      </w:r>
    </w:p>
    <w:p w:rsidR="009B2BF7" w:rsidRDefault="0016353A" w:rsidP="00E3205B">
      <w:pPr>
        <w:pStyle w:val="ListParagraph"/>
        <w:numPr>
          <w:ilvl w:val="0"/>
          <w:numId w:val="93"/>
        </w:numPr>
        <w:spacing w:before="120"/>
      </w:pPr>
      <w:r>
        <w:t>accessing myGov accounts</w:t>
      </w:r>
    </w:p>
    <w:p w:rsidR="00CD583B" w:rsidRDefault="001B7433" w:rsidP="00E3205B">
      <w:pPr>
        <w:pStyle w:val="ListParagraph"/>
        <w:numPr>
          <w:ilvl w:val="0"/>
          <w:numId w:val="93"/>
        </w:numPr>
        <w:spacing w:before="120"/>
      </w:pPr>
      <w:r>
        <w:t>that the link to claim the JCB was live only once the applicant became eligible.</w:t>
      </w:r>
    </w:p>
    <w:p w:rsidR="009E2C6C" w:rsidRDefault="006128DA" w:rsidP="006128DA">
      <w:pPr>
        <w:pStyle w:val="Heading2"/>
      </w:pPr>
      <w:bookmarkStart w:id="116" w:name="_Toc478117572"/>
      <w:bookmarkStart w:id="117" w:name="_Toc507600243"/>
      <w:r>
        <w:t>3.5</w:t>
      </w:r>
      <w:r>
        <w:tab/>
      </w:r>
      <w:r w:rsidR="009E2C6C">
        <w:t>Claims made</w:t>
      </w:r>
      <w:r w:rsidR="00881423">
        <w:t>,</w:t>
      </w:r>
      <w:r w:rsidR="009E2C6C">
        <w:t xml:space="preserve"> approval </w:t>
      </w:r>
      <w:r w:rsidR="00881423">
        <w:t xml:space="preserve">and rejection </w:t>
      </w:r>
      <w:r w:rsidR="009E2C6C">
        <w:t>rates</w:t>
      </w:r>
      <w:bookmarkEnd w:id="116"/>
      <w:bookmarkEnd w:id="117"/>
      <w:r w:rsidR="009E2C6C">
        <w:t xml:space="preserve"> </w:t>
      </w:r>
    </w:p>
    <w:p w:rsidR="00C14DAC" w:rsidRPr="0018315C" w:rsidRDefault="00C14DAC" w:rsidP="007B55C3">
      <w:pPr>
        <w:keepNext/>
        <w:pBdr>
          <w:top w:val="single" w:sz="4" w:space="1" w:color="auto"/>
          <w:left w:val="single" w:sz="4" w:space="4" w:color="auto"/>
          <w:bottom w:val="single" w:sz="4" w:space="1" w:color="auto"/>
          <w:right w:val="single" w:sz="4" w:space="4" w:color="auto"/>
        </w:pBdr>
        <w:shd w:val="clear" w:color="auto" w:fill="FDCBA0"/>
        <w:spacing w:after="120"/>
        <w:rPr>
          <w:rStyle w:val="Strong"/>
        </w:rPr>
      </w:pPr>
      <w:r w:rsidRPr="0018315C">
        <w:rPr>
          <w:rStyle w:val="Strong"/>
        </w:rPr>
        <w:t>Highlights</w:t>
      </w:r>
    </w:p>
    <w:p w:rsidR="00B65C68" w:rsidRDefault="008851F7" w:rsidP="00B65C68">
      <w:pPr>
        <w:pBdr>
          <w:top w:val="single" w:sz="4" w:space="1" w:color="auto"/>
          <w:left w:val="single" w:sz="4" w:space="4" w:color="auto"/>
          <w:bottom w:val="single" w:sz="4" w:space="1" w:color="auto"/>
          <w:right w:val="single" w:sz="4" w:space="4" w:color="auto"/>
        </w:pBdr>
        <w:shd w:val="clear" w:color="auto" w:fill="FDCBA0"/>
        <w:spacing w:before="120" w:after="0"/>
      </w:pPr>
      <w:r>
        <w:t xml:space="preserve">An estimated </w:t>
      </w:r>
      <w:r w:rsidR="00712ADB">
        <w:t>22</w:t>
      </w:r>
      <w:r w:rsidR="00B61CBD">
        <w:t xml:space="preserve"> per cent of </w:t>
      </w:r>
      <w:r>
        <w:t>potentially eligible people</w:t>
      </w:r>
      <w:r w:rsidR="008823B7">
        <w:t xml:space="preserve"> </w:t>
      </w:r>
      <w:r w:rsidR="00B61CBD">
        <w:t>claimed the bonus</w:t>
      </w:r>
      <w:r>
        <w:t xml:space="preserve">. </w:t>
      </w:r>
      <w:r w:rsidR="00FE7456">
        <w:t>Higher levels of education and a</w:t>
      </w:r>
      <w:r w:rsidR="00B65C68">
        <w:t xml:space="preserve">ccess to information were key factors </w:t>
      </w:r>
      <w:r w:rsidR="00932042">
        <w:t>affecting the likelihood of actually claiming</w:t>
      </w:r>
      <w:r w:rsidR="00B65C68">
        <w:t>.</w:t>
      </w:r>
    </w:p>
    <w:p w:rsidR="00B65C68" w:rsidRDefault="008851F7" w:rsidP="008851F7">
      <w:pPr>
        <w:pBdr>
          <w:top w:val="single" w:sz="4" w:space="1" w:color="auto"/>
          <w:left w:val="single" w:sz="4" w:space="4" w:color="auto"/>
          <w:bottom w:val="single" w:sz="4" w:space="1" w:color="auto"/>
          <w:right w:val="single" w:sz="4" w:space="4" w:color="auto"/>
        </w:pBdr>
        <w:shd w:val="clear" w:color="auto" w:fill="FDCBA0"/>
        <w:spacing w:before="120" w:after="0"/>
      </w:pPr>
      <w:r>
        <w:t>Some types of people were more likely to lodge a claim</w:t>
      </w:r>
      <w:r w:rsidR="00B65C68">
        <w:t>,</w:t>
      </w:r>
      <w:r>
        <w:t xml:space="preserve"> if eligible</w:t>
      </w:r>
      <w:r w:rsidR="00B65C68">
        <w:t>,</w:t>
      </w:r>
      <w:r>
        <w:t xml:space="preserve"> including</w:t>
      </w:r>
      <w:r w:rsidR="00B65C68">
        <w:t>:</w:t>
      </w:r>
      <w:r>
        <w:t xml:space="preserve"> single parents, those with tertiary education and </w:t>
      </w:r>
      <w:r w:rsidR="00A21A3C">
        <w:t>women</w:t>
      </w:r>
      <w:r>
        <w:t>.</w:t>
      </w:r>
    </w:p>
    <w:p w:rsidR="00B61CBD" w:rsidRDefault="0049330B" w:rsidP="008851F7">
      <w:pPr>
        <w:pBdr>
          <w:top w:val="single" w:sz="4" w:space="1" w:color="auto"/>
          <w:left w:val="single" w:sz="4" w:space="4" w:color="auto"/>
          <w:bottom w:val="single" w:sz="4" w:space="1" w:color="auto"/>
          <w:right w:val="single" w:sz="4" w:space="4" w:color="auto"/>
        </w:pBdr>
        <w:shd w:val="clear" w:color="auto" w:fill="FDCBA0"/>
        <w:spacing w:before="120" w:after="0"/>
      </w:pPr>
      <w:r>
        <w:t>Awareness of the bonus appears to have increas</w:t>
      </w:r>
      <w:r w:rsidR="007A14C1">
        <w:t>ed</w:t>
      </w:r>
      <w:bookmarkStart w:id="118" w:name="_Toc478117573"/>
      <w:r w:rsidR="008851F7">
        <w:t xml:space="preserve"> over time.</w:t>
      </w:r>
    </w:p>
    <w:p w:rsidR="008851F7" w:rsidRDefault="008851F7" w:rsidP="008851F7">
      <w:pPr>
        <w:pBdr>
          <w:top w:val="single" w:sz="4" w:space="1" w:color="auto"/>
          <w:left w:val="single" w:sz="4" w:space="4" w:color="auto"/>
          <w:bottom w:val="single" w:sz="4" w:space="1" w:color="auto"/>
          <w:right w:val="single" w:sz="4" w:space="4" w:color="auto"/>
        </w:pBdr>
        <w:shd w:val="clear" w:color="auto" w:fill="FDCBA0"/>
        <w:spacing w:before="120" w:after="0"/>
      </w:pPr>
      <w:r>
        <w:t xml:space="preserve">Many </w:t>
      </w:r>
      <w:r w:rsidR="00FE7456">
        <w:t xml:space="preserve">applicants </w:t>
      </w:r>
      <w:r>
        <w:t>were unaware of their right to appeal decisions.</w:t>
      </w:r>
    </w:p>
    <w:p w:rsidR="00881423" w:rsidRPr="00881423" w:rsidRDefault="00881423" w:rsidP="00B61CBD">
      <w:pPr>
        <w:pStyle w:val="Heading3"/>
        <w:spacing w:after="120"/>
      </w:pPr>
      <w:r>
        <w:lastRenderedPageBreak/>
        <w:t>3.</w:t>
      </w:r>
      <w:r w:rsidR="00CC19DF">
        <w:t>5</w:t>
      </w:r>
      <w:r>
        <w:t>.1</w:t>
      </w:r>
      <w:r>
        <w:tab/>
      </w:r>
      <w:r w:rsidR="00523A1F">
        <w:t>Claims</w:t>
      </w:r>
      <w:r w:rsidRPr="00881423">
        <w:t xml:space="preserve"> made</w:t>
      </w:r>
      <w:bookmarkEnd w:id="118"/>
    </w:p>
    <w:p w:rsidR="000B28A3" w:rsidRDefault="0066689A" w:rsidP="000B28A3">
      <w:pPr>
        <w:spacing w:before="120"/>
        <w:rPr>
          <w:color w:val="000000" w:themeColor="text1"/>
        </w:rPr>
      </w:pPr>
      <w:r>
        <w:rPr>
          <w:color w:val="000000" w:themeColor="text1"/>
        </w:rPr>
        <w:t xml:space="preserve">During the </w:t>
      </w:r>
      <w:r w:rsidR="005E6A4F">
        <w:rPr>
          <w:color w:val="000000" w:themeColor="text1"/>
        </w:rPr>
        <w:t>time</w:t>
      </w:r>
      <w:r>
        <w:rPr>
          <w:color w:val="000000" w:themeColor="text1"/>
        </w:rPr>
        <w:t xml:space="preserve"> the JCB program </w:t>
      </w:r>
      <w:r w:rsidR="000B28A3" w:rsidRPr="000B28A3">
        <w:rPr>
          <w:color w:val="000000" w:themeColor="text1"/>
        </w:rPr>
        <w:t>operat</w:t>
      </w:r>
      <w:r>
        <w:rPr>
          <w:color w:val="000000" w:themeColor="text1"/>
        </w:rPr>
        <w:t>ed,</w:t>
      </w:r>
      <w:r w:rsidR="000B28A3" w:rsidRPr="000B28A3">
        <w:rPr>
          <w:color w:val="000000" w:themeColor="text1"/>
        </w:rPr>
        <w:t xml:space="preserve"> 8,015 </w:t>
      </w:r>
      <w:r w:rsidR="009F1442">
        <w:rPr>
          <w:color w:val="000000" w:themeColor="text1"/>
        </w:rPr>
        <w:t xml:space="preserve">people lodged </w:t>
      </w:r>
      <w:r w:rsidR="000B28A3" w:rsidRPr="000B28A3">
        <w:rPr>
          <w:color w:val="000000" w:themeColor="text1"/>
        </w:rPr>
        <w:t xml:space="preserve">claims for the </w:t>
      </w:r>
      <w:r w:rsidR="009B378E">
        <w:rPr>
          <w:color w:val="000000" w:themeColor="text1"/>
        </w:rPr>
        <w:t xml:space="preserve">first </w:t>
      </w:r>
      <w:r w:rsidR="000B28A3" w:rsidRPr="000B28A3">
        <w:rPr>
          <w:color w:val="000000" w:themeColor="text1"/>
        </w:rPr>
        <w:t>bonus</w:t>
      </w:r>
      <w:r w:rsidR="009B378E">
        <w:rPr>
          <w:color w:val="000000" w:themeColor="text1"/>
        </w:rPr>
        <w:t xml:space="preserve"> (JCB1)</w:t>
      </w:r>
      <w:r w:rsidR="000B28A3">
        <w:rPr>
          <w:color w:val="000000" w:themeColor="text1"/>
        </w:rPr>
        <w:t xml:space="preserve">, </w:t>
      </w:r>
      <w:r w:rsidR="00A95BE4">
        <w:rPr>
          <w:color w:val="000000" w:themeColor="text1"/>
        </w:rPr>
        <w:t>with</w:t>
      </w:r>
      <w:r w:rsidR="000B28A3">
        <w:rPr>
          <w:color w:val="000000" w:themeColor="text1"/>
        </w:rPr>
        <w:t xml:space="preserve"> 1,32</w:t>
      </w:r>
      <w:r w:rsidR="009F1442">
        <w:rPr>
          <w:color w:val="000000" w:themeColor="text1"/>
        </w:rPr>
        <w:t>5</w:t>
      </w:r>
      <w:r w:rsidR="000B28A3">
        <w:rPr>
          <w:color w:val="000000" w:themeColor="text1"/>
        </w:rPr>
        <w:t xml:space="preserve"> of these </w:t>
      </w:r>
      <w:r w:rsidR="00A95BE4">
        <w:rPr>
          <w:color w:val="000000" w:themeColor="text1"/>
        </w:rPr>
        <w:t>lodging</w:t>
      </w:r>
      <w:r w:rsidR="000B28A3">
        <w:rPr>
          <w:color w:val="000000" w:themeColor="text1"/>
        </w:rPr>
        <w:t xml:space="preserve"> a claim for the second bonus (JCB2).</w:t>
      </w:r>
      <w:r w:rsidR="000B28A3" w:rsidRPr="000B28A3">
        <w:rPr>
          <w:rStyle w:val="FootnoteReference"/>
          <w:color w:val="000000" w:themeColor="text1"/>
        </w:rPr>
        <w:footnoteReference w:id="32"/>
      </w:r>
      <w:r w:rsidR="000B28A3" w:rsidRPr="000B28A3">
        <w:rPr>
          <w:color w:val="000000" w:themeColor="text1"/>
        </w:rPr>
        <w:t xml:space="preserve"> </w:t>
      </w:r>
      <w:bookmarkStart w:id="119" w:name="_Toc475459003"/>
      <w:r w:rsidR="001F5BE3">
        <w:rPr>
          <w:color w:val="000000" w:themeColor="text1"/>
        </w:rPr>
        <w:t xml:space="preserve">Some lodged more than one claim for the same bonus, </w:t>
      </w:r>
      <w:r w:rsidR="00A95BE4">
        <w:rPr>
          <w:color w:val="000000" w:themeColor="text1"/>
        </w:rPr>
        <w:t>because of</w:t>
      </w:r>
      <w:r w:rsidR="001F5BE3">
        <w:rPr>
          <w:color w:val="000000" w:themeColor="text1"/>
        </w:rPr>
        <w:t xml:space="preserve"> application</w:t>
      </w:r>
      <w:r w:rsidR="00A95BE4">
        <w:rPr>
          <w:color w:val="000000" w:themeColor="text1"/>
        </w:rPr>
        <w:t xml:space="preserve"> /</w:t>
      </w:r>
      <w:r w:rsidR="001F5BE3">
        <w:rPr>
          <w:color w:val="000000" w:themeColor="text1"/>
        </w:rPr>
        <w:t xml:space="preserve"> processing issues or rejection of earlier attempts.</w:t>
      </w:r>
    </w:p>
    <w:p w:rsidR="001F5BE3" w:rsidRDefault="008D1AF5" w:rsidP="000B28A3">
      <w:pPr>
        <w:spacing w:before="120"/>
        <w:rPr>
          <w:color w:val="000000" w:themeColor="text1"/>
        </w:rPr>
      </w:pPr>
      <w:r>
        <w:rPr>
          <w:color w:val="000000" w:themeColor="text1"/>
        </w:rPr>
        <w:t>Table 3.1</w:t>
      </w:r>
      <w:r w:rsidR="001F5BE3">
        <w:rPr>
          <w:color w:val="000000" w:themeColor="text1"/>
        </w:rPr>
        <w:t xml:space="preserve"> shows the final status of claims</w:t>
      </w:r>
      <w:r w:rsidR="009B378E" w:rsidRPr="000B28A3">
        <w:rPr>
          <w:rStyle w:val="FootnoteReference"/>
          <w:color w:val="000000" w:themeColor="text1"/>
        </w:rPr>
        <w:footnoteReference w:id="33"/>
      </w:r>
      <w:r w:rsidR="009B378E" w:rsidRPr="000B28A3">
        <w:rPr>
          <w:color w:val="000000" w:themeColor="text1"/>
        </w:rPr>
        <w:t xml:space="preserve"> </w:t>
      </w:r>
      <w:r w:rsidR="001F5BE3">
        <w:rPr>
          <w:color w:val="000000" w:themeColor="text1"/>
        </w:rPr>
        <w:t>for the 8,015 people who lodged one or more claims for the bonus.</w:t>
      </w:r>
    </w:p>
    <w:p w:rsidR="000B28A3" w:rsidRPr="00D83A7E" w:rsidRDefault="000B28A3" w:rsidP="00D83A7E">
      <w:pPr>
        <w:pStyle w:val="TableCaption"/>
      </w:pPr>
      <w:bookmarkStart w:id="120" w:name="_Toc507600305"/>
      <w:r w:rsidRPr="00D83A7E">
        <w:t>Table 3.</w:t>
      </w:r>
      <w:r w:rsidR="008D1AF5">
        <w:t>1</w:t>
      </w:r>
      <w:r w:rsidRPr="00D83A7E">
        <w:t xml:space="preserve">: </w:t>
      </w:r>
      <w:r w:rsidR="0096250C">
        <w:t xml:space="preserve">JCB </w:t>
      </w:r>
      <w:r w:rsidRPr="00D83A7E">
        <w:t xml:space="preserve">Claims, as at </w:t>
      </w:r>
      <w:bookmarkEnd w:id="119"/>
      <w:r w:rsidRPr="00D83A7E">
        <w:t>3 April 2017</w:t>
      </w:r>
      <w:bookmarkEnd w:id="120"/>
    </w:p>
    <w:tbl>
      <w:tblPr>
        <w:tblW w:w="6747" w:type="dxa"/>
        <w:tblInd w:w="93" w:type="dxa"/>
        <w:tblLook w:val="04A0" w:firstRow="1" w:lastRow="0" w:firstColumn="1" w:lastColumn="0" w:noHBand="0" w:noVBand="1"/>
      </w:tblPr>
      <w:tblGrid>
        <w:gridCol w:w="3984"/>
        <w:gridCol w:w="1418"/>
        <w:gridCol w:w="1345"/>
      </w:tblGrid>
      <w:tr w:rsidR="000B28A3" w:rsidRPr="000B28A3" w:rsidTr="000B28A3">
        <w:trPr>
          <w:trHeight w:val="288"/>
          <w:tblHeader/>
        </w:trPr>
        <w:tc>
          <w:tcPr>
            <w:tcW w:w="3984" w:type="dxa"/>
            <w:shd w:val="clear" w:color="auto" w:fill="1E3D6B"/>
            <w:noWrap/>
            <w:vAlign w:val="center"/>
            <w:hideMark/>
          </w:tcPr>
          <w:p w:rsidR="000B28A3" w:rsidRPr="006B181D" w:rsidRDefault="001B2335" w:rsidP="000B28A3">
            <w:pPr>
              <w:keepNext/>
              <w:spacing w:before="120" w:after="120" w:line="240" w:lineRule="auto"/>
              <w:rPr>
                <w:rFonts w:ascii="Calibri" w:eastAsia="Times New Roman" w:hAnsi="Calibri" w:cs="Calibri"/>
                <w:b/>
                <w:bCs/>
                <w:color w:val="FFFFFF" w:themeColor="background2"/>
                <w:sz w:val="20"/>
                <w:szCs w:val="20"/>
                <w:lang w:eastAsia="en-AU"/>
              </w:rPr>
            </w:pPr>
            <w:bookmarkStart w:id="121" w:name="Title_31"/>
            <w:bookmarkEnd w:id="121"/>
            <w:r w:rsidRPr="006B181D">
              <w:rPr>
                <w:rFonts w:ascii="Calibri" w:eastAsia="Times New Roman" w:hAnsi="Calibri" w:cs="Calibri"/>
                <w:b/>
                <w:bCs/>
                <w:color w:val="FFFFFF" w:themeColor="background2"/>
                <w:sz w:val="20"/>
                <w:szCs w:val="20"/>
                <w:lang w:eastAsia="en-AU"/>
              </w:rPr>
              <w:t>Processing</w:t>
            </w:r>
            <w:r w:rsidR="000B28A3" w:rsidRPr="006B181D">
              <w:rPr>
                <w:rFonts w:ascii="Calibri" w:eastAsia="Times New Roman" w:hAnsi="Calibri" w:cs="Calibri"/>
                <w:b/>
                <w:bCs/>
                <w:color w:val="FFFFFF" w:themeColor="background2"/>
                <w:sz w:val="20"/>
                <w:szCs w:val="20"/>
                <w:lang w:eastAsia="en-AU"/>
              </w:rPr>
              <w:t xml:space="preserve"> status</w:t>
            </w:r>
          </w:p>
        </w:tc>
        <w:tc>
          <w:tcPr>
            <w:tcW w:w="1418" w:type="dxa"/>
            <w:shd w:val="clear" w:color="auto" w:fill="1E3D6B"/>
            <w:noWrap/>
            <w:vAlign w:val="center"/>
            <w:hideMark/>
          </w:tcPr>
          <w:p w:rsidR="000B28A3" w:rsidRPr="006B181D" w:rsidRDefault="000B28A3" w:rsidP="000B28A3">
            <w:pPr>
              <w:keepNext/>
              <w:spacing w:before="120" w:after="120" w:line="240" w:lineRule="auto"/>
              <w:ind w:left="34"/>
              <w:rPr>
                <w:rFonts w:ascii="Calibri" w:eastAsia="Times New Roman" w:hAnsi="Calibri" w:cs="Calibri"/>
                <w:b/>
                <w:bCs/>
                <w:color w:val="FFFFFF" w:themeColor="background2"/>
                <w:sz w:val="20"/>
                <w:szCs w:val="20"/>
                <w:lang w:eastAsia="en-AU"/>
              </w:rPr>
            </w:pPr>
            <w:r w:rsidRPr="006B181D">
              <w:rPr>
                <w:rFonts w:ascii="Calibri" w:eastAsia="Times New Roman" w:hAnsi="Calibri" w:cs="Calibri"/>
                <w:b/>
                <w:bCs/>
                <w:color w:val="FFFFFF" w:themeColor="background2"/>
                <w:sz w:val="20"/>
                <w:szCs w:val="20"/>
                <w:lang w:eastAsia="en-AU"/>
              </w:rPr>
              <w:t xml:space="preserve">JCB1 claim </w:t>
            </w:r>
          </w:p>
        </w:tc>
        <w:tc>
          <w:tcPr>
            <w:tcW w:w="1345" w:type="dxa"/>
            <w:shd w:val="clear" w:color="auto" w:fill="1E3D6B"/>
            <w:noWrap/>
            <w:vAlign w:val="center"/>
            <w:hideMark/>
          </w:tcPr>
          <w:p w:rsidR="000B28A3" w:rsidRPr="006B181D" w:rsidRDefault="000B28A3" w:rsidP="000B28A3">
            <w:pPr>
              <w:keepNext/>
              <w:spacing w:before="120" w:after="120" w:line="240" w:lineRule="auto"/>
              <w:ind w:left="34"/>
              <w:rPr>
                <w:rFonts w:ascii="Calibri" w:eastAsia="Times New Roman" w:hAnsi="Calibri" w:cs="Calibri"/>
                <w:b/>
                <w:bCs/>
                <w:color w:val="FFFFFF" w:themeColor="background2"/>
                <w:sz w:val="20"/>
                <w:szCs w:val="20"/>
                <w:lang w:eastAsia="en-AU"/>
              </w:rPr>
            </w:pPr>
            <w:r w:rsidRPr="006B181D">
              <w:rPr>
                <w:rFonts w:ascii="Calibri" w:eastAsia="Times New Roman" w:hAnsi="Calibri" w:cs="Calibri"/>
                <w:b/>
                <w:bCs/>
                <w:color w:val="FFFFFF" w:themeColor="background2"/>
                <w:sz w:val="20"/>
                <w:szCs w:val="20"/>
                <w:lang w:eastAsia="en-AU"/>
              </w:rPr>
              <w:t xml:space="preserve">JCB2 claim </w:t>
            </w:r>
          </w:p>
        </w:tc>
      </w:tr>
      <w:tr w:rsidR="000B28A3" w:rsidRPr="000B28A3" w:rsidTr="000B28A3">
        <w:trPr>
          <w:trHeight w:val="288"/>
        </w:trPr>
        <w:tc>
          <w:tcPr>
            <w:tcW w:w="3984" w:type="dxa"/>
            <w:shd w:val="clear" w:color="auto" w:fill="auto"/>
            <w:noWrap/>
            <w:vAlign w:val="center"/>
            <w:hideMark/>
          </w:tcPr>
          <w:p w:rsidR="000B28A3" w:rsidRPr="006B181D" w:rsidRDefault="00767F5D" w:rsidP="000B28A3">
            <w:pPr>
              <w:keepNext/>
              <w:spacing w:before="120" w:after="120" w:line="240" w:lineRule="auto"/>
              <w:rPr>
                <w:rFonts w:ascii="Calibri" w:eastAsia="Times New Roman" w:hAnsi="Calibri" w:cs="Calibri"/>
                <w:bCs/>
                <w:color w:val="000000" w:themeColor="text1"/>
                <w:sz w:val="20"/>
                <w:szCs w:val="20"/>
                <w:lang w:eastAsia="en-AU"/>
              </w:rPr>
            </w:pPr>
            <w:r>
              <w:rPr>
                <w:rFonts w:ascii="Calibri" w:eastAsia="Times New Roman" w:hAnsi="Calibri" w:cs="Calibri"/>
                <w:bCs/>
                <w:color w:val="000000" w:themeColor="text1"/>
                <w:sz w:val="20"/>
                <w:szCs w:val="20"/>
                <w:lang w:eastAsia="en-AU"/>
              </w:rPr>
              <w:t>Claim approved</w:t>
            </w:r>
          </w:p>
        </w:tc>
        <w:tc>
          <w:tcPr>
            <w:tcW w:w="1418" w:type="dxa"/>
            <w:shd w:val="clear" w:color="auto" w:fill="auto"/>
            <w:noWrap/>
            <w:vAlign w:val="center"/>
            <w:hideMark/>
          </w:tcPr>
          <w:p w:rsidR="000B28A3" w:rsidRPr="006B181D" w:rsidRDefault="000B28A3" w:rsidP="000B28A3">
            <w:pPr>
              <w:keepNext/>
              <w:spacing w:before="120" w:after="120" w:line="240" w:lineRule="auto"/>
              <w:ind w:left="-108" w:right="459"/>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6,584</w:t>
            </w:r>
          </w:p>
        </w:tc>
        <w:tc>
          <w:tcPr>
            <w:tcW w:w="1345" w:type="dxa"/>
            <w:shd w:val="clear" w:color="auto" w:fill="auto"/>
            <w:noWrap/>
            <w:vAlign w:val="center"/>
            <w:hideMark/>
          </w:tcPr>
          <w:p w:rsidR="000B28A3" w:rsidRPr="006B181D" w:rsidRDefault="000B28A3" w:rsidP="000B28A3">
            <w:pPr>
              <w:keepNext/>
              <w:spacing w:before="120" w:after="120" w:line="240" w:lineRule="auto"/>
              <w:ind w:left="-108" w:right="459"/>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1,217</w:t>
            </w:r>
          </w:p>
        </w:tc>
      </w:tr>
      <w:tr w:rsidR="000B28A3" w:rsidRPr="000B28A3" w:rsidTr="000B28A3">
        <w:trPr>
          <w:trHeight w:val="288"/>
        </w:trPr>
        <w:tc>
          <w:tcPr>
            <w:tcW w:w="3984" w:type="dxa"/>
            <w:shd w:val="clear" w:color="auto" w:fill="E5E5E5" w:themeFill="background1" w:themeFillTint="33"/>
            <w:noWrap/>
            <w:vAlign w:val="center"/>
            <w:hideMark/>
          </w:tcPr>
          <w:p w:rsidR="000B28A3" w:rsidRPr="006B181D" w:rsidRDefault="000B28A3" w:rsidP="000B28A3">
            <w:pPr>
              <w:keepNext/>
              <w:spacing w:before="120" w:after="120" w:line="240" w:lineRule="auto"/>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Claim rejected</w:t>
            </w:r>
          </w:p>
        </w:tc>
        <w:tc>
          <w:tcPr>
            <w:tcW w:w="1418" w:type="dxa"/>
            <w:shd w:val="clear" w:color="auto" w:fill="E5E5E5" w:themeFill="background1" w:themeFillTint="33"/>
            <w:noWrap/>
            <w:vAlign w:val="center"/>
            <w:hideMark/>
          </w:tcPr>
          <w:p w:rsidR="000B28A3" w:rsidRPr="006B181D" w:rsidRDefault="000B28A3" w:rsidP="000B28A3">
            <w:pPr>
              <w:keepNext/>
              <w:spacing w:before="120" w:after="120" w:line="240" w:lineRule="auto"/>
              <w:ind w:left="-108" w:right="459"/>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1,207</w:t>
            </w:r>
          </w:p>
        </w:tc>
        <w:tc>
          <w:tcPr>
            <w:tcW w:w="1345" w:type="dxa"/>
            <w:shd w:val="clear" w:color="auto" w:fill="E5E5E5" w:themeFill="background1" w:themeFillTint="33"/>
            <w:noWrap/>
            <w:vAlign w:val="center"/>
            <w:hideMark/>
          </w:tcPr>
          <w:p w:rsidR="000B28A3" w:rsidRPr="006B181D" w:rsidRDefault="000B28A3" w:rsidP="000B28A3">
            <w:pPr>
              <w:keepNext/>
              <w:spacing w:before="120" w:after="120" w:line="240" w:lineRule="auto"/>
              <w:ind w:left="-108" w:right="459"/>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95</w:t>
            </w:r>
          </w:p>
        </w:tc>
      </w:tr>
      <w:tr w:rsidR="000B28A3" w:rsidRPr="000B28A3" w:rsidTr="000B28A3">
        <w:trPr>
          <w:trHeight w:val="288"/>
        </w:trPr>
        <w:tc>
          <w:tcPr>
            <w:tcW w:w="3984" w:type="dxa"/>
            <w:shd w:val="clear" w:color="auto" w:fill="auto"/>
            <w:noWrap/>
            <w:vAlign w:val="center"/>
          </w:tcPr>
          <w:p w:rsidR="000B28A3" w:rsidRPr="006B181D" w:rsidRDefault="000B28A3" w:rsidP="000B28A3">
            <w:pPr>
              <w:keepNext/>
              <w:spacing w:before="120" w:after="120" w:line="240" w:lineRule="auto"/>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Claim being processed</w:t>
            </w:r>
          </w:p>
        </w:tc>
        <w:tc>
          <w:tcPr>
            <w:tcW w:w="1418" w:type="dxa"/>
            <w:shd w:val="clear" w:color="auto" w:fill="auto"/>
            <w:noWrap/>
            <w:vAlign w:val="center"/>
          </w:tcPr>
          <w:p w:rsidR="000B28A3" w:rsidRPr="006B181D" w:rsidRDefault="000B28A3" w:rsidP="000B28A3">
            <w:pPr>
              <w:keepNext/>
              <w:spacing w:before="120" w:after="120" w:line="240" w:lineRule="auto"/>
              <w:ind w:left="-108" w:right="459"/>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170</w:t>
            </w:r>
          </w:p>
        </w:tc>
        <w:tc>
          <w:tcPr>
            <w:tcW w:w="1345" w:type="dxa"/>
            <w:shd w:val="clear" w:color="auto" w:fill="auto"/>
            <w:noWrap/>
            <w:vAlign w:val="center"/>
          </w:tcPr>
          <w:p w:rsidR="000B28A3" w:rsidRPr="006B181D" w:rsidRDefault="000B28A3" w:rsidP="000B28A3">
            <w:pPr>
              <w:keepNext/>
              <w:spacing w:before="120" w:after="120" w:line="240" w:lineRule="auto"/>
              <w:ind w:left="-108" w:right="459"/>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13</w:t>
            </w:r>
          </w:p>
        </w:tc>
      </w:tr>
      <w:tr w:rsidR="000B28A3" w:rsidRPr="000B28A3" w:rsidTr="000B28A3">
        <w:trPr>
          <w:trHeight w:val="288"/>
        </w:trPr>
        <w:tc>
          <w:tcPr>
            <w:tcW w:w="3984" w:type="dxa"/>
            <w:shd w:val="clear" w:color="auto" w:fill="E5E5E5" w:themeFill="background1" w:themeFillTint="33"/>
            <w:noWrap/>
            <w:vAlign w:val="center"/>
          </w:tcPr>
          <w:p w:rsidR="000B28A3" w:rsidRPr="006B181D" w:rsidRDefault="000B28A3" w:rsidP="000B28A3">
            <w:pPr>
              <w:keepNext/>
              <w:spacing w:before="120" w:after="120" w:line="240" w:lineRule="auto"/>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Claim withdrawn</w:t>
            </w:r>
          </w:p>
        </w:tc>
        <w:tc>
          <w:tcPr>
            <w:tcW w:w="1418" w:type="dxa"/>
            <w:shd w:val="clear" w:color="auto" w:fill="E5E5E5" w:themeFill="background1" w:themeFillTint="33"/>
            <w:noWrap/>
            <w:vAlign w:val="center"/>
          </w:tcPr>
          <w:p w:rsidR="000B28A3" w:rsidRPr="006B181D" w:rsidRDefault="009F1442" w:rsidP="000B28A3">
            <w:pPr>
              <w:keepNext/>
              <w:spacing w:before="120" w:after="120" w:line="240" w:lineRule="auto"/>
              <w:ind w:left="-108" w:right="459"/>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54</w:t>
            </w:r>
          </w:p>
        </w:tc>
        <w:tc>
          <w:tcPr>
            <w:tcW w:w="1345" w:type="dxa"/>
            <w:shd w:val="clear" w:color="auto" w:fill="E5E5E5" w:themeFill="background1" w:themeFillTint="33"/>
            <w:noWrap/>
            <w:vAlign w:val="center"/>
          </w:tcPr>
          <w:p w:rsidR="000B28A3" w:rsidRPr="006B181D" w:rsidRDefault="000B28A3" w:rsidP="000B28A3">
            <w:pPr>
              <w:keepNext/>
              <w:spacing w:before="120" w:after="120" w:line="240" w:lineRule="auto"/>
              <w:ind w:left="-108" w:right="459"/>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3</w:t>
            </w:r>
          </w:p>
        </w:tc>
      </w:tr>
      <w:tr w:rsidR="000B28A3" w:rsidRPr="000B28A3" w:rsidTr="000B28A3">
        <w:trPr>
          <w:trHeight w:val="288"/>
        </w:trPr>
        <w:tc>
          <w:tcPr>
            <w:tcW w:w="3984" w:type="dxa"/>
            <w:shd w:val="clear" w:color="auto" w:fill="FFFFFF" w:themeFill="background2"/>
            <w:noWrap/>
            <w:vAlign w:val="center"/>
          </w:tcPr>
          <w:p w:rsidR="000B28A3" w:rsidRPr="006B181D" w:rsidRDefault="000B28A3" w:rsidP="000B28A3">
            <w:pPr>
              <w:keepNext/>
              <w:spacing w:before="120" w:after="120" w:line="240" w:lineRule="auto"/>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No claim lodged</w:t>
            </w:r>
          </w:p>
        </w:tc>
        <w:tc>
          <w:tcPr>
            <w:tcW w:w="1418" w:type="dxa"/>
            <w:shd w:val="clear" w:color="auto" w:fill="FFFFFF" w:themeFill="background2"/>
            <w:noWrap/>
            <w:vAlign w:val="center"/>
          </w:tcPr>
          <w:p w:rsidR="000B28A3" w:rsidRPr="006B181D" w:rsidRDefault="000B28A3" w:rsidP="000B28A3">
            <w:pPr>
              <w:keepNext/>
              <w:spacing w:before="120" w:after="120" w:line="240" w:lineRule="auto"/>
              <w:ind w:left="-108" w:right="459"/>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w:t>
            </w:r>
          </w:p>
        </w:tc>
        <w:tc>
          <w:tcPr>
            <w:tcW w:w="1345" w:type="dxa"/>
            <w:shd w:val="clear" w:color="auto" w:fill="FFFFFF" w:themeFill="background2"/>
            <w:noWrap/>
            <w:vAlign w:val="center"/>
          </w:tcPr>
          <w:p w:rsidR="000B28A3" w:rsidRPr="006B181D" w:rsidRDefault="000B28A3" w:rsidP="000B28A3">
            <w:pPr>
              <w:keepNext/>
              <w:spacing w:before="120" w:after="120" w:line="240" w:lineRule="auto"/>
              <w:ind w:left="-108" w:right="459"/>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6,687</w:t>
            </w:r>
          </w:p>
        </w:tc>
      </w:tr>
      <w:tr w:rsidR="000B28A3" w:rsidRPr="000B28A3" w:rsidTr="000B28A3">
        <w:trPr>
          <w:trHeight w:val="288"/>
        </w:trPr>
        <w:tc>
          <w:tcPr>
            <w:tcW w:w="3984" w:type="dxa"/>
            <w:shd w:val="clear" w:color="auto" w:fill="8EAEDE"/>
            <w:noWrap/>
            <w:vAlign w:val="center"/>
            <w:hideMark/>
          </w:tcPr>
          <w:p w:rsidR="000B28A3" w:rsidRPr="006B181D" w:rsidRDefault="000B28A3" w:rsidP="000B28A3">
            <w:pPr>
              <w:spacing w:before="120" w:after="120" w:line="240" w:lineRule="auto"/>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Total</w:t>
            </w:r>
          </w:p>
        </w:tc>
        <w:tc>
          <w:tcPr>
            <w:tcW w:w="1418" w:type="dxa"/>
            <w:shd w:val="clear" w:color="auto" w:fill="8EAEDE"/>
            <w:noWrap/>
            <w:vAlign w:val="center"/>
            <w:hideMark/>
          </w:tcPr>
          <w:p w:rsidR="000B28A3" w:rsidRPr="006B181D" w:rsidRDefault="000B28A3" w:rsidP="000B28A3">
            <w:pPr>
              <w:spacing w:before="120" w:after="120" w:line="240" w:lineRule="auto"/>
              <w:ind w:left="-108" w:right="459"/>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8,015</w:t>
            </w:r>
          </w:p>
        </w:tc>
        <w:tc>
          <w:tcPr>
            <w:tcW w:w="1345" w:type="dxa"/>
            <w:shd w:val="clear" w:color="auto" w:fill="8EAEDE"/>
            <w:noWrap/>
            <w:vAlign w:val="center"/>
            <w:hideMark/>
          </w:tcPr>
          <w:p w:rsidR="000B28A3" w:rsidRPr="006B181D" w:rsidRDefault="000B28A3" w:rsidP="000B28A3">
            <w:pPr>
              <w:spacing w:before="120" w:after="120" w:line="240" w:lineRule="auto"/>
              <w:ind w:left="-108" w:right="459"/>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8,015</w:t>
            </w:r>
          </w:p>
        </w:tc>
      </w:tr>
    </w:tbl>
    <w:p w:rsidR="00D42976" w:rsidRDefault="009B378E" w:rsidP="004C5B83">
      <w:pPr>
        <w:pStyle w:val="Source"/>
        <w:rPr>
          <w:b w:val="0"/>
        </w:rPr>
      </w:pPr>
      <w:r w:rsidRPr="004C5B83">
        <w:t>Note</w:t>
      </w:r>
      <w:r w:rsidR="00D42976">
        <w:t>s</w:t>
      </w:r>
      <w:r w:rsidRPr="004C5B83">
        <w:t>:</w:t>
      </w:r>
      <w:r w:rsidRPr="004C5B83">
        <w:rPr>
          <w:b w:val="0"/>
        </w:rPr>
        <w:t xml:space="preserve"> </w:t>
      </w:r>
    </w:p>
    <w:p w:rsidR="009B378E" w:rsidRDefault="009B378E" w:rsidP="007B55C3">
      <w:pPr>
        <w:pStyle w:val="Source"/>
        <w:numPr>
          <w:ilvl w:val="0"/>
          <w:numId w:val="114"/>
        </w:numPr>
        <w:rPr>
          <w:b w:val="0"/>
        </w:rPr>
      </w:pPr>
      <w:r w:rsidRPr="004C5B83">
        <w:rPr>
          <w:b w:val="0"/>
        </w:rPr>
        <w:t>This table shows the final status of claims lodged by each person.</w:t>
      </w:r>
    </w:p>
    <w:p w:rsidR="00D42976" w:rsidRPr="000761E7" w:rsidRDefault="00D42976" w:rsidP="007B55C3">
      <w:pPr>
        <w:pStyle w:val="Source"/>
        <w:numPr>
          <w:ilvl w:val="0"/>
          <w:numId w:val="114"/>
        </w:numPr>
        <w:rPr>
          <w:b w:val="0"/>
        </w:rPr>
      </w:pPr>
      <w:r w:rsidRPr="007B55C3">
        <w:rPr>
          <w:b w:val="0"/>
        </w:rPr>
        <w:t>As at 30 June 201</w:t>
      </w:r>
      <w:r w:rsidR="00B40AA9">
        <w:rPr>
          <w:b w:val="0"/>
        </w:rPr>
        <w:t>7</w:t>
      </w:r>
      <w:r w:rsidRPr="007B55C3">
        <w:rPr>
          <w:b w:val="0"/>
        </w:rPr>
        <w:t>, 6,595 JCB1 and 1,223 JCB2 claims had been approved.</w:t>
      </w:r>
    </w:p>
    <w:p w:rsidR="000B28A3" w:rsidRPr="004C5B83" w:rsidRDefault="000B28A3" w:rsidP="004C5B83">
      <w:pPr>
        <w:pStyle w:val="Source"/>
        <w:rPr>
          <w:b w:val="0"/>
        </w:rPr>
      </w:pPr>
      <w:r w:rsidRPr="004C5B83">
        <w:t>Source:</w:t>
      </w:r>
      <w:r w:rsidRPr="004C5B83">
        <w:rPr>
          <w:b w:val="0"/>
        </w:rPr>
        <w:t xml:space="preserve"> </w:t>
      </w:r>
      <w:r w:rsidR="004B0F8E">
        <w:rPr>
          <w:b w:val="0"/>
        </w:rPr>
        <w:t>DHS and D</w:t>
      </w:r>
      <w:r w:rsidRPr="004C5B83">
        <w:rPr>
          <w:b w:val="0"/>
        </w:rPr>
        <w:t>oE monitoring data.</w:t>
      </w:r>
    </w:p>
    <w:p w:rsidR="00C32C8B" w:rsidRDefault="00FE7456" w:rsidP="00A95BE4">
      <w:pPr>
        <w:spacing w:before="240"/>
      </w:pPr>
      <w:r>
        <w:t>Results of t</w:t>
      </w:r>
      <w:r w:rsidR="00A95BE4">
        <w:t xml:space="preserve">he </w:t>
      </w:r>
      <w:r w:rsidR="0096250C">
        <w:t xml:space="preserve">JCB </w:t>
      </w:r>
      <w:r w:rsidR="007A14C1">
        <w:t>Post Program Monitoring (</w:t>
      </w:r>
      <w:r w:rsidR="00A95BE4">
        <w:t>PPM</w:t>
      </w:r>
      <w:r w:rsidR="007A14C1">
        <w:t>)</w:t>
      </w:r>
      <w:r w:rsidR="00A95BE4">
        <w:t xml:space="preserve"> survey </w:t>
      </w:r>
      <w:r>
        <w:t xml:space="preserve">show </w:t>
      </w:r>
      <w:r w:rsidR="00A95BE4">
        <w:t>that t</w:t>
      </w:r>
      <w:r w:rsidR="005D49AC">
        <w:t>he majority of in</w:t>
      </w:r>
      <w:r w:rsidR="007A14C1">
        <w:t>-</w:t>
      </w:r>
      <w:r w:rsidR="005D49AC">
        <w:t>scope job seekers who left income support (91.3</w:t>
      </w:r>
      <w:r w:rsidR="00A95BE4">
        <w:t> </w:t>
      </w:r>
      <w:r w:rsidR="005D49AC">
        <w:t>per cent) were employed 12</w:t>
      </w:r>
      <w:r w:rsidR="00A227B0">
        <w:t> </w:t>
      </w:r>
      <w:r w:rsidR="005D49AC">
        <w:t xml:space="preserve">months </w:t>
      </w:r>
      <w:r w:rsidR="00AA34D9">
        <w:t>later</w:t>
      </w:r>
      <w:r w:rsidR="00A95BE4">
        <w:t>,</w:t>
      </w:r>
      <w:r w:rsidR="005D49AC">
        <w:t xml:space="preserve"> with just 2.5</w:t>
      </w:r>
      <w:r w:rsidR="00A95BE4">
        <w:t> </w:t>
      </w:r>
      <w:r w:rsidR="005D49AC">
        <w:t>per cent having left the labour force</w:t>
      </w:r>
      <w:r w:rsidR="00B13CAD">
        <w:t xml:space="preserve"> and j</w:t>
      </w:r>
      <w:r>
        <w:t xml:space="preserve">ust over </w:t>
      </w:r>
      <w:r w:rsidR="007A14C1">
        <w:t xml:space="preserve">6 </w:t>
      </w:r>
      <w:r>
        <w:t>per cent</w:t>
      </w:r>
      <w:r w:rsidR="00AA34D9">
        <w:t xml:space="preserve"> (6.2) unemployed.</w:t>
      </w:r>
    </w:p>
    <w:p w:rsidR="00712ADB" w:rsidRDefault="00C53CF4" w:rsidP="00712ADB">
      <w:pPr>
        <w:spacing w:before="120"/>
      </w:pPr>
      <w:bookmarkStart w:id="122" w:name="_Toc478117574"/>
      <w:bookmarkStart w:id="123" w:name="_Toc475459004"/>
      <w:r>
        <w:t>R</w:t>
      </w:r>
      <w:r w:rsidR="00712ADB">
        <w:t>espondents who left income support and potentially could have claimed the JCB</w:t>
      </w:r>
      <w:r w:rsidR="0096250C">
        <w:t>,</w:t>
      </w:r>
      <w:r w:rsidR="00712ADB">
        <w:t xml:space="preserve"> </w:t>
      </w:r>
      <w:r>
        <w:t xml:space="preserve">had </w:t>
      </w:r>
      <w:r w:rsidR="00712ADB">
        <w:t>their employment met eligibility criteria</w:t>
      </w:r>
      <w:r w:rsidR="009B2BF7">
        <w:t>,</w:t>
      </w:r>
      <w:r w:rsidR="00712ADB">
        <w:t xml:space="preserve"> were asked about the</w:t>
      </w:r>
      <w:r>
        <w:t>ir</w:t>
      </w:r>
      <w:r w:rsidR="00712ADB">
        <w:t xml:space="preserve"> pattern of employment over the previous 12 months</w:t>
      </w:r>
      <w:r w:rsidR="00ED6E56">
        <w:t xml:space="preserve">, </w:t>
      </w:r>
      <w:r w:rsidR="00712ADB">
        <w:t>since they left income support. Of the 91.3 per cent who were employed</w:t>
      </w:r>
      <w:r w:rsidR="009B378E">
        <w:t>,</w:t>
      </w:r>
      <w:r w:rsidR="00712ADB">
        <w:t xml:space="preserve"> around one in six (16 per cent) had not been in continuous work, with 12.0 per cent reporting that they had been employed for the entire 12 months but had taken unpaid breaks and a further </w:t>
      </w:r>
      <w:r w:rsidR="00767F5D">
        <w:t xml:space="preserve">four </w:t>
      </w:r>
      <w:r w:rsidR="00712ADB">
        <w:t>per cent had breaks between wor</w:t>
      </w:r>
      <w:r w:rsidR="009B378E">
        <w:t>k of at least one week duration.</w:t>
      </w:r>
    </w:p>
    <w:p w:rsidR="00A87DB6" w:rsidRDefault="00754559" w:rsidP="00912C8B">
      <w:pPr>
        <w:spacing w:before="240"/>
      </w:pPr>
      <w:r>
        <w:lastRenderedPageBreak/>
        <w:t>O</w:t>
      </w:r>
      <w:r w:rsidR="00912C8B">
        <w:t xml:space="preserve">ne in five </w:t>
      </w:r>
      <w:r w:rsidR="00A87DB6">
        <w:t>(</w:t>
      </w:r>
      <w:r w:rsidR="00712ADB">
        <w:t>22</w:t>
      </w:r>
      <w:r w:rsidR="00D727A6">
        <w:t xml:space="preserve"> </w:t>
      </w:r>
      <w:r w:rsidR="00A87DB6">
        <w:t xml:space="preserve">per cent) </w:t>
      </w:r>
      <w:r w:rsidR="009A2E70">
        <w:t>who</w:t>
      </w:r>
      <w:r w:rsidR="00912C8B">
        <w:t xml:space="preserve"> were ‘potentially eligible’</w:t>
      </w:r>
      <w:r w:rsidR="00A87DB6">
        <w:rPr>
          <w:rStyle w:val="FootnoteReference"/>
        </w:rPr>
        <w:footnoteReference w:id="34"/>
      </w:r>
      <w:r w:rsidR="00912C8B">
        <w:t xml:space="preserve"> claimed the bonus. </w:t>
      </w:r>
      <w:r w:rsidR="00AA34D9">
        <w:t xml:space="preserve">People who were </w:t>
      </w:r>
      <w:r w:rsidR="00A87DB6">
        <w:t>‘potentially eligible’ who did not claim</w:t>
      </w:r>
      <w:r w:rsidR="00912C8B">
        <w:t xml:space="preserve"> would include those who</w:t>
      </w:r>
      <w:r w:rsidR="00A87DB6">
        <w:t>:</w:t>
      </w:r>
    </w:p>
    <w:p w:rsidR="00A87DB6" w:rsidRDefault="00912C8B" w:rsidP="00A16659">
      <w:pPr>
        <w:pStyle w:val="ListParagraph"/>
        <w:numPr>
          <w:ilvl w:val="0"/>
          <w:numId w:val="37"/>
        </w:numPr>
        <w:spacing w:before="240"/>
      </w:pPr>
      <w:r>
        <w:t xml:space="preserve">did not </w:t>
      </w:r>
      <w:r w:rsidR="00A87DB6">
        <w:t xml:space="preserve">actually </w:t>
      </w:r>
      <w:r>
        <w:t xml:space="preserve">qualify for the bonus based on their employment during the 12 month </w:t>
      </w:r>
      <w:r w:rsidR="00A87DB6">
        <w:t xml:space="preserve">qualification </w:t>
      </w:r>
      <w:r>
        <w:t>period</w:t>
      </w:r>
      <w:r w:rsidR="00A87DB6">
        <w:t xml:space="preserve"> (as such information is not available for this analysis</w:t>
      </w:r>
      <w:r w:rsidR="009B378E">
        <w:t>)</w:t>
      </w:r>
    </w:p>
    <w:p w:rsidR="00A87DB6" w:rsidRDefault="00912C8B" w:rsidP="00A16659">
      <w:pPr>
        <w:pStyle w:val="ListParagraph"/>
        <w:numPr>
          <w:ilvl w:val="0"/>
          <w:numId w:val="37"/>
        </w:numPr>
        <w:spacing w:before="240"/>
      </w:pPr>
      <w:r>
        <w:t>were unaware of the bonus</w:t>
      </w:r>
    </w:p>
    <w:p w:rsidR="00A87DB6" w:rsidRDefault="00A87DB6" w:rsidP="00A16659">
      <w:pPr>
        <w:pStyle w:val="ListParagraph"/>
        <w:numPr>
          <w:ilvl w:val="0"/>
          <w:numId w:val="37"/>
        </w:numPr>
        <w:spacing w:before="240"/>
      </w:pPr>
      <w:r>
        <w:t xml:space="preserve">were aware of the bonus but missed the deadline to apply for </w:t>
      </w:r>
      <w:r w:rsidR="005E6A4F">
        <w:t>JCB1</w:t>
      </w:r>
      <w:r>
        <w:t xml:space="preserve"> and were unable to apply at </w:t>
      </w:r>
      <w:r w:rsidR="005E6A4F">
        <w:t xml:space="preserve">the </w:t>
      </w:r>
      <w:r>
        <w:t xml:space="preserve">deadline </w:t>
      </w:r>
      <w:r w:rsidR="005E6A4F">
        <w:t xml:space="preserve">for JCB2 </w:t>
      </w:r>
      <w:r w:rsidR="003A5C93">
        <w:t>(</w:t>
      </w:r>
      <w:r>
        <w:t xml:space="preserve">as </w:t>
      </w:r>
      <w:r w:rsidR="009B378E">
        <w:t>they</w:t>
      </w:r>
      <w:r w:rsidR="009B2BF7" w:rsidRPr="009B2BF7">
        <w:t xml:space="preserve"> </w:t>
      </w:r>
      <w:r w:rsidR="009B2BF7">
        <w:t>either</w:t>
      </w:r>
      <w:r w:rsidR="009B378E">
        <w:t xml:space="preserve"> </w:t>
      </w:r>
      <w:r>
        <w:t xml:space="preserve">did not qualify for </w:t>
      </w:r>
      <w:r w:rsidR="005E6A4F">
        <w:t>JCB2</w:t>
      </w:r>
      <w:r>
        <w:t xml:space="preserve"> or the program ceased before they reached this milestone)</w:t>
      </w:r>
    </w:p>
    <w:p w:rsidR="00912C8B" w:rsidRPr="00912C8B" w:rsidRDefault="00912C8B" w:rsidP="00A16659">
      <w:pPr>
        <w:pStyle w:val="ListParagraph"/>
        <w:numPr>
          <w:ilvl w:val="0"/>
          <w:numId w:val="37"/>
        </w:numPr>
        <w:spacing w:before="240"/>
      </w:pPr>
      <w:r>
        <w:t>consciously chose not to apply even though they qualified.</w:t>
      </w:r>
    </w:p>
    <w:p w:rsidR="008823B7" w:rsidRDefault="008823B7" w:rsidP="008823B7">
      <w:pPr>
        <w:spacing w:before="240"/>
      </w:pPr>
      <w:r>
        <w:t xml:space="preserve">There </w:t>
      </w:r>
      <w:r w:rsidR="00ED6E56">
        <w:t xml:space="preserve">was </w:t>
      </w:r>
      <w:r>
        <w:t xml:space="preserve">a </w:t>
      </w:r>
      <w:r w:rsidR="009A2E70">
        <w:t xml:space="preserve">spike </w:t>
      </w:r>
      <w:r w:rsidR="000211B0">
        <w:t xml:space="preserve">in JCB </w:t>
      </w:r>
      <w:r w:rsidR="009A2E70">
        <w:t>claim rates</w:t>
      </w:r>
      <w:r w:rsidR="000211B0">
        <w:rPr>
          <w:rStyle w:val="FootnoteReference"/>
        </w:rPr>
        <w:footnoteReference w:id="35"/>
      </w:r>
      <w:r>
        <w:t xml:space="preserve"> in June 2015</w:t>
      </w:r>
      <w:r w:rsidR="00AA34D9">
        <w:t xml:space="preserve">. </w:t>
      </w:r>
      <w:r>
        <w:t>This</w:t>
      </w:r>
      <w:r w:rsidR="000211B0">
        <w:t>, in conjunction with qualitative evidence</w:t>
      </w:r>
      <w:r>
        <w:t xml:space="preserve"> indicate</w:t>
      </w:r>
      <w:r w:rsidR="000211B0">
        <w:t>s</w:t>
      </w:r>
      <w:r>
        <w:t xml:space="preserve"> that people were more likely to check their myGov accounts around tax return time</w:t>
      </w:r>
      <w:r w:rsidR="000211B0">
        <w:t xml:space="preserve"> and </w:t>
      </w:r>
      <w:r>
        <w:t>consequently f</w:t>
      </w:r>
      <w:r w:rsidR="009A2E70">
        <w:t>ound</w:t>
      </w:r>
      <w:r>
        <w:t xml:space="preserve"> communications from DHS</w:t>
      </w:r>
      <w:r w:rsidR="000211B0">
        <w:t>.</w:t>
      </w:r>
      <w:r w:rsidR="0051451F">
        <w:rPr>
          <w:rStyle w:val="FootnoteReference"/>
        </w:rPr>
        <w:footnoteReference w:id="36"/>
      </w:r>
      <w:r w:rsidR="000211B0">
        <w:t xml:space="preserve"> It </w:t>
      </w:r>
      <w:r>
        <w:t xml:space="preserve">may also </w:t>
      </w:r>
      <w:r w:rsidR="00AA34D9">
        <w:t xml:space="preserve">go some way to </w:t>
      </w:r>
      <w:r>
        <w:t>explain</w:t>
      </w:r>
      <w:r w:rsidR="009B2BF7">
        <w:t>ing</w:t>
      </w:r>
      <w:r>
        <w:t xml:space="preserve"> the higher </w:t>
      </w:r>
      <w:r w:rsidR="000211B0">
        <w:t xml:space="preserve">claim rates </w:t>
      </w:r>
      <w:r>
        <w:t>shown in earlier months of the program (July to September 2014)</w:t>
      </w:r>
      <w:r w:rsidR="00AA34D9">
        <w:t xml:space="preserve">. </w:t>
      </w:r>
      <w:r w:rsidR="000211B0">
        <w:t>There was</w:t>
      </w:r>
      <w:r w:rsidR="00FD2A6D">
        <w:t>,</w:t>
      </w:r>
      <w:r w:rsidR="000211B0">
        <w:t xml:space="preserve"> however, </w:t>
      </w:r>
      <w:r w:rsidR="000211B0" w:rsidRPr="003A4B00">
        <w:t>a gradual de</w:t>
      </w:r>
      <w:r w:rsidR="000211B0">
        <w:t>crease</w:t>
      </w:r>
      <w:r w:rsidR="000211B0" w:rsidRPr="003A4B00">
        <w:t xml:space="preserve"> in </w:t>
      </w:r>
      <w:r w:rsidR="000211B0">
        <w:t xml:space="preserve">JCB claim </w:t>
      </w:r>
      <w:r w:rsidR="000211B0" w:rsidRPr="003A4B00">
        <w:t>rates over th</w:t>
      </w:r>
      <w:r w:rsidR="000211B0">
        <w:t>is period</w:t>
      </w:r>
      <w:r w:rsidR="00242D6F">
        <w:t>,</w:t>
      </w:r>
      <w:r w:rsidR="000211B0">
        <w:t xml:space="preserve"> which more likely </w:t>
      </w:r>
      <w:r w:rsidR="000211B0" w:rsidRPr="003A4B00">
        <w:t>reflect</w:t>
      </w:r>
      <w:r w:rsidR="00242D6F">
        <w:t>s</w:t>
      </w:r>
      <w:r w:rsidR="000211B0" w:rsidRPr="003A4B00">
        <w:t xml:space="preserve"> </w:t>
      </w:r>
      <w:r w:rsidR="000211B0">
        <w:t>a</w:t>
      </w:r>
      <w:r w:rsidR="000211B0" w:rsidRPr="003A4B00">
        <w:t xml:space="preserve"> diminishing effect of the bulk </w:t>
      </w:r>
      <w:r w:rsidR="000211B0">
        <w:t xml:space="preserve">promotion letter sent in </w:t>
      </w:r>
      <w:r w:rsidR="000211B0" w:rsidRPr="003A4B00">
        <w:t>June 2014</w:t>
      </w:r>
      <w:r w:rsidR="000211B0">
        <w:t xml:space="preserve"> (Figure 3</w:t>
      </w:r>
      <w:r w:rsidR="000211B0" w:rsidRPr="003A4B00">
        <w:t>.</w:t>
      </w:r>
      <w:r w:rsidR="00FB4E23">
        <w:t>2</w:t>
      </w:r>
      <w:r w:rsidR="000211B0">
        <w:t>).</w:t>
      </w:r>
    </w:p>
    <w:p w:rsidR="00B4282B" w:rsidRPr="0093643A" w:rsidRDefault="00B4282B" w:rsidP="00B4282B">
      <w:pPr>
        <w:pStyle w:val="QuotationJCB"/>
      </w:pPr>
      <w:r w:rsidRPr="0093643A">
        <w:t>And it was just after tax time, so I assumed they were going to say you owe me money, and then I</w:t>
      </w:r>
      <w:r w:rsidR="00602B02">
        <w:t xml:space="preserve"> was like, wait till next year.</w:t>
      </w:r>
    </w:p>
    <w:p w:rsidR="00B4282B" w:rsidRPr="00260B80" w:rsidRDefault="002361DB" w:rsidP="004968D9">
      <w:pPr>
        <w:pStyle w:val="quopteJCB-source"/>
        <w:spacing w:before="0"/>
        <w:ind w:left="360"/>
      </w:pPr>
      <w:r>
        <w:t>October 2016 (Round 3),</w:t>
      </w:r>
      <w:r w:rsidR="00AD60DE">
        <w:t xml:space="preserve"> not yet claimed</w:t>
      </w:r>
      <w:r w:rsidR="00B4282B">
        <w:t>, focus group,</w:t>
      </w:r>
      <w:r w:rsidR="00B4282B" w:rsidRPr="0085604E">
        <w:t xml:space="preserve"> </w:t>
      </w:r>
      <w:r w:rsidR="00B4282B">
        <w:t>Melbourne</w:t>
      </w:r>
    </w:p>
    <w:p w:rsidR="00B4282B" w:rsidRPr="0093643A" w:rsidRDefault="00B4282B" w:rsidP="007D65F2">
      <w:pPr>
        <w:pStyle w:val="QuotationJCB"/>
      </w:pPr>
      <w:r w:rsidRPr="0093643A">
        <w:t>It was around tax time and I had my group certificate in my hand and I was like wicked, and they wanted proof of income, and I had my group certificate already on their file, so attached that new activity, that new cla</w:t>
      </w:r>
      <w:r w:rsidR="00C962FC">
        <w:t>im, it was very easy I thought.</w:t>
      </w:r>
    </w:p>
    <w:p w:rsidR="00B4282B" w:rsidRDefault="002361DB" w:rsidP="004968D9">
      <w:pPr>
        <w:pStyle w:val="quopteJCB-source"/>
        <w:spacing w:before="0"/>
        <w:ind w:left="360"/>
      </w:pPr>
      <w:r>
        <w:t>October 2016 (Round 3),</w:t>
      </w:r>
      <w:r w:rsidR="00AD60DE">
        <w:t xml:space="preserve"> received JCB</w:t>
      </w:r>
      <w:r w:rsidR="00B4282B">
        <w:t>, focus group,</w:t>
      </w:r>
      <w:r w:rsidR="00B4282B" w:rsidRPr="0085604E">
        <w:t xml:space="preserve"> </w:t>
      </w:r>
      <w:r w:rsidR="00B4282B">
        <w:t>Gold Coast</w:t>
      </w:r>
    </w:p>
    <w:p w:rsidR="00A11EDC" w:rsidRDefault="009B378E" w:rsidP="008823B7">
      <w:pPr>
        <w:spacing w:before="240"/>
      </w:pPr>
      <w:r>
        <w:t>There</w:t>
      </w:r>
      <w:r w:rsidR="008823B7">
        <w:t xml:space="preserve"> </w:t>
      </w:r>
      <w:r w:rsidR="00ED6E56">
        <w:t xml:space="preserve">was </w:t>
      </w:r>
      <w:r w:rsidR="008823B7" w:rsidRPr="003A4B00">
        <w:t>a</w:t>
      </w:r>
      <w:r>
        <w:t>nother</w:t>
      </w:r>
      <w:r w:rsidR="008823B7" w:rsidRPr="003A4B00">
        <w:t xml:space="preserve"> noticeable jump in lodgement rates from February to June 201</w:t>
      </w:r>
      <w:r w:rsidR="00971AEF">
        <w:t>6</w:t>
      </w:r>
      <w:r w:rsidR="008823B7" w:rsidRPr="003A4B00">
        <w:t>. Th</w:t>
      </w:r>
      <w:r w:rsidR="008823B7">
        <w:t>is</w:t>
      </w:r>
      <w:r w:rsidR="008823B7" w:rsidRPr="003A4B00">
        <w:t xml:space="preserve"> increase may reflect that in early 2016 the D</w:t>
      </w:r>
      <w:r w:rsidR="00ED6E56">
        <w:t>oE</w:t>
      </w:r>
      <w:r w:rsidR="008823B7" w:rsidRPr="003A4B00">
        <w:t xml:space="preserve"> and DHS increased the proportion of potentially eligible claimants who received electronic reminder messages.</w:t>
      </w:r>
      <w:r w:rsidR="004A601B">
        <w:rPr>
          <w:rStyle w:val="FootnoteReference"/>
        </w:rPr>
        <w:footnoteReference w:id="37"/>
      </w:r>
      <w:r w:rsidR="008823B7" w:rsidRPr="003A4B00">
        <w:t xml:space="preserve"> The ‘hit rate’ for these reminders increased from 47 per cent of potentially eligible</w:t>
      </w:r>
      <w:r w:rsidR="000211B0">
        <w:t xml:space="preserve"> people</w:t>
      </w:r>
      <w:r w:rsidR="008823B7" w:rsidRPr="003A4B00">
        <w:t xml:space="preserve"> from July to December 2015, to more than 54 per cent</w:t>
      </w:r>
      <w:r w:rsidR="008823B7" w:rsidRPr="003A4B00">
        <w:rPr>
          <w:rStyle w:val="FootnoteReference"/>
        </w:rPr>
        <w:footnoteReference w:id="38"/>
      </w:r>
      <w:r w:rsidR="008823B7" w:rsidRPr="003A4B00">
        <w:t xml:space="preserve"> three months later. This clearly demonstrates the importance of communication for program take-up rates.</w:t>
      </w:r>
      <w:r w:rsidR="00A11EDC">
        <w:t xml:space="preserve"> Program awareness may also have been improving </w:t>
      </w:r>
      <w:r w:rsidR="001467D4">
        <w:t xml:space="preserve">due to </w:t>
      </w:r>
      <w:r w:rsidR="00A11EDC">
        <w:t xml:space="preserve">word of mouth, as more </w:t>
      </w:r>
      <w:r w:rsidR="00A11EDC">
        <w:lastRenderedPageBreak/>
        <w:t xml:space="preserve">people claimed the bonus. The extent </w:t>
      </w:r>
      <w:r w:rsidR="001467D4">
        <w:t xml:space="preserve">to which </w:t>
      </w:r>
      <w:r w:rsidR="00A11EDC">
        <w:t xml:space="preserve">this was occurring </w:t>
      </w:r>
      <w:r w:rsidR="00DD30B9">
        <w:t>is unknown</w:t>
      </w:r>
      <w:r w:rsidR="00232009">
        <w:t>,</w:t>
      </w:r>
      <w:r w:rsidR="00A11EDC">
        <w:t xml:space="preserve"> but some people involved in the qualitative fieldwork did </w:t>
      </w:r>
      <w:r w:rsidR="00F14189">
        <w:t>raise</w:t>
      </w:r>
      <w:r w:rsidR="00A11EDC">
        <w:t xml:space="preserve"> it.</w:t>
      </w:r>
    </w:p>
    <w:p w:rsidR="005177A7" w:rsidRDefault="005177A7" w:rsidP="005177A7">
      <w:pPr>
        <w:pStyle w:val="QuotationJCB"/>
      </w:pPr>
      <w:r w:rsidRPr="00717825">
        <w:t>I started with a group of about five other mates, well there was about twenty of us and five of them were on Centrelink six months beforehand.</w:t>
      </w:r>
      <w:r>
        <w:t xml:space="preserve"> </w:t>
      </w:r>
      <w:r w:rsidRPr="00717825">
        <w:t>I told them about it and four out of those five went and did the claim as well.</w:t>
      </w:r>
    </w:p>
    <w:p w:rsidR="005177A7" w:rsidRDefault="005177A7" w:rsidP="004968D9">
      <w:pPr>
        <w:pStyle w:val="quopteJCB-source"/>
        <w:spacing w:before="0"/>
      </w:pPr>
      <w:r w:rsidRPr="00717825">
        <w:t xml:space="preserve"> </w:t>
      </w:r>
      <w:r w:rsidR="002361DB">
        <w:t>October 2016 (Round 3),</w:t>
      </w:r>
      <w:r w:rsidR="00AD60DE">
        <w:t xml:space="preserve"> received JCB</w:t>
      </w:r>
      <w:r>
        <w:t>, focus group,</w:t>
      </w:r>
      <w:r w:rsidRPr="00717825">
        <w:t xml:space="preserve"> </w:t>
      </w:r>
      <w:r>
        <w:t>Gold Coast</w:t>
      </w:r>
    </w:p>
    <w:p w:rsidR="00B4282B" w:rsidRPr="00B4282B" w:rsidRDefault="00B4282B" w:rsidP="00B4282B">
      <w:pPr>
        <w:pStyle w:val="QuotationJCB"/>
      </w:pPr>
      <w:r w:rsidRPr="00B4282B">
        <w:t xml:space="preserve">Yeah I tell people about it, and I’m pretty sure I even did a Facebook post about it when I received it… I think I posted a link about it too, sort of saying that it was a bit odd, but </w:t>
      </w:r>
      <w:r w:rsidR="00602B02">
        <w:t xml:space="preserve">I’ll take any money I can get. </w:t>
      </w:r>
      <w:r w:rsidRPr="00B4282B">
        <w:t>Basically.</w:t>
      </w:r>
    </w:p>
    <w:p w:rsidR="00B4282B" w:rsidRPr="003F6CD3" w:rsidRDefault="002361DB" w:rsidP="004968D9">
      <w:pPr>
        <w:pStyle w:val="quopteJCB-source"/>
        <w:spacing w:before="0"/>
      </w:pPr>
      <w:r>
        <w:t>October 2016 (Round 3),</w:t>
      </w:r>
      <w:r w:rsidR="00AD60DE">
        <w:t xml:space="preserve"> received JCB</w:t>
      </w:r>
      <w:r w:rsidR="00B4282B">
        <w:t xml:space="preserve">, </w:t>
      </w:r>
      <w:r w:rsidR="006B5D6A">
        <w:t>interview</w:t>
      </w:r>
      <w:r w:rsidR="00B4282B">
        <w:t>,</w:t>
      </w:r>
      <w:r w:rsidR="00B4282B" w:rsidRPr="00717825">
        <w:t xml:space="preserve"> </w:t>
      </w:r>
      <w:r w:rsidR="00B4282B">
        <w:t>Melbourne</w:t>
      </w:r>
    </w:p>
    <w:p w:rsidR="008823B7" w:rsidRDefault="00232009" w:rsidP="008823B7">
      <w:pPr>
        <w:spacing w:before="240"/>
      </w:pPr>
      <w:r>
        <w:t xml:space="preserve">Given the evidence above, </w:t>
      </w:r>
      <w:r w:rsidR="00DD30B9">
        <w:t xml:space="preserve">it </w:t>
      </w:r>
      <w:r>
        <w:t>is likely</w:t>
      </w:r>
      <w:r w:rsidR="00A11EDC">
        <w:t xml:space="preserve"> that had the JCB continued</w:t>
      </w:r>
      <w:r w:rsidR="00DD30B9">
        <w:t>,</w:t>
      </w:r>
      <w:r w:rsidR="00A11EDC">
        <w:t xml:space="preserve"> this form of communication would have become more prevalent and </w:t>
      </w:r>
      <w:r w:rsidR="00F14189">
        <w:t>would have played a greater role in</w:t>
      </w:r>
      <w:r w:rsidR="00A11EDC">
        <w:t xml:space="preserve"> the program.</w:t>
      </w:r>
    </w:p>
    <w:p w:rsidR="008823B7" w:rsidRPr="00D83A7E" w:rsidRDefault="00864E02" w:rsidP="005314B7">
      <w:pPr>
        <w:pStyle w:val="FigureCaption"/>
      </w:pPr>
      <w:bookmarkStart w:id="124" w:name="_Toc507600278"/>
      <w:r w:rsidRPr="00D62670">
        <w:rPr>
          <w:noProof/>
          <w:lang w:eastAsia="en-AU"/>
        </w:rPr>
        <w:drawing>
          <wp:anchor distT="0" distB="0" distL="114300" distR="114300" simplePos="0" relativeHeight="251658244" behindDoc="0" locked="0" layoutInCell="1" allowOverlap="1" wp14:anchorId="0164FDF5" wp14:editId="1A6F525C">
            <wp:simplePos x="0" y="0"/>
            <wp:positionH relativeFrom="column">
              <wp:posOffset>0</wp:posOffset>
            </wp:positionH>
            <wp:positionV relativeFrom="paragraph">
              <wp:posOffset>201295</wp:posOffset>
            </wp:positionV>
            <wp:extent cx="5731510" cy="3256214"/>
            <wp:effectExtent l="0" t="0" r="2540" b="1905"/>
            <wp:wrapNone/>
            <wp:docPr id="22" name="Picture 22" descr="Data in graph as described in the following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3255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23B7" w:rsidRPr="00D83A7E">
        <w:t xml:space="preserve">Figure </w:t>
      </w:r>
      <w:r w:rsidR="00BF7A33" w:rsidRPr="00D83A7E">
        <w:t>3.</w:t>
      </w:r>
      <w:r w:rsidR="00FB4E23">
        <w:t>2</w:t>
      </w:r>
      <w:r w:rsidR="008823B7" w:rsidRPr="00D83A7E">
        <w:t xml:space="preserve">: </w:t>
      </w:r>
      <w:r w:rsidR="00232009">
        <w:t xml:space="preserve">JCB </w:t>
      </w:r>
      <w:r w:rsidR="00D62670">
        <w:t>c</w:t>
      </w:r>
      <w:r w:rsidR="00232009">
        <w:t>laim rates</w:t>
      </w:r>
      <w:r w:rsidR="00D62670">
        <w:t xml:space="preserve">, </w:t>
      </w:r>
      <w:r w:rsidR="00232009">
        <w:t>July 2014 to December 2015</w:t>
      </w:r>
      <w:bookmarkEnd w:id="124"/>
      <w:r w:rsidR="008823B7" w:rsidRPr="00D83A7E">
        <w:t xml:space="preserve"> </w:t>
      </w:r>
    </w:p>
    <w:tbl>
      <w:tblPr>
        <w:tblW w:w="4268"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2552"/>
      </w:tblGrid>
      <w:tr w:rsidR="00D34B2E" w:rsidRPr="00D034AE" w:rsidTr="00D34B2E">
        <w:trPr>
          <w:trHeight w:val="170"/>
          <w:tblHeader/>
        </w:trPr>
        <w:tc>
          <w:tcPr>
            <w:tcW w:w="1716" w:type="dxa"/>
            <w:shd w:val="clear" w:color="auto" w:fill="1E3D6B"/>
            <w:noWrap/>
            <w:vAlign w:val="center"/>
          </w:tcPr>
          <w:p w:rsidR="00D34B2E" w:rsidRPr="00D34B2E" w:rsidRDefault="00D34B2E" w:rsidP="000E2030">
            <w:pPr>
              <w:spacing w:after="0" w:line="240" w:lineRule="auto"/>
              <w:rPr>
                <w:rFonts w:ascii="Calibri" w:eastAsia="Times New Roman" w:hAnsi="Calibri" w:cs="Calibri"/>
                <w:b/>
                <w:color w:val="7F7F7F" w:themeColor="background1"/>
                <w:sz w:val="12"/>
                <w:szCs w:val="12"/>
                <w:lang w:eastAsia="en-AU"/>
              </w:rPr>
            </w:pPr>
            <w:bookmarkStart w:id="125" w:name="Title_32hidden"/>
            <w:bookmarkEnd w:id="125"/>
            <w:r w:rsidRPr="00D34B2E">
              <w:rPr>
                <w:rFonts w:ascii="Calibri" w:eastAsia="Times New Roman" w:hAnsi="Calibri" w:cs="Calibri"/>
                <w:b/>
                <w:color w:val="7F7F7F" w:themeColor="background1"/>
                <w:sz w:val="12"/>
                <w:szCs w:val="12"/>
                <w:lang w:eastAsia="en-AU"/>
              </w:rPr>
              <w:t>Month</w:t>
            </w:r>
          </w:p>
        </w:tc>
        <w:tc>
          <w:tcPr>
            <w:tcW w:w="2552" w:type="dxa"/>
            <w:shd w:val="clear" w:color="auto" w:fill="1E3D6B"/>
            <w:vAlign w:val="center"/>
          </w:tcPr>
          <w:p w:rsidR="00D34B2E" w:rsidRPr="00D34B2E" w:rsidRDefault="00D34B2E" w:rsidP="000E2030">
            <w:pPr>
              <w:spacing w:after="0"/>
              <w:rPr>
                <w:rFonts w:ascii="Calibri" w:hAnsi="Calibri" w:cs="Calibri"/>
                <w:b/>
                <w:color w:val="7F7F7F" w:themeColor="background1"/>
                <w:sz w:val="12"/>
                <w:szCs w:val="12"/>
              </w:rPr>
            </w:pPr>
            <w:r w:rsidRPr="00D34B2E">
              <w:rPr>
                <w:rFonts w:ascii="Calibri" w:hAnsi="Calibri" w:cs="Calibri"/>
                <w:b/>
                <w:color w:val="7F7F7F" w:themeColor="background1"/>
                <w:sz w:val="12"/>
                <w:szCs w:val="12"/>
              </w:rPr>
              <w:t xml:space="preserve">Proportion that lodged a claim (%) </w:t>
            </w:r>
          </w:p>
        </w:tc>
      </w:tr>
      <w:tr w:rsidR="00D34B2E" w:rsidRPr="00D034AE" w:rsidTr="00D34B2E">
        <w:trPr>
          <w:trHeight w:val="170"/>
        </w:trPr>
        <w:tc>
          <w:tcPr>
            <w:tcW w:w="1716" w:type="dxa"/>
            <w:shd w:val="clear" w:color="auto" w:fill="auto"/>
            <w:noWrap/>
            <w:vAlign w:val="center"/>
            <w:hideMark/>
          </w:tcPr>
          <w:p w:rsidR="00D34B2E" w:rsidRPr="00D34B2E" w:rsidRDefault="00D34B2E" w:rsidP="000E2030">
            <w:pPr>
              <w:spacing w:after="0" w:line="240" w:lineRule="auto"/>
              <w:rPr>
                <w:rFonts w:ascii="Calibri" w:eastAsia="Times New Roman" w:hAnsi="Calibri" w:cs="Calibri"/>
                <w:color w:val="000000"/>
                <w:sz w:val="12"/>
                <w:szCs w:val="12"/>
                <w:lang w:eastAsia="en-AU"/>
              </w:rPr>
            </w:pPr>
            <w:r w:rsidRPr="00D34B2E">
              <w:rPr>
                <w:rFonts w:ascii="Calibri" w:eastAsia="Times New Roman" w:hAnsi="Calibri" w:cs="Calibri"/>
                <w:color w:val="000000"/>
                <w:sz w:val="12"/>
                <w:szCs w:val="12"/>
                <w:lang w:eastAsia="en-AU"/>
              </w:rPr>
              <w:t>July 2014</w:t>
            </w:r>
          </w:p>
        </w:tc>
        <w:tc>
          <w:tcPr>
            <w:tcW w:w="2552" w:type="dxa"/>
            <w:vAlign w:val="center"/>
          </w:tcPr>
          <w:p w:rsidR="00D34B2E" w:rsidRPr="00D34B2E" w:rsidRDefault="00D34B2E" w:rsidP="000E2030">
            <w:pPr>
              <w:spacing w:after="0"/>
              <w:jc w:val="center"/>
              <w:rPr>
                <w:rFonts w:ascii="Calibri" w:hAnsi="Calibri" w:cs="Calibri"/>
                <w:color w:val="000000"/>
                <w:sz w:val="12"/>
                <w:szCs w:val="12"/>
              </w:rPr>
            </w:pPr>
            <w:r w:rsidRPr="00D34B2E">
              <w:rPr>
                <w:rFonts w:ascii="Calibri" w:hAnsi="Calibri" w:cs="Calibri"/>
                <w:color w:val="000000"/>
                <w:sz w:val="12"/>
                <w:szCs w:val="12"/>
              </w:rPr>
              <w:t>17.0</w:t>
            </w:r>
          </w:p>
        </w:tc>
      </w:tr>
      <w:tr w:rsidR="00D34B2E" w:rsidRPr="00D034AE" w:rsidTr="00D34B2E">
        <w:trPr>
          <w:trHeight w:val="170"/>
        </w:trPr>
        <w:tc>
          <w:tcPr>
            <w:tcW w:w="1716" w:type="dxa"/>
            <w:shd w:val="clear" w:color="auto" w:fill="auto"/>
            <w:noWrap/>
            <w:vAlign w:val="center"/>
            <w:hideMark/>
          </w:tcPr>
          <w:p w:rsidR="00D34B2E" w:rsidRPr="00D34B2E" w:rsidRDefault="00D34B2E" w:rsidP="000E2030">
            <w:pPr>
              <w:spacing w:after="0" w:line="240" w:lineRule="auto"/>
              <w:rPr>
                <w:rFonts w:ascii="Calibri" w:eastAsia="Times New Roman" w:hAnsi="Calibri" w:cs="Calibri"/>
                <w:color w:val="000000"/>
                <w:sz w:val="12"/>
                <w:szCs w:val="12"/>
                <w:lang w:eastAsia="en-AU"/>
              </w:rPr>
            </w:pPr>
            <w:r w:rsidRPr="00D34B2E">
              <w:rPr>
                <w:rFonts w:ascii="Calibri" w:eastAsia="Times New Roman" w:hAnsi="Calibri" w:cs="Calibri"/>
                <w:color w:val="000000"/>
                <w:sz w:val="12"/>
                <w:szCs w:val="12"/>
                <w:lang w:eastAsia="en-AU"/>
              </w:rPr>
              <w:t>August 2014</w:t>
            </w:r>
          </w:p>
        </w:tc>
        <w:tc>
          <w:tcPr>
            <w:tcW w:w="2552" w:type="dxa"/>
            <w:vAlign w:val="center"/>
          </w:tcPr>
          <w:p w:rsidR="00D34B2E" w:rsidRPr="00D34B2E" w:rsidRDefault="00D34B2E" w:rsidP="000E2030">
            <w:pPr>
              <w:spacing w:after="0"/>
              <w:jc w:val="center"/>
              <w:rPr>
                <w:rFonts w:ascii="Calibri" w:hAnsi="Calibri" w:cs="Calibri"/>
                <w:color w:val="000000"/>
                <w:sz w:val="12"/>
                <w:szCs w:val="12"/>
              </w:rPr>
            </w:pPr>
            <w:r w:rsidRPr="00D34B2E">
              <w:rPr>
                <w:rFonts w:ascii="Calibri" w:hAnsi="Calibri" w:cs="Calibri"/>
                <w:color w:val="000000"/>
                <w:sz w:val="12"/>
                <w:szCs w:val="12"/>
              </w:rPr>
              <w:t>16.5</w:t>
            </w:r>
          </w:p>
        </w:tc>
      </w:tr>
      <w:tr w:rsidR="00D34B2E" w:rsidRPr="00D034AE" w:rsidTr="00D34B2E">
        <w:trPr>
          <w:trHeight w:val="170"/>
        </w:trPr>
        <w:tc>
          <w:tcPr>
            <w:tcW w:w="1716" w:type="dxa"/>
            <w:shd w:val="clear" w:color="auto" w:fill="auto"/>
            <w:noWrap/>
            <w:vAlign w:val="center"/>
            <w:hideMark/>
          </w:tcPr>
          <w:p w:rsidR="00D34B2E" w:rsidRPr="00D34B2E" w:rsidRDefault="00D34B2E" w:rsidP="000E2030">
            <w:pPr>
              <w:spacing w:after="0" w:line="240" w:lineRule="auto"/>
              <w:rPr>
                <w:rFonts w:ascii="Calibri" w:eastAsia="Times New Roman" w:hAnsi="Calibri" w:cs="Calibri"/>
                <w:color w:val="000000"/>
                <w:sz w:val="12"/>
                <w:szCs w:val="12"/>
                <w:lang w:eastAsia="en-AU"/>
              </w:rPr>
            </w:pPr>
            <w:r w:rsidRPr="00D34B2E">
              <w:rPr>
                <w:rFonts w:ascii="Calibri" w:eastAsia="Times New Roman" w:hAnsi="Calibri" w:cs="Calibri"/>
                <w:color w:val="000000"/>
                <w:sz w:val="12"/>
                <w:szCs w:val="12"/>
                <w:lang w:eastAsia="en-AU"/>
              </w:rPr>
              <w:t>September 2014</w:t>
            </w:r>
          </w:p>
        </w:tc>
        <w:tc>
          <w:tcPr>
            <w:tcW w:w="2552" w:type="dxa"/>
            <w:vAlign w:val="center"/>
          </w:tcPr>
          <w:p w:rsidR="00D34B2E" w:rsidRPr="00D34B2E" w:rsidRDefault="00D34B2E" w:rsidP="000E2030">
            <w:pPr>
              <w:spacing w:after="0"/>
              <w:jc w:val="center"/>
              <w:rPr>
                <w:rFonts w:ascii="Calibri" w:hAnsi="Calibri" w:cs="Calibri"/>
                <w:color w:val="000000"/>
                <w:sz w:val="12"/>
                <w:szCs w:val="12"/>
              </w:rPr>
            </w:pPr>
            <w:r w:rsidRPr="00D34B2E">
              <w:rPr>
                <w:rFonts w:ascii="Calibri" w:hAnsi="Calibri" w:cs="Calibri"/>
                <w:color w:val="000000"/>
                <w:sz w:val="12"/>
                <w:szCs w:val="12"/>
              </w:rPr>
              <w:t>15.8</w:t>
            </w:r>
          </w:p>
        </w:tc>
      </w:tr>
      <w:tr w:rsidR="00D34B2E" w:rsidRPr="00D034AE" w:rsidTr="00D34B2E">
        <w:trPr>
          <w:trHeight w:val="170"/>
        </w:trPr>
        <w:tc>
          <w:tcPr>
            <w:tcW w:w="1716" w:type="dxa"/>
            <w:shd w:val="clear" w:color="auto" w:fill="auto"/>
            <w:noWrap/>
            <w:vAlign w:val="center"/>
            <w:hideMark/>
          </w:tcPr>
          <w:p w:rsidR="00D34B2E" w:rsidRPr="00D34B2E" w:rsidRDefault="00D34B2E" w:rsidP="000E2030">
            <w:pPr>
              <w:spacing w:after="0" w:line="240" w:lineRule="auto"/>
              <w:rPr>
                <w:rFonts w:ascii="Calibri" w:eastAsia="Times New Roman" w:hAnsi="Calibri" w:cs="Calibri"/>
                <w:color w:val="000000"/>
                <w:sz w:val="12"/>
                <w:szCs w:val="12"/>
                <w:lang w:eastAsia="en-AU"/>
              </w:rPr>
            </w:pPr>
            <w:r w:rsidRPr="00D34B2E">
              <w:rPr>
                <w:rFonts w:ascii="Calibri" w:eastAsia="Times New Roman" w:hAnsi="Calibri" w:cs="Calibri"/>
                <w:color w:val="000000"/>
                <w:sz w:val="12"/>
                <w:szCs w:val="12"/>
                <w:lang w:eastAsia="en-AU"/>
              </w:rPr>
              <w:t>October 2014</w:t>
            </w:r>
          </w:p>
        </w:tc>
        <w:tc>
          <w:tcPr>
            <w:tcW w:w="2552" w:type="dxa"/>
            <w:vAlign w:val="center"/>
          </w:tcPr>
          <w:p w:rsidR="00D34B2E" w:rsidRPr="00D34B2E" w:rsidRDefault="00D34B2E" w:rsidP="000E2030">
            <w:pPr>
              <w:spacing w:after="0"/>
              <w:jc w:val="center"/>
              <w:rPr>
                <w:rFonts w:ascii="Calibri" w:hAnsi="Calibri" w:cs="Calibri"/>
                <w:color w:val="000000"/>
                <w:sz w:val="12"/>
                <w:szCs w:val="12"/>
              </w:rPr>
            </w:pPr>
            <w:r w:rsidRPr="00D34B2E">
              <w:rPr>
                <w:rFonts w:ascii="Calibri" w:hAnsi="Calibri" w:cs="Calibri"/>
                <w:color w:val="000000"/>
                <w:sz w:val="12"/>
                <w:szCs w:val="12"/>
              </w:rPr>
              <w:t>14.6</w:t>
            </w:r>
          </w:p>
        </w:tc>
      </w:tr>
      <w:tr w:rsidR="00D34B2E" w:rsidRPr="00D034AE" w:rsidTr="00D34B2E">
        <w:trPr>
          <w:trHeight w:val="170"/>
        </w:trPr>
        <w:tc>
          <w:tcPr>
            <w:tcW w:w="1716" w:type="dxa"/>
            <w:shd w:val="clear" w:color="auto" w:fill="auto"/>
            <w:noWrap/>
            <w:vAlign w:val="center"/>
            <w:hideMark/>
          </w:tcPr>
          <w:p w:rsidR="00D34B2E" w:rsidRPr="00D34B2E" w:rsidRDefault="00D34B2E" w:rsidP="000E2030">
            <w:pPr>
              <w:spacing w:after="0" w:line="240" w:lineRule="auto"/>
              <w:rPr>
                <w:rFonts w:ascii="Calibri" w:eastAsia="Times New Roman" w:hAnsi="Calibri" w:cs="Calibri"/>
                <w:color w:val="000000"/>
                <w:sz w:val="12"/>
                <w:szCs w:val="12"/>
                <w:lang w:eastAsia="en-AU"/>
              </w:rPr>
            </w:pPr>
            <w:r w:rsidRPr="00D34B2E">
              <w:rPr>
                <w:rFonts w:ascii="Calibri" w:eastAsia="Times New Roman" w:hAnsi="Calibri" w:cs="Calibri"/>
                <w:color w:val="000000"/>
                <w:sz w:val="12"/>
                <w:szCs w:val="12"/>
                <w:lang w:eastAsia="en-AU"/>
              </w:rPr>
              <w:t>November 2014</w:t>
            </w:r>
          </w:p>
        </w:tc>
        <w:tc>
          <w:tcPr>
            <w:tcW w:w="2552" w:type="dxa"/>
            <w:vAlign w:val="center"/>
          </w:tcPr>
          <w:p w:rsidR="00D34B2E" w:rsidRPr="00D34B2E" w:rsidRDefault="00D34B2E" w:rsidP="000E2030">
            <w:pPr>
              <w:spacing w:after="0"/>
              <w:jc w:val="center"/>
              <w:rPr>
                <w:rFonts w:ascii="Calibri" w:hAnsi="Calibri" w:cs="Calibri"/>
                <w:color w:val="000000"/>
                <w:sz w:val="12"/>
                <w:szCs w:val="12"/>
              </w:rPr>
            </w:pPr>
            <w:r w:rsidRPr="00D34B2E">
              <w:rPr>
                <w:rFonts w:ascii="Calibri" w:hAnsi="Calibri" w:cs="Calibri"/>
                <w:color w:val="000000"/>
                <w:sz w:val="12"/>
                <w:szCs w:val="12"/>
              </w:rPr>
              <w:t>13.2</w:t>
            </w:r>
          </w:p>
        </w:tc>
      </w:tr>
      <w:tr w:rsidR="00D34B2E" w:rsidRPr="00D034AE" w:rsidTr="00D34B2E">
        <w:trPr>
          <w:trHeight w:val="170"/>
        </w:trPr>
        <w:tc>
          <w:tcPr>
            <w:tcW w:w="1716" w:type="dxa"/>
            <w:shd w:val="clear" w:color="auto" w:fill="auto"/>
            <w:noWrap/>
            <w:vAlign w:val="center"/>
            <w:hideMark/>
          </w:tcPr>
          <w:p w:rsidR="00D34B2E" w:rsidRPr="00D34B2E" w:rsidRDefault="00D34B2E" w:rsidP="000E2030">
            <w:pPr>
              <w:spacing w:after="0" w:line="240" w:lineRule="auto"/>
              <w:rPr>
                <w:rFonts w:ascii="Calibri" w:eastAsia="Times New Roman" w:hAnsi="Calibri" w:cs="Calibri"/>
                <w:color w:val="000000"/>
                <w:sz w:val="12"/>
                <w:szCs w:val="12"/>
                <w:lang w:eastAsia="en-AU"/>
              </w:rPr>
            </w:pPr>
            <w:r w:rsidRPr="00D34B2E">
              <w:rPr>
                <w:rFonts w:ascii="Calibri" w:eastAsia="Times New Roman" w:hAnsi="Calibri" w:cs="Calibri"/>
                <w:color w:val="000000"/>
                <w:sz w:val="12"/>
                <w:szCs w:val="12"/>
                <w:lang w:eastAsia="en-AU"/>
              </w:rPr>
              <w:t>December 2014</w:t>
            </w:r>
          </w:p>
        </w:tc>
        <w:tc>
          <w:tcPr>
            <w:tcW w:w="2552" w:type="dxa"/>
            <w:vAlign w:val="center"/>
          </w:tcPr>
          <w:p w:rsidR="00D34B2E" w:rsidRPr="00D34B2E" w:rsidRDefault="00D34B2E" w:rsidP="000E2030">
            <w:pPr>
              <w:spacing w:after="0"/>
              <w:jc w:val="center"/>
              <w:rPr>
                <w:rFonts w:ascii="Calibri" w:hAnsi="Calibri" w:cs="Calibri"/>
                <w:color w:val="000000"/>
                <w:sz w:val="12"/>
                <w:szCs w:val="12"/>
              </w:rPr>
            </w:pPr>
            <w:r w:rsidRPr="00D34B2E">
              <w:rPr>
                <w:rFonts w:ascii="Calibri" w:hAnsi="Calibri" w:cs="Calibri"/>
                <w:color w:val="000000"/>
                <w:sz w:val="12"/>
                <w:szCs w:val="12"/>
              </w:rPr>
              <w:t>12.9</w:t>
            </w:r>
          </w:p>
        </w:tc>
      </w:tr>
      <w:tr w:rsidR="00D34B2E" w:rsidRPr="00D034AE" w:rsidTr="00D34B2E">
        <w:trPr>
          <w:trHeight w:val="170"/>
        </w:trPr>
        <w:tc>
          <w:tcPr>
            <w:tcW w:w="1716" w:type="dxa"/>
            <w:shd w:val="clear" w:color="auto" w:fill="auto"/>
            <w:noWrap/>
            <w:vAlign w:val="center"/>
            <w:hideMark/>
          </w:tcPr>
          <w:p w:rsidR="00D34B2E" w:rsidRPr="00D34B2E" w:rsidRDefault="00D34B2E" w:rsidP="000E2030">
            <w:pPr>
              <w:spacing w:after="0" w:line="240" w:lineRule="auto"/>
              <w:rPr>
                <w:rFonts w:ascii="Calibri" w:eastAsia="Times New Roman" w:hAnsi="Calibri" w:cs="Calibri"/>
                <w:color w:val="000000"/>
                <w:sz w:val="12"/>
                <w:szCs w:val="12"/>
                <w:lang w:eastAsia="en-AU"/>
              </w:rPr>
            </w:pPr>
            <w:r w:rsidRPr="00D34B2E">
              <w:rPr>
                <w:rFonts w:ascii="Calibri" w:eastAsia="Times New Roman" w:hAnsi="Calibri" w:cs="Calibri"/>
                <w:color w:val="000000"/>
                <w:sz w:val="12"/>
                <w:szCs w:val="12"/>
                <w:lang w:eastAsia="en-AU"/>
              </w:rPr>
              <w:t>January 2015</w:t>
            </w:r>
          </w:p>
        </w:tc>
        <w:tc>
          <w:tcPr>
            <w:tcW w:w="2552" w:type="dxa"/>
            <w:vAlign w:val="center"/>
          </w:tcPr>
          <w:p w:rsidR="00D34B2E" w:rsidRPr="00D34B2E" w:rsidRDefault="00D34B2E" w:rsidP="000E2030">
            <w:pPr>
              <w:spacing w:after="0"/>
              <w:jc w:val="center"/>
              <w:rPr>
                <w:rFonts w:ascii="Calibri" w:hAnsi="Calibri" w:cs="Calibri"/>
                <w:color w:val="000000"/>
                <w:sz w:val="12"/>
                <w:szCs w:val="12"/>
              </w:rPr>
            </w:pPr>
            <w:r w:rsidRPr="00D34B2E">
              <w:rPr>
                <w:rFonts w:ascii="Calibri" w:hAnsi="Calibri" w:cs="Calibri"/>
                <w:color w:val="000000"/>
                <w:sz w:val="12"/>
                <w:szCs w:val="12"/>
              </w:rPr>
              <w:t>13.1</w:t>
            </w:r>
          </w:p>
        </w:tc>
      </w:tr>
      <w:tr w:rsidR="00D34B2E" w:rsidRPr="00D034AE" w:rsidTr="00D34B2E">
        <w:trPr>
          <w:trHeight w:val="170"/>
        </w:trPr>
        <w:tc>
          <w:tcPr>
            <w:tcW w:w="1716" w:type="dxa"/>
            <w:shd w:val="clear" w:color="auto" w:fill="auto"/>
            <w:noWrap/>
            <w:vAlign w:val="center"/>
            <w:hideMark/>
          </w:tcPr>
          <w:p w:rsidR="00D34B2E" w:rsidRPr="00D34B2E" w:rsidRDefault="00D34B2E" w:rsidP="000E2030">
            <w:pPr>
              <w:spacing w:after="0" w:line="240" w:lineRule="auto"/>
              <w:rPr>
                <w:rFonts w:ascii="Calibri" w:eastAsia="Times New Roman" w:hAnsi="Calibri" w:cs="Calibri"/>
                <w:color w:val="000000"/>
                <w:sz w:val="12"/>
                <w:szCs w:val="12"/>
                <w:lang w:eastAsia="en-AU"/>
              </w:rPr>
            </w:pPr>
            <w:r w:rsidRPr="00D34B2E">
              <w:rPr>
                <w:rFonts w:ascii="Calibri" w:eastAsia="Times New Roman" w:hAnsi="Calibri" w:cs="Calibri"/>
                <w:color w:val="000000"/>
                <w:sz w:val="12"/>
                <w:szCs w:val="12"/>
                <w:lang w:eastAsia="en-AU"/>
              </w:rPr>
              <w:t>February 2015</w:t>
            </w:r>
          </w:p>
        </w:tc>
        <w:tc>
          <w:tcPr>
            <w:tcW w:w="2552" w:type="dxa"/>
            <w:vAlign w:val="center"/>
          </w:tcPr>
          <w:p w:rsidR="00D34B2E" w:rsidRPr="00D34B2E" w:rsidRDefault="00D34B2E" w:rsidP="000E2030">
            <w:pPr>
              <w:spacing w:after="0"/>
              <w:jc w:val="center"/>
              <w:rPr>
                <w:rFonts w:ascii="Calibri" w:hAnsi="Calibri" w:cs="Calibri"/>
                <w:color w:val="000000"/>
                <w:sz w:val="12"/>
                <w:szCs w:val="12"/>
              </w:rPr>
            </w:pPr>
            <w:r w:rsidRPr="00D34B2E">
              <w:rPr>
                <w:rFonts w:ascii="Calibri" w:hAnsi="Calibri" w:cs="Calibri"/>
                <w:color w:val="000000"/>
                <w:sz w:val="12"/>
                <w:szCs w:val="12"/>
              </w:rPr>
              <w:t>17.5</w:t>
            </w:r>
          </w:p>
        </w:tc>
      </w:tr>
      <w:tr w:rsidR="00D34B2E" w:rsidRPr="00D034AE" w:rsidTr="00D34B2E">
        <w:trPr>
          <w:trHeight w:val="170"/>
        </w:trPr>
        <w:tc>
          <w:tcPr>
            <w:tcW w:w="1716" w:type="dxa"/>
            <w:shd w:val="clear" w:color="auto" w:fill="auto"/>
            <w:noWrap/>
            <w:vAlign w:val="center"/>
            <w:hideMark/>
          </w:tcPr>
          <w:p w:rsidR="00D34B2E" w:rsidRPr="00D34B2E" w:rsidRDefault="00D34B2E" w:rsidP="000E2030">
            <w:pPr>
              <w:spacing w:after="0" w:line="240" w:lineRule="auto"/>
              <w:rPr>
                <w:rFonts w:ascii="Calibri" w:eastAsia="Times New Roman" w:hAnsi="Calibri" w:cs="Calibri"/>
                <w:color w:val="000000"/>
                <w:sz w:val="12"/>
                <w:szCs w:val="12"/>
                <w:lang w:eastAsia="en-AU"/>
              </w:rPr>
            </w:pPr>
            <w:r w:rsidRPr="00D34B2E">
              <w:rPr>
                <w:rFonts w:ascii="Calibri" w:eastAsia="Times New Roman" w:hAnsi="Calibri" w:cs="Calibri"/>
                <w:color w:val="000000"/>
                <w:sz w:val="12"/>
                <w:szCs w:val="12"/>
                <w:lang w:eastAsia="en-AU"/>
              </w:rPr>
              <w:t>March 2015</w:t>
            </w:r>
          </w:p>
        </w:tc>
        <w:tc>
          <w:tcPr>
            <w:tcW w:w="2552" w:type="dxa"/>
            <w:vAlign w:val="center"/>
          </w:tcPr>
          <w:p w:rsidR="00D34B2E" w:rsidRPr="00D34B2E" w:rsidRDefault="00D34B2E" w:rsidP="000E2030">
            <w:pPr>
              <w:spacing w:after="0"/>
              <w:jc w:val="center"/>
              <w:rPr>
                <w:rFonts w:ascii="Calibri" w:hAnsi="Calibri" w:cs="Calibri"/>
                <w:color w:val="000000"/>
                <w:sz w:val="12"/>
                <w:szCs w:val="12"/>
              </w:rPr>
            </w:pPr>
            <w:r w:rsidRPr="00D34B2E">
              <w:rPr>
                <w:rFonts w:ascii="Calibri" w:hAnsi="Calibri" w:cs="Calibri"/>
                <w:color w:val="000000"/>
                <w:sz w:val="12"/>
                <w:szCs w:val="12"/>
              </w:rPr>
              <w:t>17.1</w:t>
            </w:r>
          </w:p>
        </w:tc>
      </w:tr>
      <w:tr w:rsidR="00D34B2E" w:rsidRPr="00D034AE" w:rsidTr="00D34B2E">
        <w:trPr>
          <w:trHeight w:val="170"/>
        </w:trPr>
        <w:tc>
          <w:tcPr>
            <w:tcW w:w="1716" w:type="dxa"/>
            <w:shd w:val="clear" w:color="auto" w:fill="auto"/>
            <w:noWrap/>
            <w:vAlign w:val="center"/>
            <w:hideMark/>
          </w:tcPr>
          <w:p w:rsidR="00D34B2E" w:rsidRPr="00D34B2E" w:rsidRDefault="00D34B2E" w:rsidP="000E2030">
            <w:pPr>
              <w:spacing w:after="0" w:line="240" w:lineRule="auto"/>
              <w:rPr>
                <w:rFonts w:ascii="Calibri" w:eastAsia="Times New Roman" w:hAnsi="Calibri" w:cs="Calibri"/>
                <w:color w:val="000000"/>
                <w:sz w:val="12"/>
                <w:szCs w:val="12"/>
                <w:lang w:eastAsia="en-AU"/>
              </w:rPr>
            </w:pPr>
            <w:r w:rsidRPr="00D34B2E">
              <w:rPr>
                <w:rFonts w:ascii="Calibri" w:eastAsia="Times New Roman" w:hAnsi="Calibri" w:cs="Calibri"/>
                <w:color w:val="000000"/>
                <w:sz w:val="12"/>
                <w:szCs w:val="12"/>
                <w:lang w:eastAsia="en-AU"/>
              </w:rPr>
              <w:t>April 2015</w:t>
            </w:r>
          </w:p>
        </w:tc>
        <w:tc>
          <w:tcPr>
            <w:tcW w:w="2552" w:type="dxa"/>
            <w:vAlign w:val="center"/>
          </w:tcPr>
          <w:p w:rsidR="00D34B2E" w:rsidRPr="00D34B2E" w:rsidRDefault="00D34B2E" w:rsidP="000E2030">
            <w:pPr>
              <w:spacing w:after="0"/>
              <w:jc w:val="center"/>
              <w:rPr>
                <w:rFonts w:ascii="Calibri" w:hAnsi="Calibri" w:cs="Calibri"/>
                <w:color w:val="000000"/>
                <w:sz w:val="12"/>
                <w:szCs w:val="12"/>
              </w:rPr>
            </w:pPr>
            <w:r w:rsidRPr="00D34B2E">
              <w:rPr>
                <w:rFonts w:ascii="Calibri" w:hAnsi="Calibri" w:cs="Calibri"/>
                <w:color w:val="000000"/>
                <w:sz w:val="12"/>
                <w:szCs w:val="12"/>
              </w:rPr>
              <w:t>16.3</w:t>
            </w:r>
          </w:p>
        </w:tc>
      </w:tr>
      <w:tr w:rsidR="00D34B2E" w:rsidRPr="00D034AE" w:rsidTr="00D34B2E">
        <w:trPr>
          <w:trHeight w:val="170"/>
        </w:trPr>
        <w:tc>
          <w:tcPr>
            <w:tcW w:w="1716" w:type="dxa"/>
            <w:shd w:val="clear" w:color="auto" w:fill="auto"/>
            <w:noWrap/>
            <w:vAlign w:val="center"/>
            <w:hideMark/>
          </w:tcPr>
          <w:p w:rsidR="00D34B2E" w:rsidRPr="00D34B2E" w:rsidRDefault="00D34B2E" w:rsidP="000E2030">
            <w:pPr>
              <w:spacing w:after="0" w:line="240" w:lineRule="auto"/>
              <w:rPr>
                <w:rFonts w:ascii="Calibri" w:eastAsia="Times New Roman" w:hAnsi="Calibri" w:cs="Calibri"/>
                <w:color w:val="000000"/>
                <w:sz w:val="12"/>
                <w:szCs w:val="12"/>
                <w:lang w:eastAsia="en-AU"/>
              </w:rPr>
            </w:pPr>
            <w:r w:rsidRPr="00D34B2E">
              <w:rPr>
                <w:rFonts w:ascii="Calibri" w:eastAsia="Times New Roman" w:hAnsi="Calibri" w:cs="Calibri"/>
                <w:color w:val="000000"/>
                <w:sz w:val="12"/>
                <w:szCs w:val="12"/>
                <w:lang w:eastAsia="en-AU"/>
              </w:rPr>
              <w:t>May 2015</w:t>
            </w:r>
          </w:p>
        </w:tc>
        <w:tc>
          <w:tcPr>
            <w:tcW w:w="2552" w:type="dxa"/>
            <w:vAlign w:val="center"/>
          </w:tcPr>
          <w:p w:rsidR="00D34B2E" w:rsidRPr="00D34B2E" w:rsidRDefault="00D34B2E" w:rsidP="000E2030">
            <w:pPr>
              <w:spacing w:after="0"/>
              <w:jc w:val="center"/>
              <w:rPr>
                <w:rFonts w:ascii="Calibri" w:hAnsi="Calibri" w:cs="Calibri"/>
                <w:color w:val="000000"/>
                <w:sz w:val="12"/>
                <w:szCs w:val="12"/>
              </w:rPr>
            </w:pPr>
            <w:r w:rsidRPr="00D34B2E">
              <w:rPr>
                <w:rFonts w:ascii="Calibri" w:hAnsi="Calibri" w:cs="Calibri"/>
                <w:color w:val="000000"/>
                <w:sz w:val="12"/>
                <w:szCs w:val="12"/>
              </w:rPr>
              <w:t>17.6</w:t>
            </w:r>
          </w:p>
        </w:tc>
      </w:tr>
      <w:tr w:rsidR="00D34B2E" w:rsidRPr="00D034AE" w:rsidTr="00D34B2E">
        <w:trPr>
          <w:trHeight w:val="170"/>
        </w:trPr>
        <w:tc>
          <w:tcPr>
            <w:tcW w:w="1716" w:type="dxa"/>
            <w:shd w:val="clear" w:color="auto" w:fill="auto"/>
            <w:noWrap/>
            <w:vAlign w:val="center"/>
            <w:hideMark/>
          </w:tcPr>
          <w:p w:rsidR="00D34B2E" w:rsidRPr="00D34B2E" w:rsidRDefault="00D34B2E" w:rsidP="000E2030">
            <w:pPr>
              <w:spacing w:after="0" w:line="240" w:lineRule="auto"/>
              <w:rPr>
                <w:rFonts w:ascii="Calibri" w:eastAsia="Times New Roman" w:hAnsi="Calibri" w:cs="Calibri"/>
                <w:color w:val="000000"/>
                <w:sz w:val="12"/>
                <w:szCs w:val="12"/>
                <w:lang w:eastAsia="en-AU"/>
              </w:rPr>
            </w:pPr>
            <w:r w:rsidRPr="00D34B2E">
              <w:rPr>
                <w:rFonts w:ascii="Calibri" w:eastAsia="Times New Roman" w:hAnsi="Calibri" w:cs="Calibri"/>
                <w:color w:val="000000"/>
                <w:sz w:val="12"/>
                <w:szCs w:val="12"/>
                <w:lang w:eastAsia="en-AU"/>
              </w:rPr>
              <w:t>June 2015</w:t>
            </w:r>
          </w:p>
        </w:tc>
        <w:tc>
          <w:tcPr>
            <w:tcW w:w="2552" w:type="dxa"/>
            <w:vAlign w:val="center"/>
          </w:tcPr>
          <w:p w:rsidR="00D34B2E" w:rsidRPr="00D34B2E" w:rsidRDefault="00D34B2E" w:rsidP="000E2030">
            <w:pPr>
              <w:spacing w:after="0"/>
              <w:jc w:val="center"/>
              <w:rPr>
                <w:rFonts w:ascii="Calibri" w:hAnsi="Calibri" w:cs="Calibri"/>
                <w:color w:val="000000"/>
                <w:sz w:val="12"/>
                <w:szCs w:val="12"/>
              </w:rPr>
            </w:pPr>
            <w:r w:rsidRPr="00D34B2E">
              <w:rPr>
                <w:rFonts w:ascii="Calibri" w:hAnsi="Calibri" w:cs="Calibri"/>
                <w:color w:val="000000"/>
                <w:sz w:val="12"/>
                <w:szCs w:val="12"/>
              </w:rPr>
              <w:t>20.8</w:t>
            </w:r>
          </w:p>
        </w:tc>
      </w:tr>
      <w:tr w:rsidR="00D34B2E" w:rsidRPr="00D034AE" w:rsidTr="00D34B2E">
        <w:trPr>
          <w:trHeight w:val="170"/>
        </w:trPr>
        <w:tc>
          <w:tcPr>
            <w:tcW w:w="1716" w:type="dxa"/>
            <w:shd w:val="clear" w:color="auto" w:fill="auto"/>
            <w:noWrap/>
            <w:vAlign w:val="center"/>
            <w:hideMark/>
          </w:tcPr>
          <w:p w:rsidR="00D34B2E" w:rsidRPr="00D34B2E" w:rsidRDefault="00D34B2E" w:rsidP="000E2030">
            <w:pPr>
              <w:spacing w:after="0" w:line="240" w:lineRule="auto"/>
              <w:rPr>
                <w:rFonts w:ascii="Calibri" w:eastAsia="Times New Roman" w:hAnsi="Calibri" w:cs="Calibri"/>
                <w:color w:val="000000"/>
                <w:sz w:val="12"/>
                <w:szCs w:val="12"/>
                <w:lang w:eastAsia="en-AU"/>
              </w:rPr>
            </w:pPr>
            <w:r w:rsidRPr="00D34B2E">
              <w:rPr>
                <w:rFonts w:ascii="Calibri" w:eastAsia="Times New Roman" w:hAnsi="Calibri" w:cs="Calibri"/>
                <w:color w:val="000000"/>
                <w:sz w:val="12"/>
                <w:szCs w:val="12"/>
                <w:lang w:eastAsia="en-AU"/>
              </w:rPr>
              <w:t>July 2015</w:t>
            </w:r>
          </w:p>
        </w:tc>
        <w:tc>
          <w:tcPr>
            <w:tcW w:w="2552" w:type="dxa"/>
            <w:vAlign w:val="center"/>
          </w:tcPr>
          <w:p w:rsidR="00D34B2E" w:rsidRPr="00D34B2E" w:rsidRDefault="00D34B2E" w:rsidP="000E2030">
            <w:pPr>
              <w:spacing w:after="0"/>
              <w:jc w:val="center"/>
              <w:rPr>
                <w:rFonts w:ascii="Calibri" w:hAnsi="Calibri" w:cs="Calibri"/>
                <w:color w:val="000000"/>
                <w:sz w:val="12"/>
                <w:szCs w:val="12"/>
              </w:rPr>
            </w:pPr>
            <w:r w:rsidRPr="00D34B2E">
              <w:rPr>
                <w:rFonts w:ascii="Calibri" w:hAnsi="Calibri" w:cs="Calibri"/>
                <w:color w:val="000000"/>
                <w:sz w:val="12"/>
                <w:szCs w:val="12"/>
              </w:rPr>
              <w:t>18.4</w:t>
            </w:r>
          </w:p>
        </w:tc>
      </w:tr>
      <w:tr w:rsidR="00D34B2E" w:rsidRPr="00D034AE" w:rsidTr="00D34B2E">
        <w:trPr>
          <w:trHeight w:val="170"/>
        </w:trPr>
        <w:tc>
          <w:tcPr>
            <w:tcW w:w="1716" w:type="dxa"/>
            <w:shd w:val="clear" w:color="auto" w:fill="auto"/>
            <w:noWrap/>
            <w:vAlign w:val="center"/>
            <w:hideMark/>
          </w:tcPr>
          <w:p w:rsidR="00D34B2E" w:rsidRPr="00D34B2E" w:rsidRDefault="00D34B2E" w:rsidP="000E2030">
            <w:pPr>
              <w:spacing w:after="0" w:line="240" w:lineRule="auto"/>
              <w:rPr>
                <w:rFonts w:ascii="Calibri" w:eastAsia="Times New Roman" w:hAnsi="Calibri" w:cs="Calibri"/>
                <w:color w:val="000000"/>
                <w:sz w:val="12"/>
                <w:szCs w:val="12"/>
                <w:lang w:eastAsia="en-AU"/>
              </w:rPr>
            </w:pPr>
            <w:r w:rsidRPr="00D34B2E">
              <w:rPr>
                <w:rFonts w:ascii="Calibri" w:eastAsia="Times New Roman" w:hAnsi="Calibri" w:cs="Calibri"/>
                <w:color w:val="000000"/>
                <w:sz w:val="12"/>
                <w:szCs w:val="12"/>
                <w:lang w:eastAsia="en-AU"/>
              </w:rPr>
              <w:t>August 2015</w:t>
            </w:r>
          </w:p>
        </w:tc>
        <w:tc>
          <w:tcPr>
            <w:tcW w:w="2552" w:type="dxa"/>
            <w:vAlign w:val="center"/>
          </w:tcPr>
          <w:p w:rsidR="00D34B2E" w:rsidRPr="00D34B2E" w:rsidRDefault="00D34B2E" w:rsidP="000E2030">
            <w:pPr>
              <w:spacing w:after="0"/>
              <w:jc w:val="center"/>
              <w:rPr>
                <w:rFonts w:ascii="Calibri" w:hAnsi="Calibri" w:cs="Calibri"/>
                <w:color w:val="000000"/>
                <w:sz w:val="12"/>
                <w:szCs w:val="12"/>
              </w:rPr>
            </w:pPr>
            <w:r w:rsidRPr="00D34B2E">
              <w:rPr>
                <w:rFonts w:ascii="Calibri" w:hAnsi="Calibri" w:cs="Calibri"/>
                <w:color w:val="000000"/>
                <w:sz w:val="12"/>
                <w:szCs w:val="12"/>
              </w:rPr>
              <w:t>18.1</w:t>
            </w:r>
          </w:p>
        </w:tc>
      </w:tr>
      <w:tr w:rsidR="00D34B2E" w:rsidRPr="00D034AE" w:rsidTr="00D34B2E">
        <w:trPr>
          <w:trHeight w:val="170"/>
        </w:trPr>
        <w:tc>
          <w:tcPr>
            <w:tcW w:w="1716" w:type="dxa"/>
            <w:shd w:val="clear" w:color="auto" w:fill="auto"/>
            <w:noWrap/>
            <w:vAlign w:val="center"/>
            <w:hideMark/>
          </w:tcPr>
          <w:p w:rsidR="00D34B2E" w:rsidRPr="00D34B2E" w:rsidRDefault="00D34B2E" w:rsidP="000E2030">
            <w:pPr>
              <w:spacing w:after="0" w:line="240" w:lineRule="auto"/>
              <w:rPr>
                <w:rFonts w:ascii="Calibri" w:eastAsia="Times New Roman" w:hAnsi="Calibri" w:cs="Calibri"/>
                <w:color w:val="000000"/>
                <w:sz w:val="12"/>
                <w:szCs w:val="12"/>
                <w:lang w:eastAsia="en-AU"/>
              </w:rPr>
            </w:pPr>
            <w:r w:rsidRPr="00D34B2E">
              <w:rPr>
                <w:rFonts w:ascii="Calibri" w:eastAsia="Times New Roman" w:hAnsi="Calibri" w:cs="Calibri"/>
                <w:color w:val="000000"/>
                <w:sz w:val="12"/>
                <w:szCs w:val="12"/>
                <w:lang w:eastAsia="en-AU"/>
              </w:rPr>
              <w:t>September 2015</w:t>
            </w:r>
          </w:p>
        </w:tc>
        <w:tc>
          <w:tcPr>
            <w:tcW w:w="2552" w:type="dxa"/>
            <w:vAlign w:val="center"/>
          </w:tcPr>
          <w:p w:rsidR="00D34B2E" w:rsidRPr="00D34B2E" w:rsidRDefault="00D34B2E" w:rsidP="000E2030">
            <w:pPr>
              <w:spacing w:after="0"/>
              <w:jc w:val="center"/>
              <w:rPr>
                <w:rFonts w:ascii="Calibri" w:hAnsi="Calibri" w:cs="Calibri"/>
                <w:color w:val="000000"/>
                <w:sz w:val="12"/>
                <w:szCs w:val="12"/>
              </w:rPr>
            </w:pPr>
            <w:r w:rsidRPr="00D34B2E">
              <w:rPr>
                <w:rFonts w:ascii="Calibri" w:hAnsi="Calibri" w:cs="Calibri"/>
                <w:color w:val="000000"/>
                <w:sz w:val="12"/>
                <w:szCs w:val="12"/>
              </w:rPr>
              <w:t>16.7</w:t>
            </w:r>
          </w:p>
        </w:tc>
      </w:tr>
      <w:tr w:rsidR="00D34B2E" w:rsidRPr="00D034AE" w:rsidTr="00D34B2E">
        <w:trPr>
          <w:trHeight w:val="170"/>
        </w:trPr>
        <w:tc>
          <w:tcPr>
            <w:tcW w:w="1716" w:type="dxa"/>
            <w:shd w:val="clear" w:color="auto" w:fill="auto"/>
            <w:noWrap/>
            <w:vAlign w:val="center"/>
            <w:hideMark/>
          </w:tcPr>
          <w:p w:rsidR="00D34B2E" w:rsidRPr="00D34B2E" w:rsidRDefault="00D34B2E" w:rsidP="000E2030">
            <w:pPr>
              <w:spacing w:after="0" w:line="240" w:lineRule="auto"/>
              <w:rPr>
                <w:rFonts w:ascii="Calibri" w:eastAsia="Times New Roman" w:hAnsi="Calibri" w:cs="Calibri"/>
                <w:color w:val="000000"/>
                <w:sz w:val="12"/>
                <w:szCs w:val="12"/>
                <w:lang w:eastAsia="en-AU"/>
              </w:rPr>
            </w:pPr>
            <w:r w:rsidRPr="00D34B2E">
              <w:rPr>
                <w:rFonts w:ascii="Calibri" w:eastAsia="Times New Roman" w:hAnsi="Calibri" w:cs="Calibri"/>
                <w:color w:val="000000"/>
                <w:sz w:val="12"/>
                <w:szCs w:val="12"/>
                <w:lang w:eastAsia="en-AU"/>
              </w:rPr>
              <w:t>October 2015</w:t>
            </w:r>
          </w:p>
        </w:tc>
        <w:tc>
          <w:tcPr>
            <w:tcW w:w="2552" w:type="dxa"/>
            <w:vAlign w:val="center"/>
          </w:tcPr>
          <w:p w:rsidR="00D34B2E" w:rsidRPr="00D34B2E" w:rsidRDefault="00D34B2E" w:rsidP="000E2030">
            <w:pPr>
              <w:spacing w:after="0"/>
              <w:jc w:val="center"/>
              <w:rPr>
                <w:rFonts w:ascii="Calibri" w:hAnsi="Calibri" w:cs="Calibri"/>
                <w:color w:val="000000"/>
                <w:sz w:val="12"/>
                <w:szCs w:val="12"/>
              </w:rPr>
            </w:pPr>
            <w:r w:rsidRPr="00D34B2E">
              <w:rPr>
                <w:rFonts w:ascii="Calibri" w:hAnsi="Calibri" w:cs="Calibri"/>
                <w:color w:val="000000"/>
                <w:sz w:val="12"/>
                <w:szCs w:val="12"/>
              </w:rPr>
              <w:t>18.1</w:t>
            </w:r>
          </w:p>
        </w:tc>
      </w:tr>
      <w:tr w:rsidR="00D34B2E" w:rsidRPr="00D034AE" w:rsidTr="00D34B2E">
        <w:trPr>
          <w:trHeight w:val="170"/>
        </w:trPr>
        <w:tc>
          <w:tcPr>
            <w:tcW w:w="1716" w:type="dxa"/>
            <w:shd w:val="clear" w:color="auto" w:fill="auto"/>
            <w:noWrap/>
            <w:vAlign w:val="center"/>
            <w:hideMark/>
          </w:tcPr>
          <w:p w:rsidR="00D34B2E" w:rsidRPr="00D34B2E" w:rsidRDefault="00D34B2E" w:rsidP="000E2030">
            <w:pPr>
              <w:spacing w:after="0" w:line="240" w:lineRule="auto"/>
              <w:rPr>
                <w:rFonts w:ascii="Calibri" w:eastAsia="Times New Roman" w:hAnsi="Calibri" w:cs="Calibri"/>
                <w:color w:val="000000"/>
                <w:sz w:val="12"/>
                <w:szCs w:val="12"/>
                <w:lang w:eastAsia="en-AU"/>
              </w:rPr>
            </w:pPr>
            <w:r w:rsidRPr="00D34B2E">
              <w:rPr>
                <w:rFonts w:ascii="Calibri" w:eastAsia="Times New Roman" w:hAnsi="Calibri" w:cs="Calibri"/>
                <w:color w:val="000000"/>
                <w:sz w:val="12"/>
                <w:szCs w:val="12"/>
                <w:lang w:eastAsia="en-AU"/>
              </w:rPr>
              <w:t>November 2015</w:t>
            </w:r>
          </w:p>
        </w:tc>
        <w:tc>
          <w:tcPr>
            <w:tcW w:w="2552" w:type="dxa"/>
            <w:vAlign w:val="center"/>
          </w:tcPr>
          <w:p w:rsidR="00D34B2E" w:rsidRPr="00D34B2E" w:rsidRDefault="00D34B2E" w:rsidP="000E2030">
            <w:pPr>
              <w:spacing w:after="0"/>
              <w:jc w:val="center"/>
              <w:rPr>
                <w:rFonts w:ascii="Calibri" w:hAnsi="Calibri" w:cs="Calibri"/>
                <w:color w:val="000000"/>
                <w:sz w:val="12"/>
                <w:szCs w:val="12"/>
              </w:rPr>
            </w:pPr>
            <w:r w:rsidRPr="00D34B2E">
              <w:rPr>
                <w:rFonts w:ascii="Calibri" w:hAnsi="Calibri" w:cs="Calibri"/>
                <w:color w:val="000000"/>
                <w:sz w:val="12"/>
                <w:szCs w:val="12"/>
              </w:rPr>
              <w:t>16.8</w:t>
            </w:r>
          </w:p>
        </w:tc>
      </w:tr>
      <w:tr w:rsidR="00D34B2E" w:rsidRPr="00D034AE" w:rsidTr="00D34B2E">
        <w:trPr>
          <w:trHeight w:val="170"/>
        </w:trPr>
        <w:tc>
          <w:tcPr>
            <w:tcW w:w="1716" w:type="dxa"/>
            <w:shd w:val="clear" w:color="auto" w:fill="auto"/>
            <w:noWrap/>
            <w:vAlign w:val="center"/>
            <w:hideMark/>
          </w:tcPr>
          <w:p w:rsidR="00D34B2E" w:rsidRPr="00D34B2E" w:rsidRDefault="00D34B2E" w:rsidP="000E2030">
            <w:pPr>
              <w:spacing w:after="0" w:line="240" w:lineRule="auto"/>
              <w:rPr>
                <w:rFonts w:ascii="Calibri" w:eastAsia="Times New Roman" w:hAnsi="Calibri" w:cs="Calibri"/>
                <w:color w:val="000000"/>
                <w:sz w:val="12"/>
                <w:szCs w:val="12"/>
                <w:lang w:eastAsia="en-AU"/>
              </w:rPr>
            </w:pPr>
            <w:r w:rsidRPr="00D34B2E">
              <w:rPr>
                <w:rFonts w:ascii="Calibri" w:eastAsia="Times New Roman" w:hAnsi="Calibri" w:cs="Calibri"/>
                <w:color w:val="000000"/>
                <w:sz w:val="12"/>
                <w:szCs w:val="12"/>
                <w:lang w:eastAsia="en-AU"/>
              </w:rPr>
              <w:t>December 2015</w:t>
            </w:r>
          </w:p>
        </w:tc>
        <w:tc>
          <w:tcPr>
            <w:tcW w:w="2552" w:type="dxa"/>
            <w:vAlign w:val="center"/>
          </w:tcPr>
          <w:p w:rsidR="00D34B2E" w:rsidRPr="00D34B2E" w:rsidRDefault="00D34B2E" w:rsidP="000E2030">
            <w:pPr>
              <w:spacing w:after="0"/>
              <w:jc w:val="center"/>
              <w:rPr>
                <w:rFonts w:ascii="Calibri" w:hAnsi="Calibri" w:cs="Calibri"/>
                <w:color w:val="000000"/>
                <w:sz w:val="12"/>
                <w:szCs w:val="12"/>
              </w:rPr>
            </w:pPr>
            <w:r w:rsidRPr="00D34B2E">
              <w:rPr>
                <w:rFonts w:ascii="Calibri" w:hAnsi="Calibri" w:cs="Calibri"/>
                <w:color w:val="000000"/>
                <w:sz w:val="12"/>
                <w:szCs w:val="12"/>
              </w:rPr>
              <w:t>14.2</w:t>
            </w:r>
          </w:p>
        </w:tc>
      </w:tr>
    </w:tbl>
    <w:p w:rsidR="008823B7" w:rsidRPr="004C5B83" w:rsidRDefault="008823B7" w:rsidP="00D34B2E">
      <w:pPr>
        <w:pStyle w:val="Source"/>
        <w:spacing w:before="1680"/>
        <w:rPr>
          <w:b w:val="0"/>
        </w:rPr>
      </w:pPr>
      <w:r w:rsidRPr="004C5B83">
        <w:t>Note:</w:t>
      </w:r>
      <w:r w:rsidRPr="004C5B83">
        <w:rPr>
          <w:b w:val="0"/>
        </w:rPr>
        <w:t xml:space="preserve"> </w:t>
      </w:r>
      <w:r w:rsidR="00D62670">
        <w:rPr>
          <w:b w:val="0"/>
        </w:rPr>
        <w:t>‘</w:t>
      </w:r>
      <w:r w:rsidR="00F14189" w:rsidRPr="004C5B83">
        <w:rPr>
          <w:b w:val="0"/>
        </w:rPr>
        <w:t>Potentially eligible</w:t>
      </w:r>
      <w:r w:rsidR="00D62670">
        <w:rPr>
          <w:b w:val="0"/>
        </w:rPr>
        <w:t>’</w:t>
      </w:r>
      <w:r w:rsidR="00D62670" w:rsidRPr="004C5B83">
        <w:rPr>
          <w:b w:val="0"/>
        </w:rPr>
        <w:t xml:space="preserve"> </w:t>
      </w:r>
      <w:r w:rsidRPr="004C5B83">
        <w:rPr>
          <w:b w:val="0"/>
        </w:rPr>
        <w:t xml:space="preserve">means that these people exited income support, had an income support history and were of the eligible age for the JCB and they remained off income support for at least 12 months. </w:t>
      </w:r>
    </w:p>
    <w:p w:rsidR="008823B7" w:rsidRPr="004C5B83" w:rsidRDefault="008823B7" w:rsidP="004C5B83">
      <w:pPr>
        <w:pStyle w:val="Source"/>
        <w:rPr>
          <w:b w:val="0"/>
        </w:rPr>
      </w:pPr>
      <w:r w:rsidRPr="004C5B83">
        <w:t>Source:</w:t>
      </w:r>
      <w:r w:rsidRPr="004C5B83">
        <w:rPr>
          <w:b w:val="0"/>
        </w:rPr>
        <w:t xml:space="preserve"> DHS and DoE monitoring data</w:t>
      </w:r>
      <w:r w:rsidR="00CC091B">
        <w:rPr>
          <w:b w:val="0"/>
        </w:rPr>
        <w:t>, and Research and Evaluation dataset (RED)</w:t>
      </w:r>
      <w:r w:rsidRPr="004C5B83">
        <w:rPr>
          <w:b w:val="0"/>
        </w:rPr>
        <w:t>.</w:t>
      </w:r>
    </w:p>
    <w:bookmarkEnd w:id="122"/>
    <w:p w:rsidR="002E0F9B" w:rsidRDefault="00ED6E56" w:rsidP="002E0F9B">
      <w:pPr>
        <w:spacing w:before="240"/>
        <w:rPr>
          <w:color w:val="000000" w:themeColor="text1"/>
        </w:rPr>
      </w:pPr>
      <w:r>
        <w:rPr>
          <w:color w:val="000000" w:themeColor="text1"/>
        </w:rPr>
        <w:lastRenderedPageBreak/>
        <w:t>As t</w:t>
      </w:r>
      <w:r w:rsidR="002E0F9B">
        <w:rPr>
          <w:color w:val="000000" w:themeColor="text1"/>
        </w:rPr>
        <w:t xml:space="preserve">he JCB program was in operation for </w:t>
      </w:r>
      <w:r>
        <w:rPr>
          <w:color w:val="000000" w:themeColor="text1"/>
        </w:rPr>
        <w:t xml:space="preserve">two and a half </w:t>
      </w:r>
      <w:r w:rsidR="002E0F9B">
        <w:rPr>
          <w:color w:val="000000" w:themeColor="text1"/>
        </w:rPr>
        <w:t xml:space="preserve">years, the second bonus claim </w:t>
      </w:r>
      <w:r w:rsidR="00EB1016">
        <w:rPr>
          <w:color w:val="000000" w:themeColor="text1"/>
        </w:rPr>
        <w:t xml:space="preserve">was </w:t>
      </w:r>
      <w:r w:rsidR="002E0F9B">
        <w:rPr>
          <w:color w:val="000000" w:themeColor="text1"/>
        </w:rPr>
        <w:t xml:space="preserve">only available to those who left income support </w:t>
      </w:r>
      <w:r w:rsidR="002B6511">
        <w:rPr>
          <w:color w:val="000000" w:themeColor="text1"/>
        </w:rPr>
        <w:t>in the first six months of the program</w:t>
      </w:r>
      <w:r w:rsidR="00561B6D">
        <w:rPr>
          <w:color w:val="000000" w:themeColor="text1"/>
        </w:rPr>
        <w:t>.</w:t>
      </w:r>
      <w:r w:rsidR="002B6511">
        <w:rPr>
          <w:rStyle w:val="FootnoteReference"/>
          <w:color w:val="000000" w:themeColor="text1"/>
        </w:rPr>
        <w:footnoteReference w:id="39"/>
      </w:r>
      <w:r w:rsidR="002E0F9B">
        <w:rPr>
          <w:color w:val="000000" w:themeColor="text1"/>
        </w:rPr>
        <w:t xml:space="preserve"> The</w:t>
      </w:r>
      <w:r w:rsidR="00EB1016">
        <w:rPr>
          <w:color w:val="000000" w:themeColor="text1"/>
        </w:rPr>
        <w:t>se people</w:t>
      </w:r>
      <w:r w:rsidR="002E0F9B">
        <w:rPr>
          <w:color w:val="000000" w:themeColor="text1"/>
        </w:rPr>
        <w:t xml:space="preserve"> could lodge JCB2 claims </w:t>
      </w:r>
      <w:r w:rsidR="002B6511">
        <w:rPr>
          <w:color w:val="000000" w:themeColor="text1"/>
        </w:rPr>
        <w:t>between</w:t>
      </w:r>
      <w:r w:rsidR="002E0F9B">
        <w:rPr>
          <w:color w:val="000000" w:themeColor="text1"/>
        </w:rPr>
        <w:t xml:space="preserve"> 1 July 2016 and </w:t>
      </w:r>
      <w:r w:rsidR="002B6511">
        <w:rPr>
          <w:color w:val="000000" w:themeColor="text1"/>
        </w:rPr>
        <w:t xml:space="preserve">31 </w:t>
      </w:r>
      <w:r w:rsidR="002E0F9B">
        <w:rPr>
          <w:color w:val="000000" w:themeColor="text1"/>
        </w:rPr>
        <w:t>March 2017</w:t>
      </w:r>
      <w:r>
        <w:rPr>
          <w:color w:val="000000" w:themeColor="text1"/>
        </w:rPr>
        <w:t>.</w:t>
      </w:r>
      <w:r w:rsidR="002B6511">
        <w:rPr>
          <w:rStyle w:val="FootnoteReference"/>
          <w:color w:val="000000" w:themeColor="text1"/>
        </w:rPr>
        <w:footnoteReference w:id="40"/>
      </w:r>
      <w:r w:rsidR="00EC754C" w:rsidRPr="00622A43">
        <w:rPr>
          <w:color w:val="000000" w:themeColor="text1"/>
          <w:vertAlign w:val="superscript"/>
        </w:rPr>
        <w:t>,</w:t>
      </w:r>
      <w:r w:rsidR="00293849">
        <w:rPr>
          <w:rStyle w:val="FootnoteReference"/>
          <w:color w:val="000000" w:themeColor="text1"/>
        </w:rPr>
        <w:footnoteReference w:id="41"/>
      </w:r>
    </w:p>
    <w:p w:rsidR="009F1442" w:rsidRPr="009F1442" w:rsidRDefault="00EB1016" w:rsidP="0060524B">
      <w:pPr>
        <w:rPr>
          <w:color w:val="000000" w:themeColor="text1"/>
        </w:rPr>
      </w:pPr>
      <w:r>
        <w:rPr>
          <w:color w:val="000000" w:themeColor="text1"/>
        </w:rPr>
        <w:t xml:space="preserve">Most </w:t>
      </w:r>
      <w:r w:rsidR="00ED6E56">
        <w:rPr>
          <w:color w:val="000000" w:themeColor="text1"/>
        </w:rPr>
        <w:t xml:space="preserve">applicants </w:t>
      </w:r>
      <w:r>
        <w:rPr>
          <w:color w:val="000000" w:themeColor="text1"/>
        </w:rPr>
        <w:t>lodged separate claims</w:t>
      </w:r>
      <w:r w:rsidR="00ED6E56">
        <w:rPr>
          <w:color w:val="000000" w:themeColor="text1"/>
        </w:rPr>
        <w:t>.</w:t>
      </w:r>
      <w:r>
        <w:rPr>
          <w:color w:val="000000" w:themeColor="text1"/>
        </w:rPr>
        <w:t xml:space="preserve"> </w:t>
      </w:r>
      <w:r w:rsidR="009F1442">
        <w:rPr>
          <w:color w:val="000000" w:themeColor="text1"/>
        </w:rPr>
        <w:t xml:space="preserve">Of the </w:t>
      </w:r>
      <w:r w:rsidR="0060524B">
        <w:rPr>
          <w:color w:val="000000" w:themeColor="text1"/>
        </w:rPr>
        <w:t xml:space="preserve">1,325 </w:t>
      </w:r>
      <w:r w:rsidR="00ED6E56">
        <w:rPr>
          <w:color w:val="000000" w:themeColor="text1"/>
        </w:rPr>
        <w:t>applicants</w:t>
      </w:r>
      <w:r w:rsidR="0060524B">
        <w:rPr>
          <w:color w:val="000000" w:themeColor="text1"/>
        </w:rPr>
        <w:t xml:space="preserve"> who lodged </w:t>
      </w:r>
      <w:r w:rsidR="008D437E">
        <w:rPr>
          <w:color w:val="000000" w:themeColor="text1"/>
        </w:rPr>
        <w:t>claims for both bonuses,</w:t>
      </w:r>
      <w:r w:rsidR="0060524B">
        <w:rPr>
          <w:color w:val="000000" w:themeColor="text1"/>
        </w:rPr>
        <w:t xml:space="preserve"> around one in five </w:t>
      </w:r>
      <w:r w:rsidR="00EC754C">
        <w:rPr>
          <w:color w:val="000000" w:themeColor="text1"/>
        </w:rPr>
        <w:t>(17.6 per cent</w:t>
      </w:r>
      <w:r w:rsidR="00EC754C">
        <w:rPr>
          <w:rStyle w:val="FootnoteReference"/>
          <w:color w:val="000000" w:themeColor="text1"/>
        </w:rPr>
        <w:footnoteReference w:id="42"/>
      </w:r>
      <w:r w:rsidR="00EC754C">
        <w:rPr>
          <w:color w:val="000000" w:themeColor="text1"/>
        </w:rPr>
        <w:t xml:space="preserve">) </w:t>
      </w:r>
      <w:r w:rsidR="0060524B">
        <w:rPr>
          <w:color w:val="000000" w:themeColor="text1"/>
        </w:rPr>
        <w:t xml:space="preserve">applied for both bonuses </w:t>
      </w:r>
      <w:r w:rsidR="002B6511">
        <w:rPr>
          <w:color w:val="000000" w:themeColor="text1"/>
        </w:rPr>
        <w:t>simultaneously</w:t>
      </w:r>
      <w:r w:rsidR="00EC754C">
        <w:rPr>
          <w:color w:val="000000" w:themeColor="text1"/>
        </w:rPr>
        <w:t xml:space="preserve"> </w:t>
      </w:r>
      <w:r>
        <w:rPr>
          <w:color w:val="000000" w:themeColor="text1"/>
        </w:rPr>
        <w:t>(Table 3.</w:t>
      </w:r>
      <w:r w:rsidR="008D1AF5">
        <w:rPr>
          <w:color w:val="000000" w:themeColor="text1"/>
        </w:rPr>
        <w:t>2</w:t>
      </w:r>
      <w:r>
        <w:rPr>
          <w:color w:val="000000" w:themeColor="text1"/>
        </w:rPr>
        <w:t>)</w:t>
      </w:r>
      <w:r w:rsidR="001D3692">
        <w:rPr>
          <w:color w:val="000000" w:themeColor="text1"/>
        </w:rPr>
        <w:t>.</w:t>
      </w:r>
    </w:p>
    <w:p w:rsidR="00392022" w:rsidRDefault="00C32C8B" w:rsidP="006B181D">
      <w:pPr>
        <w:pStyle w:val="TableCaption"/>
      </w:pPr>
      <w:bookmarkStart w:id="126" w:name="_Toc507600306"/>
      <w:r w:rsidRPr="00D83A7E">
        <w:t>Table 3.</w:t>
      </w:r>
      <w:r w:rsidR="008D1AF5">
        <w:t>2</w:t>
      </w:r>
      <w:r w:rsidRPr="00D83A7E">
        <w:t xml:space="preserve">: Lodgement types for </w:t>
      </w:r>
      <w:r w:rsidR="00211943" w:rsidRPr="00D83A7E">
        <w:t xml:space="preserve">bonus </w:t>
      </w:r>
      <w:r w:rsidRPr="00D83A7E">
        <w:t>claims</w:t>
      </w:r>
      <w:bookmarkEnd w:id="123"/>
      <w:r w:rsidR="00795292" w:rsidRPr="00D83A7E">
        <w:t>, as at 3 April 2017</w:t>
      </w:r>
      <w:bookmarkEnd w:id="126"/>
    </w:p>
    <w:p w:rsidR="00211943" w:rsidRPr="00392022" w:rsidRDefault="00211943" w:rsidP="00392022">
      <w:pPr>
        <w:keepNext/>
        <w:spacing w:before="240" w:after="0"/>
        <w:rPr>
          <w:b/>
          <w:color w:val="000000" w:themeColor="text1"/>
          <w:sz w:val="20"/>
          <w:szCs w:val="20"/>
        </w:rPr>
      </w:pPr>
      <w:r w:rsidRPr="00392022">
        <w:rPr>
          <w:b/>
          <w:color w:val="000000" w:themeColor="text1"/>
          <w:sz w:val="20"/>
          <w:szCs w:val="20"/>
        </w:rPr>
        <w:t>JCB</w:t>
      </w:r>
      <w:r w:rsidR="00EC754C" w:rsidRPr="00392022">
        <w:rPr>
          <w:b/>
          <w:color w:val="000000" w:themeColor="text1"/>
          <w:sz w:val="20"/>
          <w:szCs w:val="20"/>
        </w:rPr>
        <w:t xml:space="preserve"> first </w:t>
      </w:r>
      <w:r w:rsidR="009F1442" w:rsidRPr="00392022">
        <w:rPr>
          <w:b/>
          <w:color w:val="000000" w:themeColor="text1"/>
          <w:sz w:val="20"/>
          <w:szCs w:val="20"/>
        </w:rPr>
        <w:t>bonus</w:t>
      </w:r>
      <w:r w:rsidR="00EC754C" w:rsidRPr="00392022">
        <w:rPr>
          <w:b/>
          <w:color w:val="000000" w:themeColor="text1"/>
          <w:sz w:val="20"/>
          <w:szCs w:val="20"/>
        </w:rPr>
        <w:t xml:space="preserve"> (12 months)</w:t>
      </w:r>
    </w:p>
    <w:tbl>
      <w:tblPr>
        <w:tblW w:w="8662" w:type="dxa"/>
        <w:tblInd w:w="93" w:type="dxa"/>
        <w:tblLook w:val="04A0" w:firstRow="1" w:lastRow="0" w:firstColumn="1" w:lastColumn="0" w:noHBand="0" w:noVBand="1"/>
      </w:tblPr>
      <w:tblGrid>
        <w:gridCol w:w="3701"/>
        <w:gridCol w:w="1276"/>
        <w:gridCol w:w="1276"/>
        <w:gridCol w:w="1276"/>
        <w:gridCol w:w="1276"/>
      </w:tblGrid>
      <w:tr w:rsidR="00795292" w:rsidRPr="006B181D" w:rsidTr="009F1442">
        <w:trPr>
          <w:trHeight w:val="288"/>
          <w:tblHeader/>
        </w:trPr>
        <w:tc>
          <w:tcPr>
            <w:tcW w:w="3701" w:type="dxa"/>
            <w:shd w:val="clear" w:color="auto" w:fill="1E3D6B"/>
            <w:noWrap/>
            <w:vAlign w:val="center"/>
            <w:hideMark/>
          </w:tcPr>
          <w:p w:rsidR="00C32C8B" w:rsidRPr="006B181D" w:rsidRDefault="00C32C8B" w:rsidP="00C32C8B">
            <w:pPr>
              <w:keepNext/>
              <w:spacing w:after="0" w:line="240" w:lineRule="auto"/>
              <w:ind w:left="33"/>
              <w:rPr>
                <w:rFonts w:ascii="Calibri" w:eastAsia="Times New Roman" w:hAnsi="Calibri" w:cs="Calibri"/>
                <w:color w:val="FFFFFF" w:themeColor="background2"/>
                <w:sz w:val="20"/>
                <w:szCs w:val="20"/>
                <w:lang w:eastAsia="en-AU"/>
              </w:rPr>
            </w:pPr>
            <w:bookmarkStart w:id="127" w:name="Title_32a"/>
            <w:bookmarkEnd w:id="127"/>
            <w:r w:rsidRPr="006B181D">
              <w:rPr>
                <w:rFonts w:ascii="Calibri" w:eastAsia="Times New Roman" w:hAnsi="Calibri" w:cs="Calibri"/>
                <w:b/>
                <w:bCs/>
                <w:color w:val="FFFFFF" w:themeColor="background2"/>
                <w:sz w:val="20"/>
                <w:szCs w:val="20"/>
                <w:lang w:eastAsia="en-AU"/>
              </w:rPr>
              <w:t>Lodgement type</w:t>
            </w:r>
          </w:p>
        </w:tc>
        <w:tc>
          <w:tcPr>
            <w:tcW w:w="1276" w:type="dxa"/>
            <w:shd w:val="clear" w:color="auto" w:fill="1E3D6B"/>
            <w:noWrap/>
            <w:vAlign w:val="center"/>
            <w:hideMark/>
          </w:tcPr>
          <w:p w:rsidR="00C32C8B" w:rsidRPr="006B181D" w:rsidRDefault="00C32C8B" w:rsidP="00C32C8B">
            <w:pPr>
              <w:keepNext/>
              <w:spacing w:after="0" w:line="240" w:lineRule="auto"/>
              <w:ind w:left="33"/>
              <w:jc w:val="center"/>
              <w:rPr>
                <w:rFonts w:ascii="Calibri" w:eastAsia="Times New Roman" w:hAnsi="Calibri" w:cs="Calibri"/>
                <w:b/>
                <w:bCs/>
                <w:color w:val="FFFFFF" w:themeColor="background2"/>
                <w:sz w:val="20"/>
                <w:szCs w:val="20"/>
                <w:lang w:eastAsia="en-AU"/>
              </w:rPr>
            </w:pPr>
            <w:r w:rsidRPr="006B181D">
              <w:rPr>
                <w:rFonts w:ascii="Calibri" w:eastAsia="Times New Roman" w:hAnsi="Calibri" w:cs="Calibri"/>
                <w:b/>
                <w:bCs/>
                <w:color w:val="FFFFFF" w:themeColor="background2"/>
                <w:sz w:val="20"/>
                <w:szCs w:val="20"/>
                <w:lang w:eastAsia="en-AU"/>
              </w:rPr>
              <w:t>Claim approved</w:t>
            </w:r>
          </w:p>
        </w:tc>
        <w:tc>
          <w:tcPr>
            <w:tcW w:w="1276" w:type="dxa"/>
            <w:shd w:val="clear" w:color="auto" w:fill="1E3D6B"/>
            <w:noWrap/>
            <w:vAlign w:val="center"/>
            <w:hideMark/>
          </w:tcPr>
          <w:p w:rsidR="00C32C8B" w:rsidRPr="006B181D" w:rsidRDefault="00C32C8B" w:rsidP="00C32C8B">
            <w:pPr>
              <w:keepNext/>
              <w:spacing w:after="0" w:line="240" w:lineRule="auto"/>
              <w:ind w:left="33"/>
              <w:jc w:val="center"/>
              <w:rPr>
                <w:rFonts w:ascii="Calibri" w:eastAsia="Times New Roman" w:hAnsi="Calibri" w:cs="Calibri"/>
                <w:b/>
                <w:bCs/>
                <w:color w:val="FFFFFF" w:themeColor="background2"/>
                <w:sz w:val="20"/>
                <w:szCs w:val="20"/>
                <w:lang w:eastAsia="en-AU"/>
              </w:rPr>
            </w:pPr>
            <w:r w:rsidRPr="006B181D">
              <w:rPr>
                <w:rFonts w:ascii="Calibri" w:eastAsia="Times New Roman" w:hAnsi="Calibri" w:cs="Calibri"/>
                <w:b/>
                <w:bCs/>
                <w:color w:val="FFFFFF" w:themeColor="background2"/>
                <w:sz w:val="20"/>
                <w:szCs w:val="20"/>
                <w:lang w:eastAsia="en-AU"/>
              </w:rPr>
              <w:t xml:space="preserve">Claim </w:t>
            </w:r>
            <w:r w:rsidRPr="006B181D">
              <w:rPr>
                <w:rFonts w:ascii="Calibri" w:eastAsia="Times New Roman" w:hAnsi="Calibri" w:cs="Calibri"/>
                <w:b/>
                <w:bCs/>
                <w:color w:val="FFFFFF" w:themeColor="background2"/>
                <w:sz w:val="20"/>
                <w:szCs w:val="20"/>
                <w:lang w:eastAsia="en-AU"/>
              </w:rPr>
              <w:br/>
              <w:t>rejected</w:t>
            </w:r>
          </w:p>
        </w:tc>
        <w:tc>
          <w:tcPr>
            <w:tcW w:w="1276" w:type="dxa"/>
            <w:shd w:val="clear" w:color="auto" w:fill="1E3D6B"/>
            <w:noWrap/>
            <w:vAlign w:val="center"/>
            <w:hideMark/>
          </w:tcPr>
          <w:p w:rsidR="00C32C8B" w:rsidRPr="006B181D" w:rsidRDefault="00C32C8B" w:rsidP="00334741">
            <w:pPr>
              <w:keepNext/>
              <w:spacing w:after="0" w:line="240" w:lineRule="auto"/>
              <w:ind w:left="33"/>
              <w:jc w:val="center"/>
              <w:rPr>
                <w:rFonts w:ascii="Calibri" w:eastAsia="Times New Roman" w:hAnsi="Calibri" w:cs="Calibri"/>
                <w:b/>
                <w:bCs/>
                <w:color w:val="FFFFFF" w:themeColor="background2"/>
                <w:sz w:val="20"/>
                <w:szCs w:val="20"/>
                <w:lang w:eastAsia="en-AU"/>
              </w:rPr>
            </w:pPr>
            <w:r w:rsidRPr="006B181D">
              <w:rPr>
                <w:rFonts w:ascii="Calibri" w:eastAsia="Times New Roman" w:hAnsi="Calibri" w:cs="Calibri"/>
                <w:b/>
                <w:bCs/>
                <w:color w:val="FFFFFF" w:themeColor="background2"/>
                <w:sz w:val="20"/>
                <w:szCs w:val="20"/>
                <w:lang w:eastAsia="en-AU"/>
              </w:rPr>
              <w:t>Claim</w:t>
            </w:r>
            <w:r w:rsidRPr="006B181D">
              <w:rPr>
                <w:rFonts w:ascii="Calibri" w:eastAsia="Times New Roman" w:hAnsi="Calibri" w:cs="Calibri"/>
                <w:b/>
                <w:bCs/>
                <w:color w:val="FFFFFF" w:themeColor="background2"/>
                <w:sz w:val="20"/>
                <w:szCs w:val="20"/>
                <w:lang w:eastAsia="en-AU"/>
              </w:rPr>
              <w:br/>
            </w:r>
            <w:r w:rsidR="00767F5D">
              <w:rPr>
                <w:rFonts w:ascii="Calibri" w:eastAsia="Times New Roman" w:hAnsi="Calibri" w:cs="Calibri"/>
                <w:b/>
                <w:bCs/>
                <w:color w:val="FFFFFF" w:themeColor="background2"/>
                <w:sz w:val="20"/>
                <w:szCs w:val="20"/>
                <w:lang w:eastAsia="en-AU"/>
              </w:rPr>
              <w:t>being processed</w:t>
            </w:r>
          </w:p>
        </w:tc>
        <w:tc>
          <w:tcPr>
            <w:tcW w:w="1276" w:type="dxa"/>
            <w:shd w:val="clear" w:color="auto" w:fill="1E3D6B"/>
            <w:noWrap/>
            <w:vAlign w:val="center"/>
            <w:hideMark/>
          </w:tcPr>
          <w:p w:rsidR="00C32C8B" w:rsidRPr="006B181D" w:rsidRDefault="00C32C8B" w:rsidP="00C32C8B">
            <w:pPr>
              <w:keepNext/>
              <w:spacing w:after="0" w:line="240" w:lineRule="auto"/>
              <w:ind w:left="354"/>
              <w:rPr>
                <w:rFonts w:ascii="Calibri" w:eastAsia="Times New Roman" w:hAnsi="Calibri" w:cs="Calibri"/>
                <w:b/>
                <w:bCs/>
                <w:color w:val="FFFFFF" w:themeColor="background2"/>
                <w:sz w:val="20"/>
                <w:szCs w:val="20"/>
                <w:lang w:eastAsia="en-AU"/>
              </w:rPr>
            </w:pPr>
            <w:r w:rsidRPr="006B181D">
              <w:rPr>
                <w:rFonts w:ascii="Calibri" w:eastAsia="Times New Roman" w:hAnsi="Calibri" w:cs="Calibri"/>
                <w:b/>
                <w:bCs/>
                <w:color w:val="FFFFFF" w:themeColor="background2"/>
                <w:sz w:val="20"/>
                <w:szCs w:val="20"/>
                <w:lang w:eastAsia="en-AU"/>
              </w:rPr>
              <w:t>Total</w:t>
            </w:r>
          </w:p>
        </w:tc>
      </w:tr>
      <w:tr w:rsidR="00795292" w:rsidRPr="006B181D" w:rsidTr="009F1442">
        <w:trPr>
          <w:trHeight w:val="431"/>
        </w:trPr>
        <w:tc>
          <w:tcPr>
            <w:tcW w:w="3701" w:type="dxa"/>
            <w:shd w:val="clear" w:color="auto" w:fill="auto"/>
            <w:noWrap/>
            <w:vAlign w:val="center"/>
            <w:hideMark/>
          </w:tcPr>
          <w:p w:rsidR="00C32C8B" w:rsidRPr="006B181D" w:rsidRDefault="00795292" w:rsidP="00211943">
            <w:pPr>
              <w:keepNext/>
              <w:spacing w:before="120" w:after="120" w:line="240" w:lineRule="auto"/>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Applied for JCB1</w:t>
            </w:r>
            <w:r w:rsidR="009F1442" w:rsidRPr="006B181D">
              <w:rPr>
                <w:rFonts w:ascii="Calibri" w:eastAsia="Times New Roman" w:hAnsi="Calibri" w:cs="Calibri"/>
                <w:color w:val="000000" w:themeColor="text1"/>
                <w:sz w:val="20"/>
                <w:szCs w:val="20"/>
                <w:lang w:eastAsia="en-AU"/>
              </w:rPr>
              <w:t xml:space="preserve"> only or separately</w:t>
            </w:r>
            <w:r w:rsidR="00211943" w:rsidRPr="006B181D">
              <w:rPr>
                <w:rFonts w:ascii="Calibri" w:eastAsia="Times New Roman" w:hAnsi="Calibri" w:cs="Calibri"/>
                <w:color w:val="000000" w:themeColor="text1"/>
                <w:sz w:val="20"/>
                <w:szCs w:val="20"/>
                <w:lang w:eastAsia="en-AU"/>
              </w:rPr>
              <w:t xml:space="preserve"> </w:t>
            </w:r>
          </w:p>
        </w:tc>
        <w:tc>
          <w:tcPr>
            <w:tcW w:w="1276" w:type="dxa"/>
            <w:shd w:val="clear" w:color="auto" w:fill="auto"/>
            <w:noWrap/>
            <w:vAlign w:val="center"/>
            <w:hideMark/>
          </w:tcPr>
          <w:p w:rsidR="00C32C8B" w:rsidRPr="006B181D" w:rsidRDefault="00795292" w:rsidP="005F71E8">
            <w:pPr>
              <w:keepNext/>
              <w:spacing w:before="120" w:after="120" w:line="240" w:lineRule="auto"/>
              <w:ind w:right="480"/>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6,3</w:t>
            </w:r>
            <w:r w:rsidR="009F1442" w:rsidRPr="006B181D">
              <w:rPr>
                <w:rFonts w:ascii="Calibri" w:eastAsia="Times New Roman" w:hAnsi="Calibri" w:cs="Calibri"/>
                <w:color w:val="000000" w:themeColor="text1"/>
                <w:sz w:val="20"/>
                <w:szCs w:val="20"/>
                <w:lang w:eastAsia="en-AU"/>
              </w:rPr>
              <w:t>9</w:t>
            </w:r>
            <w:r w:rsidR="005F71E8" w:rsidRPr="006B181D">
              <w:rPr>
                <w:rFonts w:ascii="Calibri" w:eastAsia="Times New Roman" w:hAnsi="Calibri" w:cs="Calibri"/>
                <w:color w:val="000000" w:themeColor="text1"/>
                <w:sz w:val="20"/>
                <w:szCs w:val="20"/>
                <w:lang w:eastAsia="en-AU"/>
              </w:rPr>
              <w:t>3</w:t>
            </w:r>
          </w:p>
        </w:tc>
        <w:tc>
          <w:tcPr>
            <w:tcW w:w="1276" w:type="dxa"/>
            <w:shd w:val="clear" w:color="auto" w:fill="auto"/>
            <w:noWrap/>
            <w:vAlign w:val="center"/>
            <w:hideMark/>
          </w:tcPr>
          <w:p w:rsidR="00C32C8B" w:rsidRPr="006B181D" w:rsidRDefault="00795292" w:rsidP="00AC3609">
            <w:pPr>
              <w:keepNext/>
              <w:spacing w:before="120" w:after="120" w:line="240" w:lineRule="auto"/>
              <w:ind w:right="480"/>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1,17</w:t>
            </w:r>
            <w:r w:rsidR="00AC3609" w:rsidRPr="006B181D">
              <w:rPr>
                <w:rFonts w:ascii="Calibri" w:eastAsia="Times New Roman" w:hAnsi="Calibri" w:cs="Calibri"/>
                <w:color w:val="000000" w:themeColor="text1"/>
                <w:sz w:val="20"/>
                <w:szCs w:val="20"/>
                <w:lang w:eastAsia="en-AU"/>
              </w:rPr>
              <w:t>6</w:t>
            </w:r>
          </w:p>
        </w:tc>
        <w:tc>
          <w:tcPr>
            <w:tcW w:w="1276" w:type="dxa"/>
            <w:shd w:val="clear" w:color="auto" w:fill="auto"/>
            <w:noWrap/>
            <w:vAlign w:val="center"/>
            <w:hideMark/>
          </w:tcPr>
          <w:p w:rsidR="00C32C8B" w:rsidRPr="006B181D" w:rsidRDefault="00795292" w:rsidP="00C32C8B">
            <w:pPr>
              <w:keepNext/>
              <w:spacing w:before="120" w:after="120" w:line="240" w:lineRule="auto"/>
              <w:ind w:right="480"/>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159</w:t>
            </w:r>
          </w:p>
        </w:tc>
        <w:tc>
          <w:tcPr>
            <w:tcW w:w="1276" w:type="dxa"/>
            <w:shd w:val="clear" w:color="auto" w:fill="auto"/>
            <w:noWrap/>
            <w:vAlign w:val="center"/>
            <w:hideMark/>
          </w:tcPr>
          <w:p w:rsidR="00C32C8B" w:rsidRPr="006B181D" w:rsidRDefault="00795292" w:rsidP="005F71E8">
            <w:pPr>
              <w:keepNext/>
              <w:spacing w:before="120" w:after="120" w:line="240" w:lineRule="auto"/>
              <w:ind w:right="480"/>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7,7</w:t>
            </w:r>
            <w:r w:rsidR="005F71E8" w:rsidRPr="006B181D">
              <w:rPr>
                <w:rFonts w:ascii="Calibri" w:eastAsia="Times New Roman" w:hAnsi="Calibri" w:cs="Calibri"/>
                <w:color w:val="000000" w:themeColor="text1"/>
                <w:sz w:val="20"/>
                <w:szCs w:val="20"/>
                <w:lang w:eastAsia="en-AU"/>
              </w:rPr>
              <w:t>28</w:t>
            </w:r>
          </w:p>
        </w:tc>
      </w:tr>
      <w:tr w:rsidR="00795292" w:rsidRPr="006B181D" w:rsidTr="009F1442">
        <w:trPr>
          <w:trHeight w:val="431"/>
        </w:trPr>
        <w:tc>
          <w:tcPr>
            <w:tcW w:w="3701" w:type="dxa"/>
            <w:shd w:val="clear" w:color="auto" w:fill="E5E5E5" w:themeFill="background1" w:themeFillTint="33"/>
            <w:noWrap/>
            <w:vAlign w:val="center"/>
            <w:hideMark/>
          </w:tcPr>
          <w:p w:rsidR="00C32C8B" w:rsidRPr="006B181D" w:rsidRDefault="00795292" w:rsidP="00C32C8B">
            <w:pPr>
              <w:keepNext/>
              <w:spacing w:before="120" w:after="120" w:line="240" w:lineRule="auto"/>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Lodged a combined claim</w:t>
            </w:r>
          </w:p>
        </w:tc>
        <w:tc>
          <w:tcPr>
            <w:tcW w:w="1276" w:type="dxa"/>
            <w:shd w:val="clear" w:color="auto" w:fill="E5E5E5" w:themeFill="background1" w:themeFillTint="33"/>
            <w:noWrap/>
            <w:vAlign w:val="center"/>
            <w:hideMark/>
          </w:tcPr>
          <w:p w:rsidR="00C32C8B" w:rsidRPr="006B181D" w:rsidRDefault="00795292" w:rsidP="005F71E8">
            <w:pPr>
              <w:keepNext/>
              <w:spacing w:before="120" w:after="120" w:line="240" w:lineRule="auto"/>
              <w:ind w:right="480"/>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1</w:t>
            </w:r>
            <w:r w:rsidR="005F71E8" w:rsidRPr="006B181D">
              <w:rPr>
                <w:rFonts w:ascii="Calibri" w:eastAsia="Times New Roman" w:hAnsi="Calibri" w:cs="Calibri"/>
                <w:color w:val="000000" w:themeColor="text1"/>
                <w:sz w:val="20"/>
                <w:szCs w:val="20"/>
                <w:lang w:eastAsia="en-AU"/>
              </w:rPr>
              <w:t>91</w:t>
            </w:r>
          </w:p>
        </w:tc>
        <w:tc>
          <w:tcPr>
            <w:tcW w:w="1276" w:type="dxa"/>
            <w:shd w:val="clear" w:color="auto" w:fill="E5E5E5" w:themeFill="background1" w:themeFillTint="33"/>
            <w:noWrap/>
            <w:vAlign w:val="center"/>
            <w:hideMark/>
          </w:tcPr>
          <w:p w:rsidR="00C32C8B" w:rsidRPr="006B181D" w:rsidRDefault="00795292" w:rsidP="00AC3609">
            <w:pPr>
              <w:keepNext/>
              <w:spacing w:before="120" w:after="120" w:line="240" w:lineRule="auto"/>
              <w:ind w:right="480"/>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3</w:t>
            </w:r>
            <w:r w:rsidR="00AC3609" w:rsidRPr="006B181D">
              <w:rPr>
                <w:rFonts w:ascii="Calibri" w:eastAsia="Times New Roman" w:hAnsi="Calibri" w:cs="Calibri"/>
                <w:color w:val="000000" w:themeColor="text1"/>
                <w:sz w:val="20"/>
                <w:szCs w:val="20"/>
                <w:lang w:eastAsia="en-AU"/>
              </w:rPr>
              <w:t>1</w:t>
            </w:r>
          </w:p>
        </w:tc>
        <w:tc>
          <w:tcPr>
            <w:tcW w:w="1276" w:type="dxa"/>
            <w:shd w:val="clear" w:color="auto" w:fill="E5E5E5" w:themeFill="background1" w:themeFillTint="33"/>
            <w:noWrap/>
            <w:vAlign w:val="center"/>
            <w:hideMark/>
          </w:tcPr>
          <w:p w:rsidR="00C32C8B" w:rsidRPr="006B181D" w:rsidRDefault="00795292" w:rsidP="00C32C8B">
            <w:pPr>
              <w:keepNext/>
              <w:spacing w:before="120" w:after="120" w:line="240" w:lineRule="auto"/>
              <w:ind w:right="480"/>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11</w:t>
            </w:r>
          </w:p>
        </w:tc>
        <w:tc>
          <w:tcPr>
            <w:tcW w:w="1276" w:type="dxa"/>
            <w:shd w:val="clear" w:color="auto" w:fill="E5E5E5" w:themeFill="background1" w:themeFillTint="33"/>
            <w:noWrap/>
            <w:vAlign w:val="center"/>
            <w:hideMark/>
          </w:tcPr>
          <w:p w:rsidR="00C32C8B" w:rsidRPr="006B181D" w:rsidRDefault="00795292" w:rsidP="005F71E8">
            <w:pPr>
              <w:keepNext/>
              <w:spacing w:before="120" w:after="120" w:line="240" w:lineRule="auto"/>
              <w:ind w:right="480"/>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2</w:t>
            </w:r>
            <w:r w:rsidR="005F71E8" w:rsidRPr="006B181D">
              <w:rPr>
                <w:rFonts w:ascii="Calibri" w:eastAsia="Times New Roman" w:hAnsi="Calibri" w:cs="Calibri"/>
                <w:color w:val="000000" w:themeColor="text1"/>
                <w:sz w:val="20"/>
                <w:szCs w:val="20"/>
                <w:lang w:eastAsia="en-AU"/>
              </w:rPr>
              <w:t>33</w:t>
            </w:r>
          </w:p>
        </w:tc>
      </w:tr>
      <w:tr w:rsidR="00795292" w:rsidRPr="006B181D" w:rsidTr="009F1442">
        <w:trPr>
          <w:trHeight w:val="431"/>
        </w:trPr>
        <w:tc>
          <w:tcPr>
            <w:tcW w:w="3701" w:type="dxa"/>
            <w:shd w:val="clear" w:color="auto" w:fill="8EAEDE"/>
            <w:noWrap/>
            <w:vAlign w:val="center"/>
            <w:hideMark/>
          </w:tcPr>
          <w:p w:rsidR="00C32C8B" w:rsidRPr="006B181D" w:rsidRDefault="00C32C8B" w:rsidP="00795292">
            <w:pPr>
              <w:keepNext/>
              <w:spacing w:after="0" w:line="240" w:lineRule="auto"/>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TOTAL</w:t>
            </w:r>
          </w:p>
        </w:tc>
        <w:tc>
          <w:tcPr>
            <w:tcW w:w="1276" w:type="dxa"/>
            <w:shd w:val="clear" w:color="auto" w:fill="8EAEDE"/>
            <w:noWrap/>
            <w:vAlign w:val="center"/>
            <w:hideMark/>
          </w:tcPr>
          <w:p w:rsidR="00C32C8B" w:rsidRPr="006B181D" w:rsidRDefault="00795292" w:rsidP="00795292">
            <w:pPr>
              <w:keepNext/>
              <w:spacing w:after="0" w:line="240" w:lineRule="auto"/>
              <w:ind w:right="480"/>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6,584</w:t>
            </w:r>
          </w:p>
        </w:tc>
        <w:tc>
          <w:tcPr>
            <w:tcW w:w="1276" w:type="dxa"/>
            <w:shd w:val="clear" w:color="auto" w:fill="8EAEDE"/>
            <w:noWrap/>
            <w:vAlign w:val="center"/>
            <w:hideMark/>
          </w:tcPr>
          <w:p w:rsidR="00C32C8B" w:rsidRPr="006B181D" w:rsidRDefault="00795292" w:rsidP="00795292">
            <w:pPr>
              <w:keepNext/>
              <w:spacing w:after="0" w:line="240" w:lineRule="auto"/>
              <w:ind w:right="480"/>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1,207</w:t>
            </w:r>
          </w:p>
        </w:tc>
        <w:tc>
          <w:tcPr>
            <w:tcW w:w="1276" w:type="dxa"/>
            <w:shd w:val="clear" w:color="auto" w:fill="8EAEDE"/>
            <w:noWrap/>
            <w:vAlign w:val="center"/>
            <w:hideMark/>
          </w:tcPr>
          <w:p w:rsidR="00C32C8B" w:rsidRPr="006B181D" w:rsidRDefault="00795292" w:rsidP="00795292">
            <w:pPr>
              <w:keepNext/>
              <w:spacing w:after="0" w:line="240" w:lineRule="auto"/>
              <w:ind w:right="480"/>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170</w:t>
            </w:r>
          </w:p>
        </w:tc>
        <w:tc>
          <w:tcPr>
            <w:tcW w:w="1276" w:type="dxa"/>
            <w:shd w:val="clear" w:color="auto" w:fill="8EAEDE"/>
            <w:noWrap/>
            <w:vAlign w:val="center"/>
            <w:hideMark/>
          </w:tcPr>
          <w:p w:rsidR="00C32C8B" w:rsidRPr="006B181D" w:rsidRDefault="00795292" w:rsidP="00795292">
            <w:pPr>
              <w:keepNext/>
              <w:spacing w:after="0" w:line="240" w:lineRule="auto"/>
              <w:ind w:right="480"/>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7,961</w:t>
            </w:r>
          </w:p>
        </w:tc>
      </w:tr>
    </w:tbl>
    <w:p w:rsidR="00211943" w:rsidRPr="006B181D" w:rsidRDefault="00211943" w:rsidP="00211943">
      <w:pPr>
        <w:keepNext/>
        <w:spacing w:before="240" w:after="0"/>
        <w:rPr>
          <w:b/>
          <w:sz w:val="20"/>
          <w:szCs w:val="20"/>
        </w:rPr>
      </w:pPr>
      <w:r w:rsidRPr="006B181D">
        <w:rPr>
          <w:b/>
          <w:color w:val="000000" w:themeColor="text1"/>
          <w:sz w:val="20"/>
          <w:szCs w:val="20"/>
        </w:rPr>
        <w:t>JCB</w:t>
      </w:r>
      <w:r w:rsidR="00EC754C" w:rsidRPr="006B181D">
        <w:rPr>
          <w:b/>
          <w:color w:val="000000" w:themeColor="text1"/>
          <w:sz w:val="20"/>
          <w:szCs w:val="20"/>
        </w:rPr>
        <w:t xml:space="preserve"> second</w:t>
      </w:r>
      <w:r w:rsidRPr="006B181D">
        <w:rPr>
          <w:b/>
          <w:color w:val="000000" w:themeColor="text1"/>
          <w:sz w:val="20"/>
          <w:szCs w:val="20"/>
        </w:rPr>
        <w:t xml:space="preserve"> </w:t>
      </w:r>
      <w:r w:rsidR="009F1442" w:rsidRPr="006B181D">
        <w:rPr>
          <w:b/>
          <w:color w:val="000000" w:themeColor="text1"/>
          <w:sz w:val="20"/>
          <w:szCs w:val="20"/>
        </w:rPr>
        <w:t>bonus</w:t>
      </w:r>
      <w:r w:rsidR="00EC754C" w:rsidRPr="006B181D">
        <w:rPr>
          <w:b/>
          <w:color w:val="000000" w:themeColor="text1"/>
          <w:sz w:val="20"/>
          <w:szCs w:val="20"/>
        </w:rPr>
        <w:t xml:space="preserve"> (24 months)</w:t>
      </w:r>
    </w:p>
    <w:tbl>
      <w:tblPr>
        <w:tblW w:w="8804" w:type="dxa"/>
        <w:tblInd w:w="93" w:type="dxa"/>
        <w:tblLook w:val="04A0" w:firstRow="1" w:lastRow="0" w:firstColumn="1" w:lastColumn="0" w:noHBand="0" w:noVBand="1"/>
      </w:tblPr>
      <w:tblGrid>
        <w:gridCol w:w="3761"/>
        <w:gridCol w:w="1216"/>
        <w:gridCol w:w="1275"/>
        <w:gridCol w:w="1276"/>
        <w:gridCol w:w="1276"/>
      </w:tblGrid>
      <w:tr w:rsidR="00211943" w:rsidRPr="006B181D" w:rsidTr="009F1442">
        <w:trPr>
          <w:trHeight w:val="288"/>
          <w:tblHeader/>
        </w:trPr>
        <w:tc>
          <w:tcPr>
            <w:tcW w:w="3761" w:type="dxa"/>
            <w:shd w:val="clear" w:color="auto" w:fill="1E3D6B"/>
            <w:noWrap/>
            <w:vAlign w:val="center"/>
            <w:hideMark/>
          </w:tcPr>
          <w:p w:rsidR="00211943" w:rsidRPr="006B181D" w:rsidRDefault="00211943" w:rsidP="0066689A">
            <w:pPr>
              <w:keepNext/>
              <w:spacing w:after="0" w:line="240" w:lineRule="auto"/>
              <w:ind w:left="33"/>
              <w:rPr>
                <w:rFonts w:ascii="Calibri" w:eastAsia="Times New Roman" w:hAnsi="Calibri" w:cs="Calibri"/>
                <w:color w:val="FFFFFF" w:themeColor="background2"/>
                <w:sz w:val="20"/>
                <w:szCs w:val="20"/>
                <w:lang w:eastAsia="en-AU"/>
              </w:rPr>
            </w:pPr>
            <w:bookmarkStart w:id="128" w:name="Title_32b"/>
            <w:bookmarkEnd w:id="128"/>
            <w:r w:rsidRPr="006B181D">
              <w:rPr>
                <w:rFonts w:ascii="Calibri" w:eastAsia="Times New Roman" w:hAnsi="Calibri" w:cs="Calibri"/>
                <w:b/>
                <w:bCs/>
                <w:color w:val="FFFFFF" w:themeColor="background2"/>
                <w:sz w:val="20"/>
                <w:szCs w:val="20"/>
                <w:lang w:eastAsia="en-AU"/>
              </w:rPr>
              <w:t>Lodgement type</w:t>
            </w:r>
          </w:p>
        </w:tc>
        <w:tc>
          <w:tcPr>
            <w:tcW w:w="1216" w:type="dxa"/>
            <w:shd w:val="clear" w:color="auto" w:fill="1E3D6B"/>
            <w:noWrap/>
            <w:vAlign w:val="center"/>
            <w:hideMark/>
          </w:tcPr>
          <w:p w:rsidR="00211943" w:rsidRPr="006B181D" w:rsidRDefault="00211943" w:rsidP="0066689A">
            <w:pPr>
              <w:keepNext/>
              <w:spacing w:after="0" w:line="240" w:lineRule="auto"/>
              <w:ind w:left="33"/>
              <w:jc w:val="center"/>
              <w:rPr>
                <w:rFonts w:ascii="Calibri" w:eastAsia="Times New Roman" w:hAnsi="Calibri" w:cs="Calibri"/>
                <w:b/>
                <w:bCs/>
                <w:color w:val="FFFFFF" w:themeColor="background2"/>
                <w:sz w:val="20"/>
                <w:szCs w:val="20"/>
                <w:lang w:eastAsia="en-AU"/>
              </w:rPr>
            </w:pPr>
            <w:r w:rsidRPr="006B181D">
              <w:rPr>
                <w:rFonts w:ascii="Calibri" w:eastAsia="Times New Roman" w:hAnsi="Calibri" w:cs="Calibri"/>
                <w:b/>
                <w:bCs/>
                <w:color w:val="FFFFFF" w:themeColor="background2"/>
                <w:sz w:val="20"/>
                <w:szCs w:val="20"/>
                <w:lang w:eastAsia="en-AU"/>
              </w:rPr>
              <w:t>Claim approved</w:t>
            </w:r>
          </w:p>
        </w:tc>
        <w:tc>
          <w:tcPr>
            <w:tcW w:w="1275" w:type="dxa"/>
            <w:shd w:val="clear" w:color="auto" w:fill="1E3D6B"/>
            <w:noWrap/>
            <w:vAlign w:val="center"/>
            <w:hideMark/>
          </w:tcPr>
          <w:p w:rsidR="00211943" w:rsidRPr="006B181D" w:rsidRDefault="00211943" w:rsidP="0066689A">
            <w:pPr>
              <w:keepNext/>
              <w:spacing w:after="0" w:line="240" w:lineRule="auto"/>
              <w:ind w:left="33"/>
              <w:jc w:val="center"/>
              <w:rPr>
                <w:rFonts w:ascii="Calibri" w:eastAsia="Times New Roman" w:hAnsi="Calibri" w:cs="Calibri"/>
                <w:b/>
                <w:bCs/>
                <w:color w:val="FFFFFF" w:themeColor="background2"/>
                <w:sz w:val="20"/>
                <w:szCs w:val="20"/>
                <w:lang w:eastAsia="en-AU"/>
              </w:rPr>
            </w:pPr>
            <w:r w:rsidRPr="006B181D">
              <w:rPr>
                <w:rFonts w:ascii="Calibri" w:eastAsia="Times New Roman" w:hAnsi="Calibri" w:cs="Calibri"/>
                <w:b/>
                <w:bCs/>
                <w:color w:val="FFFFFF" w:themeColor="background2"/>
                <w:sz w:val="20"/>
                <w:szCs w:val="20"/>
                <w:lang w:eastAsia="en-AU"/>
              </w:rPr>
              <w:t xml:space="preserve">Claim </w:t>
            </w:r>
            <w:r w:rsidRPr="006B181D">
              <w:rPr>
                <w:rFonts w:ascii="Calibri" w:eastAsia="Times New Roman" w:hAnsi="Calibri" w:cs="Calibri"/>
                <w:b/>
                <w:bCs/>
                <w:color w:val="FFFFFF" w:themeColor="background2"/>
                <w:sz w:val="20"/>
                <w:szCs w:val="20"/>
                <w:lang w:eastAsia="en-AU"/>
              </w:rPr>
              <w:br/>
              <w:t>rejected</w:t>
            </w:r>
          </w:p>
        </w:tc>
        <w:tc>
          <w:tcPr>
            <w:tcW w:w="1276" w:type="dxa"/>
            <w:shd w:val="clear" w:color="auto" w:fill="1E3D6B"/>
            <w:noWrap/>
            <w:vAlign w:val="center"/>
            <w:hideMark/>
          </w:tcPr>
          <w:p w:rsidR="00211943" w:rsidRPr="006B181D" w:rsidRDefault="00211943" w:rsidP="00334741">
            <w:pPr>
              <w:keepNext/>
              <w:spacing w:after="0" w:line="240" w:lineRule="auto"/>
              <w:ind w:left="33"/>
              <w:jc w:val="center"/>
              <w:rPr>
                <w:rFonts w:ascii="Calibri" w:eastAsia="Times New Roman" w:hAnsi="Calibri" w:cs="Calibri"/>
                <w:b/>
                <w:bCs/>
                <w:color w:val="FFFFFF" w:themeColor="background2"/>
                <w:sz w:val="20"/>
                <w:szCs w:val="20"/>
                <w:lang w:eastAsia="en-AU"/>
              </w:rPr>
            </w:pPr>
            <w:r w:rsidRPr="006B181D">
              <w:rPr>
                <w:rFonts w:ascii="Calibri" w:eastAsia="Times New Roman" w:hAnsi="Calibri" w:cs="Calibri"/>
                <w:b/>
                <w:bCs/>
                <w:color w:val="FFFFFF" w:themeColor="background2"/>
                <w:sz w:val="20"/>
                <w:szCs w:val="20"/>
                <w:lang w:eastAsia="en-AU"/>
              </w:rPr>
              <w:t>Claim</w:t>
            </w:r>
            <w:r w:rsidRPr="006B181D">
              <w:rPr>
                <w:rFonts w:ascii="Calibri" w:eastAsia="Times New Roman" w:hAnsi="Calibri" w:cs="Calibri"/>
                <w:b/>
                <w:bCs/>
                <w:color w:val="FFFFFF" w:themeColor="background2"/>
                <w:sz w:val="20"/>
                <w:szCs w:val="20"/>
                <w:lang w:eastAsia="en-AU"/>
              </w:rPr>
              <w:br/>
            </w:r>
            <w:r w:rsidR="00767F5D">
              <w:rPr>
                <w:rFonts w:ascii="Calibri" w:eastAsia="Times New Roman" w:hAnsi="Calibri" w:cs="Calibri"/>
                <w:b/>
                <w:bCs/>
                <w:color w:val="FFFFFF" w:themeColor="background2"/>
                <w:sz w:val="20"/>
                <w:szCs w:val="20"/>
                <w:lang w:eastAsia="en-AU"/>
              </w:rPr>
              <w:t>being processed</w:t>
            </w:r>
          </w:p>
        </w:tc>
        <w:tc>
          <w:tcPr>
            <w:tcW w:w="1276" w:type="dxa"/>
            <w:shd w:val="clear" w:color="auto" w:fill="1E3D6B"/>
            <w:noWrap/>
            <w:vAlign w:val="center"/>
            <w:hideMark/>
          </w:tcPr>
          <w:p w:rsidR="00211943" w:rsidRPr="006B181D" w:rsidRDefault="00211943" w:rsidP="0066689A">
            <w:pPr>
              <w:keepNext/>
              <w:spacing w:after="0" w:line="240" w:lineRule="auto"/>
              <w:ind w:left="354"/>
              <w:rPr>
                <w:rFonts w:ascii="Calibri" w:eastAsia="Times New Roman" w:hAnsi="Calibri" w:cs="Calibri"/>
                <w:b/>
                <w:bCs/>
                <w:color w:val="FFFFFF" w:themeColor="background2"/>
                <w:sz w:val="20"/>
                <w:szCs w:val="20"/>
                <w:lang w:eastAsia="en-AU"/>
              </w:rPr>
            </w:pPr>
            <w:r w:rsidRPr="006B181D">
              <w:rPr>
                <w:rFonts w:ascii="Calibri" w:eastAsia="Times New Roman" w:hAnsi="Calibri" w:cs="Calibri"/>
                <w:b/>
                <w:bCs/>
                <w:color w:val="FFFFFF" w:themeColor="background2"/>
                <w:sz w:val="20"/>
                <w:szCs w:val="20"/>
                <w:lang w:eastAsia="en-AU"/>
              </w:rPr>
              <w:t>Total</w:t>
            </w:r>
          </w:p>
        </w:tc>
      </w:tr>
      <w:tr w:rsidR="00211943" w:rsidRPr="006B181D" w:rsidTr="009F1442">
        <w:trPr>
          <w:trHeight w:val="431"/>
        </w:trPr>
        <w:tc>
          <w:tcPr>
            <w:tcW w:w="3761" w:type="dxa"/>
            <w:shd w:val="clear" w:color="auto" w:fill="auto"/>
            <w:noWrap/>
            <w:vAlign w:val="center"/>
            <w:hideMark/>
          </w:tcPr>
          <w:p w:rsidR="00211943" w:rsidRPr="006B181D" w:rsidRDefault="00211943" w:rsidP="00211943">
            <w:pPr>
              <w:keepNext/>
              <w:spacing w:before="120" w:after="120" w:line="240" w:lineRule="auto"/>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Applied for JCB2</w:t>
            </w:r>
            <w:r w:rsidR="009F1442" w:rsidRPr="006B181D">
              <w:rPr>
                <w:rFonts w:ascii="Calibri" w:eastAsia="Times New Roman" w:hAnsi="Calibri" w:cs="Calibri"/>
                <w:color w:val="000000" w:themeColor="text1"/>
                <w:sz w:val="20"/>
                <w:szCs w:val="20"/>
                <w:lang w:eastAsia="en-AU"/>
              </w:rPr>
              <w:t xml:space="preserve"> separately</w:t>
            </w:r>
          </w:p>
        </w:tc>
        <w:tc>
          <w:tcPr>
            <w:tcW w:w="1216" w:type="dxa"/>
            <w:shd w:val="clear" w:color="auto" w:fill="auto"/>
            <w:noWrap/>
            <w:vAlign w:val="center"/>
            <w:hideMark/>
          </w:tcPr>
          <w:p w:rsidR="00211943" w:rsidRPr="006B181D" w:rsidRDefault="00211943" w:rsidP="005F71E8">
            <w:pPr>
              <w:keepNext/>
              <w:spacing w:before="120" w:after="120" w:line="240" w:lineRule="auto"/>
              <w:ind w:right="480"/>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1,0</w:t>
            </w:r>
            <w:r w:rsidR="005F71E8" w:rsidRPr="006B181D">
              <w:rPr>
                <w:rFonts w:ascii="Calibri" w:eastAsia="Times New Roman" w:hAnsi="Calibri" w:cs="Calibri"/>
                <w:color w:val="000000" w:themeColor="text1"/>
                <w:sz w:val="20"/>
                <w:szCs w:val="20"/>
                <w:lang w:eastAsia="en-AU"/>
              </w:rPr>
              <w:t>28</w:t>
            </w:r>
          </w:p>
        </w:tc>
        <w:tc>
          <w:tcPr>
            <w:tcW w:w="1275" w:type="dxa"/>
            <w:shd w:val="clear" w:color="auto" w:fill="auto"/>
            <w:noWrap/>
            <w:vAlign w:val="center"/>
            <w:hideMark/>
          </w:tcPr>
          <w:p w:rsidR="00211943" w:rsidRPr="006B181D" w:rsidRDefault="00211943" w:rsidP="005F71E8">
            <w:pPr>
              <w:keepNext/>
              <w:spacing w:before="120" w:after="120" w:line="240" w:lineRule="auto"/>
              <w:ind w:right="480"/>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6</w:t>
            </w:r>
            <w:r w:rsidR="005F71E8" w:rsidRPr="006B181D">
              <w:rPr>
                <w:rFonts w:ascii="Calibri" w:eastAsia="Times New Roman" w:hAnsi="Calibri" w:cs="Calibri"/>
                <w:color w:val="000000" w:themeColor="text1"/>
                <w:sz w:val="20"/>
                <w:szCs w:val="20"/>
                <w:lang w:eastAsia="en-AU"/>
              </w:rPr>
              <w:t>2</w:t>
            </w:r>
          </w:p>
        </w:tc>
        <w:tc>
          <w:tcPr>
            <w:tcW w:w="1276" w:type="dxa"/>
            <w:shd w:val="clear" w:color="auto" w:fill="auto"/>
            <w:noWrap/>
            <w:vAlign w:val="center"/>
            <w:hideMark/>
          </w:tcPr>
          <w:p w:rsidR="00211943" w:rsidRPr="006B181D" w:rsidRDefault="00211943" w:rsidP="0066689A">
            <w:pPr>
              <w:keepNext/>
              <w:spacing w:before="120" w:after="120" w:line="240" w:lineRule="auto"/>
              <w:ind w:right="480"/>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2</w:t>
            </w:r>
          </w:p>
        </w:tc>
        <w:tc>
          <w:tcPr>
            <w:tcW w:w="1276" w:type="dxa"/>
            <w:shd w:val="clear" w:color="auto" w:fill="auto"/>
            <w:noWrap/>
            <w:vAlign w:val="center"/>
            <w:hideMark/>
          </w:tcPr>
          <w:p w:rsidR="00211943" w:rsidRPr="006B181D" w:rsidRDefault="00211943" w:rsidP="005F71E8">
            <w:pPr>
              <w:keepNext/>
              <w:spacing w:before="120" w:after="120" w:line="240" w:lineRule="auto"/>
              <w:ind w:right="480"/>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1,09</w:t>
            </w:r>
            <w:r w:rsidR="005F71E8" w:rsidRPr="006B181D">
              <w:rPr>
                <w:rFonts w:ascii="Calibri" w:eastAsia="Times New Roman" w:hAnsi="Calibri" w:cs="Calibri"/>
                <w:color w:val="000000" w:themeColor="text1"/>
                <w:sz w:val="20"/>
                <w:szCs w:val="20"/>
                <w:lang w:eastAsia="en-AU"/>
              </w:rPr>
              <w:t>2</w:t>
            </w:r>
          </w:p>
        </w:tc>
      </w:tr>
      <w:tr w:rsidR="00211943" w:rsidRPr="006B181D" w:rsidTr="009F1442">
        <w:trPr>
          <w:trHeight w:val="431"/>
        </w:trPr>
        <w:tc>
          <w:tcPr>
            <w:tcW w:w="3761" w:type="dxa"/>
            <w:shd w:val="clear" w:color="auto" w:fill="E5E5E5" w:themeFill="background1" w:themeFillTint="33"/>
            <w:noWrap/>
            <w:vAlign w:val="center"/>
            <w:hideMark/>
          </w:tcPr>
          <w:p w:rsidR="00211943" w:rsidRPr="006B181D" w:rsidRDefault="00211943" w:rsidP="0066689A">
            <w:pPr>
              <w:keepNext/>
              <w:spacing w:before="120" w:after="120" w:line="240" w:lineRule="auto"/>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Lodged a combined claim</w:t>
            </w:r>
          </w:p>
        </w:tc>
        <w:tc>
          <w:tcPr>
            <w:tcW w:w="1216" w:type="dxa"/>
            <w:shd w:val="clear" w:color="auto" w:fill="E5E5E5" w:themeFill="background1" w:themeFillTint="33"/>
            <w:noWrap/>
            <w:vAlign w:val="center"/>
            <w:hideMark/>
          </w:tcPr>
          <w:p w:rsidR="00211943" w:rsidRPr="006B181D" w:rsidRDefault="00211943" w:rsidP="005F71E8">
            <w:pPr>
              <w:keepNext/>
              <w:spacing w:before="120" w:after="120" w:line="240" w:lineRule="auto"/>
              <w:ind w:right="480"/>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18</w:t>
            </w:r>
            <w:r w:rsidR="005F71E8" w:rsidRPr="006B181D">
              <w:rPr>
                <w:rFonts w:ascii="Calibri" w:eastAsia="Times New Roman" w:hAnsi="Calibri" w:cs="Calibri"/>
                <w:color w:val="000000" w:themeColor="text1"/>
                <w:sz w:val="20"/>
                <w:szCs w:val="20"/>
                <w:lang w:eastAsia="en-AU"/>
              </w:rPr>
              <w:t>9</w:t>
            </w:r>
          </w:p>
        </w:tc>
        <w:tc>
          <w:tcPr>
            <w:tcW w:w="1275" w:type="dxa"/>
            <w:shd w:val="clear" w:color="auto" w:fill="E5E5E5" w:themeFill="background1" w:themeFillTint="33"/>
            <w:noWrap/>
            <w:vAlign w:val="center"/>
            <w:hideMark/>
          </w:tcPr>
          <w:p w:rsidR="00211943" w:rsidRPr="006B181D" w:rsidRDefault="00211943" w:rsidP="005F71E8">
            <w:pPr>
              <w:keepNext/>
              <w:spacing w:before="120" w:after="120" w:line="240" w:lineRule="auto"/>
              <w:ind w:right="480"/>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3</w:t>
            </w:r>
            <w:r w:rsidR="005F71E8" w:rsidRPr="006B181D">
              <w:rPr>
                <w:rFonts w:ascii="Calibri" w:eastAsia="Times New Roman" w:hAnsi="Calibri" w:cs="Calibri"/>
                <w:color w:val="000000" w:themeColor="text1"/>
                <w:sz w:val="20"/>
                <w:szCs w:val="20"/>
                <w:lang w:eastAsia="en-AU"/>
              </w:rPr>
              <w:t>3</w:t>
            </w:r>
          </w:p>
        </w:tc>
        <w:tc>
          <w:tcPr>
            <w:tcW w:w="1276" w:type="dxa"/>
            <w:shd w:val="clear" w:color="auto" w:fill="E5E5E5" w:themeFill="background1" w:themeFillTint="33"/>
            <w:noWrap/>
            <w:vAlign w:val="center"/>
            <w:hideMark/>
          </w:tcPr>
          <w:p w:rsidR="00211943" w:rsidRPr="006B181D" w:rsidRDefault="00211943" w:rsidP="0066689A">
            <w:pPr>
              <w:keepNext/>
              <w:spacing w:before="120" w:after="120" w:line="240" w:lineRule="auto"/>
              <w:ind w:right="480"/>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11</w:t>
            </w:r>
          </w:p>
        </w:tc>
        <w:tc>
          <w:tcPr>
            <w:tcW w:w="1276" w:type="dxa"/>
            <w:shd w:val="clear" w:color="auto" w:fill="E5E5E5" w:themeFill="background1" w:themeFillTint="33"/>
            <w:noWrap/>
            <w:vAlign w:val="center"/>
            <w:hideMark/>
          </w:tcPr>
          <w:p w:rsidR="00211943" w:rsidRPr="006B181D" w:rsidRDefault="00211943" w:rsidP="005F71E8">
            <w:pPr>
              <w:keepNext/>
              <w:spacing w:before="120" w:after="120" w:line="240" w:lineRule="auto"/>
              <w:ind w:right="480"/>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2</w:t>
            </w:r>
            <w:r w:rsidR="005F71E8" w:rsidRPr="006B181D">
              <w:rPr>
                <w:rFonts w:ascii="Calibri" w:eastAsia="Times New Roman" w:hAnsi="Calibri" w:cs="Calibri"/>
                <w:color w:val="000000" w:themeColor="text1"/>
                <w:sz w:val="20"/>
                <w:szCs w:val="20"/>
                <w:lang w:eastAsia="en-AU"/>
              </w:rPr>
              <w:t>33</w:t>
            </w:r>
          </w:p>
        </w:tc>
      </w:tr>
      <w:tr w:rsidR="009F1442" w:rsidRPr="006B181D" w:rsidTr="009F1442">
        <w:trPr>
          <w:trHeight w:val="431"/>
        </w:trPr>
        <w:tc>
          <w:tcPr>
            <w:tcW w:w="3761" w:type="dxa"/>
            <w:shd w:val="clear" w:color="auto" w:fill="8EAEDE"/>
            <w:noWrap/>
            <w:vAlign w:val="center"/>
            <w:hideMark/>
          </w:tcPr>
          <w:p w:rsidR="00211943" w:rsidRPr="006B181D" w:rsidRDefault="00211943" w:rsidP="0066689A">
            <w:pPr>
              <w:keepNext/>
              <w:spacing w:after="0" w:line="240" w:lineRule="auto"/>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TOTAL</w:t>
            </w:r>
          </w:p>
        </w:tc>
        <w:tc>
          <w:tcPr>
            <w:tcW w:w="1216" w:type="dxa"/>
            <w:shd w:val="clear" w:color="auto" w:fill="8EAEDE"/>
            <w:noWrap/>
            <w:vAlign w:val="center"/>
            <w:hideMark/>
          </w:tcPr>
          <w:p w:rsidR="00211943" w:rsidRPr="006B181D" w:rsidRDefault="00211943" w:rsidP="0066689A">
            <w:pPr>
              <w:keepNext/>
              <w:spacing w:after="0" w:line="240" w:lineRule="auto"/>
              <w:ind w:right="480"/>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1,217</w:t>
            </w:r>
          </w:p>
        </w:tc>
        <w:tc>
          <w:tcPr>
            <w:tcW w:w="1275" w:type="dxa"/>
            <w:shd w:val="clear" w:color="auto" w:fill="8EAEDE"/>
            <w:noWrap/>
            <w:vAlign w:val="center"/>
            <w:hideMark/>
          </w:tcPr>
          <w:p w:rsidR="00211943" w:rsidRPr="006B181D" w:rsidRDefault="00211943" w:rsidP="0066689A">
            <w:pPr>
              <w:keepNext/>
              <w:spacing w:after="0" w:line="240" w:lineRule="auto"/>
              <w:ind w:right="480"/>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95</w:t>
            </w:r>
          </w:p>
        </w:tc>
        <w:tc>
          <w:tcPr>
            <w:tcW w:w="1276" w:type="dxa"/>
            <w:shd w:val="clear" w:color="auto" w:fill="8EAEDE"/>
            <w:noWrap/>
            <w:vAlign w:val="center"/>
            <w:hideMark/>
          </w:tcPr>
          <w:p w:rsidR="00211943" w:rsidRPr="006B181D" w:rsidRDefault="00211943" w:rsidP="0066689A">
            <w:pPr>
              <w:keepNext/>
              <w:spacing w:after="0" w:line="240" w:lineRule="auto"/>
              <w:ind w:right="480"/>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13</w:t>
            </w:r>
          </w:p>
        </w:tc>
        <w:tc>
          <w:tcPr>
            <w:tcW w:w="1276" w:type="dxa"/>
            <w:shd w:val="clear" w:color="auto" w:fill="8EAEDE"/>
            <w:noWrap/>
            <w:vAlign w:val="center"/>
            <w:hideMark/>
          </w:tcPr>
          <w:p w:rsidR="00211943" w:rsidRPr="006B181D" w:rsidRDefault="00211943" w:rsidP="0066689A">
            <w:pPr>
              <w:keepNext/>
              <w:spacing w:after="0" w:line="240" w:lineRule="auto"/>
              <w:ind w:right="480"/>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1,325</w:t>
            </w:r>
          </w:p>
        </w:tc>
      </w:tr>
    </w:tbl>
    <w:p w:rsidR="00C32C8B" w:rsidRPr="009F1442" w:rsidRDefault="00C32C8B" w:rsidP="004C5B83">
      <w:pPr>
        <w:pStyle w:val="Source"/>
      </w:pPr>
      <w:r w:rsidRPr="009F1442">
        <w:t>Notes:</w:t>
      </w:r>
    </w:p>
    <w:p w:rsidR="00C32C8B" w:rsidRDefault="00767F5D" w:rsidP="00E3205B">
      <w:pPr>
        <w:pStyle w:val="Source"/>
        <w:numPr>
          <w:ilvl w:val="0"/>
          <w:numId w:val="97"/>
        </w:numPr>
        <w:rPr>
          <w:b w:val="0"/>
        </w:rPr>
      </w:pPr>
      <w:r>
        <w:rPr>
          <w:b w:val="0"/>
        </w:rPr>
        <w:t>For an</w:t>
      </w:r>
      <w:r w:rsidR="00C32C8B" w:rsidRPr="004C5B83">
        <w:rPr>
          <w:b w:val="0"/>
        </w:rPr>
        <w:t xml:space="preserve"> </w:t>
      </w:r>
      <w:r w:rsidRPr="004C5B83">
        <w:rPr>
          <w:b w:val="0"/>
        </w:rPr>
        <w:t>expl</w:t>
      </w:r>
      <w:r>
        <w:rPr>
          <w:b w:val="0"/>
        </w:rPr>
        <w:t>anation of</w:t>
      </w:r>
      <w:r w:rsidRPr="004C5B83">
        <w:rPr>
          <w:b w:val="0"/>
        </w:rPr>
        <w:t xml:space="preserve"> </w:t>
      </w:r>
      <w:r w:rsidR="00C32C8B" w:rsidRPr="004C5B83">
        <w:rPr>
          <w:b w:val="0"/>
        </w:rPr>
        <w:t>how this data was derived from the available monitoring data</w:t>
      </w:r>
      <w:r>
        <w:rPr>
          <w:b w:val="0"/>
        </w:rPr>
        <w:t xml:space="preserve"> see Attachment E</w:t>
      </w:r>
      <w:r w:rsidR="00C32C8B" w:rsidRPr="004C5B83">
        <w:rPr>
          <w:b w:val="0"/>
        </w:rPr>
        <w:t>.</w:t>
      </w:r>
    </w:p>
    <w:p w:rsidR="009F1442" w:rsidRPr="004C5B83" w:rsidRDefault="00C32C8B" w:rsidP="00E3205B">
      <w:pPr>
        <w:pStyle w:val="Source"/>
        <w:numPr>
          <w:ilvl w:val="0"/>
          <w:numId w:val="97"/>
        </w:numPr>
        <w:rPr>
          <w:b w:val="0"/>
        </w:rPr>
      </w:pPr>
      <w:r w:rsidRPr="004C5B83">
        <w:rPr>
          <w:b w:val="0"/>
        </w:rPr>
        <w:t xml:space="preserve">Excludes </w:t>
      </w:r>
      <w:r w:rsidR="004A244A" w:rsidRPr="004C5B83">
        <w:rPr>
          <w:b w:val="0"/>
        </w:rPr>
        <w:t>withdrawn and cancelled</w:t>
      </w:r>
      <w:r w:rsidR="0080401B" w:rsidRPr="004C5B83">
        <w:rPr>
          <w:b w:val="0"/>
        </w:rPr>
        <w:t xml:space="preserve"> </w:t>
      </w:r>
      <w:r w:rsidRPr="004C5B83">
        <w:rPr>
          <w:b w:val="0"/>
        </w:rPr>
        <w:t>claims.</w:t>
      </w:r>
    </w:p>
    <w:p w:rsidR="00C32C8B" w:rsidRPr="009F1442" w:rsidRDefault="00C32C8B" w:rsidP="004C5B83">
      <w:pPr>
        <w:pStyle w:val="Source"/>
      </w:pPr>
      <w:r w:rsidRPr="009F1442">
        <w:t xml:space="preserve">Source: </w:t>
      </w:r>
      <w:r w:rsidRPr="004C5B83">
        <w:rPr>
          <w:b w:val="0"/>
        </w:rPr>
        <w:t>DHS and DoE monitoring data</w:t>
      </w:r>
      <w:r w:rsidRPr="009F1442">
        <w:t>.</w:t>
      </w:r>
    </w:p>
    <w:p w:rsidR="002E0F9B" w:rsidRPr="009F1442" w:rsidRDefault="002E0F9B" w:rsidP="0066689A">
      <w:pPr>
        <w:spacing w:before="120"/>
        <w:rPr>
          <w:color w:val="000000" w:themeColor="text1"/>
        </w:rPr>
      </w:pPr>
      <w:r w:rsidRPr="0060524B">
        <w:rPr>
          <w:color w:val="000000" w:themeColor="text1"/>
        </w:rPr>
        <w:t xml:space="preserve">Only </w:t>
      </w:r>
      <w:r>
        <w:rPr>
          <w:color w:val="000000" w:themeColor="text1"/>
        </w:rPr>
        <w:t>thos</w:t>
      </w:r>
      <w:r w:rsidRPr="0060524B">
        <w:rPr>
          <w:color w:val="000000" w:themeColor="text1"/>
        </w:rPr>
        <w:t xml:space="preserve">e who did not know about the bonus before the expiry of the </w:t>
      </w:r>
      <w:r>
        <w:rPr>
          <w:color w:val="000000" w:themeColor="text1"/>
        </w:rPr>
        <w:t>JCB1 application</w:t>
      </w:r>
      <w:r w:rsidRPr="0060524B">
        <w:rPr>
          <w:color w:val="000000" w:themeColor="text1"/>
        </w:rPr>
        <w:t xml:space="preserve"> deadline or, </w:t>
      </w:r>
      <w:r w:rsidR="00EC754C">
        <w:rPr>
          <w:color w:val="000000" w:themeColor="text1"/>
        </w:rPr>
        <w:t xml:space="preserve">who </w:t>
      </w:r>
      <w:r w:rsidRPr="0060524B">
        <w:rPr>
          <w:color w:val="000000" w:themeColor="text1"/>
        </w:rPr>
        <w:t xml:space="preserve">had difficulty either collating the required documentation or applying, would likely </w:t>
      </w:r>
      <w:r w:rsidR="00EB1016">
        <w:rPr>
          <w:color w:val="000000" w:themeColor="text1"/>
        </w:rPr>
        <w:t xml:space="preserve">have </w:t>
      </w:r>
      <w:r w:rsidRPr="0060524B">
        <w:rPr>
          <w:color w:val="000000" w:themeColor="text1"/>
        </w:rPr>
        <w:t>wait</w:t>
      </w:r>
      <w:r w:rsidR="00EB1016">
        <w:rPr>
          <w:color w:val="000000" w:themeColor="text1"/>
        </w:rPr>
        <w:t>ed</w:t>
      </w:r>
      <w:r w:rsidRPr="0060524B">
        <w:rPr>
          <w:color w:val="000000" w:themeColor="text1"/>
        </w:rPr>
        <w:t xml:space="preserve"> to lodge a combined claim at the second opportunity.</w:t>
      </w:r>
    </w:p>
    <w:p w:rsidR="004B0F39" w:rsidRDefault="00EB1016" w:rsidP="0060524B">
      <w:pPr>
        <w:spacing w:before="240"/>
        <w:rPr>
          <w:color w:val="000000" w:themeColor="text1"/>
        </w:rPr>
      </w:pPr>
      <w:r>
        <w:rPr>
          <w:color w:val="000000" w:themeColor="text1"/>
        </w:rPr>
        <w:t>Of the 7,961 JCB1 claims lodged</w:t>
      </w:r>
      <w:r w:rsidR="0066689A">
        <w:rPr>
          <w:color w:val="000000" w:themeColor="text1"/>
        </w:rPr>
        <w:t xml:space="preserve"> </w:t>
      </w:r>
      <w:r w:rsidR="00EC754C">
        <w:rPr>
          <w:color w:val="000000" w:themeColor="text1"/>
        </w:rPr>
        <w:t xml:space="preserve">and not </w:t>
      </w:r>
      <w:r w:rsidR="0066689A">
        <w:rPr>
          <w:color w:val="000000" w:themeColor="text1"/>
        </w:rPr>
        <w:t>withdrawn</w:t>
      </w:r>
      <w:r>
        <w:rPr>
          <w:color w:val="000000" w:themeColor="text1"/>
        </w:rPr>
        <w:t xml:space="preserve">, 2,280 were by </w:t>
      </w:r>
      <w:r w:rsidR="0073159E">
        <w:rPr>
          <w:color w:val="000000" w:themeColor="text1"/>
        </w:rPr>
        <w:t xml:space="preserve">applicants </w:t>
      </w:r>
      <w:r>
        <w:rPr>
          <w:color w:val="000000" w:themeColor="text1"/>
        </w:rPr>
        <w:t xml:space="preserve">who left income support between July and December 2014. </w:t>
      </w:r>
      <w:r w:rsidR="004B0F39">
        <w:rPr>
          <w:color w:val="000000" w:themeColor="text1"/>
        </w:rPr>
        <w:t>A</w:t>
      </w:r>
      <w:r>
        <w:rPr>
          <w:color w:val="000000" w:themeColor="text1"/>
        </w:rPr>
        <w:t>round one in ten (</w:t>
      </w:r>
      <w:r w:rsidR="007E04F0">
        <w:rPr>
          <w:color w:val="000000" w:themeColor="text1"/>
        </w:rPr>
        <w:t>10.2</w:t>
      </w:r>
      <w:r>
        <w:rPr>
          <w:color w:val="000000" w:themeColor="text1"/>
        </w:rPr>
        <w:t xml:space="preserve"> per cent) lodged their JCB1 claim at the second opportunity (24 months after leaving income support). </w:t>
      </w:r>
      <w:r w:rsidR="004B0F39">
        <w:rPr>
          <w:color w:val="000000" w:themeColor="text1"/>
        </w:rPr>
        <w:t>Th</w:t>
      </w:r>
      <w:r w:rsidR="0073159E">
        <w:rPr>
          <w:color w:val="000000" w:themeColor="text1"/>
        </w:rPr>
        <w:t>erefore</w:t>
      </w:r>
      <w:r w:rsidR="00602B02">
        <w:rPr>
          <w:color w:val="000000" w:themeColor="text1"/>
        </w:rPr>
        <w:t>,</w:t>
      </w:r>
      <w:r w:rsidR="004B0F39">
        <w:rPr>
          <w:color w:val="000000" w:themeColor="text1"/>
        </w:rPr>
        <w:t xml:space="preserve"> a</w:t>
      </w:r>
      <w:r w:rsidR="002E0F9B">
        <w:rPr>
          <w:color w:val="000000" w:themeColor="text1"/>
        </w:rPr>
        <w:t xml:space="preserve"> significant proportion of </w:t>
      </w:r>
      <w:r w:rsidR="006273F1">
        <w:rPr>
          <w:color w:val="000000" w:themeColor="text1"/>
        </w:rPr>
        <w:t xml:space="preserve">these </w:t>
      </w:r>
      <w:r w:rsidR="0073159E">
        <w:rPr>
          <w:color w:val="000000" w:themeColor="text1"/>
        </w:rPr>
        <w:t xml:space="preserve">applicants </w:t>
      </w:r>
      <w:r w:rsidR="002E0F9B">
        <w:rPr>
          <w:color w:val="000000" w:themeColor="text1"/>
        </w:rPr>
        <w:t xml:space="preserve">became aware of the program well after they had obtained </w:t>
      </w:r>
      <w:r w:rsidR="002E0F9B">
        <w:rPr>
          <w:color w:val="000000" w:themeColor="text1"/>
        </w:rPr>
        <w:lastRenderedPageBreak/>
        <w:t>employment</w:t>
      </w:r>
      <w:r>
        <w:rPr>
          <w:color w:val="000000" w:themeColor="text1"/>
        </w:rPr>
        <w:t>,</w:t>
      </w:r>
      <w:r w:rsidR="002E0F9B">
        <w:rPr>
          <w:color w:val="000000" w:themeColor="text1"/>
        </w:rPr>
        <w:t xml:space="preserve"> with</w:t>
      </w:r>
      <w:r>
        <w:rPr>
          <w:color w:val="000000" w:themeColor="text1"/>
        </w:rPr>
        <w:t xml:space="preserve"> either</w:t>
      </w:r>
      <w:r w:rsidR="002E0F9B">
        <w:rPr>
          <w:color w:val="000000" w:themeColor="text1"/>
        </w:rPr>
        <w:t xml:space="preserve"> insufficient time to lodge their </w:t>
      </w:r>
      <w:r w:rsidR="0073159E">
        <w:rPr>
          <w:color w:val="000000" w:themeColor="text1"/>
        </w:rPr>
        <w:t xml:space="preserve">first </w:t>
      </w:r>
      <w:r w:rsidR="002E0F9B">
        <w:rPr>
          <w:color w:val="000000" w:themeColor="text1"/>
        </w:rPr>
        <w:t xml:space="preserve">application </w:t>
      </w:r>
      <w:r>
        <w:rPr>
          <w:color w:val="000000" w:themeColor="text1"/>
        </w:rPr>
        <w:t>or having missed the deadline entirely</w:t>
      </w:r>
      <w:r w:rsidR="002E0F9B">
        <w:rPr>
          <w:color w:val="000000" w:themeColor="text1"/>
        </w:rPr>
        <w:t>.</w:t>
      </w:r>
    </w:p>
    <w:p w:rsidR="00C32C8B" w:rsidRPr="00881423" w:rsidRDefault="00C32C8B" w:rsidP="00C32C8B">
      <w:pPr>
        <w:pStyle w:val="Heading3"/>
      </w:pPr>
      <w:bookmarkStart w:id="129" w:name="_Toc475458966"/>
      <w:bookmarkStart w:id="130" w:name="_Toc478117576"/>
      <w:r w:rsidRPr="00881423">
        <w:t>3.</w:t>
      </w:r>
      <w:r w:rsidR="00CC19DF">
        <w:t>5</w:t>
      </w:r>
      <w:r w:rsidRPr="00881423">
        <w:t>.</w:t>
      </w:r>
      <w:r w:rsidR="008823B7">
        <w:t>2</w:t>
      </w:r>
      <w:r w:rsidRPr="00881423">
        <w:tab/>
        <w:t>Types of people claiming the Job Commitment Bonus</w:t>
      </w:r>
      <w:bookmarkEnd w:id="129"/>
      <w:bookmarkEnd w:id="130"/>
      <w:r w:rsidRPr="00881423">
        <w:t xml:space="preserve"> </w:t>
      </w:r>
    </w:p>
    <w:p w:rsidR="00961065" w:rsidRDefault="00961065" w:rsidP="0021047C">
      <w:pPr>
        <w:pStyle w:val="Heading4"/>
      </w:pPr>
      <w:r>
        <w:t xml:space="preserve">Employment </w:t>
      </w:r>
      <w:r w:rsidR="00392022">
        <w:t>services</w:t>
      </w:r>
    </w:p>
    <w:p w:rsidR="008823B7" w:rsidRDefault="002E112E" w:rsidP="00C32C8B">
      <w:pPr>
        <w:spacing w:before="240"/>
        <w:rPr>
          <w:color w:val="000000" w:themeColor="text1"/>
        </w:rPr>
      </w:pPr>
      <w:r>
        <w:rPr>
          <w:color w:val="000000" w:themeColor="text1"/>
        </w:rPr>
        <w:t xml:space="preserve">Approximately 91.5 per cent of people who lodged a </w:t>
      </w:r>
      <w:r w:rsidR="00961065">
        <w:rPr>
          <w:color w:val="000000" w:themeColor="text1"/>
        </w:rPr>
        <w:t xml:space="preserve">bonus </w:t>
      </w:r>
      <w:r>
        <w:rPr>
          <w:color w:val="000000" w:themeColor="text1"/>
        </w:rPr>
        <w:t xml:space="preserve">claim had </w:t>
      </w:r>
      <w:r w:rsidR="00961065">
        <w:rPr>
          <w:color w:val="000000" w:themeColor="text1"/>
        </w:rPr>
        <w:t>most recently</w:t>
      </w:r>
      <w:r w:rsidR="002E79F8">
        <w:rPr>
          <w:color w:val="000000" w:themeColor="text1"/>
        </w:rPr>
        <w:t xml:space="preserve"> </w:t>
      </w:r>
      <w:r>
        <w:rPr>
          <w:color w:val="000000" w:themeColor="text1"/>
        </w:rPr>
        <w:t>been in JSA or jobactive, while 7.9 per cent had been in Disability Employment Services (DES) and 0.6</w:t>
      </w:r>
      <w:r>
        <w:t> </w:t>
      </w:r>
      <w:r>
        <w:rPr>
          <w:color w:val="000000" w:themeColor="text1"/>
        </w:rPr>
        <w:t xml:space="preserve">per cent in </w:t>
      </w:r>
      <w:r w:rsidR="00712ADB">
        <w:rPr>
          <w:color w:val="000000" w:themeColor="text1"/>
        </w:rPr>
        <w:t xml:space="preserve">the </w:t>
      </w:r>
      <w:r>
        <w:rPr>
          <w:color w:val="000000" w:themeColor="text1"/>
        </w:rPr>
        <w:t>Community Development Program</w:t>
      </w:r>
      <w:r w:rsidR="000603F7">
        <w:rPr>
          <w:color w:val="000000" w:themeColor="text1"/>
        </w:rPr>
        <w:t>me</w:t>
      </w:r>
      <w:r>
        <w:rPr>
          <w:color w:val="000000" w:themeColor="text1"/>
        </w:rPr>
        <w:t xml:space="preserve"> (CDP).</w:t>
      </w:r>
    </w:p>
    <w:p w:rsidR="002E112E" w:rsidRDefault="00E52ABD" w:rsidP="00C32C8B">
      <w:pPr>
        <w:spacing w:before="240"/>
        <w:rPr>
          <w:color w:val="000000" w:themeColor="text1"/>
        </w:rPr>
      </w:pPr>
      <w:r>
        <w:rPr>
          <w:color w:val="000000" w:themeColor="text1"/>
        </w:rPr>
        <w:t xml:space="preserve">This is in </w:t>
      </w:r>
      <w:r w:rsidR="00961065">
        <w:rPr>
          <w:color w:val="000000" w:themeColor="text1"/>
        </w:rPr>
        <w:t xml:space="preserve">keeping </w:t>
      </w:r>
      <w:r>
        <w:rPr>
          <w:color w:val="000000" w:themeColor="text1"/>
        </w:rPr>
        <w:t xml:space="preserve">with the proportion of eligible </w:t>
      </w:r>
      <w:r w:rsidR="00961065">
        <w:rPr>
          <w:color w:val="000000" w:themeColor="text1"/>
        </w:rPr>
        <w:t xml:space="preserve">job seekers </w:t>
      </w:r>
      <w:r>
        <w:rPr>
          <w:color w:val="000000" w:themeColor="text1"/>
        </w:rPr>
        <w:t>in JSA/jobactive</w:t>
      </w:r>
      <w:r w:rsidR="0021047C">
        <w:rPr>
          <w:color w:val="000000" w:themeColor="text1"/>
        </w:rPr>
        <w:t>. However, a higher proportion of participants from DES, and a lower proportion of participants from CDP lodged a claim than were in scope. Lack of access to information for CDP participants and increased levels of post placement support for DES participants may have influenced this.</w:t>
      </w:r>
    </w:p>
    <w:p w:rsidR="00961065" w:rsidRDefault="00961065" w:rsidP="0021047C">
      <w:pPr>
        <w:pStyle w:val="Heading4"/>
      </w:pPr>
      <w:r>
        <w:t>Gender and length of unemployment</w:t>
      </w:r>
    </w:p>
    <w:p w:rsidR="006173F3" w:rsidRDefault="006173F3" w:rsidP="006173F3">
      <w:pPr>
        <w:spacing w:before="240"/>
        <w:rPr>
          <w:color w:val="000000" w:themeColor="text1"/>
        </w:rPr>
      </w:pPr>
      <w:r w:rsidRPr="006173F3">
        <w:rPr>
          <w:color w:val="000000" w:themeColor="text1"/>
        </w:rPr>
        <w:t xml:space="preserve">More than half (56.2 per cent) of the JCB1 claims were lodged by </w:t>
      </w:r>
      <w:r w:rsidR="00E52ABD" w:rsidRPr="006173F3">
        <w:rPr>
          <w:color w:val="000000" w:themeColor="text1"/>
        </w:rPr>
        <w:t>m</w:t>
      </w:r>
      <w:r w:rsidR="00E52ABD">
        <w:rPr>
          <w:color w:val="000000" w:themeColor="text1"/>
        </w:rPr>
        <w:t>en</w:t>
      </w:r>
      <w:r w:rsidRPr="006173F3">
        <w:rPr>
          <w:color w:val="000000" w:themeColor="text1"/>
        </w:rPr>
        <w:t>. This result is slightly lower than expected based on the gender mix</w:t>
      </w:r>
      <w:r w:rsidR="00E52ABD">
        <w:rPr>
          <w:color w:val="000000" w:themeColor="text1"/>
        </w:rPr>
        <w:t xml:space="preserve"> of </w:t>
      </w:r>
      <w:r w:rsidR="0047009F">
        <w:rPr>
          <w:color w:val="000000" w:themeColor="text1"/>
        </w:rPr>
        <w:t xml:space="preserve">those either </w:t>
      </w:r>
      <w:r w:rsidR="00E52ABD">
        <w:rPr>
          <w:color w:val="000000" w:themeColor="text1"/>
        </w:rPr>
        <w:t>LTU</w:t>
      </w:r>
      <w:r w:rsidR="006B03A2">
        <w:rPr>
          <w:color w:val="000000" w:themeColor="text1"/>
        </w:rPr>
        <w:t xml:space="preserve"> </w:t>
      </w:r>
      <w:r w:rsidR="0047009F">
        <w:rPr>
          <w:color w:val="000000" w:themeColor="text1"/>
        </w:rPr>
        <w:t>or</w:t>
      </w:r>
      <w:r w:rsidR="006B03A2">
        <w:rPr>
          <w:color w:val="000000" w:themeColor="text1"/>
        </w:rPr>
        <w:t xml:space="preserve"> very long term unemployed (</w:t>
      </w:r>
      <w:r w:rsidR="00E52ABD">
        <w:rPr>
          <w:color w:val="000000" w:themeColor="text1"/>
        </w:rPr>
        <w:t>VLTU</w:t>
      </w:r>
      <w:r w:rsidR="006B03A2">
        <w:rPr>
          <w:color w:val="000000" w:themeColor="text1"/>
        </w:rPr>
        <w:t>)</w:t>
      </w:r>
      <w:r w:rsidRPr="006173F3">
        <w:rPr>
          <w:color w:val="000000" w:themeColor="text1"/>
        </w:rPr>
        <w:t xml:space="preserve"> alone. Males represented 60.8 per cent of</w:t>
      </w:r>
      <w:r w:rsidR="00E52ABD">
        <w:rPr>
          <w:color w:val="000000" w:themeColor="text1"/>
        </w:rPr>
        <w:t xml:space="preserve"> young adult</w:t>
      </w:r>
      <w:r w:rsidRPr="006173F3">
        <w:rPr>
          <w:color w:val="000000" w:themeColor="text1"/>
        </w:rPr>
        <w:t xml:space="preserve"> LTU/VLTU job seekers on the JSA caseload at </w:t>
      </w:r>
      <w:r w:rsidR="0047009F" w:rsidRPr="006173F3">
        <w:rPr>
          <w:color w:val="000000" w:themeColor="text1"/>
        </w:rPr>
        <w:t>1</w:t>
      </w:r>
      <w:r w:rsidR="0047009F">
        <w:rPr>
          <w:color w:val="000000" w:themeColor="text1"/>
        </w:rPr>
        <w:t> </w:t>
      </w:r>
      <w:r w:rsidR="0047009F" w:rsidRPr="006173F3">
        <w:rPr>
          <w:color w:val="000000" w:themeColor="text1"/>
        </w:rPr>
        <w:t>July</w:t>
      </w:r>
      <w:r w:rsidR="0047009F">
        <w:rPr>
          <w:color w:val="000000" w:themeColor="text1"/>
        </w:rPr>
        <w:t> </w:t>
      </w:r>
      <w:r w:rsidRPr="006173F3">
        <w:rPr>
          <w:color w:val="000000" w:themeColor="text1"/>
        </w:rPr>
        <w:t xml:space="preserve">2014. This suggests that </w:t>
      </w:r>
      <w:r w:rsidR="00CF6285">
        <w:rPr>
          <w:color w:val="000000" w:themeColor="text1"/>
        </w:rPr>
        <w:t xml:space="preserve">from the eligible cohort </w:t>
      </w:r>
      <w:r w:rsidRPr="006173F3">
        <w:rPr>
          <w:color w:val="000000" w:themeColor="text1"/>
        </w:rPr>
        <w:t xml:space="preserve">young women were more likely to lodge a </w:t>
      </w:r>
      <w:r w:rsidR="00B92253">
        <w:rPr>
          <w:color w:val="000000" w:themeColor="text1"/>
        </w:rPr>
        <w:t xml:space="preserve">bonus </w:t>
      </w:r>
      <w:r w:rsidRPr="006173F3">
        <w:rPr>
          <w:color w:val="000000" w:themeColor="text1"/>
        </w:rPr>
        <w:t xml:space="preserve">claim </w:t>
      </w:r>
      <w:r w:rsidR="00B92253">
        <w:rPr>
          <w:color w:val="000000" w:themeColor="text1"/>
        </w:rPr>
        <w:t xml:space="preserve">than </w:t>
      </w:r>
      <w:r w:rsidRPr="006173F3">
        <w:rPr>
          <w:color w:val="000000" w:themeColor="text1"/>
        </w:rPr>
        <w:t>young men.</w:t>
      </w:r>
    </w:p>
    <w:p w:rsidR="007E1668" w:rsidRDefault="007E1668" w:rsidP="007E1668">
      <w:pPr>
        <w:spacing w:before="120"/>
        <w:rPr>
          <w:color w:val="000000" w:themeColor="text1"/>
        </w:rPr>
      </w:pPr>
      <w:r>
        <w:rPr>
          <w:color w:val="000000" w:themeColor="text1"/>
        </w:rPr>
        <w:t xml:space="preserve">Almost three out of five </w:t>
      </w:r>
      <w:r w:rsidR="00801607">
        <w:rPr>
          <w:color w:val="000000" w:themeColor="text1"/>
        </w:rPr>
        <w:t>applica</w:t>
      </w:r>
      <w:r w:rsidR="00017441">
        <w:rPr>
          <w:color w:val="000000" w:themeColor="text1"/>
        </w:rPr>
        <w:t>n</w:t>
      </w:r>
      <w:r w:rsidR="00801607">
        <w:rPr>
          <w:color w:val="000000" w:themeColor="text1"/>
        </w:rPr>
        <w:t>ts</w:t>
      </w:r>
      <w:r>
        <w:rPr>
          <w:color w:val="000000" w:themeColor="text1"/>
        </w:rPr>
        <w:t xml:space="preserve"> were LTU (57.5 per cent),</w:t>
      </w:r>
      <w:r w:rsidR="00CC091B">
        <w:rPr>
          <w:color w:val="000000" w:themeColor="text1"/>
        </w:rPr>
        <w:t xml:space="preserve"> </w:t>
      </w:r>
      <w:r w:rsidR="00961065">
        <w:rPr>
          <w:color w:val="000000" w:themeColor="text1"/>
        </w:rPr>
        <w:t>that is</w:t>
      </w:r>
      <w:r>
        <w:rPr>
          <w:color w:val="000000" w:themeColor="text1"/>
        </w:rPr>
        <w:t xml:space="preserve"> their period of </w:t>
      </w:r>
      <w:r w:rsidR="00961065">
        <w:rPr>
          <w:color w:val="000000" w:themeColor="text1"/>
        </w:rPr>
        <w:t xml:space="preserve">qualifying </w:t>
      </w:r>
      <w:r>
        <w:rPr>
          <w:color w:val="000000" w:themeColor="text1"/>
        </w:rPr>
        <w:t>income support</w:t>
      </w:r>
      <w:r>
        <w:rPr>
          <w:rStyle w:val="FootnoteReference"/>
          <w:color w:val="000000" w:themeColor="text1"/>
        </w:rPr>
        <w:footnoteReference w:id="43"/>
      </w:r>
      <w:r>
        <w:rPr>
          <w:color w:val="000000" w:themeColor="text1"/>
        </w:rPr>
        <w:t xml:space="preserve"> was between one and two years</w:t>
      </w:r>
      <w:r w:rsidR="004C0959">
        <w:rPr>
          <w:color w:val="000000" w:themeColor="text1"/>
        </w:rPr>
        <w:t xml:space="preserve">. The remaining 42.5 per cent </w:t>
      </w:r>
      <w:r w:rsidR="00CF6285">
        <w:rPr>
          <w:color w:val="000000" w:themeColor="text1"/>
        </w:rPr>
        <w:t xml:space="preserve">were </w:t>
      </w:r>
      <w:r>
        <w:rPr>
          <w:color w:val="000000" w:themeColor="text1"/>
        </w:rPr>
        <w:t xml:space="preserve">VLTU </w:t>
      </w:r>
      <w:r w:rsidR="00CF6285">
        <w:rPr>
          <w:color w:val="000000" w:themeColor="text1"/>
        </w:rPr>
        <w:t xml:space="preserve">who had been on qualifying payment types for </w:t>
      </w:r>
      <w:r>
        <w:rPr>
          <w:color w:val="000000" w:themeColor="text1"/>
        </w:rPr>
        <w:t>two years or longer</w:t>
      </w:r>
      <w:r w:rsidR="00386DD7">
        <w:rPr>
          <w:color w:val="000000" w:themeColor="text1"/>
        </w:rPr>
        <w:t>.</w:t>
      </w:r>
    </w:p>
    <w:p w:rsidR="00E62178" w:rsidRDefault="00E62178" w:rsidP="00E62178">
      <w:pPr>
        <w:spacing w:before="120"/>
        <w:rPr>
          <w:color w:val="000000" w:themeColor="text1"/>
        </w:rPr>
      </w:pPr>
      <w:r>
        <w:rPr>
          <w:color w:val="000000" w:themeColor="text1"/>
        </w:rPr>
        <w:t>Of the potentially eligible cohort</w:t>
      </w:r>
      <w:r w:rsidR="0072452F">
        <w:rPr>
          <w:color w:val="000000" w:themeColor="text1"/>
        </w:rPr>
        <w:t>,</w:t>
      </w:r>
      <w:r>
        <w:rPr>
          <w:color w:val="000000" w:themeColor="text1"/>
        </w:rPr>
        <w:t xml:space="preserve"> VLTU were more likely to claim than LTU (46.1 per cent of those who claimed the bonus were VLTU compared with 41.8 per cent of those who were potentially eligible being VLTU).</w:t>
      </w:r>
    </w:p>
    <w:p w:rsidR="00961065" w:rsidRDefault="00961065" w:rsidP="0072452F">
      <w:pPr>
        <w:pStyle w:val="Heading4"/>
      </w:pPr>
      <w:r>
        <w:t xml:space="preserve">Age </w:t>
      </w:r>
      <w:r w:rsidR="00392022">
        <w:t>group</w:t>
      </w:r>
    </w:p>
    <w:p w:rsidR="007E1668" w:rsidRDefault="007E1668" w:rsidP="007E1668">
      <w:pPr>
        <w:spacing w:before="120"/>
        <w:rPr>
          <w:color w:val="000000" w:themeColor="text1"/>
        </w:rPr>
      </w:pPr>
      <w:r>
        <w:rPr>
          <w:color w:val="000000" w:themeColor="text1"/>
        </w:rPr>
        <w:t xml:space="preserve">For those aged 18 to 24 the proportion </w:t>
      </w:r>
      <w:r w:rsidR="00E62178">
        <w:rPr>
          <w:color w:val="000000" w:themeColor="text1"/>
        </w:rPr>
        <w:t xml:space="preserve">who </w:t>
      </w:r>
      <w:r w:rsidR="00386DD7">
        <w:rPr>
          <w:color w:val="000000" w:themeColor="text1"/>
        </w:rPr>
        <w:t xml:space="preserve">claimed the bonus </w:t>
      </w:r>
      <w:r w:rsidR="00801607">
        <w:rPr>
          <w:color w:val="000000" w:themeColor="text1"/>
        </w:rPr>
        <w:t xml:space="preserve">who </w:t>
      </w:r>
      <w:r w:rsidR="004C0959">
        <w:rPr>
          <w:color w:val="000000" w:themeColor="text1"/>
        </w:rPr>
        <w:t>were VLTU wa</w:t>
      </w:r>
      <w:r>
        <w:rPr>
          <w:color w:val="000000" w:themeColor="text1"/>
        </w:rPr>
        <w:t>s lower (</w:t>
      </w:r>
      <w:r w:rsidR="00386DD7">
        <w:rPr>
          <w:color w:val="000000" w:themeColor="text1"/>
        </w:rPr>
        <w:t>44.9</w:t>
      </w:r>
      <w:r>
        <w:rPr>
          <w:color w:val="000000" w:themeColor="text1"/>
        </w:rPr>
        <w:t xml:space="preserve"> per cent) than those in the higher age range of 25 to 30 years (</w:t>
      </w:r>
      <w:r w:rsidR="00386DD7">
        <w:rPr>
          <w:color w:val="000000" w:themeColor="text1"/>
        </w:rPr>
        <w:t>47.6</w:t>
      </w:r>
      <w:r>
        <w:rPr>
          <w:color w:val="000000" w:themeColor="text1"/>
        </w:rPr>
        <w:t xml:space="preserve"> per cent). This differential can be explained by the fact that those in the younger age grouping were more likely to have been in education before becoming unemployed, and had less time in the labour force </w:t>
      </w:r>
      <w:r w:rsidR="007717B1">
        <w:rPr>
          <w:color w:val="000000" w:themeColor="text1"/>
        </w:rPr>
        <w:t xml:space="preserve">purely because of </w:t>
      </w:r>
      <w:r>
        <w:rPr>
          <w:color w:val="000000" w:themeColor="text1"/>
        </w:rPr>
        <w:t>their age.</w:t>
      </w:r>
    </w:p>
    <w:p w:rsidR="00C83160" w:rsidRDefault="00C83160" w:rsidP="00C83160">
      <w:pPr>
        <w:spacing w:before="240"/>
      </w:pPr>
      <w:r>
        <w:t>People approved for JCB1 were on average older than those who were ‘potentially eligi</w:t>
      </w:r>
      <w:r w:rsidR="007E1668">
        <w:t>ble’ for the</w:t>
      </w:r>
      <w:r>
        <w:t xml:space="preserve"> bonus (24.3 years compared with 23.9 years).</w:t>
      </w:r>
    </w:p>
    <w:p w:rsidR="00E62178" w:rsidRDefault="00E62178" w:rsidP="0072452F">
      <w:pPr>
        <w:pStyle w:val="Heading4"/>
      </w:pPr>
      <w:r>
        <w:lastRenderedPageBreak/>
        <w:t>Claims by state</w:t>
      </w:r>
    </w:p>
    <w:p w:rsidR="006173F3" w:rsidRPr="00B92253" w:rsidRDefault="006173F3" w:rsidP="006173F3">
      <w:pPr>
        <w:spacing w:before="240"/>
        <w:rPr>
          <w:color w:val="000000" w:themeColor="text1"/>
        </w:rPr>
      </w:pPr>
      <w:r w:rsidRPr="00B92253">
        <w:rPr>
          <w:color w:val="000000" w:themeColor="text1"/>
        </w:rPr>
        <w:t>The distribution of claims across the states and territories (Table 3.</w:t>
      </w:r>
      <w:r w:rsidR="008D1AF5">
        <w:rPr>
          <w:color w:val="000000" w:themeColor="text1"/>
        </w:rPr>
        <w:t>3</w:t>
      </w:r>
      <w:r w:rsidRPr="00B92253">
        <w:rPr>
          <w:color w:val="000000" w:themeColor="text1"/>
        </w:rPr>
        <w:t xml:space="preserve">) </w:t>
      </w:r>
      <w:r w:rsidR="007717B1">
        <w:rPr>
          <w:color w:val="000000" w:themeColor="text1"/>
        </w:rPr>
        <w:t xml:space="preserve">largely </w:t>
      </w:r>
      <w:r w:rsidRPr="00B92253">
        <w:rPr>
          <w:color w:val="000000" w:themeColor="text1"/>
        </w:rPr>
        <w:t>follows the distribution of the target group on the JSA caseload</w:t>
      </w:r>
      <w:r w:rsidR="007717B1">
        <w:rPr>
          <w:color w:val="000000" w:themeColor="text1"/>
        </w:rPr>
        <w:t xml:space="preserve">. </w:t>
      </w:r>
      <w:r w:rsidRPr="00B92253">
        <w:rPr>
          <w:color w:val="000000" w:themeColor="text1"/>
        </w:rPr>
        <w:t>Victoria and Western Australia</w:t>
      </w:r>
      <w:r w:rsidR="007717B1">
        <w:rPr>
          <w:color w:val="000000" w:themeColor="text1"/>
        </w:rPr>
        <w:t xml:space="preserve"> were exceptions and the </w:t>
      </w:r>
      <w:r w:rsidRPr="00B92253">
        <w:rPr>
          <w:color w:val="000000" w:themeColor="text1"/>
        </w:rPr>
        <w:t xml:space="preserve">reason(s) for this are not immediately apparent. </w:t>
      </w:r>
      <w:r w:rsidR="00017441">
        <w:rPr>
          <w:color w:val="000000" w:themeColor="text1"/>
        </w:rPr>
        <w:t xml:space="preserve">Possible explanations relate to </w:t>
      </w:r>
      <w:r w:rsidRPr="00B92253">
        <w:rPr>
          <w:color w:val="000000" w:themeColor="text1"/>
        </w:rPr>
        <w:t>changes in employment and unemployment rates and differences in communication about the JCB program at the state level.</w:t>
      </w:r>
    </w:p>
    <w:p w:rsidR="006173F3" w:rsidRPr="00D83A7E" w:rsidRDefault="006173F3" w:rsidP="006173F3">
      <w:pPr>
        <w:pStyle w:val="TableCaption"/>
      </w:pPr>
      <w:bookmarkStart w:id="131" w:name="_Toc475459007"/>
      <w:bookmarkStart w:id="132" w:name="_Toc507600307"/>
      <w:r w:rsidRPr="00D83A7E">
        <w:t>Table 3.</w:t>
      </w:r>
      <w:r w:rsidR="008D1AF5">
        <w:t>3</w:t>
      </w:r>
      <w:r w:rsidRPr="00D83A7E">
        <w:t>: JCB1 claims, as at 3 April 2017, compared to the Australian labour force and the JSA caseload at the commencement of JCB, by state (per cent)</w:t>
      </w:r>
      <w:bookmarkEnd w:id="131"/>
      <w:bookmarkEnd w:id="132"/>
    </w:p>
    <w:tbl>
      <w:tblPr>
        <w:tblW w:w="9088" w:type="dxa"/>
        <w:tblInd w:w="93" w:type="dxa"/>
        <w:tblLook w:val="04A0" w:firstRow="1" w:lastRow="0" w:firstColumn="1" w:lastColumn="0" w:noHBand="0" w:noVBand="1"/>
      </w:tblPr>
      <w:tblGrid>
        <w:gridCol w:w="2709"/>
        <w:gridCol w:w="1701"/>
        <w:gridCol w:w="2409"/>
        <w:gridCol w:w="2269"/>
      </w:tblGrid>
      <w:tr w:rsidR="006173F3" w:rsidRPr="00C32C8B" w:rsidTr="004968D9">
        <w:trPr>
          <w:trHeight w:val="864"/>
          <w:tblHeader/>
        </w:trPr>
        <w:tc>
          <w:tcPr>
            <w:tcW w:w="2709" w:type="dxa"/>
            <w:shd w:val="clear" w:color="000000" w:fill="1E3D6B"/>
            <w:noWrap/>
            <w:hideMark/>
          </w:tcPr>
          <w:p w:rsidR="006173F3" w:rsidRPr="006B181D" w:rsidRDefault="006173F3" w:rsidP="009A6E1B">
            <w:pPr>
              <w:keepNext/>
              <w:spacing w:after="0" w:line="240" w:lineRule="auto"/>
              <w:rPr>
                <w:rFonts w:ascii="Calibri" w:eastAsia="Times New Roman" w:hAnsi="Calibri" w:cs="Calibri"/>
                <w:b/>
                <w:bCs/>
                <w:sz w:val="20"/>
                <w:szCs w:val="20"/>
                <w:lang w:eastAsia="en-AU"/>
              </w:rPr>
            </w:pPr>
            <w:bookmarkStart w:id="133" w:name="Title_33"/>
            <w:bookmarkEnd w:id="133"/>
            <w:r w:rsidRPr="006B181D">
              <w:rPr>
                <w:rFonts w:ascii="Calibri" w:eastAsia="Times New Roman" w:hAnsi="Calibri" w:cs="Calibri"/>
                <w:b/>
                <w:bCs/>
                <w:color w:val="FFFFFF" w:themeColor="background2"/>
                <w:sz w:val="20"/>
                <w:szCs w:val="20"/>
                <w:lang w:eastAsia="en-AU"/>
              </w:rPr>
              <w:t>State</w:t>
            </w:r>
          </w:p>
        </w:tc>
        <w:tc>
          <w:tcPr>
            <w:tcW w:w="1701" w:type="dxa"/>
            <w:shd w:val="clear" w:color="000000" w:fill="1E3D6B"/>
            <w:hideMark/>
          </w:tcPr>
          <w:p w:rsidR="006173F3" w:rsidRPr="006B181D" w:rsidRDefault="006173F3" w:rsidP="00753745">
            <w:pPr>
              <w:keepNext/>
              <w:spacing w:after="0" w:line="240" w:lineRule="auto"/>
              <w:jc w:val="center"/>
              <w:rPr>
                <w:rFonts w:ascii="Calibri" w:eastAsia="Times New Roman" w:hAnsi="Calibri" w:cs="Calibri"/>
                <w:b/>
                <w:bCs/>
                <w:color w:val="FFFFFF" w:themeColor="background2"/>
                <w:sz w:val="20"/>
                <w:szCs w:val="20"/>
                <w:lang w:eastAsia="en-AU"/>
              </w:rPr>
            </w:pPr>
            <w:r w:rsidRPr="006B181D">
              <w:rPr>
                <w:rFonts w:ascii="Calibri" w:eastAsia="Times New Roman" w:hAnsi="Calibri" w:cs="Calibri"/>
                <w:b/>
                <w:bCs/>
                <w:color w:val="FFFFFF" w:themeColor="background2"/>
                <w:sz w:val="20"/>
                <w:szCs w:val="20"/>
                <w:lang w:eastAsia="en-AU"/>
              </w:rPr>
              <w:t xml:space="preserve">JCB1 </w:t>
            </w:r>
            <w:r w:rsidR="00753745" w:rsidRPr="006B181D">
              <w:rPr>
                <w:rFonts w:ascii="Calibri" w:eastAsia="Times New Roman" w:hAnsi="Calibri" w:cs="Calibri"/>
                <w:b/>
                <w:bCs/>
                <w:color w:val="FFFFFF" w:themeColor="background2"/>
                <w:sz w:val="20"/>
                <w:szCs w:val="20"/>
                <w:lang w:eastAsia="en-AU"/>
              </w:rPr>
              <w:t>Claimants</w:t>
            </w:r>
            <w:r w:rsidRPr="006B181D">
              <w:rPr>
                <w:rFonts w:ascii="Calibri" w:eastAsia="Times New Roman" w:hAnsi="Calibri" w:cs="Calibri"/>
                <w:b/>
                <w:bCs/>
                <w:color w:val="FFFFFF" w:themeColor="background2"/>
                <w:sz w:val="20"/>
                <w:szCs w:val="20"/>
                <w:lang w:eastAsia="en-AU"/>
              </w:rPr>
              <w:t xml:space="preserve"> </w:t>
            </w:r>
            <w:r w:rsidRPr="006B181D">
              <w:rPr>
                <w:rFonts w:ascii="Calibri" w:eastAsia="Times New Roman" w:hAnsi="Calibri" w:cs="Calibri"/>
                <w:b/>
                <w:bCs/>
                <w:color w:val="FFFFFF" w:themeColor="background2"/>
                <w:sz w:val="20"/>
                <w:szCs w:val="20"/>
                <w:lang w:eastAsia="en-AU"/>
              </w:rPr>
              <w:br/>
              <w:t>(%)</w:t>
            </w:r>
          </w:p>
        </w:tc>
        <w:tc>
          <w:tcPr>
            <w:tcW w:w="2409" w:type="dxa"/>
            <w:shd w:val="clear" w:color="000000" w:fill="1E3D6B"/>
          </w:tcPr>
          <w:p w:rsidR="006173F3" w:rsidRPr="006B181D" w:rsidRDefault="006173F3" w:rsidP="009A6E1B">
            <w:pPr>
              <w:keepNext/>
              <w:spacing w:after="0" w:line="240" w:lineRule="auto"/>
              <w:jc w:val="center"/>
              <w:rPr>
                <w:rFonts w:ascii="Calibri" w:eastAsia="Times New Roman" w:hAnsi="Calibri" w:cs="Calibri"/>
                <w:b/>
                <w:bCs/>
                <w:sz w:val="20"/>
                <w:szCs w:val="20"/>
                <w:lang w:eastAsia="en-AU"/>
              </w:rPr>
            </w:pPr>
            <w:r w:rsidRPr="006B181D">
              <w:rPr>
                <w:rFonts w:ascii="Calibri" w:eastAsia="Times New Roman" w:hAnsi="Calibri" w:cs="Calibri"/>
                <w:b/>
                <w:bCs/>
                <w:color w:val="FFFFFF" w:themeColor="background2"/>
                <w:sz w:val="20"/>
                <w:szCs w:val="20"/>
                <w:lang w:eastAsia="en-AU"/>
              </w:rPr>
              <w:t xml:space="preserve">Australian labour force </w:t>
            </w:r>
            <w:r w:rsidRPr="006B181D">
              <w:rPr>
                <w:rFonts w:ascii="Calibri" w:eastAsia="Times New Roman" w:hAnsi="Calibri" w:cs="Calibri"/>
                <w:b/>
                <w:bCs/>
                <w:color w:val="FFFFFF" w:themeColor="background2"/>
                <w:sz w:val="20"/>
                <w:szCs w:val="20"/>
                <w:lang w:eastAsia="en-AU"/>
              </w:rPr>
              <w:br/>
              <w:t>18 - 30 years</w:t>
            </w:r>
            <w:r w:rsidRPr="006B181D">
              <w:rPr>
                <w:rFonts w:ascii="Calibri" w:eastAsia="Times New Roman" w:hAnsi="Calibri" w:cs="Calibri"/>
                <w:b/>
                <w:bCs/>
                <w:color w:val="FFFFFF" w:themeColor="background2"/>
                <w:sz w:val="20"/>
                <w:szCs w:val="20"/>
                <w:lang w:eastAsia="en-AU"/>
              </w:rPr>
              <w:br/>
              <w:t>July 2014</w:t>
            </w:r>
            <w:r w:rsidRPr="006B181D">
              <w:rPr>
                <w:rFonts w:ascii="Calibri" w:eastAsia="Times New Roman" w:hAnsi="Calibri" w:cs="Calibri"/>
                <w:b/>
                <w:bCs/>
                <w:color w:val="FFFFFF" w:themeColor="background2"/>
                <w:sz w:val="20"/>
                <w:szCs w:val="20"/>
                <w:lang w:eastAsia="en-AU"/>
              </w:rPr>
              <w:br/>
              <w:t>(%)</w:t>
            </w:r>
          </w:p>
        </w:tc>
        <w:tc>
          <w:tcPr>
            <w:tcW w:w="2269" w:type="dxa"/>
            <w:shd w:val="clear" w:color="000000" w:fill="1E3D6B"/>
          </w:tcPr>
          <w:p w:rsidR="006173F3" w:rsidRPr="006B181D" w:rsidRDefault="006173F3" w:rsidP="009A6E1B">
            <w:pPr>
              <w:keepNext/>
              <w:spacing w:after="0" w:line="240" w:lineRule="auto"/>
              <w:jc w:val="center"/>
              <w:rPr>
                <w:rFonts w:ascii="Calibri" w:eastAsia="Times New Roman" w:hAnsi="Calibri" w:cs="Calibri"/>
                <w:b/>
                <w:bCs/>
                <w:color w:val="FFFFFF" w:themeColor="background2"/>
                <w:sz w:val="20"/>
                <w:szCs w:val="20"/>
                <w:lang w:eastAsia="en-AU"/>
              </w:rPr>
            </w:pPr>
            <w:r w:rsidRPr="006B181D">
              <w:rPr>
                <w:rFonts w:ascii="Calibri" w:eastAsia="Times New Roman" w:hAnsi="Calibri" w:cs="Calibri"/>
                <w:b/>
                <w:bCs/>
                <w:color w:val="FFFFFF" w:themeColor="background2"/>
                <w:sz w:val="20"/>
                <w:szCs w:val="20"/>
                <w:lang w:eastAsia="en-AU"/>
              </w:rPr>
              <w:t>JSA caseload</w:t>
            </w:r>
          </w:p>
          <w:p w:rsidR="006173F3" w:rsidRPr="006B181D" w:rsidRDefault="006173F3" w:rsidP="009A6E1B">
            <w:pPr>
              <w:keepNext/>
              <w:spacing w:after="0" w:line="240" w:lineRule="auto"/>
              <w:jc w:val="center"/>
              <w:rPr>
                <w:rFonts w:ascii="Calibri" w:eastAsia="Times New Roman" w:hAnsi="Calibri" w:cs="Calibri"/>
                <w:b/>
                <w:bCs/>
                <w:color w:val="FFFFFF" w:themeColor="background2"/>
                <w:sz w:val="20"/>
                <w:szCs w:val="20"/>
                <w:lang w:eastAsia="en-AU"/>
              </w:rPr>
            </w:pPr>
            <w:r w:rsidRPr="006B181D">
              <w:rPr>
                <w:rFonts w:ascii="Calibri" w:eastAsia="Times New Roman" w:hAnsi="Calibri" w:cs="Calibri"/>
                <w:b/>
                <w:bCs/>
                <w:color w:val="FFFFFF" w:themeColor="background2"/>
                <w:sz w:val="20"/>
                <w:szCs w:val="20"/>
                <w:lang w:eastAsia="en-AU"/>
              </w:rPr>
              <w:t>18 – 30 years</w:t>
            </w:r>
          </w:p>
          <w:p w:rsidR="006173F3" w:rsidRPr="006B181D" w:rsidRDefault="006173F3" w:rsidP="009A6E1B">
            <w:pPr>
              <w:keepNext/>
              <w:spacing w:after="0" w:line="240" w:lineRule="auto"/>
              <w:jc w:val="center"/>
              <w:rPr>
                <w:rFonts w:ascii="Calibri" w:eastAsia="Times New Roman" w:hAnsi="Calibri" w:cs="Calibri"/>
                <w:b/>
                <w:bCs/>
                <w:color w:val="000000" w:themeColor="text1"/>
                <w:sz w:val="20"/>
                <w:szCs w:val="20"/>
                <w:lang w:eastAsia="en-AU"/>
              </w:rPr>
            </w:pPr>
            <w:r w:rsidRPr="006B181D">
              <w:rPr>
                <w:rFonts w:ascii="Calibri" w:eastAsia="Times New Roman" w:hAnsi="Calibri" w:cs="Calibri"/>
                <w:b/>
                <w:bCs/>
                <w:color w:val="FFFFFF" w:themeColor="background2"/>
                <w:sz w:val="20"/>
                <w:szCs w:val="20"/>
                <w:lang w:eastAsia="en-AU"/>
              </w:rPr>
              <w:t xml:space="preserve">unemployed one year or longer </w:t>
            </w:r>
            <w:r w:rsidRPr="006B181D">
              <w:rPr>
                <w:rFonts w:ascii="Calibri" w:eastAsia="Times New Roman" w:hAnsi="Calibri" w:cs="Calibri"/>
                <w:b/>
                <w:bCs/>
                <w:color w:val="FFFFFF" w:themeColor="background2"/>
                <w:sz w:val="20"/>
                <w:szCs w:val="20"/>
                <w:lang w:eastAsia="en-AU"/>
              </w:rPr>
              <w:br/>
              <w:t xml:space="preserve"> 1 July 2014</w:t>
            </w:r>
            <w:r w:rsidRPr="006B181D">
              <w:rPr>
                <w:rFonts w:ascii="Calibri" w:eastAsia="Times New Roman" w:hAnsi="Calibri" w:cs="Calibri"/>
                <w:b/>
                <w:bCs/>
                <w:color w:val="FFFFFF" w:themeColor="background2"/>
                <w:sz w:val="20"/>
                <w:szCs w:val="20"/>
                <w:lang w:eastAsia="en-AU"/>
              </w:rPr>
              <w:br/>
              <w:t>(%)</w:t>
            </w:r>
          </w:p>
        </w:tc>
      </w:tr>
      <w:tr w:rsidR="006173F3" w:rsidRPr="00C32C8B" w:rsidTr="004968D9">
        <w:trPr>
          <w:trHeight w:val="397"/>
        </w:trPr>
        <w:tc>
          <w:tcPr>
            <w:tcW w:w="2709" w:type="dxa"/>
            <w:shd w:val="clear" w:color="auto" w:fill="auto"/>
            <w:noWrap/>
            <w:vAlign w:val="center"/>
            <w:hideMark/>
          </w:tcPr>
          <w:p w:rsidR="006173F3" w:rsidRPr="006B181D" w:rsidRDefault="006173F3" w:rsidP="009A6E1B">
            <w:pPr>
              <w:keepNext/>
              <w:spacing w:after="0" w:line="240" w:lineRule="auto"/>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New South Wales</w:t>
            </w:r>
          </w:p>
        </w:tc>
        <w:tc>
          <w:tcPr>
            <w:tcW w:w="1701" w:type="dxa"/>
            <w:shd w:val="clear" w:color="auto" w:fill="auto"/>
            <w:noWrap/>
            <w:vAlign w:val="center"/>
            <w:hideMark/>
          </w:tcPr>
          <w:p w:rsidR="006173F3" w:rsidRPr="006B181D" w:rsidRDefault="006173F3" w:rsidP="009A6E1B">
            <w:pPr>
              <w:keepNext/>
              <w:spacing w:after="0" w:line="240" w:lineRule="auto"/>
              <w:ind w:right="743"/>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29.4</w:t>
            </w:r>
          </w:p>
        </w:tc>
        <w:tc>
          <w:tcPr>
            <w:tcW w:w="2409" w:type="dxa"/>
            <w:vAlign w:val="center"/>
          </w:tcPr>
          <w:p w:rsidR="006173F3" w:rsidRPr="006B181D" w:rsidRDefault="006173F3" w:rsidP="009A6E1B">
            <w:pPr>
              <w:keepNext/>
              <w:spacing w:after="0" w:line="240" w:lineRule="auto"/>
              <w:ind w:right="742"/>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 xml:space="preserve">30.6 </w:t>
            </w:r>
          </w:p>
        </w:tc>
        <w:tc>
          <w:tcPr>
            <w:tcW w:w="2269" w:type="dxa"/>
            <w:vAlign w:val="center"/>
          </w:tcPr>
          <w:p w:rsidR="006173F3" w:rsidRPr="006B181D" w:rsidRDefault="006173F3" w:rsidP="009A6E1B">
            <w:pPr>
              <w:keepNext/>
              <w:spacing w:after="0" w:line="240" w:lineRule="auto"/>
              <w:ind w:right="601"/>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29.5</w:t>
            </w:r>
          </w:p>
        </w:tc>
      </w:tr>
      <w:tr w:rsidR="006173F3" w:rsidRPr="00C32C8B" w:rsidTr="004968D9">
        <w:trPr>
          <w:trHeight w:val="397"/>
        </w:trPr>
        <w:tc>
          <w:tcPr>
            <w:tcW w:w="2709" w:type="dxa"/>
            <w:shd w:val="clear" w:color="auto" w:fill="E5E5E5" w:themeFill="background1" w:themeFillTint="33"/>
            <w:noWrap/>
            <w:vAlign w:val="center"/>
            <w:hideMark/>
          </w:tcPr>
          <w:p w:rsidR="006173F3" w:rsidRPr="006B181D" w:rsidRDefault="006173F3" w:rsidP="009A6E1B">
            <w:pPr>
              <w:keepNext/>
              <w:spacing w:after="0" w:line="240" w:lineRule="auto"/>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Victoria</w:t>
            </w:r>
          </w:p>
        </w:tc>
        <w:tc>
          <w:tcPr>
            <w:tcW w:w="1701" w:type="dxa"/>
            <w:shd w:val="clear" w:color="auto" w:fill="E5E5E5" w:themeFill="background1" w:themeFillTint="33"/>
            <w:noWrap/>
            <w:vAlign w:val="center"/>
            <w:hideMark/>
          </w:tcPr>
          <w:p w:rsidR="006173F3" w:rsidRPr="006B181D" w:rsidRDefault="006173F3" w:rsidP="009A6E1B">
            <w:pPr>
              <w:keepNext/>
              <w:spacing w:after="0" w:line="240" w:lineRule="auto"/>
              <w:ind w:right="743"/>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28.3</w:t>
            </w:r>
          </w:p>
        </w:tc>
        <w:tc>
          <w:tcPr>
            <w:tcW w:w="2409" w:type="dxa"/>
            <w:shd w:val="clear" w:color="auto" w:fill="E5E5E5" w:themeFill="background1" w:themeFillTint="33"/>
            <w:vAlign w:val="center"/>
          </w:tcPr>
          <w:p w:rsidR="006173F3" w:rsidRPr="006B181D" w:rsidRDefault="006173F3" w:rsidP="009A6E1B">
            <w:pPr>
              <w:keepNext/>
              <w:spacing w:after="0" w:line="240" w:lineRule="auto"/>
              <w:ind w:right="742"/>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 xml:space="preserve">25.3 </w:t>
            </w:r>
          </w:p>
        </w:tc>
        <w:tc>
          <w:tcPr>
            <w:tcW w:w="2269" w:type="dxa"/>
            <w:shd w:val="clear" w:color="auto" w:fill="E5E5E5" w:themeFill="background1" w:themeFillTint="33"/>
            <w:vAlign w:val="center"/>
          </w:tcPr>
          <w:p w:rsidR="006173F3" w:rsidRPr="006B181D" w:rsidRDefault="006173F3" w:rsidP="009A6E1B">
            <w:pPr>
              <w:keepNext/>
              <w:spacing w:after="0" w:line="240" w:lineRule="auto"/>
              <w:ind w:right="601"/>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23.1</w:t>
            </w:r>
          </w:p>
        </w:tc>
      </w:tr>
      <w:tr w:rsidR="006173F3" w:rsidRPr="00C32C8B" w:rsidTr="004968D9">
        <w:trPr>
          <w:trHeight w:val="397"/>
        </w:trPr>
        <w:tc>
          <w:tcPr>
            <w:tcW w:w="2709" w:type="dxa"/>
            <w:shd w:val="clear" w:color="auto" w:fill="auto"/>
            <w:noWrap/>
            <w:vAlign w:val="center"/>
            <w:hideMark/>
          </w:tcPr>
          <w:p w:rsidR="006173F3" w:rsidRPr="006B181D" w:rsidRDefault="006173F3" w:rsidP="009A6E1B">
            <w:pPr>
              <w:keepNext/>
              <w:spacing w:after="0" w:line="240" w:lineRule="auto"/>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Queensland</w:t>
            </w:r>
          </w:p>
        </w:tc>
        <w:tc>
          <w:tcPr>
            <w:tcW w:w="1701" w:type="dxa"/>
            <w:shd w:val="clear" w:color="auto" w:fill="auto"/>
            <w:noWrap/>
            <w:vAlign w:val="center"/>
            <w:hideMark/>
          </w:tcPr>
          <w:p w:rsidR="006173F3" w:rsidRPr="006B181D" w:rsidRDefault="006173F3" w:rsidP="009A6E1B">
            <w:pPr>
              <w:keepNext/>
              <w:spacing w:after="0" w:line="240" w:lineRule="auto"/>
              <w:ind w:right="743"/>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22.4</w:t>
            </w:r>
          </w:p>
        </w:tc>
        <w:tc>
          <w:tcPr>
            <w:tcW w:w="2409" w:type="dxa"/>
            <w:vAlign w:val="center"/>
          </w:tcPr>
          <w:p w:rsidR="006173F3" w:rsidRPr="006B181D" w:rsidRDefault="006173F3" w:rsidP="009A6E1B">
            <w:pPr>
              <w:keepNext/>
              <w:spacing w:after="0" w:line="240" w:lineRule="auto"/>
              <w:ind w:right="742"/>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 xml:space="preserve">20.4 </w:t>
            </w:r>
          </w:p>
        </w:tc>
        <w:tc>
          <w:tcPr>
            <w:tcW w:w="2269" w:type="dxa"/>
            <w:vAlign w:val="center"/>
          </w:tcPr>
          <w:p w:rsidR="006173F3" w:rsidRPr="006B181D" w:rsidRDefault="006173F3" w:rsidP="009A6E1B">
            <w:pPr>
              <w:keepNext/>
              <w:spacing w:after="0" w:line="240" w:lineRule="auto"/>
              <w:ind w:right="601"/>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24.0</w:t>
            </w:r>
          </w:p>
        </w:tc>
      </w:tr>
      <w:tr w:rsidR="006173F3" w:rsidRPr="00C32C8B" w:rsidTr="004968D9">
        <w:trPr>
          <w:trHeight w:val="397"/>
        </w:trPr>
        <w:tc>
          <w:tcPr>
            <w:tcW w:w="2709" w:type="dxa"/>
            <w:shd w:val="clear" w:color="auto" w:fill="E5E5E5" w:themeFill="background1" w:themeFillTint="33"/>
            <w:noWrap/>
            <w:vAlign w:val="center"/>
            <w:hideMark/>
          </w:tcPr>
          <w:p w:rsidR="006173F3" w:rsidRPr="006B181D" w:rsidRDefault="006173F3" w:rsidP="009A6E1B">
            <w:pPr>
              <w:keepNext/>
              <w:spacing w:after="0" w:line="240" w:lineRule="auto"/>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South Australia</w:t>
            </w:r>
          </w:p>
        </w:tc>
        <w:tc>
          <w:tcPr>
            <w:tcW w:w="1701" w:type="dxa"/>
            <w:shd w:val="clear" w:color="auto" w:fill="E5E5E5" w:themeFill="background1" w:themeFillTint="33"/>
            <w:noWrap/>
            <w:vAlign w:val="center"/>
            <w:hideMark/>
          </w:tcPr>
          <w:p w:rsidR="006173F3" w:rsidRPr="006B181D" w:rsidRDefault="006173F3" w:rsidP="009A6E1B">
            <w:pPr>
              <w:keepNext/>
              <w:spacing w:after="0" w:line="240" w:lineRule="auto"/>
              <w:ind w:right="743"/>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9.7</w:t>
            </w:r>
          </w:p>
        </w:tc>
        <w:tc>
          <w:tcPr>
            <w:tcW w:w="2409" w:type="dxa"/>
            <w:shd w:val="clear" w:color="auto" w:fill="E5E5E5" w:themeFill="background1" w:themeFillTint="33"/>
            <w:vAlign w:val="center"/>
          </w:tcPr>
          <w:p w:rsidR="006173F3" w:rsidRPr="006B181D" w:rsidRDefault="006173F3" w:rsidP="009A6E1B">
            <w:pPr>
              <w:keepNext/>
              <w:spacing w:after="0" w:line="240" w:lineRule="auto"/>
              <w:ind w:right="742"/>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 xml:space="preserve">6.7 </w:t>
            </w:r>
          </w:p>
        </w:tc>
        <w:tc>
          <w:tcPr>
            <w:tcW w:w="2269" w:type="dxa"/>
            <w:shd w:val="clear" w:color="auto" w:fill="E5E5E5" w:themeFill="background1" w:themeFillTint="33"/>
            <w:vAlign w:val="center"/>
          </w:tcPr>
          <w:p w:rsidR="006173F3" w:rsidRPr="006B181D" w:rsidRDefault="006173F3" w:rsidP="009A6E1B">
            <w:pPr>
              <w:keepNext/>
              <w:spacing w:after="0" w:line="240" w:lineRule="auto"/>
              <w:ind w:right="601"/>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10.0</w:t>
            </w:r>
          </w:p>
        </w:tc>
      </w:tr>
      <w:tr w:rsidR="006173F3" w:rsidRPr="00C32C8B" w:rsidTr="004968D9">
        <w:trPr>
          <w:trHeight w:val="397"/>
        </w:trPr>
        <w:tc>
          <w:tcPr>
            <w:tcW w:w="2709" w:type="dxa"/>
            <w:shd w:val="clear" w:color="auto" w:fill="auto"/>
            <w:noWrap/>
            <w:vAlign w:val="center"/>
            <w:hideMark/>
          </w:tcPr>
          <w:p w:rsidR="006173F3" w:rsidRPr="006B181D" w:rsidRDefault="006173F3" w:rsidP="009A6E1B">
            <w:pPr>
              <w:keepNext/>
              <w:spacing w:after="0" w:line="240" w:lineRule="auto"/>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Western Australia</w:t>
            </w:r>
          </w:p>
        </w:tc>
        <w:tc>
          <w:tcPr>
            <w:tcW w:w="1701" w:type="dxa"/>
            <w:shd w:val="clear" w:color="auto" w:fill="auto"/>
            <w:noWrap/>
            <w:vAlign w:val="center"/>
            <w:hideMark/>
          </w:tcPr>
          <w:p w:rsidR="006173F3" w:rsidRPr="006B181D" w:rsidRDefault="006173F3" w:rsidP="009A6E1B">
            <w:pPr>
              <w:keepNext/>
              <w:spacing w:after="0" w:line="240" w:lineRule="auto"/>
              <w:ind w:right="743"/>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5.1</w:t>
            </w:r>
          </w:p>
        </w:tc>
        <w:tc>
          <w:tcPr>
            <w:tcW w:w="2409" w:type="dxa"/>
            <w:vAlign w:val="center"/>
          </w:tcPr>
          <w:p w:rsidR="006173F3" w:rsidRPr="006B181D" w:rsidRDefault="006173F3" w:rsidP="009A6E1B">
            <w:pPr>
              <w:keepNext/>
              <w:spacing w:after="0" w:line="240" w:lineRule="auto"/>
              <w:ind w:right="742"/>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 xml:space="preserve">12.1 </w:t>
            </w:r>
          </w:p>
        </w:tc>
        <w:tc>
          <w:tcPr>
            <w:tcW w:w="2269" w:type="dxa"/>
            <w:vAlign w:val="center"/>
          </w:tcPr>
          <w:p w:rsidR="006173F3" w:rsidRPr="006B181D" w:rsidRDefault="006173F3" w:rsidP="009A6E1B">
            <w:pPr>
              <w:keepNext/>
              <w:spacing w:after="0" w:line="240" w:lineRule="auto"/>
              <w:ind w:right="601"/>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7.9</w:t>
            </w:r>
          </w:p>
        </w:tc>
      </w:tr>
      <w:tr w:rsidR="006173F3" w:rsidRPr="00C32C8B" w:rsidTr="004968D9">
        <w:trPr>
          <w:trHeight w:val="397"/>
        </w:trPr>
        <w:tc>
          <w:tcPr>
            <w:tcW w:w="2709" w:type="dxa"/>
            <w:shd w:val="clear" w:color="auto" w:fill="E5E5E5" w:themeFill="background1" w:themeFillTint="33"/>
            <w:noWrap/>
            <w:vAlign w:val="center"/>
            <w:hideMark/>
          </w:tcPr>
          <w:p w:rsidR="006173F3" w:rsidRPr="006B181D" w:rsidRDefault="006173F3" w:rsidP="009A6E1B">
            <w:pPr>
              <w:keepNext/>
              <w:spacing w:after="0" w:line="240" w:lineRule="auto"/>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Tasmania</w:t>
            </w:r>
          </w:p>
        </w:tc>
        <w:tc>
          <w:tcPr>
            <w:tcW w:w="1701" w:type="dxa"/>
            <w:shd w:val="clear" w:color="auto" w:fill="E5E5E5" w:themeFill="background1" w:themeFillTint="33"/>
            <w:noWrap/>
            <w:vAlign w:val="center"/>
            <w:hideMark/>
          </w:tcPr>
          <w:p w:rsidR="006173F3" w:rsidRPr="006B181D" w:rsidRDefault="006173F3" w:rsidP="009A6E1B">
            <w:pPr>
              <w:keepNext/>
              <w:spacing w:after="0" w:line="240" w:lineRule="auto"/>
              <w:ind w:right="743"/>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3.5</w:t>
            </w:r>
          </w:p>
        </w:tc>
        <w:tc>
          <w:tcPr>
            <w:tcW w:w="2409" w:type="dxa"/>
            <w:shd w:val="clear" w:color="auto" w:fill="E5E5E5" w:themeFill="background1" w:themeFillTint="33"/>
            <w:vAlign w:val="center"/>
          </w:tcPr>
          <w:p w:rsidR="006173F3" w:rsidRPr="006B181D" w:rsidRDefault="006173F3" w:rsidP="009A6E1B">
            <w:pPr>
              <w:keepNext/>
              <w:spacing w:after="0" w:line="240" w:lineRule="auto"/>
              <w:ind w:right="742"/>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 xml:space="preserve">1.8 </w:t>
            </w:r>
          </w:p>
        </w:tc>
        <w:tc>
          <w:tcPr>
            <w:tcW w:w="2269" w:type="dxa"/>
            <w:shd w:val="clear" w:color="auto" w:fill="E5E5E5" w:themeFill="background1" w:themeFillTint="33"/>
            <w:vAlign w:val="center"/>
          </w:tcPr>
          <w:p w:rsidR="006173F3" w:rsidRPr="006B181D" w:rsidRDefault="006173F3" w:rsidP="009A6E1B">
            <w:pPr>
              <w:keepNext/>
              <w:spacing w:after="0" w:line="240" w:lineRule="auto"/>
              <w:ind w:right="601"/>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3.8</w:t>
            </w:r>
          </w:p>
        </w:tc>
      </w:tr>
      <w:tr w:rsidR="006173F3" w:rsidRPr="00C32C8B" w:rsidTr="004968D9">
        <w:trPr>
          <w:trHeight w:val="397"/>
        </w:trPr>
        <w:tc>
          <w:tcPr>
            <w:tcW w:w="2709" w:type="dxa"/>
            <w:shd w:val="clear" w:color="auto" w:fill="auto"/>
            <w:noWrap/>
            <w:vAlign w:val="center"/>
            <w:hideMark/>
          </w:tcPr>
          <w:p w:rsidR="006173F3" w:rsidRPr="006B181D" w:rsidRDefault="006173F3" w:rsidP="009A6E1B">
            <w:pPr>
              <w:keepNext/>
              <w:spacing w:after="0" w:line="240" w:lineRule="auto"/>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Northern Territory</w:t>
            </w:r>
          </w:p>
        </w:tc>
        <w:tc>
          <w:tcPr>
            <w:tcW w:w="1701" w:type="dxa"/>
            <w:shd w:val="clear" w:color="auto" w:fill="auto"/>
            <w:noWrap/>
            <w:vAlign w:val="center"/>
            <w:hideMark/>
          </w:tcPr>
          <w:p w:rsidR="006173F3" w:rsidRPr="006B181D" w:rsidRDefault="006173F3" w:rsidP="009A6E1B">
            <w:pPr>
              <w:keepNext/>
              <w:spacing w:after="0" w:line="240" w:lineRule="auto"/>
              <w:ind w:right="743"/>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0.4</w:t>
            </w:r>
          </w:p>
        </w:tc>
        <w:tc>
          <w:tcPr>
            <w:tcW w:w="2409" w:type="dxa"/>
            <w:vAlign w:val="center"/>
          </w:tcPr>
          <w:p w:rsidR="006173F3" w:rsidRPr="006B181D" w:rsidRDefault="006173F3" w:rsidP="009A6E1B">
            <w:pPr>
              <w:keepNext/>
              <w:spacing w:after="0" w:line="240" w:lineRule="auto"/>
              <w:ind w:right="742"/>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 xml:space="preserve">1.2 </w:t>
            </w:r>
          </w:p>
        </w:tc>
        <w:tc>
          <w:tcPr>
            <w:tcW w:w="2269" w:type="dxa"/>
            <w:vAlign w:val="center"/>
          </w:tcPr>
          <w:p w:rsidR="006173F3" w:rsidRPr="006B181D" w:rsidRDefault="006173F3" w:rsidP="009A6E1B">
            <w:pPr>
              <w:keepNext/>
              <w:spacing w:after="0" w:line="240" w:lineRule="auto"/>
              <w:ind w:right="601"/>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0.7</w:t>
            </w:r>
          </w:p>
        </w:tc>
      </w:tr>
      <w:tr w:rsidR="006173F3" w:rsidRPr="00C32C8B" w:rsidTr="004968D9">
        <w:trPr>
          <w:trHeight w:val="397"/>
        </w:trPr>
        <w:tc>
          <w:tcPr>
            <w:tcW w:w="2709" w:type="dxa"/>
            <w:shd w:val="clear" w:color="auto" w:fill="E5E5E5" w:themeFill="background1" w:themeFillTint="33"/>
            <w:noWrap/>
            <w:vAlign w:val="center"/>
            <w:hideMark/>
          </w:tcPr>
          <w:p w:rsidR="006173F3" w:rsidRPr="006B181D" w:rsidRDefault="006173F3" w:rsidP="009A6E1B">
            <w:pPr>
              <w:keepNext/>
              <w:spacing w:after="0" w:line="240" w:lineRule="auto"/>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Australian Capital Territory</w:t>
            </w:r>
          </w:p>
        </w:tc>
        <w:tc>
          <w:tcPr>
            <w:tcW w:w="1701" w:type="dxa"/>
            <w:shd w:val="clear" w:color="auto" w:fill="E5E5E5" w:themeFill="background1" w:themeFillTint="33"/>
            <w:noWrap/>
            <w:vAlign w:val="center"/>
            <w:hideMark/>
          </w:tcPr>
          <w:p w:rsidR="006173F3" w:rsidRPr="006B181D" w:rsidRDefault="006173F3" w:rsidP="009A6E1B">
            <w:pPr>
              <w:keepNext/>
              <w:spacing w:after="0" w:line="240" w:lineRule="auto"/>
              <w:ind w:right="743"/>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1.2</w:t>
            </w:r>
          </w:p>
        </w:tc>
        <w:tc>
          <w:tcPr>
            <w:tcW w:w="2409" w:type="dxa"/>
            <w:shd w:val="clear" w:color="auto" w:fill="E5E5E5" w:themeFill="background1" w:themeFillTint="33"/>
            <w:vAlign w:val="center"/>
          </w:tcPr>
          <w:p w:rsidR="006173F3" w:rsidRPr="006B181D" w:rsidRDefault="006173F3" w:rsidP="009A6E1B">
            <w:pPr>
              <w:keepNext/>
              <w:spacing w:after="0" w:line="240" w:lineRule="auto"/>
              <w:ind w:right="742"/>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 xml:space="preserve">1.9 </w:t>
            </w:r>
          </w:p>
        </w:tc>
        <w:tc>
          <w:tcPr>
            <w:tcW w:w="2269" w:type="dxa"/>
            <w:shd w:val="clear" w:color="auto" w:fill="E5E5E5" w:themeFill="background1" w:themeFillTint="33"/>
            <w:vAlign w:val="center"/>
          </w:tcPr>
          <w:p w:rsidR="006173F3" w:rsidRPr="006B181D" w:rsidRDefault="006173F3" w:rsidP="009A6E1B">
            <w:pPr>
              <w:keepNext/>
              <w:spacing w:after="0" w:line="240" w:lineRule="auto"/>
              <w:ind w:right="601"/>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1.0</w:t>
            </w:r>
          </w:p>
        </w:tc>
      </w:tr>
      <w:tr w:rsidR="006173F3" w:rsidRPr="00C32C8B" w:rsidTr="004968D9">
        <w:trPr>
          <w:trHeight w:val="397"/>
        </w:trPr>
        <w:tc>
          <w:tcPr>
            <w:tcW w:w="2709" w:type="dxa"/>
            <w:shd w:val="clear" w:color="auto" w:fill="8EAEDE"/>
            <w:noWrap/>
            <w:vAlign w:val="center"/>
            <w:hideMark/>
          </w:tcPr>
          <w:p w:rsidR="006173F3" w:rsidRPr="006B181D" w:rsidRDefault="006173F3" w:rsidP="009A6E1B">
            <w:pPr>
              <w:spacing w:after="0" w:line="240" w:lineRule="auto"/>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 xml:space="preserve">Australia </w:t>
            </w:r>
          </w:p>
        </w:tc>
        <w:tc>
          <w:tcPr>
            <w:tcW w:w="1701" w:type="dxa"/>
            <w:shd w:val="clear" w:color="auto" w:fill="8EAEDE"/>
            <w:noWrap/>
            <w:vAlign w:val="center"/>
            <w:hideMark/>
          </w:tcPr>
          <w:p w:rsidR="006173F3" w:rsidRPr="006B181D" w:rsidRDefault="006173F3" w:rsidP="009A6E1B">
            <w:pPr>
              <w:spacing w:after="0" w:line="240" w:lineRule="auto"/>
              <w:ind w:right="743"/>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100.0</w:t>
            </w:r>
          </w:p>
        </w:tc>
        <w:tc>
          <w:tcPr>
            <w:tcW w:w="2409" w:type="dxa"/>
            <w:shd w:val="clear" w:color="auto" w:fill="8EAEDE"/>
            <w:vAlign w:val="center"/>
          </w:tcPr>
          <w:p w:rsidR="006173F3" w:rsidRPr="006B181D" w:rsidRDefault="006173F3" w:rsidP="009A6E1B">
            <w:pPr>
              <w:spacing w:after="0" w:line="240" w:lineRule="auto"/>
              <w:ind w:right="742"/>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100.0</w:t>
            </w:r>
          </w:p>
        </w:tc>
        <w:tc>
          <w:tcPr>
            <w:tcW w:w="2269" w:type="dxa"/>
            <w:shd w:val="clear" w:color="auto" w:fill="8EAEDE"/>
            <w:vAlign w:val="center"/>
          </w:tcPr>
          <w:p w:rsidR="006173F3" w:rsidRPr="006B181D" w:rsidRDefault="006173F3" w:rsidP="009A6E1B">
            <w:pPr>
              <w:spacing w:after="0" w:line="240" w:lineRule="auto"/>
              <w:ind w:right="601"/>
              <w:jc w:val="right"/>
              <w:rPr>
                <w:rFonts w:ascii="Calibri" w:eastAsia="Times New Roman" w:hAnsi="Calibri" w:cs="Calibri"/>
                <w:color w:val="000000" w:themeColor="text1"/>
                <w:sz w:val="20"/>
                <w:szCs w:val="20"/>
                <w:lang w:eastAsia="en-AU"/>
              </w:rPr>
            </w:pPr>
            <w:r w:rsidRPr="006B181D">
              <w:rPr>
                <w:rFonts w:ascii="Calibri" w:eastAsia="Times New Roman" w:hAnsi="Calibri" w:cs="Calibri"/>
                <w:color w:val="000000" w:themeColor="text1"/>
                <w:sz w:val="20"/>
                <w:szCs w:val="20"/>
                <w:lang w:eastAsia="en-AU"/>
              </w:rPr>
              <w:t>100.0</w:t>
            </w:r>
          </w:p>
        </w:tc>
      </w:tr>
    </w:tbl>
    <w:p w:rsidR="006173F3" w:rsidRDefault="006173F3" w:rsidP="006173F3">
      <w:pPr>
        <w:pStyle w:val="Source"/>
        <w:rPr>
          <w:b w:val="0"/>
          <w:color w:val="000000" w:themeColor="text1"/>
        </w:rPr>
      </w:pPr>
      <w:r w:rsidRPr="00CC7DFC">
        <w:rPr>
          <w:color w:val="000000" w:themeColor="text1"/>
        </w:rPr>
        <w:t>Note</w:t>
      </w:r>
      <w:r w:rsidR="00392022">
        <w:rPr>
          <w:color w:val="000000" w:themeColor="text1"/>
        </w:rPr>
        <w:t>s</w:t>
      </w:r>
      <w:r w:rsidRPr="00CC7DFC">
        <w:rPr>
          <w:b w:val="0"/>
          <w:color w:val="000000" w:themeColor="text1"/>
        </w:rPr>
        <w:t>:</w:t>
      </w:r>
    </w:p>
    <w:p w:rsidR="006173F3" w:rsidRPr="00CC7DFC" w:rsidRDefault="006173F3" w:rsidP="00283E3D">
      <w:pPr>
        <w:pStyle w:val="Source"/>
        <w:numPr>
          <w:ilvl w:val="0"/>
          <w:numId w:val="55"/>
        </w:numPr>
        <w:rPr>
          <w:b w:val="0"/>
          <w:color w:val="000000" w:themeColor="text1"/>
        </w:rPr>
      </w:pPr>
      <w:r w:rsidRPr="00CC7DFC">
        <w:rPr>
          <w:b w:val="0"/>
          <w:color w:val="000000" w:themeColor="text1"/>
        </w:rPr>
        <w:t>Includes claims that were subsequently withdrawn.</w:t>
      </w:r>
    </w:p>
    <w:p w:rsidR="006173F3" w:rsidRDefault="006173F3" w:rsidP="00283E3D">
      <w:pPr>
        <w:pStyle w:val="Source"/>
        <w:numPr>
          <w:ilvl w:val="0"/>
          <w:numId w:val="55"/>
        </w:numPr>
        <w:rPr>
          <w:b w:val="0"/>
          <w:color w:val="000000" w:themeColor="text1"/>
        </w:rPr>
      </w:pPr>
      <w:r>
        <w:rPr>
          <w:b w:val="0"/>
          <w:color w:val="000000" w:themeColor="text1"/>
        </w:rPr>
        <w:t>Labour force figures are rolling 12 month averages of August 2013 to July 2014 data.</w:t>
      </w:r>
    </w:p>
    <w:p w:rsidR="006173F3" w:rsidRPr="00CC7DFC" w:rsidRDefault="006173F3" w:rsidP="00283E3D">
      <w:pPr>
        <w:pStyle w:val="Source"/>
        <w:numPr>
          <w:ilvl w:val="0"/>
          <w:numId w:val="55"/>
        </w:numPr>
        <w:rPr>
          <w:b w:val="0"/>
          <w:color w:val="000000" w:themeColor="text1"/>
        </w:rPr>
      </w:pPr>
      <w:r w:rsidRPr="00CC7DFC">
        <w:rPr>
          <w:b w:val="0"/>
          <w:color w:val="000000" w:themeColor="text1"/>
        </w:rPr>
        <w:t>JSA caseload LTU status determined by length of time in service (that is, since registration with DHS).</w:t>
      </w:r>
    </w:p>
    <w:p w:rsidR="006173F3" w:rsidRDefault="006173F3" w:rsidP="006173F3">
      <w:pPr>
        <w:pStyle w:val="Source"/>
        <w:rPr>
          <w:b w:val="0"/>
          <w:color w:val="000000" w:themeColor="text1"/>
        </w:rPr>
      </w:pPr>
      <w:r w:rsidRPr="00CC7DFC">
        <w:rPr>
          <w:color w:val="000000" w:themeColor="text1"/>
        </w:rPr>
        <w:t xml:space="preserve">Source: </w:t>
      </w:r>
      <w:r w:rsidRPr="00CC7DFC">
        <w:rPr>
          <w:b w:val="0"/>
          <w:color w:val="000000" w:themeColor="text1"/>
        </w:rPr>
        <w:t xml:space="preserve">DHS and DoE monitoring data, DoE administrative data </w:t>
      </w:r>
      <w:r>
        <w:rPr>
          <w:b w:val="0"/>
          <w:color w:val="000000" w:themeColor="text1"/>
        </w:rPr>
        <w:t xml:space="preserve">and </w:t>
      </w:r>
      <w:r w:rsidRPr="00CC7DFC">
        <w:rPr>
          <w:b w:val="0"/>
          <w:color w:val="000000" w:themeColor="text1"/>
        </w:rPr>
        <w:t xml:space="preserve">ABS Labour Force </w:t>
      </w:r>
      <w:r>
        <w:rPr>
          <w:b w:val="0"/>
          <w:color w:val="000000" w:themeColor="text1"/>
        </w:rPr>
        <w:t xml:space="preserve">special run </w:t>
      </w:r>
      <w:r w:rsidRPr="00CC7DFC">
        <w:rPr>
          <w:b w:val="0"/>
          <w:color w:val="000000" w:themeColor="text1"/>
        </w:rPr>
        <w:t>(</w:t>
      </w:r>
      <w:r>
        <w:rPr>
          <w:b w:val="0"/>
          <w:color w:val="000000" w:themeColor="text1"/>
        </w:rPr>
        <w:t>extracted March 2017)</w:t>
      </w:r>
      <w:r w:rsidRPr="00CC7DFC">
        <w:rPr>
          <w:b w:val="0"/>
          <w:color w:val="000000" w:themeColor="text1"/>
        </w:rPr>
        <w:t>.</w:t>
      </w:r>
    </w:p>
    <w:p w:rsidR="00E62178" w:rsidRPr="0072452F" w:rsidRDefault="00E62178" w:rsidP="0072452F">
      <w:pPr>
        <w:pStyle w:val="Heading4"/>
      </w:pPr>
      <w:r w:rsidRPr="0072452F">
        <w:t>Education</w:t>
      </w:r>
    </w:p>
    <w:p w:rsidR="00B92253" w:rsidRDefault="00B92253" w:rsidP="0072452F">
      <w:pPr>
        <w:rPr>
          <w:color w:val="000000" w:themeColor="text1"/>
        </w:rPr>
      </w:pPr>
      <w:r w:rsidRPr="00B92253">
        <w:rPr>
          <w:color w:val="000000" w:themeColor="text1"/>
        </w:rPr>
        <w:t xml:space="preserve">More than half of claims were lodged by </w:t>
      </w:r>
      <w:r w:rsidR="00E62178">
        <w:rPr>
          <w:color w:val="000000" w:themeColor="text1"/>
        </w:rPr>
        <w:t>applicants</w:t>
      </w:r>
      <w:r w:rsidR="00E62178" w:rsidRPr="00B92253">
        <w:rPr>
          <w:color w:val="000000" w:themeColor="text1"/>
        </w:rPr>
        <w:t xml:space="preserve"> </w:t>
      </w:r>
      <w:r w:rsidRPr="00B92253">
        <w:rPr>
          <w:color w:val="000000" w:themeColor="text1"/>
        </w:rPr>
        <w:t xml:space="preserve">with </w:t>
      </w:r>
      <w:r w:rsidR="007717B1">
        <w:rPr>
          <w:color w:val="000000" w:themeColor="text1"/>
        </w:rPr>
        <w:t>post school</w:t>
      </w:r>
      <w:r w:rsidR="007717B1" w:rsidRPr="00B92253">
        <w:rPr>
          <w:color w:val="000000" w:themeColor="text1"/>
        </w:rPr>
        <w:t xml:space="preserve"> </w:t>
      </w:r>
      <w:r w:rsidRPr="00B92253">
        <w:rPr>
          <w:color w:val="000000" w:themeColor="text1"/>
        </w:rPr>
        <w:t>education</w:t>
      </w:r>
      <w:r w:rsidR="0072452F">
        <w:rPr>
          <w:color w:val="000000" w:themeColor="text1"/>
        </w:rPr>
        <w:t>.</w:t>
      </w:r>
      <w:r w:rsidR="00301FD0">
        <w:rPr>
          <w:rStyle w:val="FootnoteReference"/>
          <w:color w:val="000000" w:themeColor="text1"/>
        </w:rPr>
        <w:footnoteReference w:id="44"/>
      </w:r>
      <w:r>
        <w:rPr>
          <w:color w:val="000000" w:themeColor="text1"/>
        </w:rPr>
        <w:t xml:space="preserve"> </w:t>
      </w:r>
      <w:r w:rsidR="00301FD0">
        <w:rPr>
          <w:color w:val="000000" w:themeColor="text1"/>
        </w:rPr>
        <w:t xml:space="preserve">People </w:t>
      </w:r>
      <w:r>
        <w:rPr>
          <w:color w:val="000000" w:themeColor="text1"/>
        </w:rPr>
        <w:t>with less than Year 12 education were significantly less likely to have claim</w:t>
      </w:r>
      <w:r w:rsidR="00301FD0">
        <w:rPr>
          <w:color w:val="000000" w:themeColor="text1"/>
        </w:rPr>
        <w:t>ed</w:t>
      </w:r>
      <w:r>
        <w:rPr>
          <w:color w:val="000000" w:themeColor="text1"/>
        </w:rPr>
        <w:t xml:space="preserve"> the bonus, while those with </w:t>
      </w:r>
      <w:r w:rsidR="00ED04AE">
        <w:rPr>
          <w:color w:val="000000" w:themeColor="text1"/>
        </w:rPr>
        <w:t>a d</w:t>
      </w:r>
      <w:r>
        <w:rPr>
          <w:color w:val="000000" w:themeColor="text1"/>
        </w:rPr>
        <w:t>egree or equivalent levels of education were significantly mor</w:t>
      </w:r>
      <w:r w:rsidR="00ED04AE">
        <w:rPr>
          <w:color w:val="000000" w:themeColor="text1"/>
        </w:rPr>
        <w:t>e likely to have lodged a claim (</w:t>
      </w:r>
      <w:r w:rsidR="00CC091B" w:rsidRPr="005E4C07">
        <w:rPr>
          <w:color w:val="000000" w:themeColor="text1"/>
        </w:rPr>
        <w:t>Figure</w:t>
      </w:r>
      <w:r w:rsidR="00CC091B">
        <w:rPr>
          <w:color w:val="000000" w:themeColor="text1"/>
        </w:rPr>
        <w:t> </w:t>
      </w:r>
      <w:r w:rsidR="005E4C07" w:rsidRPr="005E4C07">
        <w:rPr>
          <w:color w:val="000000" w:themeColor="text1"/>
        </w:rPr>
        <w:t>3.</w:t>
      </w:r>
      <w:r w:rsidR="00FB4E23">
        <w:rPr>
          <w:color w:val="000000" w:themeColor="text1"/>
        </w:rPr>
        <w:t>3</w:t>
      </w:r>
      <w:r w:rsidR="004C0959">
        <w:rPr>
          <w:color w:val="000000" w:themeColor="text1"/>
        </w:rPr>
        <w:t>).</w:t>
      </w:r>
    </w:p>
    <w:p w:rsidR="008B631C" w:rsidRPr="00D83A7E" w:rsidRDefault="008B631C" w:rsidP="005314B7">
      <w:pPr>
        <w:pStyle w:val="FigureCaption"/>
      </w:pPr>
      <w:bookmarkStart w:id="134" w:name="_Toc507600279"/>
      <w:r w:rsidRPr="00D83A7E">
        <w:lastRenderedPageBreak/>
        <w:t xml:space="preserve">Figure </w:t>
      </w:r>
      <w:r w:rsidR="00BF7A33" w:rsidRPr="00D83A7E">
        <w:t>3.</w:t>
      </w:r>
      <w:r w:rsidR="00FB4E23">
        <w:t>3</w:t>
      </w:r>
      <w:r w:rsidRPr="00D83A7E">
        <w:t xml:space="preserve">: </w:t>
      </w:r>
      <w:r w:rsidR="00232009">
        <w:t xml:space="preserve">JCB </w:t>
      </w:r>
      <w:r w:rsidR="00392022">
        <w:t xml:space="preserve">claim rates </w:t>
      </w:r>
      <w:r w:rsidRPr="00D83A7E">
        <w:t>by highest level of education</w:t>
      </w:r>
      <w:bookmarkEnd w:id="134"/>
    </w:p>
    <w:tbl>
      <w:tblPr>
        <w:tblW w:w="568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51"/>
      </w:tblGrid>
      <w:tr w:rsidR="000E2030" w:rsidRPr="000E2030" w:rsidTr="000E2030">
        <w:trPr>
          <w:trHeight w:val="284"/>
          <w:tblHeader/>
        </w:trPr>
        <w:tc>
          <w:tcPr>
            <w:tcW w:w="3134" w:type="dxa"/>
            <w:tcBorders>
              <w:top w:val="nil"/>
              <w:left w:val="nil"/>
              <w:bottom w:val="nil"/>
              <w:right w:val="nil"/>
            </w:tcBorders>
            <w:shd w:val="clear" w:color="auto" w:fill="FFFFFF" w:themeFill="background2"/>
            <w:noWrap/>
            <w:vAlign w:val="center"/>
            <w:hideMark/>
          </w:tcPr>
          <w:p w:rsidR="000E2030" w:rsidRPr="000E2030" w:rsidRDefault="00864E02" w:rsidP="000E2030">
            <w:pPr>
              <w:keepNext/>
              <w:spacing w:before="240" w:after="0" w:line="240" w:lineRule="auto"/>
              <w:rPr>
                <w:rFonts w:ascii="Calibri" w:eastAsia="Times New Roman" w:hAnsi="Calibri" w:cs="Calibri"/>
                <w:b/>
                <w:bCs/>
                <w:color w:val="FFFFFF" w:themeColor="background2"/>
                <w:sz w:val="20"/>
                <w:szCs w:val="20"/>
                <w:lang w:eastAsia="en-AU"/>
              </w:rPr>
            </w:pPr>
            <w:bookmarkStart w:id="135" w:name="Title_33hidden"/>
            <w:bookmarkEnd w:id="135"/>
            <w:r w:rsidRPr="00C43F6F">
              <w:rPr>
                <w:noProof/>
                <w:lang w:eastAsia="en-AU"/>
              </w:rPr>
              <w:drawing>
                <wp:anchor distT="0" distB="0" distL="114300" distR="114300" simplePos="0" relativeHeight="251658247" behindDoc="0" locked="0" layoutInCell="1" allowOverlap="1" wp14:anchorId="3BB7494C" wp14:editId="0183BE98">
                  <wp:simplePos x="0" y="0"/>
                  <wp:positionH relativeFrom="column">
                    <wp:posOffset>-421005</wp:posOffset>
                  </wp:positionH>
                  <wp:positionV relativeFrom="paragraph">
                    <wp:posOffset>27305</wp:posOffset>
                  </wp:positionV>
                  <wp:extent cx="5731510" cy="3676015"/>
                  <wp:effectExtent l="0" t="0" r="2540" b="635"/>
                  <wp:wrapNone/>
                  <wp:docPr id="9" name="Picture 9" descr="Data in graph as described in the following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36760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551" w:type="dxa"/>
            <w:tcBorders>
              <w:top w:val="nil"/>
              <w:left w:val="nil"/>
              <w:bottom w:val="nil"/>
              <w:right w:val="nil"/>
            </w:tcBorders>
            <w:shd w:val="clear" w:color="auto" w:fill="FFFFFF" w:themeFill="background2"/>
            <w:vAlign w:val="center"/>
            <w:hideMark/>
          </w:tcPr>
          <w:p w:rsidR="000E2030" w:rsidRPr="000E2030" w:rsidRDefault="000E2030" w:rsidP="000E2030">
            <w:pPr>
              <w:keepNext/>
              <w:spacing w:after="0" w:line="240" w:lineRule="auto"/>
              <w:jc w:val="center"/>
              <w:rPr>
                <w:rFonts w:ascii="Calibri" w:eastAsia="Times New Roman" w:hAnsi="Calibri" w:cs="Calibri"/>
                <w:b/>
                <w:bCs/>
                <w:color w:val="FFFFFF" w:themeColor="background2"/>
                <w:sz w:val="20"/>
                <w:szCs w:val="20"/>
                <w:lang w:eastAsia="en-AU"/>
              </w:rPr>
            </w:pPr>
            <w:r w:rsidRPr="000E2030">
              <w:rPr>
                <w:rFonts w:ascii="Calibri" w:eastAsia="Times New Roman" w:hAnsi="Calibri" w:cs="Calibri"/>
                <w:b/>
                <w:color w:val="FFFFFF" w:themeColor="background2"/>
                <w:sz w:val="20"/>
                <w:szCs w:val="20"/>
                <w:lang w:eastAsia="en-AU"/>
              </w:rPr>
              <w:t>Proportion that claimed</w:t>
            </w:r>
          </w:p>
        </w:tc>
      </w:tr>
      <w:tr w:rsidR="000E2030" w:rsidRPr="0088677B" w:rsidTr="000E2030">
        <w:trPr>
          <w:trHeight w:val="284"/>
        </w:trPr>
        <w:tc>
          <w:tcPr>
            <w:tcW w:w="3134" w:type="dxa"/>
            <w:tcBorders>
              <w:top w:val="nil"/>
            </w:tcBorders>
            <w:shd w:val="clear" w:color="auto" w:fill="auto"/>
            <w:noWrap/>
            <w:vAlign w:val="center"/>
            <w:hideMark/>
          </w:tcPr>
          <w:p w:rsidR="000E2030" w:rsidRPr="0088677B" w:rsidRDefault="000E2030" w:rsidP="000E2030">
            <w:pPr>
              <w:keepNext/>
              <w:spacing w:after="0" w:line="240" w:lineRule="auto"/>
              <w:rPr>
                <w:rFonts w:ascii="Calibri" w:eastAsia="Times New Roman" w:hAnsi="Calibri" w:cs="Calibri"/>
                <w:color w:val="000000"/>
                <w:sz w:val="20"/>
                <w:szCs w:val="20"/>
                <w:lang w:eastAsia="en-AU"/>
              </w:rPr>
            </w:pPr>
            <w:r w:rsidRPr="0088677B">
              <w:rPr>
                <w:rFonts w:ascii="Calibri" w:eastAsia="Times New Roman" w:hAnsi="Calibri" w:cs="Calibri"/>
                <w:color w:val="000000"/>
                <w:sz w:val="20"/>
                <w:szCs w:val="20"/>
                <w:lang w:eastAsia="en-AU"/>
              </w:rPr>
              <w:t>Less than Year 10</w:t>
            </w:r>
          </w:p>
        </w:tc>
        <w:tc>
          <w:tcPr>
            <w:tcW w:w="2551" w:type="dxa"/>
            <w:tcBorders>
              <w:top w:val="nil"/>
            </w:tcBorders>
            <w:shd w:val="clear" w:color="auto" w:fill="auto"/>
            <w:noWrap/>
            <w:vAlign w:val="center"/>
            <w:hideMark/>
          </w:tcPr>
          <w:p w:rsidR="000E2030" w:rsidRPr="0088677B" w:rsidRDefault="000E2030" w:rsidP="000E2030">
            <w:pPr>
              <w:keepNext/>
              <w:spacing w:after="0" w:line="240" w:lineRule="auto"/>
              <w:ind w:right="743"/>
              <w:jc w:val="right"/>
              <w:rPr>
                <w:rFonts w:ascii="Calibri" w:eastAsia="Times New Roman" w:hAnsi="Calibri" w:cs="Calibri"/>
                <w:color w:val="000000"/>
                <w:sz w:val="20"/>
                <w:szCs w:val="20"/>
                <w:lang w:eastAsia="en-AU"/>
              </w:rPr>
            </w:pPr>
            <w:r w:rsidRPr="0088677B">
              <w:rPr>
                <w:rFonts w:ascii="Calibri" w:eastAsia="Times New Roman" w:hAnsi="Calibri" w:cs="Calibri"/>
                <w:color w:val="000000"/>
                <w:sz w:val="20"/>
                <w:szCs w:val="20"/>
                <w:lang w:eastAsia="en-AU"/>
              </w:rPr>
              <w:t>15.1</w:t>
            </w:r>
          </w:p>
        </w:tc>
      </w:tr>
      <w:tr w:rsidR="000E2030" w:rsidRPr="0088677B" w:rsidTr="000E2030">
        <w:trPr>
          <w:trHeight w:val="284"/>
        </w:trPr>
        <w:tc>
          <w:tcPr>
            <w:tcW w:w="3134" w:type="dxa"/>
            <w:shd w:val="clear" w:color="auto" w:fill="auto"/>
            <w:noWrap/>
            <w:vAlign w:val="center"/>
            <w:hideMark/>
          </w:tcPr>
          <w:p w:rsidR="000E2030" w:rsidRPr="0088677B" w:rsidRDefault="000E2030" w:rsidP="000E2030">
            <w:pPr>
              <w:keepNext/>
              <w:spacing w:after="0" w:line="240" w:lineRule="auto"/>
              <w:rPr>
                <w:rFonts w:ascii="Calibri" w:eastAsia="Times New Roman" w:hAnsi="Calibri" w:cs="Calibri"/>
                <w:color w:val="000000"/>
                <w:sz w:val="20"/>
                <w:szCs w:val="20"/>
                <w:lang w:eastAsia="en-AU"/>
              </w:rPr>
            </w:pPr>
            <w:r w:rsidRPr="0088677B">
              <w:rPr>
                <w:rFonts w:ascii="Calibri" w:eastAsia="Times New Roman" w:hAnsi="Calibri" w:cs="Calibri"/>
                <w:color w:val="000000"/>
                <w:sz w:val="20"/>
                <w:szCs w:val="20"/>
                <w:lang w:eastAsia="en-AU"/>
              </w:rPr>
              <w:t>Year 10/11</w:t>
            </w:r>
          </w:p>
        </w:tc>
        <w:tc>
          <w:tcPr>
            <w:tcW w:w="2551" w:type="dxa"/>
            <w:shd w:val="clear" w:color="auto" w:fill="auto"/>
            <w:noWrap/>
            <w:vAlign w:val="center"/>
            <w:hideMark/>
          </w:tcPr>
          <w:p w:rsidR="000E2030" w:rsidRPr="0088677B" w:rsidRDefault="000E2030" w:rsidP="000E2030">
            <w:pPr>
              <w:keepNext/>
              <w:spacing w:after="0" w:line="240" w:lineRule="auto"/>
              <w:ind w:right="743"/>
              <w:jc w:val="right"/>
              <w:rPr>
                <w:rFonts w:ascii="Calibri" w:eastAsia="Times New Roman" w:hAnsi="Calibri" w:cs="Calibri"/>
                <w:color w:val="000000"/>
                <w:sz w:val="20"/>
                <w:szCs w:val="20"/>
                <w:lang w:eastAsia="en-AU"/>
              </w:rPr>
            </w:pPr>
            <w:r w:rsidRPr="0088677B">
              <w:rPr>
                <w:rFonts w:ascii="Calibri" w:eastAsia="Times New Roman" w:hAnsi="Calibri" w:cs="Calibri"/>
                <w:color w:val="000000"/>
                <w:sz w:val="20"/>
                <w:szCs w:val="20"/>
                <w:lang w:eastAsia="en-AU"/>
              </w:rPr>
              <w:t>17.6</w:t>
            </w:r>
          </w:p>
        </w:tc>
      </w:tr>
      <w:tr w:rsidR="000E2030" w:rsidRPr="0088677B" w:rsidTr="000E2030">
        <w:trPr>
          <w:trHeight w:val="284"/>
        </w:trPr>
        <w:tc>
          <w:tcPr>
            <w:tcW w:w="3134" w:type="dxa"/>
            <w:shd w:val="clear" w:color="auto" w:fill="auto"/>
            <w:noWrap/>
            <w:vAlign w:val="center"/>
          </w:tcPr>
          <w:p w:rsidR="000E2030" w:rsidRPr="0088677B" w:rsidRDefault="000E2030" w:rsidP="000E2030">
            <w:pPr>
              <w:keepNext/>
              <w:spacing w:after="0" w:line="240" w:lineRule="auto"/>
              <w:rPr>
                <w:rFonts w:ascii="Calibri" w:eastAsia="Times New Roman" w:hAnsi="Calibri" w:cs="Calibri"/>
                <w:color w:val="000000"/>
                <w:sz w:val="20"/>
                <w:szCs w:val="20"/>
                <w:lang w:eastAsia="en-AU"/>
              </w:rPr>
            </w:pPr>
            <w:r w:rsidRPr="0088677B">
              <w:rPr>
                <w:rFonts w:ascii="Calibri" w:eastAsia="Times New Roman" w:hAnsi="Calibri" w:cs="Calibri"/>
                <w:color w:val="000000"/>
                <w:sz w:val="20"/>
                <w:szCs w:val="20"/>
                <w:lang w:eastAsia="en-AU"/>
              </w:rPr>
              <w:t xml:space="preserve">Year 12/13 </w:t>
            </w:r>
          </w:p>
        </w:tc>
        <w:tc>
          <w:tcPr>
            <w:tcW w:w="2551" w:type="dxa"/>
            <w:shd w:val="clear" w:color="auto" w:fill="auto"/>
            <w:noWrap/>
            <w:vAlign w:val="center"/>
          </w:tcPr>
          <w:p w:rsidR="000E2030" w:rsidRPr="0088677B" w:rsidRDefault="000E2030" w:rsidP="000E2030">
            <w:pPr>
              <w:keepNext/>
              <w:spacing w:after="0" w:line="240" w:lineRule="auto"/>
              <w:ind w:right="743"/>
              <w:jc w:val="right"/>
              <w:rPr>
                <w:rFonts w:ascii="Calibri" w:eastAsia="Times New Roman" w:hAnsi="Calibri" w:cs="Calibri"/>
                <w:color w:val="000000"/>
                <w:sz w:val="20"/>
                <w:szCs w:val="20"/>
                <w:lang w:eastAsia="en-AU"/>
              </w:rPr>
            </w:pPr>
            <w:r w:rsidRPr="0088677B">
              <w:rPr>
                <w:rFonts w:ascii="Calibri" w:eastAsia="Times New Roman" w:hAnsi="Calibri" w:cs="Calibri"/>
                <w:color w:val="000000"/>
                <w:sz w:val="20"/>
                <w:szCs w:val="20"/>
                <w:lang w:eastAsia="en-AU"/>
              </w:rPr>
              <w:t>21.4</w:t>
            </w:r>
          </w:p>
        </w:tc>
      </w:tr>
      <w:tr w:rsidR="000E2030" w:rsidRPr="0088677B" w:rsidTr="000E2030">
        <w:trPr>
          <w:trHeight w:val="284"/>
        </w:trPr>
        <w:tc>
          <w:tcPr>
            <w:tcW w:w="3134" w:type="dxa"/>
            <w:shd w:val="clear" w:color="auto" w:fill="auto"/>
            <w:noWrap/>
            <w:vAlign w:val="center"/>
          </w:tcPr>
          <w:p w:rsidR="000E2030" w:rsidRPr="0088677B" w:rsidRDefault="000E2030" w:rsidP="000E2030">
            <w:pPr>
              <w:keepNext/>
              <w:spacing w:after="0" w:line="240" w:lineRule="auto"/>
              <w:rPr>
                <w:rFonts w:ascii="Calibri" w:eastAsia="Times New Roman" w:hAnsi="Calibri" w:cs="Calibri"/>
                <w:color w:val="000000"/>
                <w:sz w:val="20"/>
                <w:szCs w:val="20"/>
                <w:lang w:eastAsia="en-AU"/>
              </w:rPr>
            </w:pPr>
            <w:r w:rsidRPr="0088677B">
              <w:rPr>
                <w:rFonts w:ascii="Calibri" w:eastAsia="Times New Roman" w:hAnsi="Calibri" w:cs="Calibri"/>
                <w:color w:val="000000"/>
                <w:sz w:val="20"/>
                <w:szCs w:val="20"/>
                <w:lang w:eastAsia="en-AU"/>
              </w:rPr>
              <w:t>TAFE/Diploma</w:t>
            </w:r>
          </w:p>
        </w:tc>
        <w:tc>
          <w:tcPr>
            <w:tcW w:w="2551" w:type="dxa"/>
            <w:shd w:val="clear" w:color="auto" w:fill="auto"/>
            <w:noWrap/>
            <w:vAlign w:val="center"/>
          </w:tcPr>
          <w:p w:rsidR="000E2030" w:rsidRPr="0088677B" w:rsidRDefault="000E2030" w:rsidP="000E2030">
            <w:pPr>
              <w:keepNext/>
              <w:spacing w:after="0" w:line="240" w:lineRule="auto"/>
              <w:ind w:right="743"/>
              <w:jc w:val="right"/>
              <w:rPr>
                <w:rFonts w:ascii="Calibri" w:eastAsia="Times New Roman" w:hAnsi="Calibri" w:cs="Calibri"/>
                <w:color w:val="000000"/>
                <w:sz w:val="20"/>
                <w:szCs w:val="20"/>
                <w:lang w:eastAsia="en-AU"/>
              </w:rPr>
            </w:pPr>
            <w:r w:rsidRPr="0088677B">
              <w:rPr>
                <w:rFonts w:ascii="Calibri" w:eastAsia="Times New Roman" w:hAnsi="Calibri" w:cs="Calibri"/>
                <w:color w:val="000000"/>
                <w:sz w:val="20"/>
                <w:szCs w:val="20"/>
                <w:lang w:eastAsia="en-AU"/>
              </w:rPr>
              <w:t>22.1</w:t>
            </w:r>
          </w:p>
        </w:tc>
      </w:tr>
      <w:tr w:rsidR="000E2030" w:rsidRPr="0088677B" w:rsidTr="000E2030">
        <w:trPr>
          <w:trHeight w:val="284"/>
        </w:trPr>
        <w:tc>
          <w:tcPr>
            <w:tcW w:w="3134" w:type="dxa"/>
            <w:shd w:val="clear" w:color="auto" w:fill="auto"/>
            <w:noWrap/>
            <w:vAlign w:val="center"/>
            <w:hideMark/>
          </w:tcPr>
          <w:p w:rsidR="000E2030" w:rsidRPr="0088677B" w:rsidRDefault="000E2030" w:rsidP="000E2030">
            <w:pPr>
              <w:keepNext/>
              <w:spacing w:after="0" w:line="240" w:lineRule="auto"/>
              <w:rPr>
                <w:rFonts w:ascii="Calibri" w:eastAsia="Times New Roman" w:hAnsi="Calibri" w:cs="Calibri"/>
                <w:color w:val="000000"/>
                <w:sz w:val="20"/>
                <w:szCs w:val="20"/>
                <w:lang w:eastAsia="en-AU"/>
              </w:rPr>
            </w:pPr>
            <w:r w:rsidRPr="0088677B">
              <w:rPr>
                <w:rFonts w:ascii="Calibri" w:eastAsia="Times New Roman" w:hAnsi="Calibri" w:cs="Calibri"/>
                <w:color w:val="000000"/>
                <w:sz w:val="20"/>
                <w:szCs w:val="20"/>
                <w:lang w:eastAsia="en-AU"/>
              </w:rPr>
              <w:t>Degree or equivalent</w:t>
            </w:r>
          </w:p>
        </w:tc>
        <w:tc>
          <w:tcPr>
            <w:tcW w:w="2551" w:type="dxa"/>
            <w:shd w:val="clear" w:color="auto" w:fill="auto"/>
            <w:noWrap/>
            <w:vAlign w:val="center"/>
            <w:hideMark/>
          </w:tcPr>
          <w:p w:rsidR="000E2030" w:rsidRPr="0088677B" w:rsidRDefault="000E2030" w:rsidP="000E2030">
            <w:pPr>
              <w:keepNext/>
              <w:spacing w:after="0" w:line="240" w:lineRule="auto"/>
              <w:ind w:right="743"/>
              <w:jc w:val="right"/>
              <w:rPr>
                <w:rFonts w:ascii="Calibri" w:eastAsia="Times New Roman" w:hAnsi="Calibri" w:cs="Calibri"/>
                <w:color w:val="000000"/>
                <w:sz w:val="20"/>
                <w:szCs w:val="20"/>
                <w:lang w:eastAsia="en-AU"/>
              </w:rPr>
            </w:pPr>
            <w:r w:rsidRPr="0088677B">
              <w:rPr>
                <w:rFonts w:ascii="Calibri" w:eastAsia="Times New Roman" w:hAnsi="Calibri" w:cs="Calibri"/>
                <w:color w:val="000000"/>
                <w:sz w:val="20"/>
                <w:szCs w:val="20"/>
                <w:lang w:eastAsia="en-AU"/>
              </w:rPr>
              <w:t>31.2</w:t>
            </w:r>
          </w:p>
        </w:tc>
      </w:tr>
      <w:tr w:rsidR="000E2030" w:rsidRPr="0088677B" w:rsidTr="000E2030">
        <w:trPr>
          <w:trHeight w:val="284"/>
        </w:trPr>
        <w:tc>
          <w:tcPr>
            <w:tcW w:w="3134" w:type="dxa"/>
            <w:shd w:val="clear" w:color="auto" w:fill="8EAEDE"/>
            <w:noWrap/>
            <w:vAlign w:val="center"/>
            <w:hideMark/>
          </w:tcPr>
          <w:p w:rsidR="000E2030" w:rsidRPr="0088677B" w:rsidRDefault="000E2030" w:rsidP="000E2030">
            <w:pPr>
              <w:keepNext/>
              <w:spacing w:after="0" w:line="240" w:lineRule="auto"/>
              <w:rPr>
                <w:rFonts w:ascii="Calibri" w:eastAsia="Times New Roman" w:hAnsi="Calibri" w:cs="Calibri"/>
                <w:color w:val="000000"/>
                <w:sz w:val="20"/>
                <w:szCs w:val="20"/>
                <w:lang w:eastAsia="en-AU"/>
              </w:rPr>
            </w:pPr>
            <w:r w:rsidRPr="0088677B">
              <w:rPr>
                <w:rFonts w:ascii="Calibri" w:eastAsia="Times New Roman" w:hAnsi="Calibri" w:cs="Calibri"/>
                <w:color w:val="000000"/>
                <w:sz w:val="20"/>
                <w:szCs w:val="20"/>
                <w:lang w:eastAsia="en-AU"/>
              </w:rPr>
              <w:t>Overall</w:t>
            </w:r>
          </w:p>
        </w:tc>
        <w:tc>
          <w:tcPr>
            <w:tcW w:w="2551" w:type="dxa"/>
            <w:shd w:val="clear" w:color="auto" w:fill="8EAEDE"/>
            <w:noWrap/>
            <w:vAlign w:val="center"/>
            <w:hideMark/>
          </w:tcPr>
          <w:p w:rsidR="000E2030" w:rsidRPr="0088677B" w:rsidRDefault="000E2030" w:rsidP="000E2030">
            <w:pPr>
              <w:keepNext/>
              <w:spacing w:after="0" w:line="240" w:lineRule="auto"/>
              <w:ind w:right="743"/>
              <w:jc w:val="right"/>
              <w:rPr>
                <w:rFonts w:ascii="Calibri" w:eastAsia="Times New Roman" w:hAnsi="Calibri" w:cs="Calibri"/>
                <w:color w:val="000000"/>
                <w:sz w:val="20"/>
                <w:szCs w:val="20"/>
                <w:lang w:eastAsia="en-AU"/>
              </w:rPr>
            </w:pPr>
            <w:r w:rsidRPr="0088677B">
              <w:rPr>
                <w:rFonts w:ascii="Calibri" w:eastAsia="Times New Roman" w:hAnsi="Calibri" w:cs="Calibri"/>
                <w:color w:val="000000"/>
                <w:sz w:val="20"/>
                <w:szCs w:val="20"/>
                <w:lang w:eastAsia="en-AU"/>
              </w:rPr>
              <w:t>21.4</w:t>
            </w:r>
          </w:p>
        </w:tc>
      </w:tr>
    </w:tbl>
    <w:p w:rsidR="00935604" w:rsidRPr="00935604" w:rsidRDefault="00935604" w:rsidP="000E2030">
      <w:pPr>
        <w:spacing w:before="3720" w:after="0"/>
        <w:rPr>
          <w:rStyle w:val="Hyperlink"/>
          <w:b/>
          <w:color w:val="auto"/>
          <w:u w:val="none"/>
        </w:rPr>
      </w:pPr>
      <w:r w:rsidRPr="000E2030">
        <w:rPr>
          <w:rFonts w:cstheme="minorHAnsi"/>
          <w:b/>
          <w:sz w:val="20"/>
          <w:szCs w:val="20"/>
        </w:rPr>
        <w:t>Note:</w:t>
      </w:r>
      <w:r w:rsidRPr="00935604">
        <w:t xml:space="preserve"> </w:t>
      </w:r>
      <w:r w:rsidRPr="000E2030">
        <w:rPr>
          <w:rFonts w:cstheme="minorHAnsi"/>
          <w:sz w:val="20"/>
          <w:szCs w:val="20"/>
        </w:rPr>
        <w:t>Refer to Attachment F</w:t>
      </w:r>
      <w:r w:rsidRPr="00935604">
        <w:t xml:space="preserve">, </w:t>
      </w:r>
      <w:hyperlink w:anchor="Title_F2" w:history="1">
        <w:r w:rsidRPr="000E2030">
          <w:rPr>
            <w:rStyle w:val="Hyperlink"/>
            <w:rFonts w:cstheme="minorHAnsi"/>
            <w:sz w:val="20"/>
            <w:szCs w:val="20"/>
          </w:rPr>
          <w:t>Table F.2</w:t>
        </w:r>
      </w:hyperlink>
      <w:r w:rsidR="00EF2C60">
        <w:t>.</w:t>
      </w:r>
      <w:bookmarkStart w:id="136" w:name="Place_F2"/>
      <w:bookmarkEnd w:id="136"/>
    </w:p>
    <w:p w:rsidR="004D624A" w:rsidRPr="003A4B00" w:rsidRDefault="004D624A" w:rsidP="004D624A">
      <w:pPr>
        <w:pStyle w:val="Source"/>
        <w:rPr>
          <w:b w:val="0"/>
        </w:rPr>
      </w:pPr>
      <w:r w:rsidRPr="003A4B00">
        <w:t xml:space="preserve">Source: </w:t>
      </w:r>
      <w:r w:rsidRPr="003A4B00">
        <w:rPr>
          <w:b w:val="0"/>
        </w:rPr>
        <w:t>DHS and DoE monitoring data.</w:t>
      </w:r>
    </w:p>
    <w:p w:rsidR="00841475" w:rsidRDefault="00FB4E23" w:rsidP="00841475">
      <w:pPr>
        <w:spacing w:before="120"/>
        <w:rPr>
          <w:color w:val="000000" w:themeColor="text1"/>
        </w:rPr>
      </w:pPr>
      <w:r>
        <w:rPr>
          <w:color w:val="000000" w:themeColor="text1"/>
        </w:rPr>
        <w:t>Figure 3.4</w:t>
      </w:r>
      <w:r w:rsidR="00841475">
        <w:rPr>
          <w:color w:val="000000" w:themeColor="text1"/>
        </w:rPr>
        <w:t xml:space="preserve"> shows the proportion of people with certain demographic characteristics who were potentially eligible</w:t>
      </w:r>
      <w:r w:rsidR="00841475">
        <w:rPr>
          <w:rStyle w:val="FootnoteReference"/>
          <w:color w:val="000000" w:themeColor="text1"/>
        </w:rPr>
        <w:footnoteReference w:id="45"/>
      </w:r>
      <w:r w:rsidR="00841475">
        <w:rPr>
          <w:color w:val="000000" w:themeColor="text1"/>
        </w:rPr>
        <w:t xml:space="preserve"> who lodged a claim for the bonus. While small in number</w:t>
      </w:r>
      <w:r w:rsidR="0072452F">
        <w:rPr>
          <w:color w:val="000000" w:themeColor="text1"/>
        </w:rPr>
        <w:t>,</w:t>
      </w:r>
      <w:r w:rsidR="00841475">
        <w:rPr>
          <w:color w:val="000000" w:themeColor="text1"/>
        </w:rPr>
        <w:t xml:space="preserve"> single parents and people with disability had above average claim rates (Attachment </w:t>
      </w:r>
      <w:r w:rsidR="003E6D12">
        <w:rPr>
          <w:color w:val="000000" w:themeColor="text1"/>
        </w:rPr>
        <w:t>F</w:t>
      </w:r>
      <w:r w:rsidR="00841475">
        <w:rPr>
          <w:color w:val="000000" w:themeColor="text1"/>
        </w:rPr>
        <w:t xml:space="preserve">, Table </w:t>
      </w:r>
      <w:r w:rsidR="003E6D12">
        <w:rPr>
          <w:color w:val="000000" w:themeColor="text1"/>
        </w:rPr>
        <w:t>F</w:t>
      </w:r>
      <w:r w:rsidR="00841475">
        <w:rPr>
          <w:color w:val="000000" w:themeColor="text1"/>
        </w:rPr>
        <w:t>.3).</w:t>
      </w:r>
    </w:p>
    <w:p w:rsidR="008B631C" w:rsidRPr="00D83A7E" w:rsidRDefault="008B631C" w:rsidP="005314B7">
      <w:pPr>
        <w:pStyle w:val="FigureCaption"/>
      </w:pPr>
      <w:bookmarkStart w:id="137" w:name="_Toc507600280"/>
      <w:r w:rsidRPr="00D83A7E">
        <w:lastRenderedPageBreak/>
        <w:t xml:space="preserve">Figure </w:t>
      </w:r>
      <w:r w:rsidR="005E4C07" w:rsidRPr="00D83A7E">
        <w:t>3.</w:t>
      </w:r>
      <w:r w:rsidR="00FB4E23">
        <w:t>4</w:t>
      </w:r>
      <w:r w:rsidRPr="00D83A7E">
        <w:t xml:space="preserve">: </w:t>
      </w:r>
      <w:r w:rsidR="00232009">
        <w:t xml:space="preserve">JCB </w:t>
      </w:r>
      <w:r w:rsidR="00392022">
        <w:t xml:space="preserve">claim </w:t>
      </w:r>
      <w:r w:rsidR="00232009">
        <w:t xml:space="preserve">rates </w:t>
      </w:r>
      <w:r w:rsidRPr="00D83A7E">
        <w:t>by selected characteristics (per cent)</w:t>
      </w:r>
      <w:bookmarkEnd w:id="137"/>
    </w:p>
    <w:p w:rsidR="008B631C" w:rsidRDefault="0015086F" w:rsidP="008B631C">
      <w:pPr>
        <w:spacing w:before="120"/>
        <w:rPr>
          <w:color w:val="000000" w:themeColor="text1"/>
        </w:rPr>
      </w:pPr>
      <w:r w:rsidRPr="0015086F">
        <w:rPr>
          <w:noProof/>
          <w:lang w:eastAsia="en-AU"/>
        </w:rPr>
        <w:drawing>
          <wp:inline distT="0" distB="0" distL="0" distR="0" wp14:anchorId="36337E13" wp14:editId="707862DC">
            <wp:extent cx="5731510" cy="2858915"/>
            <wp:effectExtent l="0" t="0" r="2540" b="0"/>
            <wp:docPr id="7" name="Picture 7" descr="Bar chart showing that for most cohorts considered the proportion of potentially eligible people who claimed the JCB was below 20 per cent. Those with disability and single parents had above average claim rates. There is a hyperlink to the data for this chart in the notes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1510" cy="2858915"/>
                    </a:xfrm>
                    <a:prstGeom prst="rect">
                      <a:avLst/>
                    </a:prstGeom>
                    <a:noFill/>
                    <a:ln>
                      <a:noFill/>
                    </a:ln>
                  </pic:spPr>
                </pic:pic>
              </a:graphicData>
            </a:graphic>
          </wp:inline>
        </w:drawing>
      </w:r>
    </w:p>
    <w:p w:rsidR="00935604" w:rsidRPr="00935604" w:rsidRDefault="00935604" w:rsidP="00935604">
      <w:pPr>
        <w:pStyle w:val="Source"/>
        <w:rPr>
          <w:rStyle w:val="Hyperlink"/>
          <w:b w:val="0"/>
          <w:color w:val="auto"/>
          <w:u w:val="none"/>
        </w:rPr>
      </w:pPr>
      <w:r w:rsidRPr="00935604">
        <w:t xml:space="preserve">Note: </w:t>
      </w:r>
      <w:r w:rsidRPr="00935604">
        <w:rPr>
          <w:b w:val="0"/>
        </w:rPr>
        <w:t xml:space="preserve">Refer to Attachment F, </w:t>
      </w:r>
      <w:hyperlink w:anchor="Title_F3" w:history="1">
        <w:r w:rsidRPr="00683705">
          <w:rPr>
            <w:rStyle w:val="Hyperlink"/>
            <w:b w:val="0"/>
          </w:rPr>
          <w:t>Table F.3</w:t>
        </w:r>
      </w:hyperlink>
      <w:r w:rsidR="00EF2C60">
        <w:rPr>
          <w:b w:val="0"/>
        </w:rPr>
        <w:t>.</w:t>
      </w:r>
      <w:bookmarkStart w:id="138" w:name="Place_F3"/>
      <w:bookmarkEnd w:id="138"/>
    </w:p>
    <w:p w:rsidR="004D624A" w:rsidRDefault="004D624A" w:rsidP="004D624A">
      <w:pPr>
        <w:pStyle w:val="Source"/>
        <w:rPr>
          <w:b w:val="0"/>
        </w:rPr>
      </w:pPr>
      <w:r w:rsidRPr="003A4B00">
        <w:t xml:space="preserve">Source: </w:t>
      </w:r>
      <w:r w:rsidRPr="003A4B00">
        <w:rPr>
          <w:b w:val="0"/>
        </w:rPr>
        <w:t>DHS and DoE monitoring data.</w:t>
      </w:r>
      <w:r w:rsidR="0076401B">
        <w:rPr>
          <w:b w:val="0"/>
        </w:rPr>
        <w:t xml:space="preserve"> </w:t>
      </w:r>
    </w:p>
    <w:p w:rsidR="00E62178" w:rsidRDefault="004B44B6" w:rsidP="005C2B87">
      <w:pPr>
        <w:pStyle w:val="Heading4"/>
      </w:pPr>
      <w:bookmarkStart w:id="139" w:name="_Toc478117577"/>
      <w:r>
        <w:t xml:space="preserve">Predictive </w:t>
      </w:r>
      <w:r w:rsidR="00E33002">
        <w:t xml:space="preserve">demographic characteristics </w:t>
      </w:r>
      <w:r>
        <w:t xml:space="preserve">of JCB </w:t>
      </w:r>
      <w:r w:rsidR="00E33002">
        <w:t>claimants</w:t>
      </w:r>
    </w:p>
    <w:p w:rsidR="005E4C07" w:rsidRDefault="005E4C07" w:rsidP="005E4C07">
      <w:pPr>
        <w:spacing w:before="120" w:after="0"/>
        <w:rPr>
          <w:color w:val="000000" w:themeColor="text1"/>
        </w:rPr>
      </w:pPr>
      <w:r>
        <w:rPr>
          <w:color w:val="000000" w:themeColor="text1"/>
        </w:rPr>
        <w:t xml:space="preserve">When regression techniques are used to control for the different types of </w:t>
      </w:r>
      <w:r w:rsidR="004B44B6">
        <w:rPr>
          <w:color w:val="000000" w:themeColor="text1"/>
        </w:rPr>
        <w:t xml:space="preserve">applicants, </w:t>
      </w:r>
      <w:r>
        <w:rPr>
          <w:color w:val="000000" w:themeColor="text1"/>
        </w:rPr>
        <w:t>the following</w:t>
      </w:r>
      <w:r w:rsidR="00E62178">
        <w:rPr>
          <w:color w:val="000000" w:themeColor="text1"/>
        </w:rPr>
        <w:t xml:space="preserve"> </w:t>
      </w:r>
      <w:r>
        <w:rPr>
          <w:color w:val="000000" w:themeColor="text1"/>
        </w:rPr>
        <w:t xml:space="preserve">demographic characteristics are found to be the </w:t>
      </w:r>
      <w:r w:rsidR="004C0959">
        <w:rPr>
          <w:color w:val="000000" w:themeColor="text1"/>
        </w:rPr>
        <w:t>best</w:t>
      </w:r>
      <w:r>
        <w:rPr>
          <w:color w:val="000000" w:themeColor="text1"/>
        </w:rPr>
        <w:t xml:space="preserve"> predict</w:t>
      </w:r>
      <w:r w:rsidR="004C0959">
        <w:rPr>
          <w:color w:val="000000" w:themeColor="text1"/>
        </w:rPr>
        <w:t>or</w:t>
      </w:r>
      <w:r w:rsidR="00A82001">
        <w:rPr>
          <w:color w:val="000000" w:themeColor="text1"/>
        </w:rPr>
        <w:t>s</w:t>
      </w:r>
      <w:r>
        <w:rPr>
          <w:color w:val="000000" w:themeColor="text1"/>
        </w:rPr>
        <w:t xml:space="preserve"> </w:t>
      </w:r>
      <w:r w:rsidR="004B44B6">
        <w:rPr>
          <w:color w:val="000000" w:themeColor="text1"/>
        </w:rPr>
        <w:t xml:space="preserve">of </w:t>
      </w:r>
      <w:r>
        <w:rPr>
          <w:color w:val="000000" w:themeColor="text1"/>
        </w:rPr>
        <w:t xml:space="preserve">a person </w:t>
      </w:r>
      <w:r w:rsidR="00841475">
        <w:rPr>
          <w:color w:val="000000" w:themeColor="text1"/>
        </w:rPr>
        <w:t xml:space="preserve">having </w:t>
      </w:r>
      <w:r>
        <w:rPr>
          <w:color w:val="000000" w:themeColor="text1"/>
        </w:rPr>
        <w:t>claimed</w:t>
      </w:r>
      <w:r w:rsidR="0072452F">
        <w:rPr>
          <w:color w:val="000000" w:themeColor="text1"/>
        </w:rPr>
        <w:t>,</w:t>
      </w:r>
      <w:r w:rsidR="00841475">
        <w:rPr>
          <w:color w:val="000000" w:themeColor="text1"/>
        </w:rPr>
        <w:t xml:space="preserve"> as opposed to being </w:t>
      </w:r>
      <w:r>
        <w:rPr>
          <w:color w:val="000000" w:themeColor="text1"/>
        </w:rPr>
        <w:t xml:space="preserve">potentially </w:t>
      </w:r>
      <w:r w:rsidR="00841475">
        <w:rPr>
          <w:color w:val="000000" w:themeColor="text1"/>
        </w:rPr>
        <w:t xml:space="preserve">eligible and </w:t>
      </w:r>
      <w:r>
        <w:rPr>
          <w:color w:val="000000" w:themeColor="text1"/>
        </w:rPr>
        <w:t>not claim</w:t>
      </w:r>
      <w:r w:rsidR="00841475">
        <w:rPr>
          <w:color w:val="000000" w:themeColor="text1"/>
        </w:rPr>
        <w:t>ing</w:t>
      </w:r>
      <w:r>
        <w:rPr>
          <w:color w:val="000000" w:themeColor="text1"/>
        </w:rPr>
        <w:t xml:space="preserve"> (</w:t>
      </w:r>
      <w:r w:rsidR="000367FC">
        <w:rPr>
          <w:color w:val="000000" w:themeColor="text1"/>
        </w:rPr>
        <w:t xml:space="preserve">Attachment </w:t>
      </w:r>
      <w:r w:rsidR="003E6D12">
        <w:rPr>
          <w:color w:val="000000" w:themeColor="text1"/>
        </w:rPr>
        <w:t>F</w:t>
      </w:r>
      <w:r w:rsidRPr="004C0959">
        <w:rPr>
          <w:color w:val="000000" w:themeColor="text1"/>
        </w:rPr>
        <w:t xml:space="preserve">, </w:t>
      </w:r>
      <w:r w:rsidR="00965FBD">
        <w:rPr>
          <w:color w:val="000000" w:themeColor="text1"/>
        </w:rPr>
        <w:t xml:space="preserve">Table </w:t>
      </w:r>
      <w:r w:rsidR="003E6D12">
        <w:rPr>
          <w:color w:val="000000" w:themeColor="text1"/>
        </w:rPr>
        <w:t>F</w:t>
      </w:r>
      <w:r w:rsidR="00965FBD">
        <w:rPr>
          <w:color w:val="000000" w:themeColor="text1"/>
        </w:rPr>
        <w:t>.</w:t>
      </w:r>
      <w:r w:rsidR="00A82001">
        <w:rPr>
          <w:color w:val="000000" w:themeColor="text1"/>
        </w:rPr>
        <w:t>4</w:t>
      </w:r>
      <w:r>
        <w:rPr>
          <w:color w:val="000000" w:themeColor="text1"/>
        </w:rPr>
        <w:t>)</w:t>
      </w:r>
      <w:r w:rsidR="0072452F">
        <w:rPr>
          <w:color w:val="000000" w:themeColor="text1"/>
        </w:rPr>
        <w:t>.</w:t>
      </w:r>
      <w:r w:rsidR="00C94B94">
        <w:rPr>
          <w:color w:val="000000" w:themeColor="text1"/>
        </w:rPr>
        <w:t xml:space="preserve"> Single parents, in general, would have been more likely to maintain </w:t>
      </w:r>
      <w:r w:rsidR="0072452F">
        <w:rPr>
          <w:color w:val="000000" w:themeColor="text1"/>
        </w:rPr>
        <w:t>m</w:t>
      </w:r>
      <w:r w:rsidR="00C94B94">
        <w:rPr>
          <w:color w:val="000000" w:themeColor="text1"/>
        </w:rPr>
        <w:t>yGov access due to interaction with the childcare/child support systems</w:t>
      </w:r>
      <w:r w:rsidR="00DE6F1D">
        <w:rPr>
          <w:color w:val="000000" w:themeColor="text1"/>
        </w:rPr>
        <w:t xml:space="preserve"> or Family Tax Benefit</w:t>
      </w:r>
      <w:r w:rsidR="00C94B94">
        <w:rPr>
          <w:color w:val="000000" w:themeColor="text1"/>
        </w:rPr>
        <w:t xml:space="preserve">. They would therefore have been more likely to receive relevant information, which may have resulted in </w:t>
      </w:r>
      <w:r w:rsidR="00E33002">
        <w:rPr>
          <w:color w:val="000000" w:themeColor="text1"/>
        </w:rPr>
        <w:t>them being more likely to apply if eligible than those who were not single parents</w:t>
      </w:r>
      <w:r w:rsidR="00C94B94">
        <w:rPr>
          <w:color w:val="000000" w:themeColor="text1"/>
        </w:rPr>
        <w:t>.</w:t>
      </w:r>
    </w:p>
    <w:p w:rsidR="00C72FA6" w:rsidRPr="00D83A7E" w:rsidRDefault="0072452F" w:rsidP="00606C95">
      <w:pPr>
        <w:pStyle w:val="TableCaption"/>
        <w:spacing w:before="240"/>
      </w:pPr>
      <w:bookmarkStart w:id="140" w:name="_Toc507600308"/>
      <w:r>
        <w:t>Table</w:t>
      </w:r>
      <w:r w:rsidR="00C72FA6" w:rsidRPr="00D83A7E">
        <w:t xml:space="preserve"> 3.</w:t>
      </w:r>
      <w:r w:rsidR="008D1AF5">
        <w:t>4</w:t>
      </w:r>
      <w:r w:rsidR="00C72FA6" w:rsidRPr="00D83A7E">
        <w:t xml:space="preserve">: </w:t>
      </w:r>
      <w:r w:rsidR="00C72FA6">
        <w:t xml:space="preserve">Demographic </w:t>
      </w:r>
      <w:r w:rsidR="00392022">
        <w:t xml:space="preserve">characteristics </w:t>
      </w:r>
      <w:r w:rsidR="00C72FA6">
        <w:t xml:space="preserve">of people more likely to claim the JCB </w:t>
      </w:r>
      <w:r w:rsidR="00C72FA6" w:rsidRPr="00D83A7E">
        <w:t>(percent</w:t>
      </w:r>
      <w:r w:rsidR="00C72FA6">
        <w:t>age points</w:t>
      </w:r>
      <w:r w:rsidR="00C72FA6" w:rsidRPr="00D83A7E">
        <w:t>)</w:t>
      </w:r>
      <w:bookmarkEnd w:id="140"/>
    </w:p>
    <w:tbl>
      <w:tblPr>
        <w:tblW w:w="9088" w:type="dxa"/>
        <w:tblInd w:w="93" w:type="dxa"/>
        <w:tblLook w:val="04A0" w:firstRow="1" w:lastRow="0" w:firstColumn="1" w:lastColumn="0" w:noHBand="0" w:noVBand="1"/>
      </w:tblPr>
      <w:tblGrid>
        <w:gridCol w:w="5410"/>
        <w:gridCol w:w="3678"/>
      </w:tblGrid>
      <w:tr w:rsidR="004B44B6" w:rsidRPr="00CC7DFC" w:rsidTr="00562F6E">
        <w:trPr>
          <w:trHeight w:val="397"/>
          <w:tblHeader/>
        </w:trPr>
        <w:tc>
          <w:tcPr>
            <w:tcW w:w="5410" w:type="dxa"/>
            <w:shd w:val="clear" w:color="000000" w:fill="1E3D6B"/>
            <w:noWrap/>
            <w:vAlign w:val="center"/>
            <w:hideMark/>
          </w:tcPr>
          <w:p w:rsidR="004B44B6" w:rsidRPr="006B181D" w:rsidRDefault="004B44B6" w:rsidP="00CA0608">
            <w:pPr>
              <w:keepNext/>
              <w:spacing w:after="0" w:line="240" w:lineRule="auto"/>
              <w:rPr>
                <w:rFonts w:ascii="Calibri" w:eastAsia="Times New Roman" w:hAnsi="Calibri" w:cs="Calibri"/>
                <w:b/>
                <w:bCs/>
                <w:sz w:val="20"/>
                <w:szCs w:val="20"/>
                <w:lang w:eastAsia="en-AU"/>
              </w:rPr>
            </w:pPr>
            <w:bookmarkStart w:id="141" w:name="Title_34"/>
            <w:bookmarkEnd w:id="141"/>
            <w:r w:rsidRPr="006B181D">
              <w:rPr>
                <w:rFonts w:ascii="Calibri" w:eastAsia="Times New Roman" w:hAnsi="Calibri" w:cs="Calibri"/>
                <w:b/>
                <w:bCs/>
                <w:color w:val="FFFFFF" w:themeColor="background2"/>
                <w:sz w:val="20"/>
                <w:szCs w:val="20"/>
                <w:lang w:eastAsia="en-AU"/>
              </w:rPr>
              <w:t>Characteristic</w:t>
            </w:r>
          </w:p>
        </w:tc>
        <w:tc>
          <w:tcPr>
            <w:tcW w:w="3678" w:type="dxa"/>
            <w:shd w:val="clear" w:color="000000" w:fill="1E3D6B"/>
            <w:vAlign w:val="center"/>
            <w:hideMark/>
          </w:tcPr>
          <w:p w:rsidR="004B44B6" w:rsidRPr="006B181D" w:rsidRDefault="00E33002" w:rsidP="00CA0608">
            <w:pPr>
              <w:keepNext/>
              <w:spacing w:after="0" w:line="240" w:lineRule="auto"/>
              <w:jc w:val="center"/>
              <w:rPr>
                <w:rFonts w:ascii="Calibri" w:eastAsia="Times New Roman" w:hAnsi="Calibri" w:cs="Calibri"/>
                <w:b/>
                <w:bCs/>
                <w:color w:val="FFFFFF" w:themeColor="background2"/>
                <w:sz w:val="20"/>
                <w:szCs w:val="20"/>
                <w:lang w:eastAsia="en-AU"/>
              </w:rPr>
            </w:pPr>
            <w:r>
              <w:rPr>
                <w:b/>
                <w:color w:val="FFFFFF" w:themeColor="background2"/>
                <w:sz w:val="20"/>
                <w:szCs w:val="20"/>
              </w:rPr>
              <w:t>P</w:t>
            </w:r>
            <w:r w:rsidRPr="006B181D">
              <w:rPr>
                <w:b/>
                <w:color w:val="FFFFFF" w:themeColor="background2"/>
                <w:sz w:val="20"/>
                <w:szCs w:val="20"/>
              </w:rPr>
              <w:t xml:space="preserve">ercentage </w:t>
            </w:r>
            <w:r w:rsidR="004B44B6" w:rsidRPr="006B181D">
              <w:rPr>
                <w:b/>
                <w:color w:val="FFFFFF" w:themeColor="background2"/>
                <w:sz w:val="20"/>
                <w:szCs w:val="20"/>
              </w:rPr>
              <w:t>points more likely</w:t>
            </w:r>
          </w:p>
        </w:tc>
      </w:tr>
      <w:tr w:rsidR="004B44B6" w:rsidRPr="00CC7DFC" w:rsidTr="004968D9">
        <w:trPr>
          <w:trHeight w:val="397"/>
        </w:trPr>
        <w:tc>
          <w:tcPr>
            <w:tcW w:w="5410" w:type="dxa"/>
            <w:shd w:val="clear" w:color="auto" w:fill="auto"/>
            <w:noWrap/>
            <w:vAlign w:val="center"/>
            <w:hideMark/>
          </w:tcPr>
          <w:p w:rsidR="004B44B6" w:rsidRPr="006B181D" w:rsidRDefault="00E33002" w:rsidP="00E33002">
            <w:pPr>
              <w:keepNext/>
              <w:spacing w:after="0" w:line="240" w:lineRule="auto"/>
              <w:rPr>
                <w:rFonts w:ascii="Calibri" w:eastAsia="Times New Roman" w:hAnsi="Calibri" w:cs="Calibri"/>
                <w:color w:val="000000" w:themeColor="text1"/>
                <w:sz w:val="20"/>
                <w:szCs w:val="20"/>
                <w:lang w:eastAsia="en-AU"/>
              </w:rPr>
            </w:pPr>
            <w:r>
              <w:rPr>
                <w:color w:val="000000" w:themeColor="text1"/>
                <w:sz w:val="20"/>
                <w:szCs w:val="20"/>
              </w:rPr>
              <w:t>S</w:t>
            </w:r>
            <w:r w:rsidR="004B44B6" w:rsidRPr="006B181D">
              <w:rPr>
                <w:color w:val="000000" w:themeColor="text1"/>
                <w:sz w:val="20"/>
                <w:szCs w:val="20"/>
              </w:rPr>
              <w:t>ingle parents</w:t>
            </w:r>
          </w:p>
        </w:tc>
        <w:tc>
          <w:tcPr>
            <w:tcW w:w="3678" w:type="dxa"/>
            <w:shd w:val="clear" w:color="auto" w:fill="auto"/>
            <w:noWrap/>
            <w:vAlign w:val="center"/>
            <w:hideMark/>
          </w:tcPr>
          <w:p w:rsidR="004B44B6" w:rsidRPr="006B181D" w:rsidRDefault="004B44B6" w:rsidP="00CA0608">
            <w:pPr>
              <w:keepNext/>
              <w:spacing w:after="0" w:line="240" w:lineRule="auto"/>
              <w:ind w:right="743"/>
              <w:jc w:val="right"/>
              <w:rPr>
                <w:rFonts w:ascii="Calibri" w:eastAsia="Times New Roman" w:hAnsi="Calibri" w:cs="Calibri"/>
                <w:color w:val="000000" w:themeColor="text1"/>
                <w:sz w:val="20"/>
                <w:szCs w:val="20"/>
                <w:lang w:eastAsia="en-AU"/>
              </w:rPr>
            </w:pPr>
            <w:r w:rsidRPr="006B181D">
              <w:rPr>
                <w:color w:val="000000" w:themeColor="text1"/>
                <w:sz w:val="20"/>
                <w:szCs w:val="20"/>
              </w:rPr>
              <w:t>8.1</w:t>
            </w:r>
          </w:p>
        </w:tc>
      </w:tr>
      <w:tr w:rsidR="004B44B6" w:rsidRPr="00CC7DFC" w:rsidTr="004968D9">
        <w:trPr>
          <w:trHeight w:val="397"/>
        </w:trPr>
        <w:tc>
          <w:tcPr>
            <w:tcW w:w="5410" w:type="dxa"/>
            <w:shd w:val="clear" w:color="auto" w:fill="E5E5E5" w:themeFill="background1" w:themeFillTint="33"/>
            <w:noWrap/>
            <w:vAlign w:val="center"/>
            <w:hideMark/>
          </w:tcPr>
          <w:p w:rsidR="004B44B6" w:rsidRPr="006B181D" w:rsidRDefault="00E33002" w:rsidP="00CA0608">
            <w:pPr>
              <w:keepNext/>
              <w:spacing w:after="0" w:line="240" w:lineRule="auto"/>
              <w:rPr>
                <w:rFonts w:ascii="Calibri" w:eastAsia="Times New Roman" w:hAnsi="Calibri" w:cs="Calibri"/>
                <w:color w:val="000000" w:themeColor="text1"/>
                <w:sz w:val="20"/>
                <w:szCs w:val="20"/>
                <w:lang w:eastAsia="en-AU"/>
              </w:rPr>
            </w:pPr>
            <w:r>
              <w:rPr>
                <w:color w:val="000000" w:themeColor="text1"/>
                <w:sz w:val="20"/>
                <w:szCs w:val="20"/>
              </w:rPr>
              <w:t>L</w:t>
            </w:r>
            <w:r w:rsidR="004B44B6" w:rsidRPr="006B181D">
              <w:rPr>
                <w:color w:val="000000" w:themeColor="text1"/>
                <w:sz w:val="20"/>
                <w:szCs w:val="20"/>
              </w:rPr>
              <w:t>iving in a high/extreme disadvantaged ESA</w:t>
            </w:r>
          </w:p>
        </w:tc>
        <w:tc>
          <w:tcPr>
            <w:tcW w:w="3678" w:type="dxa"/>
            <w:shd w:val="clear" w:color="auto" w:fill="E5E5E5" w:themeFill="background1" w:themeFillTint="33"/>
            <w:noWrap/>
            <w:vAlign w:val="center"/>
            <w:hideMark/>
          </w:tcPr>
          <w:p w:rsidR="004B44B6" w:rsidRPr="006B181D" w:rsidRDefault="004B44B6" w:rsidP="00CA0608">
            <w:pPr>
              <w:keepNext/>
              <w:spacing w:after="0" w:line="240" w:lineRule="auto"/>
              <w:ind w:right="743"/>
              <w:jc w:val="right"/>
              <w:rPr>
                <w:rFonts w:ascii="Calibri" w:eastAsia="Times New Roman" w:hAnsi="Calibri" w:cs="Calibri"/>
                <w:color w:val="000000" w:themeColor="text1"/>
                <w:sz w:val="20"/>
                <w:szCs w:val="20"/>
                <w:lang w:eastAsia="en-AU"/>
              </w:rPr>
            </w:pPr>
            <w:r w:rsidRPr="006B181D">
              <w:rPr>
                <w:color w:val="000000" w:themeColor="text1"/>
                <w:sz w:val="20"/>
                <w:szCs w:val="20"/>
              </w:rPr>
              <w:t>4.5</w:t>
            </w:r>
          </w:p>
        </w:tc>
      </w:tr>
      <w:tr w:rsidR="004B44B6" w:rsidRPr="00CC7DFC" w:rsidTr="004968D9">
        <w:trPr>
          <w:trHeight w:val="397"/>
        </w:trPr>
        <w:tc>
          <w:tcPr>
            <w:tcW w:w="5410" w:type="dxa"/>
            <w:shd w:val="clear" w:color="auto" w:fill="auto"/>
            <w:noWrap/>
            <w:vAlign w:val="center"/>
            <w:hideMark/>
          </w:tcPr>
          <w:p w:rsidR="004B44B6" w:rsidRPr="006B181D" w:rsidRDefault="00E33002" w:rsidP="00CA0608">
            <w:pPr>
              <w:keepNext/>
              <w:spacing w:after="0" w:line="240" w:lineRule="auto"/>
              <w:rPr>
                <w:rFonts w:ascii="Calibri" w:eastAsia="Times New Roman" w:hAnsi="Calibri" w:cs="Calibri"/>
                <w:color w:val="000000" w:themeColor="text1"/>
                <w:sz w:val="20"/>
                <w:szCs w:val="20"/>
                <w:lang w:eastAsia="en-AU"/>
              </w:rPr>
            </w:pPr>
            <w:r>
              <w:rPr>
                <w:color w:val="000000" w:themeColor="text1"/>
                <w:sz w:val="20"/>
                <w:szCs w:val="20"/>
              </w:rPr>
              <w:t>W</w:t>
            </w:r>
            <w:r w:rsidRPr="006B181D">
              <w:rPr>
                <w:color w:val="000000" w:themeColor="text1"/>
                <w:sz w:val="20"/>
                <w:szCs w:val="20"/>
              </w:rPr>
              <w:t xml:space="preserve">ith </w:t>
            </w:r>
            <w:r w:rsidR="004B44B6" w:rsidRPr="006B181D">
              <w:rPr>
                <w:color w:val="000000" w:themeColor="text1"/>
                <w:sz w:val="20"/>
                <w:szCs w:val="20"/>
              </w:rPr>
              <w:t>tertiary education compared with TAFE</w:t>
            </w:r>
          </w:p>
        </w:tc>
        <w:tc>
          <w:tcPr>
            <w:tcW w:w="3678" w:type="dxa"/>
            <w:shd w:val="clear" w:color="auto" w:fill="auto"/>
            <w:noWrap/>
            <w:vAlign w:val="center"/>
            <w:hideMark/>
          </w:tcPr>
          <w:p w:rsidR="004B44B6" w:rsidRPr="006B181D" w:rsidRDefault="004B44B6" w:rsidP="00CA0608">
            <w:pPr>
              <w:keepNext/>
              <w:spacing w:after="0" w:line="240" w:lineRule="auto"/>
              <w:ind w:right="743"/>
              <w:jc w:val="right"/>
              <w:rPr>
                <w:rFonts w:ascii="Calibri" w:eastAsia="Times New Roman" w:hAnsi="Calibri" w:cs="Calibri"/>
                <w:color w:val="000000" w:themeColor="text1"/>
                <w:sz w:val="20"/>
                <w:szCs w:val="20"/>
                <w:lang w:eastAsia="en-AU"/>
              </w:rPr>
            </w:pPr>
            <w:r w:rsidRPr="006B181D">
              <w:rPr>
                <w:color w:val="000000" w:themeColor="text1"/>
                <w:sz w:val="20"/>
                <w:szCs w:val="20"/>
              </w:rPr>
              <w:t>4.5</w:t>
            </w:r>
          </w:p>
        </w:tc>
      </w:tr>
      <w:tr w:rsidR="004B44B6" w:rsidRPr="00CC7DFC" w:rsidTr="004968D9">
        <w:trPr>
          <w:trHeight w:val="397"/>
        </w:trPr>
        <w:tc>
          <w:tcPr>
            <w:tcW w:w="5410" w:type="dxa"/>
            <w:shd w:val="clear" w:color="auto" w:fill="E5E5E5" w:themeFill="background1" w:themeFillTint="33"/>
            <w:noWrap/>
            <w:vAlign w:val="center"/>
            <w:hideMark/>
          </w:tcPr>
          <w:p w:rsidR="004B44B6" w:rsidRPr="006B181D" w:rsidRDefault="00E33002" w:rsidP="00CA0608">
            <w:pPr>
              <w:keepNext/>
              <w:spacing w:after="0" w:line="240" w:lineRule="auto"/>
              <w:rPr>
                <w:rFonts w:ascii="Calibri" w:eastAsia="Times New Roman" w:hAnsi="Calibri" w:cs="Calibri"/>
                <w:color w:val="000000" w:themeColor="text1"/>
                <w:sz w:val="20"/>
                <w:szCs w:val="20"/>
                <w:lang w:eastAsia="en-AU"/>
              </w:rPr>
            </w:pPr>
            <w:r>
              <w:rPr>
                <w:color w:val="000000" w:themeColor="text1"/>
                <w:sz w:val="20"/>
                <w:szCs w:val="20"/>
              </w:rPr>
              <w:t>H</w:t>
            </w:r>
            <w:r w:rsidRPr="006B181D">
              <w:rPr>
                <w:color w:val="000000" w:themeColor="text1"/>
                <w:sz w:val="20"/>
                <w:szCs w:val="20"/>
              </w:rPr>
              <w:t xml:space="preserve">ad </w:t>
            </w:r>
            <w:r w:rsidR="004B44B6" w:rsidRPr="006B181D">
              <w:rPr>
                <w:color w:val="000000" w:themeColor="text1"/>
                <w:sz w:val="20"/>
                <w:szCs w:val="20"/>
              </w:rPr>
              <w:t>been on income support more than three years</w:t>
            </w:r>
          </w:p>
        </w:tc>
        <w:tc>
          <w:tcPr>
            <w:tcW w:w="3678" w:type="dxa"/>
            <w:shd w:val="clear" w:color="auto" w:fill="E5E5E5" w:themeFill="background1" w:themeFillTint="33"/>
            <w:noWrap/>
            <w:vAlign w:val="center"/>
            <w:hideMark/>
          </w:tcPr>
          <w:p w:rsidR="004B44B6" w:rsidRPr="006B181D" w:rsidRDefault="004B44B6" w:rsidP="00CA0608">
            <w:pPr>
              <w:keepNext/>
              <w:spacing w:after="0" w:line="240" w:lineRule="auto"/>
              <w:ind w:right="743"/>
              <w:jc w:val="right"/>
              <w:rPr>
                <w:rFonts w:ascii="Calibri" w:eastAsia="Times New Roman" w:hAnsi="Calibri" w:cs="Calibri"/>
                <w:color w:val="000000" w:themeColor="text1"/>
                <w:sz w:val="20"/>
                <w:szCs w:val="20"/>
                <w:lang w:eastAsia="en-AU"/>
              </w:rPr>
            </w:pPr>
            <w:r w:rsidRPr="006B181D">
              <w:rPr>
                <w:color w:val="000000" w:themeColor="text1"/>
                <w:sz w:val="20"/>
                <w:szCs w:val="20"/>
              </w:rPr>
              <w:t>4.3</w:t>
            </w:r>
          </w:p>
        </w:tc>
      </w:tr>
      <w:tr w:rsidR="004B44B6" w:rsidRPr="00CC7DFC" w:rsidTr="004968D9">
        <w:trPr>
          <w:trHeight w:val="397"/>
        </w:trPr>
        <w:tc>
          <w:tcPr>
            <w:tcW w:w="5410" w:type="dxa"/>
            <w:shd w:val="clear" w:color="auto" w:fill="auto"/>
            <w:noWrap/>
            <w:vAlign w:val="center"/>
            <w:hideMark/>
          </w:tcPr>
          <w:p w:rsidR="004B44B6" w:rsidRPr="006B181D" w:rsidRDefault="00E33002" w:rsidP="00CA0608">
            <w:pPr>
              <w:keepNext/>
              <w:spacing w:after="0" w:line="240" w:lineRule="auto"/>
              <w:rPr>
                <w:rFonts w:ascii="Calibri" w:eastAsia="Times New Roman" w:hAnsi="Calibri" w:cs="Calibri"/>
                <w:color w:val="000000" w:themeColor="text1"/>
                <w:sz w:val="20"/>
                <w:szCs w:val="20"/>
                <w:lang w:eastAsia="en-AU"/>
              </w:rPr>
            </w:pPr>
            <w:r>
              <w:rPr>
                <w:color w:val="000000" w:themeColor="text1"/>
                <w:sz w:val="20"/>
                <w:szCs w:val="20"/>
              </w:rPr>
              <w:t>F</w:t>
            </w:r>
            <w:r w:rsidRPr="006B181D">
              <w:rPr>
                <w:color w:val="000000" w:themeColor="text1"/>
                <w:sz w:val="20"/>
                <w:szCs w:val="20"/>
              </w:rPr>
              <w:t>emales</w:t>
            </w:r>
          </w:p>
        </w:tc>
        <w:tc>
          <w:tcPr>
            <w:tcW w:w="3678" w:type="dxa"/>
            <w:shd w:val="clear" w:color="auto" w:fill="auto"/>
            <w:noWrap/>
            <w:vAlign w:val="center"/>
            <w:hideMark/>
          </w:tcPr>
          <w:p w:rsidR="004B44B6" w:rsidRPr="006B181D" w:rsidRDefault="004B44B6" w:rsidP="00CA0608">
            <w:pPr>
              <w:keepNext/>
              <w:spacing w:after="0" w:line="240" w:lineRule="auto"/>
              <w:ind w:right="743"/>
              <w:jc w:val="right"/>
              <w:rPr>
                <w:rFonts w:ascii="Calibri" w:eastAsia="Times New Roman" w:hAnsi="Calibri" w:cs="Calibri"/>
                <w:color w:val="000000" w:themeColor="text1"/>
                <w:sz w:val="20"/>
                <w:szCs w:val="20"/>
                <w:lang w:eastAsia="en-AU"/>
              </w:rPr>
            </w:pPr>
            <w:r w:rsidRPr="006B181D">
              <w:rPr>
                <w:color w:val="000000" w:themeColor="text1"/>
                <w:sz w:val="20"/>
                <w:szCs w:val="20"/>
              </w:rPr>
              <w:t>2.9</w:t>
            </w:r>
          </w:p>
        </w:tc>
      </w:tr>
      <w:tr w:rsidR="004B44B6" w:rsidRPr="00CC7DFC" w:rsidTr="004968D9">
        <w:trPr>
          <w:trHeight w:val="397"/>
        </w:trPr>
        <w:tc>
          <w:tcPr>
            <w:tcW w:w="5410" w:type="dxa"/>
            <w:shd w:val="clear" w:color="auto" w:fill="E5E5E5" w:themeFill="background1" w:themeFillTint="33"/>
            <w:noWrap/>
            <w:vAlign w:val="center"/>
            <w:hideMark/>
          </w:tcPr>
          <w:p w:rsidR="004B44B6" w:rsidRPr="006B181D" w:rsidRDefault="00E33002" w:rsidP="00CA0608">
            <w:pPr>
              <w:keepNext/>
              <w:spacing w:after="0" w:line="240" w:lineRule="auto"/>
              <w:rPr>
                <w:rFonts w:ascii="Calibri" w:eastAsia="Times New Roman" w:hAnsi="Calibri" w:cs="Calibri"/>
                <w:color w:val="000000" w:themeColor="text1"/>
                <w:sz w:val="20"/>
                <w:szCs w:val="20"/>
                <w:lang w:eastAsia="en-AU"/>
              </w:rPr>
            </w:pPr>
            <w:r>
              <w:rPr>
                <w:color w:val="000000" w:themeColor="text1"/>
                <w:sz w:val="20"/>
                <w:szCs w:val="20"/>
              </w:rPr>
              <w:t>H</w:t>
            </w:r>
            <w:r w:rsidRPr="006B181D">
              <w:rPr>
                <w:color w:val="000000" w:themeColor="text1"/>
                <w:sz w:val="20"/>
                <w:szCs w:val="20"/>
              </w:rPr>
              <w:t xml:space="preserve">ad </w:t>
            </w:r>
            <w:r w:rsidR="004B44B6" w:rsidRPr="006B181D">
              <w:rPr>
                <w:color w:val="000000" w:themeColor="text1"/>
                <w:sz w:val="20"/>
                <w:szCs w:val="20"/>
              </w:rPr>
              <w:t>been on income support two to three years</w:t>
            </w:r>
          </w:p>
        </w:tc>
        <w:tc>
          <w:tcPr>
            <w:tcW w:w="3678" w:type="dxa"/>
            <w:shd w:val="clear" w:color="auto" w:fill="E5E5E5" w:themeFill="background1" w:themeFillTint="33"/>
            <w:noWrap/>
            <w:vAlign w:val="center"/>
            <w:hideMark/>
          </w:tcPr>
          <w:p w:rsidR="004B44B6" w:rsidRPr="006B181D" w:rsidRDefault="004B44B6" w:rsidP="00CA0608">
            <w:pPr>
              <w:keepNext/>
              <w:spacing w:after="0" w:line="240" w:lineRule="auto"/>
              <w:ind w:right="743"/>
              <w:jc w:val="right"/>
              <w:rPr>
                <w:rFonts w:ascii="Calibri" w:eastAsia="Times New Roman" w:hAnsi="Calibri" w:cs="Calibri"/>
                <w:color w:val="000000" w:themeColor="text1"/>
                <w:sz w:val="20"/>
                <w:szCs w:val="20"/>
                <w:lang w:eastAsia="en-AU"/>
              </w:rPr>
            </w:pPr>
            <w:r w:rsidRPr="006B181D">
              <w:rPr>
                <w:color w:val="000000" w:themeColor="text1"/>
                <w:sz w:val="20"/>
                <w:szCs w:val="20"/>
              </w:rPr>
              <w:t>2.7</w:t>
            </w:r>
          </w:p>
        </w:tc>
      </w:tr>
      <w:tr w:rsidR="004B44B6" w:rsidRPr="00CC7DFC" w:rsidTr="004968D9">
        <w:trPr>
          <w:trHeight w:val="397"/>
        </w:trPr>
        <w:tc>
          <w:tcPr>
            <w:tcW w:w="5410" w:type="dxa"/>
            <w:shd w:val="clear" w:color="auto" w:fill="auto"/>
            <w:noWrap/>
            <w:vAlign w:val="center"/>
            <w:hideMark/>
          </w:tcPr>
          <w:p w:rsidR="004B44B6" w:rsidRPr="006B181D" w:rsidRDefault="004B44B6" w:rsidP="00CA0608">
            <w:pPr>
              <w:keepNext/>
              <w:spacing w:after="0" w:line="240" w:lineRule="auto"/>
              <w:rPr>
                <w:rFonts w:ascii="Calibri" w:eastAsia="Times New Roman" w:hAnsi="Calibri" w:cs="Calibri"/>
                <w:color w:val="000000" w:themeColor="text1"/>
                <w:sz w:val="20"/>
                <w:szCs w:val="20"/>
                <w:lang w:eastAsia="en-AU"/>
              </w:rPr>
            </w:pPr>
            <w:r w:rsidRPr="006B181D">
              <w:rPr>
                <w:color w:val="000000" w:themeColor="text1"/>
                <w:sz w:val="20"/>
                <w:szCs w:val="20"/>
              </w:rPr>
              <w:t>CALD</w:t>
            </w:r>
          </w:p>
        </w:tc>
        <w:tc>
          <w:tcPr>
            <w:tcW w:w="3678" w:type="dxa"/>
            <w:shd w:val="clear" w:color="auto" w:fill="auto"/>
            <w:noWrap/>
            <w:vAlign w:val="center"/>
            <w:hideMark/>
          </w:tcPr>
          <w:p w:rsidR="004B44B6" w:rsidRPr="006B181D" w:rsidRDefault="004B44B6" w:rsidP="00CA0608">
            <w:pPr>
              <w:keepNext/>
              <w:spacing w:after="0" w:line="240" w:lineRule="auto"/>
              <w:ind w:right="743"/>
              <w:jc w:val="right"/>
              <w:rPr>
                <w:rFonts w:ascii="Calibri" w:eastAsia="Times New Roman" w:hAnsi="Calibri" w:cs="Calibri"/>
                <w:color w:val="000000" w:themeColor="text1"/>
                <w:sz w:val="20"/>
                <w:szCs w:val="20"/>
                <w:lang w:eastAsia="en-AU"/>
              </w:rPr>
            </w:pPr>
            <w:r w:rsidRPr="006B181D">
              <w:rPr>
                <w:color w:val="000000" w:themeColor="text1"/>
                <w:sz w:val="20"/>
                <w:szCs w:val="20"/>
              </w:rPr>
              <w:t>2.1</w:t>
            </w:r>
          </w:p>
        </w:tc>
      </w:tr>
      <w:tr w:rsidR="004B44B6" w:rsidRPr="00CC7DFC" w:rsidTr="00E33002">
        <w:trPr>
          <w:trHeight w:val="397"/>
        </w:trPr>
        <w:tc>
          <w:tcPr>
            <w:tcW w:w="5410" w:type="dxa"/>
            <w:shd w:val="clear" w:color="auto" w:fill="E5E5E5" w:themeFill="background1" w:themeFillTint="33"/>
            <w:noWrap/>
            <w:vAlign w:val="center"/>
            <w:hideMark/>
          </w:tcPr>
          <w:p w:rsidR="004B44B6" w:rsidRPr="006B181D" w:rsidRDefault="004B44B6" w:rsidP="00CA0608">
            <w:pPr>
              <w:keepNext/>
              <w:spacing w:after="0" w:line="240" w:lineRule="auto"/>
              <w:rPr>
                <w:rFonts w:ascii="Calibri" w:eastAsia="Times New Roman" w:hAnsi="Calibri" w:cs="Calibri"/>
                <w:color w:val="000000" w:themeColor="text1"/>
                <w:sz w:val="20"/>
                <w:szCs w:val="20"/>
                <w:lang w:eastAsia="en-AU"/>
              </w:rPr>
            </w:pPr>
            <w:r w:rsidRPr="006B181D">
              <w:rPr>
                <w:color w:val="000000" w:themeColor="text1"/>
                <w:sz w:val="20"/>
                <w:szCs w:val="20"/>
              </w:rPr>
              <w:t>25 to 30 years old</w:t>
            </w:r>
          </w:p>
        </w:tc>
        <w:tc>
          <w:tcPr>
            <w:tcW w:w="3678" w:type="dxa"/>
            <w:shd w:val="clear" w:color="auto" w:fill="E5E5E5" w:themeFill="background1" w:themeFillTint="33"/>
            <w:noWrap/>
            <w:vAlign w:val="center"/>
            <w:hideMark/>
          </w:tcPr>
          <w:p w:rsidR="004B44B6" w:rsidRPr="006B181D" w:rsidRDefault="004B44B6" w:rsidP="00CA0608">
            <w:pPr>
              <w:keepNext/>
              <w:spacing w:after="0" w:line="240" w:lineRule="auto"/>
              <w:ind w:right="743"/>
              <w:jc w:val="right"/>
              <w:rPr>
                <w:rFonts w:ascii="Calibri" w:eastAsia="Times New Roman" w:hAnsi="Calibri" w:cs="Calibri"/>
                <w:color w:val="000000" w:themeColor="text1"/>
                <w:sz w:val="20"/>
                <w:szCs w:val="20"/>
                <w:lang w:eastAsia="en-AU"/>
              </w:rPr>
            </w:pPr>
            <w:r w:rsidRPr="006B181D">
              <w:rPr>
                <w:color w:val="000000" w:themeColor="text1"/>
                <w:sz w:val="20"/>
                <w:szCs w:val="20"/>
              </w:rPr>
              <w:t>1.8</w:t>
            </w:r>
          </w:p>
        </w:tc>
      </w:tr>
      <w:tr w:rsidR="004B44B6" w:rsidRPr="00CC7DFC" w:rsidTr="00E33002">
        <w:trPr>
          <w:trHeight w:val="397"/>
        </w:trPr>
        <w:tc>
          <w:tcPr>
            <w:tcW w:w="5410" w:type="dxa"/>
            <w:tcBorders>
              <w:bottom w:val="single" w:sz="4" w:space="0" w:color="auto"/>
            </w:tcBorders>
            <w:shd w:val="clear" w:color="auto" w:fill="FFFFFF" w:themeFill="background2"/>
            <w:noWrap/>
            <w:vAlign w:val="center"/>
            <w:hideMark/>
          </w:tcPr>
          <w:p w:rsidR="004B44B6" w:rsidRPr="006B181D" w:rsidRDefault="00E33002" w:rsidP="00CA0608">
            <w:pPr>
              <w:spacing w:after="0" w:line="240" w:lineRule="auto"/>
              <w:rPr>
                <w:rFonts w:ascii="Calibri" w:eastAsia="Times New Roman" w:hAnsi="Calibri" w:cs="Calibri"/>
                <w:color w:val="000000" w:themeColor="text1"/>
                <w:sz w:val="20"/>
                <w:szCs w:val="20"/>
                <w:lang w:eastAsia="en-AU"/>
              </w:rPr>
            </w:pPr>
            <w:r>
              <w:rPr>
                <w:color w:val="000000" w:themeColor="text1"/>
                <w:sz w:val="20"/>
                <w:szCs w:val="20"/>
              </w:rPr>
              <w:t>P</w:t>
            </w:r>
            <w:r w:rsidRPr="006B181D">
              <w:rPr>
                <w:color w:val="000000" w:themeColor="text1"/>
                <w:sz w:val="20"/>
                <w:szCs w:val="20"/>
              </w:rPr>
              <w:t xml:space="preserve">eople </w:t>
            </w:r>
            <w:r w:rsidR="004B44B6" w:rsidRPr="006B181D">
              <w:rPr>
                <w:color w:val="000000" w:themeColor="text1"/>
                <w:sz w:val="20"/>
                <w:szCs w:val="20"/>
              </w:rPr>
              <w:t>with disability</w:t>
            </w:r>
          </w:p>
        </w:tc>
        <w:tc>
          <w:tcPr>
            <w:tcW w:w="3678" w:type="dxa"/>
            <w:tcBorders>
              <w:bottom w:val="single" w:sz="4" w:space="0" w:color="auto"/>
            </w:tcBorders>
            <w:shd w:val="clear" w:color="auto" w:fill="FFFFFF" w:themeFill="background2"/>
            <w:noWrap/>
            <w:vAlign w:val="center"/>
            <w:hideMark/>
          </w:tcPr>
          <w:p w:rsidR="004B44B6" w:rsidRPr="006B181D" w:rsidRDefault="00C72FA6" w:rsidP="00CA0608">
            <w:pPr>
              <w:spacing w:after="0" w:line="240" w:lineRule="auto"/>
              <w:ind w:right="743"/>
              <w:jc w:val="right"/>
              <w:rPr>
                <w:rFonts w:ascii="Calibri" w:eastAsia="Times New Roman" w:hAnsi="Calibri" w:cs="Calibri"/>
                <w:color w:val="000000" w:themeColor="text1"/>
                <w:sz w:val="20"/>
                <w:szCs w:val="20"/>
                <w:lang w:eastAsia="en-AU"/>
              </w:rPr>
            </w:pPr>
            <w:r w:rsidRPr="006B181D">
              <w:rPr>
                <w:color w:val="000000" w:themeColor="text1"/>
                <w:sz w:val="20"/>
                <w:szCs w:val="20"/>
              </w:rPr>
              <w:t>1.4</w:t>
            </w:r>
          </w:p>
        </w:tc>
      </w:tr>
    </w:tbl>
    <w:p w:rsidR="00935604" w:rsidRPr="00935604" w:rsidRDefault="00935604" w:rsidP="00935604">
      <w:pPr>
        <w:pStyle w:val="Source"/>
        <w:rPr>
          <w:rStyle w:val="Hyperlink"/>
          <w:b w:val="0"/>
          <w:color w:val="auto"/>
          <w:u w:val="none"/>
        </w:rPr>
      </w:pPr>
      <w:r w:rsidRPr="00935604">
        <w:t xml:space="preserve">Note: </w:t>
      </w:r>
      <w:r w:rsidRPr="00935604">
        <w:rPr>
          <w:b w:val="0"/>
        </w:rPr>
        <w:t xml:space="preserve">Refer to Attachment F, </w:t>
      </w:r>
      <w:hyperlink w:anchor="Title_F4" w:history="1">
        <w:r w:rsidRPr="00683705">
          <w:rPr>
            <w:rStyle w:val="Hyperlink"/>
            <w:b w:val="0"/>
          </w:rPr>
          <w:t>Table F.4</w:t>
        </w:r>
        <w:r w:rsidR="00EF2C60" w:rsidRPr="00683705">
          <w:rPr>
            <w:rStyle w:val="Hyperlink"/>
            <w:b w:val="0"/>
          </w:rPr>
          <w:t>.</w:t>
        </w:r>
        <w:bookmarkStart w:id="142" w:name="Place_F4"/>
        <w:bookmarkEnd w:id="142"/>
      </w:hyperlink>
    </w:p>
    <w:p w:rsidR="00841475" w:rsidRDefault="008B0A86" w:rsidP="00602B02">
      <w:pPr>
        <w:pStyle w:val="Source"/>
      </w:pPr>
      <w:r w:rsidRPr="003A4B00">
        <w:t>Source:</w:t>
      </w:r>
      <w:r w:rsidR="00562F6E">
        <w:tab/>
      </w:r>
      <w:r w:rsidR="00562F6E" w:rsidRPr="003A4B00">
        <w:rPr>
          <w:b w:val="0"/>
        </w:rPr>
        <w:t xml:space="preserve">DHS and </w:t>
      </w:r>
      <w:r w:rsidR="00562F6E">
        <w:rPr>
          <w:b w:val="0"/>
        </w:rPr>
        <w:t>DoE</w:t>
      </w:r>
      <w:r w:rsidR="00562F6E" w:rsidRPr="003A4B00">
        <w:rPr>
          <w:b w:val="0"/>
        </w:rPr>
        <w:t xml:space="preserve"> monitoring data, </w:t>
      </w:r>
      <w:r w:rsidR="00562F6E">
        <w:rPr>
          <w:b w:val="0"/>
        </w:rPr>
        <w:t>DoE</w:t>
      </w:r>
      <w:r w:rsidR="00562F6E" w:rsidRPr="003A4B00">
        <w:rPr>
          <w:b w:val="0"/>
        </w:rPr>
        <w:t xml:space="preserve"> administrative data and Research and Evaluation Database (RED).</w:t>
      </w:r>
    </w:p>
    <w:p w:rsidR="00F872C2" w:rsidRDefault="005E4C07" w:rsidP="005E4C07">
      <w:pPr>
        <w:spacing w:before="120"/>
      </w:pPr>
      <w:r>
        <w:lastRenderedPageBreak/>
        <w:t xml:space="preserve">Demographic groups </w:t>
      </w:r>
      <w:r w:rsidRPr="0047009F">
        <w:t>less likely</w:t>
      </w:r>
      <w:r>
        <w:t xml:space="preserve"> to have lodged a claim than not having applied were</w:t>
      </w:r>
      <w:r w:rsidR="00F872C2">
        <w:t xml:space="preserve"> people: </w:t>
      </w:r>
    </w:p>
    <w:p w:rsidR="00F872C2" w:rsidRDefault="00F872C2" w:rsidP="00E3205B">
      <w:pPr>
        <w:pStyle w:val="ListParagraph"/>
        <w:numPr>
          <w:ilvl w:val="0"/>
          <w:numId w:val="96"/>
        </w:numPr>
        <w:spacing w:before="120"/>
      </w:pPr>
      <w:r>
        <w:t>with poor/mixed English proficiency</w:t>
      </w:r>
    </w:p>
    <w:p w:rsidR="00F872C2" w:rsidRDefault="00F872C2" w:rsidP="00E3205B">
      <w:pPr>
        <w:pStyle w:val="ListParagraph"/>
        <w:numPr>
          <w:ilvl w:val="0"/>
          <w:numId w:val="96"/>
        </w:numPr>
        <w:spacing w:before="120"/>
      </w:pPr>
      <w:r>
        <w:t>with lower education levels</w:t>
      </w:r>
    </w:p>
    <w:p w:rsidR="00F872C2" w:rsidRDefault="00F872C2" w:rsidP="00E3205B">
      <w:pPr>
        <w:pStyle w:val="ListParagraph"/>
        <w:numPr>
          <w:ilvl w:val="0"/>
          <w:numId w:val="96"/>
        </w:numPr>
        <w:spacing w:before="120"/>
      </w:pPr>
      <w:r>
        <w:t>who are not contactable by phone</w:t>
      </w:r>
    </w:p>
    <w:p w:rsidR="00F872C2" w:rsidRDefault="00F872C2" w:rsidP="00E3205B">
      <w:pPr>
        <w:pStyle w:val="ListParagraph"/>
        <w:numPr>
          <w:ilvl w:val="0"/>
          <w:numId w:val="96"/>
        </w:numPr>
        <w:spacing w:before="120"/>
      </w:pPr>
      <w:r>
        <w:t>who are ex-offenders</w:t>
      </w:r>
      <w:r w:rsidR="00EF2C60">
        <w:t>.</w:t>
      </w:r>
    </w:p>
    <w:p w:rsidR="005E4C07" w:rsidRPr="003A4B00" w:rsidRDefault="005E4C07" w:rsidP="005E4C07">
      <w:r w:rsidRPr="003A4B00">
        <w:t>These results indicate that education levels</w:t>
      </w:r>
      <w:r w:rsidR="00A817AC">
        <w:t xml:space="preserve"> and</w:t>
      </w:r>
      <w:r w:rsidRPr="003A4B00">
        <w:t xml:space="preserve"> availability and accessibility of information were key influences on take-up.</w:t>
      </w:r>
    </w:p>
    <w:p w:rsidR="005E4C07" w:rsidRDefault="003F7FF0" w:rsidP="005E4C07">
      <w:r>
        <w:t>T</w:t>
      </w:r>
      <w:r w:rsidR="005E4C07" w:rsidRPr="003A4B00">
        <w:t xml:space="preserve">here are certain job seeker demographic groups </w:t>
      </w:r>
      <w:r>
        <w:t xml:space="preserve">who are </w:t>
      </w:r>
      <w:r w:rsidR="005E4C07" w:rsidRPr="003A4B00">
        <w:t xml:space="preserve">more strongly influenced by financial incentives. </w:t>
      </w:r>
      <w:r w:rsidR="00D86661" w:rsidRPr="003A4B00">
        <w:t>Immervo</w:t>
      </w:r>
      <w:r w:rsidR="00D86661">
        <w:t>ll</w:t>
      </w:r>
      <w:r w:rsidR="00D86661" w:rsidRPr="003A4B00">
        <w:t xml:space="preserve"> </w:t>
      </w:r>
      <w:r w:rsidR="005E4C07" w:rsidRPr="003A4B00">
        <w:t xml:space="preserve">and Scarpetta (2012) found </w:t>
      </w:r>
      <w:r w:rsidR="00F6390D">
        <w:t xml:space="preserve">that </w:t>
      </w:r>
      <w:r>
        <w:t xml:space="preserve">financial incentives have more influence on </w:t>
      </w:r>
      <w:r w:rsidR="005E4C07">
        <w:t xml:space="preserve">people on </w:t>
      </w:r>
      <w:r w:rsidR="005E4C07" w:rsidRPr="003A4B00">
        <w:t>low income</w:t>
      </w:r>
      <w:r w:rsidR="005E4C07">
        <w:t>s</w:t>
      </w:r>
      <w:r w:rsidR="005E4C07" w:rsidRPr="003A4B00">
        <w:t xml:space="preserve"> and single parents. </w:t>
      </w:r>
      <w:r w:rsidR="00232009">
        <w:t>Findings from this evaluation support this</w:t>
      </w:r>
      <w:r w:rsidR="005E4C07" w:rsidRPr="003A4B00">
        <w:t>.</w:t>
      </w:r>
    </w:p>
    <w:p w:rsidR="00862A6D" w:rsidRPr="00881423" w:rsidRDefault="00862A6D" w:rsidP="00862A6D">
      <w:pPr>
        <w:pStyle w:val="Heading3"/>
      </w:pPr>
      <w:r w:rsidRPr="00881423">
        <w:t>3.</w:t>
      </w:r>
      <w:r>
        <w:t>5</w:t>
      </w:r>
      <w:r w:rsidRPr="00881423">
        <w:t>.</w:t>
      </w:r>
      <w:r>
        <w:t>3</w:t>
      </w:r>
      <w:r w:rsidRPr="00881423">
        <w:tab/>
      </w:r>
      <w:r>
        <w:t>Relationship with financial support received from employment service</w:t>
      </w:r>
    </w:p>
    <w:p w:rsidR="00862A6D" w:rsidRDefault="00862A6D" w:rsidP="00862A6D">
      <w:pPr>
        <w:spacing w:before="120"/>
        <w:rPr>
          <w:color w:val="000000" w:themeColor="text1"/>
        </w:rPr>
      </w:pPr>
      <w:r>
        <w:rPr>
          <w:color w:val="000000" w:themeColor="text1"/>
        </w:rPr>
        <w:t xml:space="preserve">Another </w:t>
      </w:r>
      <w:r w:rsidRPr="00B000D5">
        <w:rPr>
          <w:color w:val="000000" w:themeColor="text1"/>
        </w:rPr>
        <w:t xml:space="preserve">aspect explored </w:t>
      </w:r>
      <w:r w:rsidR="00CA0608">
        <w:rPr>
          <w:color w:val="000000" w:themeColor="text1"/>
        </w:rPr>
        <w:t xml:space="preserve">in this evaluation is the relationship between bonus applicants and </w:t>
      </w:r>
      <w:r>
        <w:rPr>
          <w:color w:val="000000" w:themeColor="text1"/>
        </w:rPr>
        <w:t xml:space="preserve">different amounts or types of </w:t>
      </w:r>
      <w:r w:rsidR="003C341F">
        <w:rPr>
          <w:color w:val="000000" w:themeColor="text1"/>
        </w:rPr>
        <w:t>Employment Pathway Fund (EPF)</w:t>
      </w:r>
      <w:r w:rsidR="003C341F">
        <w:rPr>
          <w:rStyle w:val="FootnoteReference"/>
          <w:color w:val="000000" w:themeColor="text1"/>
        </w:rPr>
        <w:footnoteReference w:id="46"/>
      </w:r>
      <w:r w:rsidR="003C341F">
        <w:rPr>
          <w:color w:val="000000" w:themeColor="text1"/>
        </w:rPr>
        <w:t xml:space="preserve"> </w:t>
      </w:r>
      <w:r w:rsidRPr="00B000D5">
        <w:rPr>
          <w:color w:val="000000" w:themeColor="text1"/>
        </w:rPr>
        <w:t>assistan</w:t>
      </w:r>
      <w:r>
        <w:rPr>
          <w:color w:val="000000" w:themeColor="text1"/>
        </w:rPr>
        <w:t>ce when in employment services</w:t>
      </w:r>
      <w:r w:rsidR="006F3667">
        <w:rPr>
          <w:rStyle w:val="FootnoteReference"/>
          <w:color w:val="000000" w:themeColor="text1"/>
        </w:rPr>
        <w:footnoteReference w:id="47"/>
      </w:r>
      <w:r>
        <w:rPr>
          <w:color w:val="000000" w:themeColor="text1"/>
        </w:rPr>
        <w:t xml:space="preserve">, </w:t>
      </w:r>
      <w:r w:rsidR="003D52BD">
        <w:rPr>
          <w:color w:val="000000" w:themeColor="text1"/>
        </w:rPr>
        <w:t xml:space="preserve">for </w:t>
      </w:r>
      <w:r>
        <w:rPr>
          <w:color w:val="000000" w:themeColor="text1"/>
        </w:rPr>
        <w:t>those:</w:t>
      </w:r>
    </w:p>
    <w:p w:rsidR="00862A6D" w:rsidRDefault="00862A6D" w:rsidP="00E3205B">
      <w:pPr>
        <w:pStyle w:val="ListParagraph"/>
        <w:numPr>
          <w:ilvl w:val="0"/>
          <w:numId w:val="61"/>
        </w:numPr>
        <w:spacing w:before="120"/>
        <w:rPr>
          <w:color w:val="000000" w:themeColor="text1"/>
        </w:rPr>
      </w:pPr>
      <w:r>
        <w:rPr>
          <w:color w:val="000000" w:themeColor="text1"/>
        </w:rPr>
        <w:t xml:space="preserve">who did not claim the bonus but were potentially eligible </w:t>
      </w:r>
    </w:p>
    <w:p w:rsidR="00862A6D" w:rsidRDefault="00862A6D" w:rsidP="00E3205B">
      <w:pPr>
        <w:pStyle w:val="ListParagraph"/>
        <w:numPr>
          <w:ilvl w:val="0"/>
          <w:numId w:val="61"/>
        </w:numPr>
        <w:spacing w:before="120"/>
        <w:rPr>
          <w:color w:val="000000" w:themeColor="text1"/>
        </w:rPr>
      </w:pPr>
      <w:r>
        <w:rPr>
          <w:color w:val="000000" w:themeColor="text1"/>
        </w:rPr>
        <w:t>who remained on income support</w:t>
      </w:r>
    </w:p>
    <w:p w:rsidR="00862A6D" w:rsidRDefault="00862A6D" w:rsidP="00E3205B">
      <w:pPr>
        <w:pStyle w:val="ListParagraph"/>
        <w:numPr>
          <w:ilvl w:val="0"/>
          <w:numId w:val="61"/>
        </w:numPr>
        <w:spacing w:before="120"/>
        <w:rPr>
          <w:color w:val="000000" w:themeColor="text1"/>
        </w:rPr>
      </w:pPr>
      <w:r>
        <w:rPr>
          <w:color w:val="000000" w:themeColor="text1"/>
        </w:rPr>
        <w:t>who left income support but did not sustain their exit, churning back to income support within 12 months of exiting.</w:t>
      </w:r>
    </w:p>
    <w:p w:rsidR="00383788" w:rsidRPr="00383788" w:rsidRDefault="00383788" w:rsidP="00383788">
      <w:pPr>
        <w:tabs>
          <w:tab w:val="left" w:pos="4253"/>
        </w:tabs>
        <w:spacing w:before="120"/>
        <w:rPr>
          <w:color w:val="000000" w:themeColor="text1"/>
        </w:rPr>
      </w:pPr>
      <w:r w:rsidRPr="00383788">
        <w:rPr>
          <w:color w:val="000000" w:themeColor="text1"/>
        </w:rPr>
        <w:t>The detailed results of these analyses are at Attachment F, Tables F.5 to F.8.</w:t>
      </w:r>
    </w:p>
    <w:p w:rsidR="00383788" w:rsidRDefault="00862A6D" w:rsidP="00383788">
      <w:pPr>
        <w:tabs>
          <w:tab w:val="left" w:pos="4253"/>
        </w:tabs>
        <w:spacing w:before="120"/>
        <w:rPr>
          <w:noProof/>
          <w:lang w:eastAsia="en-AU"/>
        </w:rPr>
      </w:pPr>
      <w:r>
        <w:rPr>
          <w:rFonts w:ascii="Calibri" w:eastAsia="Univers" w:hAnsi="Calibri" w:cs="Garamond"/>
          <w:color w:val="000000" w:themeColor="text1"/>
          <w:lang w:eastAsia="en-AU"/>
        </w:rPr>
        <w:t xml:space="preserve">Compared </w:t>
      </w:r>
      <w:r w:rsidR="00A04D5E">
        <w:rPr>
          <w:color w:val="000000" w:themeColor="text1"/>
        </w:rPr>
        <w:t xml:space="preserve">with </w:t>
      </w:r>
      <w:r>
        <w:rPr>
          <w:color w:val="000000" w:themeColor="text1"/>
        </w:rPr>
        <w:t xml:space="preserve">people who </w:t>
      </w:r>
      <w:r w:rsidR="005F244C">
        <w:rPr>
          <w:color w:val="000000" w:themeColor="text1"/>
        </w:rPr>
        <w:t xml:space="preserve">did not </w:t>
      </w:r>
      <w:r>
        <w:rPr>
          <w:color w:val="000000" w:themeColor="text1"/>
        </w:rPr>
        <w:t>receive EPF support</w:t>
      </w:r>
      <w:r w:rsidR="00A04D5E">
        <w:rPr>
          <w:color w:val="000000" w:themeColor="text1"/>
        </w:rPr>
        <w:t>,</w:t>
      </w:r>
      <w:r>
        <w:rPr>
          <w:color w:val="000000" w:themeColor="text1"/>
        </w:rPr>
        <w:t xml:space="preserve"> </w:t>
      </w:r>
      <w:r w:rsidR="005F244C">
        <w:rPr>
          <w:color w:val="000000" w:themeColor="text1"/>
        </w:rPr>
        <w:t xml:space="preserve">people </w:t>
      </w:r>
      <w:r>
        <w:rPr>
          <w:color w:val="000000" w:themeColor="text1"/>
        </w:rPr>
        <w:t xml:space="preserve">who </w:t>
      </w:r>
      <w:r w:rsidR="005F244C">
        <w:rPr>
          <w:color w:val="000000" w:themeColor="text1"/>
        </w:rPr>
        <w:t>did</w:t>
      </w:r>
      <w:r>
        <w:rPr>
          <w:color w:val="000000" w:themeColor="text1"/>
        </w:rPr>
        <w:t xml:space="preserve"> were more likely to have claimed the bonus</w:t>
      </w:r>
      <w:r w:rsidR="0038077F">
        <w:rPr>
          <w:color w:val="000000" w:themeColor="text1"/>
        </w:rPr>
        <w:t xml:space="preserve"> </w:t>
      </w:r>
      <w:r w:rsidR="0038077F" w:rsidRPr="0038077F">
        <w:rPr>
          <w:noProof/>
          <w:lang w:eastAsia="en-AU"/>
        </w:rPr>
        <w:t>(</w:t>
      </w:r>
      <w:r w:rsidR="0038077F" w:rsidRPr="0038077F">
        <w:t xml:space="preserve">Attachment F, </w:t>
      </w:r>
      <w:hyperlink w:anchor="Title_F5" w:history="1">
        <w:r w:rsidR="0038077F" w:rsidRPr="00683705">
          <w:rPr>
            <w:rStyle w:val="Hyperlink"/>
          </w:rPr>
          <w:t>Table F</w:t>
        </w:r>
        <w:r w:rsidR="007E5072" w:rsidRPr="00683705">
          <w:rPr>
            <w:rStyle w:val="Hyperlink"/>
          </w:rPr>
          <w:t>.</w:t>
        </w:r>
        <w:r w:rsidR="0038077F" w:rsidRPr="00683705">
          <w:rPr>
            <w:rStyle w:val="Hyperlink"/>
          </w:rPr>
          <w:t>5</w:t>
        </w:r>
      </w:hyperlink>
      <w:r w:rsidR="0038077F">
        <w:t>)</w:t>
      </w:r>
      <w:bookmarkStart w:id="143" w:name="Place_F5"/>
      <w:bookmarkEnd w:id="143"/>
      <w:r w:rsidR="005F244C">
        <w:rPr>
          <w:color w:val="000000" w:themeColor="text1"/>
        </w:rPr>
        <w:t xml:space="preserve">. This differed depending on the </w:t>
      </w:r>
      <w:r>
        <w:rPr>
          <w:color w:val="000000" w:themeColor="text1"/>
        </w:rPr>
        <w:t>main type of EPF support they received</w:t>
      </w:r>
      <w:r w:rsidR="008B0A86">
        <w:rPr>
          <w:color w:val="000000" w:themeColor="text1"/>
        </w:rPr>
        <w:t xml:space="preserve"> (</w:t>
      </w:r>
      <w:r w:rsidR="00E33002">
        <w:rPr>
          <w:color w:val="000000" w:themeColor="text1"/>
        </w:rPr>
        <w:t>Table </w:t>
      </w:r>
      <w:r w:rsidR="008B0A86">
        <w:rPr>
          <w:color w:val="000000" w:themeColor="text1"/>
        </w:rPr>
        <w:t>3.</w:t>
      </w:r>
      <w:r w:rsidR="008D1AF5">
        <w:rPr>
          <w:color w:val="000000" w:themeColor="text1"/>
        </w:rPr>
        <w:t>5</w:t>
      </w:r>
      <w:r w:rsidR="008B0A86">
        <w:rPr>
          <w:color w:val="000000" w:themeColor="text1"/>
        </w:rPr>
        <w:t>).</w:t>
      </w:r>
      <w:r w:rsidR="00383788">
        <w:rPr>
          <w:color w:val="000000" w:themeColor="text1"/>
        </w:rPr>
        <w:t xml:space="preserve"> </w:t>
      </w:r>
      <w:r w:rsidR="00383788">
        <w:rPr>
          <w:noProof/>
          <w:lang w:eastAsia="en-AU"/>
        </w:rPr>
        <w:t>People who received EPF support for professional services were 3.5 percentage points less likely to have applied for the bonus. Professional services are often provided to those with mental health or other disability issues as well as people requiring high</w:t>
      </w:r>
      <w:r w:rsidR="00602B02">
        <w:rPr>
          <w:noProof/>
          <w:lang w:eastAsia="en-AU"/>
        </w:rPr>
        <w:t>er levels of support.</w:t>
      </w:r>
    </w:p>
    <w:p w:rsidR="008B0A86" w:rsidRPr="00D83A7E" w:rsidRDefault="008B0A86" w:rsidP="006A37B6">
      <w:pPr>
        <w:pStyle w:val="TableCaption"/>
      </w:pPr>
      <w:bookmarkStart w:id="144" w:name="_Toc507600309"/>
      <w:r>
        <w:lastRenderedPageBreak/>
        <w:t>Table</w:t>
      </w:r>
      <w:r w:rsidRPr="00D83A7E">
        <w:t xml:space="preserve"> 3.</w:t>
      </w:r>
      <w:r w:rsidR="008D1AF5">
        <w:t>5</w:t>
      </w:r>
      <w:r w:rsidRPr="00D83A7E">
        <w:t xml:space="preserve">: </w:t>
      </w:r>
      <w:r w:rsidR="00E33002">
        <w:t xml:space="preserve">Likelihood </w:t>
      </w:r>
      <w:r w:rsidR="00383788">
        <w:t>a person</w:t>
      </w:r>
      <w:r w:rsidR="00AA510E">
        <w:t xml:space="preserve"> would</w:t>
      </w:r>
      <w:r w:rsidR="0063173F">
        <w:t xml:space="preserve"> claim the bonus by type of EPF support provided compared to those who received no EPF support</w:t>
      </w:r>
      <w:r>
        <w:t xml:space="preserve"> </w:t>
      </w:r>
      <w:r w:rsidRPr="00D83A7E">
        <w:t>(percent</w:t>
      </w:r>
      <w:r>
        <w:t>age points</w:t>
      </w:r>
      <w:r w:rsidRPr="00D83A7E">
        <w:t>)</w:t>
      </w:r>
      <w:bookmarkEnd w:id="144"/>
    </w:p>
    <w:tbl>
      <w:tblPr>
        <w:tblW w:w="9088" w:type="dxa"/>
        <w:tblInd w:w="93" w:type="dxa"/>
        <w:tblLook w:val="04A0" w:firstRow="1" w:lastRow="0" w:firstColumn="1" w:lastColumn="0" w:noHBand="0" w:noVBand="1"/>
      </w:tblPr>
      <w:tblGrid>
        <w:gridCol w:w="5410"/>
        <w:gridCol w:w="3678"/>
      </w:tblGrid>
      <w:tr w:rsidR="008B0A86" w:rsidRPr="004B44B6" w:rsidTr="00E33002">
        <w:trPr>
          <w:trHeight w:val="397"/>
          <w:tblHeader/>
        </w:trPr>
        <w:tc>
          <w:tcPr>
            <w:tcW w:w="5410" w:type="dxa"/>
            <w:shd w:val="clear" w:color="000000" w:fill="1E3D6B"/>
            <w:noWrap/>
            <w:vAlign w:val="center"/>
            <w:hideMark/>
          </w:tcPr>
          <w:p w:rsidR="008B0A86" w:rsidRPr="006B181D" w:rsidRDefault="00E33002" w:rsidP="00592A80">
            <w:pPr>
              <w:keepNext/>
              <w:spacing w:after="0" w:line="240" w:lineRule="auto"/>
              <w:rPr>
                <w:rFonts w:ascii="Calibri" w:eastAsia="Times New Roman" w:hAnsi="Calibri" w:cs="Calibri"/>
                <w:b/>
                <w:bCs/>
                <w:sz w:val="20"/>
                <w:szCs w:val="20"/>
                <w:lang w:eastAsia="en-AU"/>
              </w:rPr>
            </w:pPr>
            <w:bookmarkStart w:id="145" w:name="Title_35"/>
            <w:bookmarkEnd w:id="145"/>
            <w:r>
              <w:rPr>
                <w:rFonts w:ascii="Calibri" w:eastAsia="Times New Roman" w:hAnsi="Calibri" w:cs="Calibri"/>
                <w:b/>
                <w:bCs/>
                <w:color w:val="FFFFFF" w:themeColor="background2"/>
                <w:sz w:val="20"/>
                <w:szCs w:val="20"/>
                <w:lang w:eastAsia="en-AU"/>
              </w:rPr>
              <w:t>Type of EPF support provided</w:t>
            </w:r>
          </w:p>
        </w:tc>
        <w:tc>
          <w:tcPr>
            <w:tcW w:w="3678" w:type="dxa"/>
            <w:shd w:val="clear" w:color="000000" w:fill="1E3D6B"/>
            <w:vAlign w:val="center"/>
            <w:hideMark/>
          </w:tcPr>
          <w:p w:rsidR="008B0A86" w:rsidRPr="006B181D" w:rsidRDefault="00E33002" w:rsidP="00592A80">
            <w:pPr>
              <w:keepNext/>
              <w:spacing w:after="0" w:line="240" w:lineRule="auto"/>
              <w:jc w:val="center"/>
              <w:rPr>
                <w:rFonts w:ascii="Calibri" w:eastAsia="Times New Roman" w:hAnsi="Calibri" w:cs="Calibri"/>
                <w:b/>
                <w:bCs/>
                <w:color w:val="FFFFFF" w:themeColor="background2"/>
                <w:sz w:val="20"/>
                <w:szCs w:val="20"/>
                <w:lang w:eastAsia="en-AU"/>
              </w:rPr>
            </w:pPr>
            <w:r>
              <w:rPr>
                <w:b/>
                <w:color w:val="FFFFFF" w:themeColor="background2"/>
                <w:sz w:val="20"/>
                <w:szCs w:val="20"/>
              </w:rPr>
              <w:t>P</w:t>
            </w:r>
            <w:r w:rsidRPr="006B181D">
              <w:rPr>
                <w:b/>
                <w:color w:val="FFFFFF" w:themeColor="background2"/>
                <w:sz w:val="20"/>
                <w:szCs w:val="20"/>
              </w:rPr>
              <w:t xml:space="preserve">ercentage </w:t>
            </w:r>
            <w:r w:rsidR="008B0A86" w:rsidRPr="006B181D">
              <w:rPr>
                <w:b/>
                <w:color w:val="FFFFFF" w:themeColor="background2"/>
                <w:sz w:val="20"/>
                <w:szCs w:val="20"/>
              </w:rPr>
              <w:t>points more likely</w:t>
            </w:r>
          </w:p>
        </w:tc>
      </w:tr>
      <w:tr w:rsidR="008B0A86" w:rsidRPr="00CC7DFC" w:rsidTr="00592A80">
        <w:trPr>
          <w:trHeight w:val="397"/>
        </w:trPr>
        <w:tc>
          <w:tcPr>
            <w:tcW w:w="5410" w:type="dxa"/>
            <w:shd w:val="clear" w:color="auto" w:fill="auto"/>
            <w:noWrap/>
            <w:vAlign w:val="center"/>
            <w:hideMark/>
          </w:tcPr>
          <w:p w:rsidR="008B0A86" w:rsidRPr="006B181D" w:rsidRDefault="00283E3D" w:rsidP="00592A80">
            <w:pPr>
              <w:keepNext/>
              <w:spacing w:after="0" w:line="240" w:lineRule="auto"/>
              <w:rPr>
                <w:rFonts w:ascii="Calibri" w:eastAsia="Times New Roman" w:hAnsi="Calibri" w:cs="Calibri"/>
                <w:color w:val="000000" w:themeColor="text1"/>
                <w:sz w:val="20"/>
                <w:szCs w:val="20"/>
                <w:lang w:eastAsia="en-AU"/>
              </w:rPr>
            </w:pPr>
            <w:r>
              <w:rPr>
                <w:noProof/>
                <w:sz w:val="20"/>
                <w:szCs w:val="20"/>
                <w:lang w:eastAsia="en-AU"/>
              </w:rPr>
              <w:t>W</w:t>
            </w:r>
            <w:r w:rsidR="008B0A86" w:rsidRPr="006B181D">
              <w:rPr>
                <w:noProof/>
                <w:sz w:val="20"/>
                <w:szCs w:val="20"/>
                <w:lang w:eastAsia="en-AU"/>
              </w:rPr>
              <w:t>age subsidy support</w:t>
            </w:r>
          </w:p>
        </w:tc>
        <w:tc>
          <w:tcPr>
            <w:tcW w:w="3678" w:type="dxa"/>
            <w:shd w:val="clear" w:color="auto" w:fill="auto"/>
            <w:noWrap/>
            <w:vAlign w:val="center"/>
            <w:hideMark/>
          </w:tcPr>
          <w:p w:rsidR="008B0A86" w:rsidRPr="006B181D" w:rsidRDefault="008B0A86" w:rsidP="00592A80">
            <w:pPr>
              <w:keepNext/>
              <w:spacing w:after="0" w:line="240" w:lineRule="auto"/>
              <w:ind w:right="743"/>
              <w:jc w:val="right"/>
              <w:rPr>
                <w:rFonts w:ascii="Calibri" w:eastAsia="Times New Roman" w:hAnsi="Calibri" w:cs="Calibri"/>
                <w:color w:val="000000" w:themeColor="text1"/>
                <w:sz w:val="20"/>
                <w:szCs w:val="20"/>
                <w:lang w:eastAsia="en-AU"/>
              </w:rPr>
            </w:pPr>
            <w:r w:rsidRPr="006B181D">
              <w:rPr>
                <w:noProof/>
                <w:sz w:val="20"/>
                <w:szCs w:val="20"/>
                <w:lang w:eastAsia="en-AU"/>
              </w:rPr>
              <w:t>5.9</w:t>
            </w:r>
          </w:p>
        </w:tc>
      </w:tr>
      <w:tr w:rsidR="008B0A86" w:rsidRPr="00CC7DFC" w:rsidTr="00592A80">
        <w:trPr>
          <w:trHeight w:val="397"/>
        </w:trPr>
        <w:tc>
          <w:tcPr>
            <w:tcW w:w="5410" w:type="dxa"/>
            <w:shd w:val="clear" w:color="auto" w:fill="E5E5E5" w:themeFill="background1" w:themeFillTint="33"/>
            <w:noWrap/>
            <w:vAlign w:val="center"/>
            <w:hideMark/>
          </w:tcPr>
          <w:p w:rsidR="008B0A86" w:rsidRPr="006B181D" w:rsidRDefault="00283E3D" w:rsidP="00A36B6D">
            <w:pPr>
              <w:keepNext/>
              <w:spacing w:after="0" w:line="240" w:lineRule="auto"/>
              <w:rPr>
                <w:rFonts w:ascii="Calibri" w:eastAsia="Times New Roman" w:hAnsi="Calibri" w:cs="Calibri"/>
                <w:color w:val="000000" w:themeColor="text1"/>
                <w:sz w:val="20"/>
                <w:szCs w:val="20"/>
                <w:lang w:eastAsia="en-AU"/>
              </w:rPr>
            </w:pPr>
            <w:r>
              <w:rPr>
                <w:noProof/>
                <w:sz w:val="20"/>
                <w:szCs w:val="20"/>
                <w:lang w:eastAsia="en-AU"/>
              </w:rPr>
              <w:t>O</w:t>
            </w:r>
            <w:r w:rsidRPr="006B181D">
              <w:rPr>
                <w:noProof/>
                <w:sz w:val="20"/>
                <w:szCs w:val="20"/>
                <w:lang w:eastAsia="en-AU"/>
              </w:rPr>
              <w:t xml:space="preserve">ther </w:t>
            </w:r>
            <w:r w:rsidR="008B0A86" w:rsidRPr="006B181D">
              <w:rPr>
                <w:noProof/>
                <w:sz w:val="20"/>
                <w:szCs w:val="20"/>
                <w:lang w:eastAsia="en-AU"/>
              </w:rPr>
              <w:t>types of EPF support</w:t>
            </w:r>
          </w:p>
        </w:tc>
        <w:tc>
          <w:tcPr>
            <w:tcW w:w="3678" w:type="dxa"/>
            <w:shd w:val="clear" w:color="auto" w:fill="E5E5E5" w:themeFill="background1" w:themeFillTint="33"/>
            <w:noWrap/>
            <w:vAlign w:val="center"/>
            <w:hideMark/>
          </w:tcPr>
          <w:p w:rsidR="008B0A86" w:rsidRPr="006B181D" w:rsidRDefault="008B0A86" w:rsidP="00592A80">
            <w:pPr>
              <w:keepNext/>
              <w:spacing w:after="0" w:line="240" w:lineRule="auto"/>
              <w:ind w:right="743"/>
              <w:jc w:val="right"/>
              <w:rPr>
                <w:rFonts w:ascii="Calibri" w:eastAsia="Times New Roman" w:hAnsi="Calibri" w:cs="Calibri"/>
                <w:color w:val="000000" w:themeColor="text1"/>
                <w:sz w:val="20"/>
                <w:szCs w:val="20"/>
                <w:lang w:eastAsia="en-AU"/>
              </w:rPr>
            </w:pPr>
            <w:r w:rsidRPr="006B181D">
              <w:rPr>
                <w:noProof/>
                <w:sz w:val="20"/>
                <w:szCs w:val="20"/>
                <w:lang w:eastAsia="en-AU"/>
              </w:rPr>
              <w:t>5.3</w:t>
            </w:r>
          </w:p>
        </w:tc>
      </w:tr>
      <w:tr w:rsidR="008B0A86" w:rsidRPr="00CC7DFC" w:rsidTr="00592A80">
        <w:trPr>
          <w:trHeight w:val="397"/>
        </w:trPr>
        <w:tc>
          <w:tcPr>
            <w:tcW w:w="5410" w:type="dxa"/>
            <w:shd w:val="clear" w:color="auto" w:fill="auto"/>
            <w:noWrap/>
            <w:vAlign w:val="center"/>
            <w:hideMark/>
          </w:tcPr>
          <w:p w:rsidR="008B0A86" w:rsidRPr="006B181D" w:rsidRDefault="00283E3D" w:rsidP="00A36B6D">
            <w:pPr>
              <w:keepNext/>
              <w:spacing w:after="0" w:line="240" w:lineRule="auto"/>
              <w:rPr>
                <w:rFonts w:ascii="Calibri" w:eastAsia="Times New Roman" w:hAnsi="Calibri" w:cs="Calibri"/>
                <w:color w:val="000000" w:themeColor="text1"/>
                <w:sz w:val="20"/>
                <w:szCs w:val="20"/>
                <w:lang w:eastAsia="en-AU"/>
              </w:rPr>
            </w:pPr>
            <w:r>
              <w:rPr>
                <w:noProof/>
                <w:sz w:val="20"/>
                <w:szCs w:val="20"/>
                <w:lang w:eastAsia="en-AU"/>
              </w:rPr>
              <w:t>T</w:t>
            </w:r>
            <w:r w:rsidRPr="006B181D">
              <w:rPr>
                <w:noProof/>
                <w:sz w:val="20"/>
                <w:szCs w:val="20"/>
                <w:lang w:eastAsia="en-AU"/>
              </w:rPr>
              <w:t xml:space="preserve">ransport </w:t>
            </w:r>
            <w:r w:rsidR="008B0A86" w:rsidRPr="006B181D">
              <w:rPr>
                <w:noProof/>
                <w:sz w:val="20"/>
                <w:szCs w:val="20"/>
                <w:lang w:eastAsia="en-AU"/>
              </w:rPr>
              <w:t>and licensing support</w:t>
            </w:r>
          </w:p>
        </w:tc>
        <w:tc>
          <w:tcPr>
            <w:tcW w:w="3678" w:type="dxa"/>
            <w:shd w:val="clear" w:color="auto" w:fill="auto"/>
            <w:noWrap/>
            <w:vAlign w:val="center"/>
            <w:hideMark/>
          </w:tcPr>
          <w:p w:rsidR="008B0A86" w:rsidRPr="006B181D" w:rsidRDefault="008B0A86" w:rsidP="00592A80">
            <w:pPr>
              <w:keepNext/>
              <w:spacing w:after="0" w:line="240" w:lineRule="auto"/>
              <w:ind w:right="743"/>
              <w:jc w:val="right"/>
              <w:rPr>
                <w:rFonts w:ascii="Calibri" w:eastAsia="Times New Roman" w:hAnsi="Calibri" w:cs="Calibri"/>
                <w:color w:val="000000" w:themeColor="text1"/>
                <w:sz w:val="20"/>
                <w:szCs w:val="20"/>
                <w:lang w:eastAsia="en-AU"/>
              </w:rPr>
            </w:pPr>
            <w:r w:rsidRPr="006B181D">
              <w:rPr>
                <w:noProof/>
                <w:sz w:val="20"/>
                <w:szCs w:val="20"/>
                <w:lang w:eastAsia="en-AU"/>
              </w:rPr>
              <w:t>4.8</w:t>
            </w:r>
          </w:p>
        </w:tc>
      </w:tr>
      <w:tr w:rsidR="008B0A86" w:rsidRPr="00CC7DFC" w:rsidTr="00283E3D">
        <w:trPr>
          <w:trHeight w:val="397"/>
        </w:trPr>
        <w:tc>
          <w:tcPr>
            <w:tcW w:w="5410" w:type="dxa"/>
            <w:shd w:val="clear" w:color="auto" w:fill="E5E5E5" w:themeFill="background1" w:themeFillTint="33"/>
            <w:noWrap/>
            <w:vAlign w:val="center"/>
            <w:hideMark/>
          </w:tcPr>
          <w:p w:rsidR="008B0A86" w:rsidRPr="006B181D" w:rsidRDefault="00283E3D" w:rsidP="0038077F">
            <w:pPr>
              <w:keepNext/>
              <w:spacing w:after="0" w:line="240" w:lineRule="auto"/>
              <w:rPr>
                <w:rFonts w:ascii="Calibri" w:eastAsia="Times New Roman" w:hAnsi="Calibri" w:cs="Calibri"/>
                <w:color w:val="000000" w:themeColor="text1"/>
                <w:sz w:val="20"/>
                <w:szCs w:val="20"/>
                <w:lang w:eastAsia="en-AU"/>
              </w:rPr>
            </w:pPr>
            <w:r>
              <w:rPr>
                <w:noProof/>
                <w:sz w:val="20"/>
                <w:szCs w:val="20"/>
                <w:lang w:eastAsia="en-AU"/>
              </w:rPr>
              <w:t>P</w:t>
            </w:r>
            <w:r w:rsidRPr="006B181D">
              <w:rPr>
                <w:noProof/>
                <w:sz w:val="20"/>
                <w:szCs w:val="20"/>
                <w:lang w:eastAsia="en-AU"/>
              </w:rPr>
              <w:t xml:space="preserve">rovider </w:t>
            </w:r>
            <w:r w:rsidR="008B0A86" w:rsidRPr="006B181D">
              <w:rPr>
                <w:noProof/>
                <w:sz w:val="20"/>
                <w:szCs w:val="20"/>
                <w:lang w:eastAsia="en-AU"/>
              </w:rPr>
              <w:t xml:space="preserve">services </w:t>
            </w:r>
            <w:r w:rsidR="00383788" w:rsidRPr="006B181D">
              <w:rPr>
                <w:noProof/>
                <w:sz w:val="20"/>
                <w:szCs w:val="20"/>
                <w:lang w:eastAsia="en-AU"/>
              </w:rPr>
              <w:t>support</w:t>
            </w:r>
            <w:r w:rsidR="0038077F">
              <w:rPr>
                <w:noProof/>
                <w:sz w:val="20"/>
                <w:szCs w:val="20"/>
                <w:vertAlign w:val="superscript"/>
                <w:lang w:eastAsia="en-AU"/>
              </w:rPr>
              <w:t>1</w:t>
            </w:r>
          </w:p>
        </w:tc>
        <w:tc>
          <w:tcPr>
            <w:tcW w:w="3678" w:type="dxa"/>
            <w:shd w:val="clear" w:color="auto" w:fill="E5E5E5" w:themeFill="background1" w:themeFillTint="33"/>
            <w:noWrap/>
            <w:vAlign w:val="center"/>
            <w:hideMark/>
          </w:tcPr>
          <w:p w:rsidR="008B0A86" w:rsidRPr="006B181D" w:rsidRDefault="008B0A86" w:rsidP="00592A80">
            <w:pPr>
              <w:keepNext/>
              <w:spacing w:after="0" w:line="240" w:lineRule="auto"/>
              <w:ind w:right="743"/>
              <w:jc w:val="right"/>
              <w:rPr>
                <w:rFonts w:ascii="Calibri" w:eastAsia="Times New Roman" w:hAnsi="Calibri" w:cs="Calibri"/>
                <w:color w:val="000000" w:themeColor="text1"/>
                <w:sz w:val="20"/>
                <w:szCs w:val="20"/>
                <w:lang w:eastAsia="en-AU"/>
              </w:rPr>
            </w:pPr>
            <w:r w:rsidRPr="006B181D">
              <w:rPr>
                <w:noProof/>
                <w:sz w:val="20"/>
                <w:szCs w:val="20"/>
                <w:lang w:eastAsia="en-AU"/>
              </w:rPr>
              <w:t>3.5</w:t>
            </w:r>
          </w:p>
        </w:tc>
      </w:tr>
      <w:tr w:rsidR="008B0A86" w:rsidRPr="00CC7DFC" w:rsidTr="0038077F">
        <w:trPr>
          <w:trHeight w:val="397"/>
        </w:trPr>
        <w:tc>
          <w:tcPr>
            <w:tcW w:w="5410" w:type="dxa"/>
            <w:shd w:val="clear" w:color="auto" w:fill="auto"/>
            <w:noWrap/>
            <w:vAlign w:val="center"/>
            <w:hideMark/>
          </w:tcPr>
          <w:p w:rsidR="008B0A86" w:rsidRPr="006B181D" w:rsidRDefault="00283E3D" w:rsidP="00592A80">
            <w:pPr>
              <w:keepNext/>
              <w:spacing w:after="0" w:line="240" w:lineRule="auto"/>
              <w:rPr>
                <w:rFonts w:ascii="Calibri" w:eastAsia="Times New Roman" w:hAnsi="Calibri" w:cs="Calibri"/>
                <w:color w:val="000000" w:themeColor="text1"/>
                <w:sz w:val="20"/>
                <w:szCs w:val="20"/>
                <w:lang w:eastAsia="en-AU"/>
              </w:rPr>
            </w:pPr>
            <w:r>
              <w:rPr>
                <w:noProof/>
                <w:sz w:val="20"/>
                <w:szCs w:val="20"/>
                <w:lang w:eastAsia="en-AU"/>
              </w:rPr>
              <w:t>T</w:t>
            </w:r>
            <w:r w:rsidRPr="006B181D">
              <w:rPr>
                <w:noProof/>
                <w:sz w:val="20"/>
                <w:szCs w:val="20"/>
                <w:lang w:eastAsia="en-AU"/>
              </w:rPr>
              <w:t xml:space="preserve">raining </w:t>
            </w:r>
            <w:r w:rsidR="008B0A86" w:rsidRPr="006B181D">
              <w:rPr>
                <w:noProof/>
                <w:sz w:val="20"/>
                <w:szCs w:val="20"/>
                <w:lang w:eastAsia="en-AU"/>
              </w:rPr>
              <w:t>support</w:t>
            </w:r>
          </w:p>
        </w:tc>
        <w:tc>
          <w:tcPr>
            <w:tcW w:w="3678" w:type="dxa"/>
            <w:shd w:val="clear" w:color="auto" w:fill="auto"/>
            <w:noWrap/>
            <w:vAlign w:val="center"/>
            <w:hideMark/>
          </w:tcPr>
          <w:p w:rsidR="008B0A86" w:rsidRPr="006B181D" w:rsidRDefault="008B0A86" w:rsidP="00592A80">
            <w:pPr>
              <w:keepNext/>
              <w:spacing w:after="0" w:line="240" w:lineRule="auto"/>
              <w:ind w:right="743"/>
              <w:jc w:val="right"/>
              <w:rPr>
                <w:rFonts w:ascii="Calibri" w:eastAsia="Times New Roman" w:hAnsi="Calibri" w:cs="Calibri"/>
                <w:color w:val="000000" w:themeColor="text1"/>
                <w:sz w:val="20"/>
                <w:szCs w:val="20"/>
                <w:lang w:eastAsia="en-AU"/>
              </w:rPr>
            </w:pPr>
            <w:r w:rsidRPr="006B181D">
              <w:rPr>
                <w:noProof/>
                <w:sz w:val="20"/>
                <w:szCs w:val="20"/>
                <w:lang w:eastAsia="en-AU"/>
              </w:rPr>
              <w:t>3.0</w:t>
            </w:r>
          </w:p>
        </w:tc>
      </w:tr>
      <w:tr w:rsidR="00383788" w:rsidRPr="00CC7DFC" w:rsidTr="005E4D4B">
        <w:trPr>
          <w:trHeight w:val="397"/>
        </w:trPr>
        <w:tc>
          <w:tcPr>
            <w:tcW w:w="5410" w:type="dxa"/>
            <w:tcBorders>
              <w:bottom w:val="single" w:sz="4" w:space="0" w:color="auto"/>
            </w:tcBorders>
            <w:shd w:val="clear" w:color="auto" w:fill="E5E5E5" w:themeFill="background1" w:themeFillTint="33"/>
            <w:noWrap/>
            <w:vAlign w:val="center"/>
          </w:tcPr>
          <w:p w:rsidR="00383788" w:rsidRDefault="00383788" w:rsidP="00592A80">
            <w:pPr>
              <w:keepNext/>
              <w:spacing w:after="0" w:line="240" w:lineRule="auto"/>
              <w:rPr>
                <w:noProof/>
                <w:sz w:val="20"/>
                <w:szCs w:val="20"/>
                <w:lang w:eastAsia="en-AU"/>
              </w:rPr>
            </w:pPr>
            <w:r>
              <w:rPr>
                <w:noProof/>
                <w:sz w:val="20"/>
                <w:szCs w:val="20"/>
                <w:lang w:eastAsia="en-AU"/>
              </w:rPr>
              <w:t>Professional services</w:t>
            </w:r>
          </w:p>
        </w:tc>
        <w:tc>
          <w:tcPr>
            <w:tcW w:w="3678" w:type="dxa"/>
            <w:tcBorders>
              <w:bottom w:val="single" w:sz="4" w:space="0" w:color="auto"/>
            </w:tcBorders>
            <w:shd w:val="clear" w:color="auto" w:fill="E5E5E5" w:themeFill="background1" w:themeFillTint="33"/>
            <w:noWrap/>
            <w:vAlign w:val="center"/>
          </w:tcPr>
          <w:p w:rsidR="00383788" w:rsidRPr="006B181D" w:rsidRDefault="00383788" w:rsidP="00592A80">
            <w:pPr>
              <w:keepNext/>
              <w:spacing w:after="0" w:line="240" w:lineRule="auto"/>
              <w:ind w:right="743"/>
              <w:jc w:val="right"/>
              <w:rPr>
                <w:noProof/>
                <w:sz w:val="20"/>
                <w:szCs w:val="20"/>
                <w:lang w:eastAsia="en-AU"/>
              </w:rPr>
            </w:pPr>
            <w:r>
              <w:rPr>
                <w:noProof/>
                <w:sz w:val="20"/>
                <w:szCs w:val="20"/>
                <w:lang w:eastAsia="en-AU"/>
              </w:rPr>
              <w:t>-3.5</w:t>
            </w:r>
          </w:p>
        </w:tc>
      </w:tr>
    </w:tbl>
    <w:p w:rsidR="0038077F" w:rsidRDefault="008B0A86" w:rsidP="00383788">
      <w:pPr>
        <w:pStyle w:val="Source"/>
        <w:rPr>
          <w:b w:val="0"/>
        </w:rPr>
      </w:pPr>
      <w:r w:rsidRPr="008B0A86">
        <w:t>Note</w:t>
      </w:r>
      <w:r w:rsidR="00383788">
        <w:t>s</w:t>
      </w:r>
      <w:r w:rsidRPr="008B0A86">
        <w:t xml:space="preserve">: </w:t>
      </w:r>
      <w:r w:rsidR="00213CB5" w:rsidRPr="00383788">
        <w:rPr>
          <w:b w:val="0"/>
        </w:rPr>
        <w:tab/>
      </w:r>
    </w:p>
    <w:p w:rsidR="008B0A86" w:rsidRDefault="008B0A86" w:rsidP="00E3205B">
      <w:pPr>
        <w:pStyle w:val="Source"/>
        <w:numPr>
          <w:ilvl w:val="0"/>
          <w:numId w:val="100"/>
        </w:numPr>
        <w:rPr>
          <w:b w:val="0"/>
        </w:rPr>
      </w:pPr>
      <w:r w:rsidRPr="00383788">
        <w:rPr>
          <w:b w:val="0"/>
        </w:rPr>
        <w:t xml:space="preserve">Some assistance that could be claimed under </w:t>
      </w:r>
      <w:r w:rsidR="0038077F" w:rsidRPr="00383788">
        <w:rPr>
          <w:b w:val="0"/>
        </w:rPr>
        <w:t>th</w:t>
      </w:r>
      <w:r w:rsidR="0038077F">
        <w:rPr>
          <w:b w:val="0"/>
        </w:rPr>
        <w:t>e provider services support</w:t>
      </w:r>
      <w:r w:rsidR="0038077F" w:rsidRPr="00383788">
        <w:rPr>
          <w:b w:val="0"/>
        </w:rPr>
        <w:t xml:space="preserve"> </w:t>
      </w:r>
      <w:r w:rsidRPr="00383788">
        <w:rPr>
          <w:b w:val="0"/>
        </w:rPr>
        <w:t>category changed between JSA models e.g. reverse marketing was not included in 2012─15 but had been earlier.</w:t>
      </w:r>
    </w:p>
    <w:p w:rsidR="00383788" w:rsidRPr="0038077F" w:rsidRDefault="00383788" w:rsidP="00E3205B">
      <w:pPr>
        <w:pStyle w:val="Source"/>
        <w:numPr>
          <w:ilvl w:val="0"/>
          <w:numId w:val="100"/>
        </w:numPr>
        <w:rPr>
          <w:b w:val="0"/>
        </w:rPr>
      </w:pPr>
      <w:r w:rsidRPr="00935604">
        <w:rPr>
          <w:b w:val="0"/>
        </w:rPr>
        <w:t xml:space="preserve">Refer to Attachment F, </w:t>
      </w:r>
      <w:hyperlink w:anchor="Title_F6" w:history="1">
        <w:r w:rsidRPr="00683705">
          <w:rPr>
            <w:rStyle w:val="Hyperlink"/>
            <w:b w:val="0"/>
          </w:rPr>
          <w:t>Table F.6</w:t>
        </w:r>
      </w:hyperlink>
      <w:r w:rsidR="0038077F">
        <w:rPr>
          <w:b w:val="0"/>
        </w:rPr>
        <w:t>.</w:t>
      </w:r>
      <w:bookmarkStart w:id="146" w:name="Place_F6"/>
      <w:bookmarkEnd w:id="146"/>
    </w:p>
    <w:p w:rsidR="008B0A86" w:rsidRPr="008B0A86" w:rsidRDefault="008B0A86" w:rsidP="008B0A86">
      <w:pPr>
        <w:pStyle w:val="Source"/>
        <w:rPr>
          <w:b w:val="0"/>
          <w:color w:val="000000" w:themeColor="text1"/>
        </w:rPr>
      </w:pPr>
      <w:r w:rsidRPr="003A4B00">
        <w:t>Source</w:t>
      </w:r>
      <w:r w:rsidRPr="008B0A86">
        <w:rPr>
          <w:b w:val="0"/>
        </w:rPr>
        <w:t xml:space="preserve">: </w:t>
      </w:r>
      <w:r w:rsidR="00562F6E" w:rsidRPr="007F2BBB">
        <w:rPr>
          <w:b w:val="0"/>
        </w:rPr>
        <w:t xml:space="preserve">DHS and </w:t>
      </w:r>
      <w:r w:rsidR="00F458F7">
        <w:rPr>
          <w:b w:val="0"/>
        </w:rPr>
        <w:t>DoE</w:t>
      </w:r>
      <w:r w:rsidR="00562F6E" w:rsidRPr="007F2BBB">
        <w:rPr>
          <w:b w:val="0"/>
        </w:rPr>
        <w:t xml:space="preserve"> monitoring data, </w:t>
      </w:r>
      <w:r w:rsidR="00F458F7">
        <w:rPr>
          <w:b w:val="0"/>
        </w:rPr>
        <w:t>DoE</w:t>
      </w:r>
      <w:r w:rsidR="00562F6E" w:rsidRPr="007F2BBB">
        <w:rPr>
          <w:b w:val="0"/>
        </w:rPr>
        <w:t xml:space="preserve"> administrative</w:t>
      </w:r>
      <w:r w:rsidR="00562F6E">
        <w:rPr>
          <w:b w:val="0"/>
        </w:rPr>
        <w:t>.</w:t>
      </w:r>
    </w:p>
    <w:p w:rsidR="00862A6D" w:rsidRDefault="00862A6D" w:rsidP="00862A6D">
      <w:pPr>
        <w:tabs>
          <w:tab w:val="left" w:pos="4253"/>
        </w:tabs>
        <w:spacing w:before="120"/>
        <w:rPr>
          <w:noProof/>
          <w:lang w:eastAsia="en-AU"/>
        </w:rPr>
      </w:pPr>
      <w:r>
        <w:rPr>
          <w:noProof/>
          <w:lang w:eastAsia="en-AU"/>
        </w:rPr>
        <w:t xml:space="preserve">While </w:t>
      </w:r>
      <w:r w:rsidR="00A95543">
        <w:rPr>
          <w:noProof/>
          <w:lang w:eastAsia="en-AU"/>
        </w:rPr>
        <w:t xml:space="preserve">people </w:t>
      </w:r>
      <w:r>
        <w:rPr>
          <w:noProof/>
          <w:lang w:eastAsia="en-AU"/>
        </w:rPr>
        <w:t>who received greater EPF support (in dollar terms)</w:t>
      </w:r>
      <w:r w:rsidR="003C4F60">
        <w:rPr>
          <w:rStyle w:val="FootnoteReference"/>
          <w:noProof/>
          <w:lang w:eastAsia="en-AU"/>
        </w:rPr>
        <w:footnoteReference w:id="48"/>
      </w:r>
      <w:r w:rsidR="003C4F60">
        <w:rPr>
          <w:noProof/>
          <w:lang w:eastAsia="en-AU"/>
        </w:rPr>
        <w:t xml:space="preserve"> </w:t>
      </w:r>
      <w:r>
        <w:rPr>
          <w:noProof/>
          <w:lang w:eastAsia="en-AU"/>
        </w:rPr>
        <w:t xml:space="preserve">were more likely to have claimed the bonus than the other </w:t>
      </w:r>
      <w:r w:rsidR="00A95543">
        <w:rPr>
          <w:noProof/>
          <w:lang w:eastAsia="en-AU"/>
        </w:rPr>
        <w:t>types of people</w:t>
      </w:r>
      <w:r w:rsidR="0038077F">
        <w:rPr>
          <w:noProof/>
          <w:lang w:eastAsia="en-AU"/>
        </w:rPr>
        <w:t xml:space="preserve">, </w:t>
      </w:r>
      <w:r w:rsidR="00A95543" w:rsidRPr="0038077F">
        <w:rPr>
          <w:noProof/>
          <w:lang w:eastAsia="en-AU"/>
        </w:rPr>
        <w:t>noted above,</w:t>
      </w:r>
      <w:r>
        <w:rPr>
          <w:noProof/>
          <w:lang w:eastAsia="en-AU"/>
        </w:rPr>
        <w:t xml:space="preserve"> this </w:t>
      </w:r>
      <w:r w:rsidR="003C341F">
        <w:rPr>
          <w:noProof/>
          <w:lang w:eastAsia="en-AU"/>
        </w:rPr>
        <w:t xml:space="preserve">shows </w:t>
      </w:r>
      <w:r>
        <w:rPr>
          <w:noProof/>
          <w:lang w:eastAsia="en-AU"/>
        </w:rPr>
        <w:t>not</w:t>
      </w:r>
      <w:r w:rsidR="003C341F">
        <w:rPr>
          <w:noProof/>
          <w:lang w:eastAsia="en-AU"/>
        </w:rPr>
        <w:t xml:space="preserve"> </w:t>
      </w:r>
      <w:r>
        <w:rPr>
          <w:noProof/>
          <w:lang w:eastAsia="en-AU"/>
        </w:rPr>
        <w:t xml:space="preserve">so much </w:t>
      </w:r>
      <w:r w:rsidR="003C341F">
        <w:rPr>
          <w:noProof/>
          <w:lang w:eastAsia="en-AU"/>
        </w:rPr>
        <w:t>the</w:t>
      </w:r>
      <w:r>
        <w:rPr>
          <w:noProof/>
          <w:lang w:eastAsia="en-AU"/>
        </w:rPr>
        <w:t xml:space="preserve"> connection between EPF expenditure and bonus attainment, but </w:t>
      </w:r>
      <w:r w:rsidR="003C341F">
        <w:rPr>
          <w:noProof/>
          <w:lang w:eastAsia="en-AU"/>
        </w:rPr>
        <w:t xml:space="preserve">rather, </w:t>
      </w:r>
      <w:r>
        <w:rPr>
          <w:noProof/>
          <w:lang w:eastAsia="en-AU"/>
        </w:rPr>
        <w:t>the effectiveness of EPF expenditure in helping job seekers to exit income support by becoming more job ready.</w:t>
      </w:r>
    </w:p>
    <w:p w:rsidR="00881423" w:rsidRPr="00881423" w:rsidRDefault="00881423" w:rsidP="00881423">
      <w:pPr>
        <w:pStyle w:val="Heading3"/>
      </w:pPr>
      <w:r w:rsidRPr="00881423">
        <w:t>3.</w:t>
      </w:r>
      <w:r w:rsidR="00CC19DF">
        <w:t>5</w:t>
      </w:r>
      <w:r w:rsidRPr="00881423">
        <w:t>.</w:t>
      </w:r>
      <w:r w:rsidR="00862A6D">
        <w:t>4</w:t>
      </w:r>
      <w:r w:rsidRPr="00881423">
        <w:tab/>
      </w:r>
      <w:r>
        <w:t>Rejection rates</w:t>
      </w:r>
      <w:bookmarkEnd w:id="139"/>
      <w:r w:rsidRPr="00881423">
        <w:t xml:space="preserve"> </w:t>
      </w:r>
    </w:p>
    <w:p w:rsidR="009D7AF8" w:rsidRPr="001F5BE3" w:rsidRDefault="007A1E53" w:rsidP="009D7AF8">
      <w:pPr>
        <w:spacing w:before="120"/>
        <w:rPr>
          <w:color w:val="000000" w:themeColor="text1"/>
        </w:rPr>
      </w:pPr>
      <w:r w:rsidRPr="007A1E53">
        <w:rPr>
          <w:color w:val="000000" w:themeColor="text1"/>
        </w:rPr>
        <w:t xml:space="preserve">Table </w:t>
      </w:r>
      <w:r w:rsidR="00A817AC">
        <w:rPr>
          <w:color w:val="000000" w:themeColor="text1"/>
        </w:rPr>
        <w:t>3.</w:t>
      </w:r>
      <w:r w:rsidR="007E5072">
        <w:rPr>
          <w:color w:val="000000" w:themeColor="text1"/>
        </w:rPr>
        <w:t>6</w:t>
      </w:r>
      <w:r w:rsidR="007E5072" w:rsidRPr="007A1E53">
        <w:rPr>
          <w:color w:val="000000" w:themeColor="text1"/>
        </w:rPr>
        <w:t xml:space="preserve"> </w:t>
      </w:r>
      <w:r w:rsidRPr="007A1E53">
        <w:rPr>
          <w:color w:val="000000" w:themeColor="text1"/>
        </w:rPr>
        <w:t xml:space="preserve">shows the </w:t>
      </w:r>
      <w:r w:rsidR="00605997">
        <w:rPr>
          <w:color w:val="000000" w:themeColor="text1"/>
        </w:rPr>
        <w:t xml:space="preserve">rejection </w:t>
      </w:r>
      <w:r w:rsidRPr="007A1E53">
        <w:rPr>
          <w:color w:val="000000" w:themeColor="text1"/>
        </w:rPr>
        <w:t xml:space="preserve">reasons </w:t>
      </w:r>
      <w:r w:rsidR="001F5BE3">
        <w:rPr>
          <w:color w:val="000000" w:themeColor="text1"/>
        </w:rPr>
        <w:t xml:space="preserve">for </w:t>
      </w:r>
      <w:r w:rsidR="00A36B6D">
        <w:rPr>
          <w:color w:val="000000" w:themeColor="text1"/>
        </w:rPr>
        <w:t>JCB1</w:t>
      </w:r>
      <w:r w:rsidR="001F5BE3">
        <w:rPr>
          <w:color w:val="000000" w:themeColor="text1"/>
        </w:rPr>
        <w:t xml:space="preserve"> </w:t>
      </w:r>
      <w:r w:rsidR="00605997">
        <w:rPr>
          <w:color w:val="000000" w:themeColor="text1"/>
        </w:rPr>
        <w:t xml:space="preserve">claims </w:t>
      </w:r>
      <w:r w:rsidR="001F5BE3">
        <w:rPr>
          <w:color w:val="000000" w:themeColor="text1"/>
        </w:rPr>
        <w:t>in the</w:t>
      </w:r>
      <w:r w:rsidR="00605997">
        <w:rPr>
          <w:color w:val="000000" w:themeColor="text1"/>
        </w:rPr>
        <w:t xml:space="preserve"> program’s</w:t>
      </w:r>
      <w:r w:rsidR="001F5BE3">
        <w:rPr>
          <w:color w:val="000000" w:themeColor="text1"/>
        </w:rPr>
        <w:t xml:space="preserve"> first 12 months </w:t>
      </w:r>
      <w:r w:rsidR="009D7AF8">
        <w:rPr>
          <w:color w:val="000000" w:themeColor="text1"/>
        </w:rPr>
        <w:t xml:space="preserve">of </w:t>
      </w:r>
      <w:r w:rsidR="001F5BE3" w:rsidRPr="00A36B6D">
        <w:rPr>
          <w:color w:val="000000" w:themeColor="text1"/>
          <w:shd w:val="clear" w:color="auto" w:fill="FFFFFF" w:themeFill="background2"/>
        </w:rPr>
        <w:t>operation. The main</w:t>
      </w:r>
      <w:r w:rsidR="001F5BE3" w:rsidRPr="001F5BE3">
        <w:rPr>
          <w:color w:val="000000" w:themeColor="text1"/>
        </w:rPr>
        <w:t xml:space="preserve"> reason was a lack of required documentary evidence</w:t>
      </w:r>
      <w:r w:rsidR="001F5BE3">
        <w:rPr>
          <w:color w:val="000000" w:themeColor="text1"/>
        </w:rPr>
        <w:t xml:space="preserve"> (44.3</w:t>
      </w:r>
      <w:r w:rsidR="00A817AC">
        <w:rPr>
          <w:color w:val="000000" w:themeColor="text1"/>
        </w:rPr>
        <w:t> </w:t>
      </w:r>
      <w:r w:rsidR="001F5BE3">
        <w:rPr>
          <w:color w:val="000000" w:themeColor="text1"/>
        </w:rPr>
        <w:t>per cent of rejections)</w:t>
      </w:r>
      <w:r w:rsidR="00E00D3C">
        <w:rPr>
          <w:color w:val="000000" w:themeColor="text1"/>
        </w:rPr>
        <w:t>,</w:t>
      </w:r>
      <w:r w:rsidR="001F5BE3" w:rsidRPr="001F5BE3">
        <w:rPr>
          <w:color w:val="000000" w:themeColor="text1"/>
        </w:rPr>
        <w:t xml:space="preserve"> followed by </w:t>
      </w:r>
      <w:r w:rsidR="009C519A">
        <w:rPr>
          <w:color w:val="000000" w:themeColor="text1"/>
        </w:rPr>
        <w:t xml:space="preserve">people </w:t>
      </w:r>
      <w:r w:rsidR="001F5BE3">
        <w:rPr>
          <w:color w:val="000000" w:themeColor="text1"/>
        </w:rPr>
        <w:t xml:space="preserve">not satisfying </w:t>
      </w:r>
      <w:r w:rsidR="001F5BE3" w:rsidRPr="001F5BE3">
        <w:rPr>
          <w:color w:val="000000" w:themeColor="text1"/>
        </w:rPr>
        <w:t>the 12 months continuous employment requirement</w:t>
      </w:r>
      <w:r w:rsidR="001F5BE3">
        <w:rPr>
          <w:color w:val="000000" w:themeColor="text1"/>
        </w:rPr>
        <w:t xml:space="preserve"> (25.8 per cent)</w:t>
      </w:r>
      <w:r w:rsidR="001F5BE3" w:rsidRPr="001F5BE3">
        <w:rPr>
          <w:color w:val="000000" w:themeColor="text1"/>
        </w:rPr>
        <w:t>.</w:t>
      </w:r>
      <w:r w:rsidR="00A55D52">
        <w:rPr>
          <w:color w:val="000000" w:themeColor="text1"/>
        </w:rPr>
        <w:t xml:space="preserve"> </w:t>
      </w:r>
      <w:r w:rsidR="009D7AF8">
        <w:rPr>
          <w:color w:val="000000" w:themeColor="text1"/>
        </w:rPr>
        <w:t xml:space="preserve">Almost a quarter of rejected claims were because the 90 day claim window had expired. These </w:t>
      </w:r>
      <w:r w:rsidR="009861B1">
        <w:rPr>
          <w:color w:val="000000" w:themeColor="text1"/>
        </w:rPr>
        <w:t>claimants c</w:t>
      </w:r>
      <w:r w:rsidR="009D7AF8">
        <w:rPr>
          <w:color w:val="000000" w:themeColor="text1"/>
        </w:rPr>
        <w:t xml:space="preserve">ould only lodge a successful JCB1 claim if they continued </w:t>
      </w:r>
      <w:r w:rsidR="00A95543">
        <w:rPr>
          <w:color w:val="000000" w:themeColor="text1"/>
        </w:rPr>
        <w:t>in</w:t>
      </w:r>
      <w:r w:rsidR="009D7AF8">
        <w:rPr>
          <w:color w:val="000000" w:themeColor="text1"/>
        </w:rPr>
        <w:t xml:space="preserve"> employment</w:t>
      </w:r>
      <w:r w:rsidR="009861B1">
        <w:rPr>
          <w:color w:val="000000" w:themeColor="text1"/>
        </w:rPr>
        <w:t xml:space="preserve"> to a successful </w:t>
      </w:r>
      <w:r w:rsidR="009D7AF8">
        <w:rPr>
          <w:color w:val="000000" w:themeColor="text1"/>
        </w:rPr>
        <w:t>24 month</w:t>
      </w:r>
      <w:r w:rsidR="00786286">
        <w:rPr>
          <w:color w:val="000000" w:themeColor="text1"/>
        </w:rPr>
        <w:t>s</w:t>
      </w:r>
      <w:r w:rsidR="009D7AF8">
        <w:rPr>
          <w:color w:val="000000" w:themeColor="text1"/>
        </w:rPr>
        <w:t xml:space="preserve"> milestone.</w:t>
      </w:r>
    </w:p>
    <w:p w:rsidR="009C519A" w:rsidRDefault="0052217F" w:rsidP="009C519A">
      <w:pPr>
        <w:tabs>
          <w:tab w:val="left" w:pos="227"/>
        </w:tabs>
        <w:suppressAutoHyphens/>
        <w:autoSpaceDE w:val="0"/>
        <w:autoSpaceDN w:val="0"/>
        <w:adjustRightInd w:val="0"/>
        <w:spacing w:before="120" w:after="198" w:line="300" w:lineRule="atLeast"/>
        <w:textAlignment w:val="center"/>
        <w:rPr>
          <w:color w:val="000000" w:themeColor="text1"/>
        </w:rPr>
      </w:pPr>
      <w:r w:rsidRPr="007A1E53">
        <w:rPr>
          <w:color w:val="000000" w:themeColor="text1"/>
        </w:rPr>
        <w:t xml:space="preserve">Some </w:t>
      </w:r>
      <w:r>
        <w:rPr>
          <w:color w:val="000000" w:themeColor="text1"/>
        </w:rPr>
        <w:t xml:space="preserve">of the rejected claims in the </w:t>
      </w:r>
      <w:r w:rsidR="00A55D52">
        <w:rPr>
          <w:color w:val="000000" w:themeColor="text1"/>
        </w:rPr>
        <w:t>‘</w:t>
      </w:r>
      <w:r>
        <w:rPr>
          <w:color w:val="000000" w:themeColor="text1"/>
        </w:rPr>
        <w:t>Evidence not supplied</w:t>
      </w:r>
      <w:r w:rsidR="00A55D52">
        <w:rPr>
          <w:color w:val="000000" w:themeColor="text1"/>
        </w:rPr>
        <w:t>’</w:t>
      </w:r>
      <w:r>
        <w:rPr>
          <w:color w:val="000000" w:themeColor="text1"/>
        </w:rPr>
        <w:t xml:space="preserve"> and </w:t>
      </w:r>
      <w:r w:rsidR="00A55D52">
        <w:rPr>
          <w:color w:val="000000" w:themeColor="text1"/>
        </w:rPr>
        <w:t>‘</w:t>
      </w:r>
      <w:r>
        <w:rPr>
          <w:color w:val="000000" w:themeColor="text1"/>
        </w:rPr>
        <w:t>Claim outside 90 day period</w:t>
      </w:r>
      <w:r w:rsidR="00A55D52">
        <w:rPr>
          <w:color w:val="000000" w:themeColor="text1"/>
        </w:rPr>
        <w:t>’</w:t>
      </w:r>
      <w:r>
        <w:rPr>
          <w:color w:val="000000" w:themeColor="text1"/>
        </w:rPr>
        <w:t xml:space="preserve"> categories were</w:t>
      </w:r>
      <w:r w:rsidRPr="007A1E53">
        <w:rPr>
          <w:color w:val="000000" w:themeColor="text1"/>
        </w:rPr>
        <w:t xml:space="preserve"> subsequently successfully lodged </w:t>
      </w:r>
      <w:r>
        <w:rPr>
          <w:color w:val="000000" w:themeColor="text1"/>
        </w:rPr>
        <w:t xml:space="preserve">/ </w:t>
      </w:r>
      <w:r w:rsidRPr="007A1E53">
        <w:rPr>
          <w:color w:val="000000" w:themeColor="text1"/>
        </w:rPr>
        <w:t>amended and approved</w:t>
      </w:r>
      <w:r>
        <w:rPr>
          <w:color w:val="000000" w:themeColor="text1"/>
        </w:rPr>
        <w:t xml:space="preserve">. </w:t>
      </w:r>
      <w:r w:rsidR="00A95543">
        <w:rPr>
          <w:color w:val="000000" w:themeColor="text1"/>
        </w:rPr>
        <w:t xml:space="preserve">The </w:t>
      </w:r>
      <w:r w:rsidR="009C519A">
        <w:rPr>
          <w:color w:val="000000" w:themeColor="text1"/>
        </w:rPr>
        <w:t>large number</w:t>
      </w:r>
      <w:r w:rsidR="00A95543">
        <w:rPr>
          <w:color w:val="000000" w:themeColor="text1"/>
        </w:rPr>
        <w:t xml:space="preserve"> </w:t>
      </w:r>
      <w:r w:rsidR="00A55D52">
        <w:rPr>
          <w:color w:val="000000" w:themeColor="text1"/>
        </w:rPr>
        <w:t xml:space="preserve">of </w:t>
      </w:r>
      <w:r w:rsidR="00A95543">
        <w:rPr>
          <w:color w:val="000000" w:themeColor="text1"/>
        </w:rPr>
        <w:t xml:space="preserve">rejections for </w:t>
      </w:r>
      <w:r w:rsidR="00A55D52">
        <w:rPr>
          <w:color w:val="000000" w:themeColor="text1"/>
        </w:rPr>
        <w:t>‘</w:t>
      </w:r>
      <w:r w:rsidR="009C519A">
        <w:rPr>
          <w:color w:val="000000" w:themeColor="text1"/>
        </w:rPr>
        <w:t>Evidence not supplied</w:t>
      </w:r>
      <w:r w:rsidR="00A55D52">
        <w:rPr>
          <w:color w:val="000000" w:themeColor="text1"/>
        </w:rPr>
        <w:t>’</w:t>
      </w:r>
      <w:r w:rsidR="009C519A">
        <w:rPr>
          <w:color w:val="000000" w:themeColor="text1"/>
        </w:rPr>
        <w:t xml:space="preserve"> raises </w:t>
      </w:r>
      <w:r w:rsidR="00A95543">
        <w:rPr>
          <w:color w:val="000000" w:themeColor="text1"/>
        </w:rPr>
        <w:t>question</w:t>
      </w:r>
      <w:r w:rsidR="00A36B6D">
        <w:rPr>
          <w:color w:val="000000" w:themeColor="text1"/>
        </w:rPr>
        <w:t>s</w:t>
      </w:r>
      <w:r w:rsidR="00A95543">
        <w:rPr>
          <w:color w:val="000000" w:themeColor="text1"/>
        </w:rPr>
        <w:t xml:space="preserve"> </w:t>
      </w:r>
      <w:r w:rsidR="00643768">
        <w:rPr>
          <w:color w:val="000000" w:themeColor="text1"/>
        </w:rPr>
        <w:t>about</w:t>
      </w:r>
      <w:r w:rsidR="00A55D52">
        <w:rPr>
          <w:color w:val="000000" w:themeColor="text1"/>
        </w:rPr>
        <w:t xml:space="preserve"> the</w:t>
      </w:r>
      <w:r w:rsidR="00A95543">
        <w:rPr>
          <w:color w:val="000000" w:themeColor="text1"/>
        </w:rPr>
        <w:t xml:space="preserve"> </w:t>
      </w:r>
      <w:r w:rsidR="009C519A">
        <w:rPr>
          <w:color w:val="000000" w:themeColor="text1"/>
        </w:rPr>
        <w:t>effectiveness of communication</w:t>
      </w:r>
      <w:r w:rsidR="00A95543">
        <w:rPr>
          <w:color w:val="000000" w:themeColor="text1"/>
        </w:rPr>
        <w:t xml:space="preserve">. </w:t>
      </w:r>
      <w:r w:rsidR="00A55D52">
        <w:rPr>
          <w:color w:val="000000" w:themeColor="text1"/>
        </w:rPr>
        <w:t>B</w:t>
      </w:r>
      <w:r w:rsidR="00A95543">
        <w:rPr>
          <w:color w:val="000000" w:themeColor="text1"/>
        </w:rPr>
        <w:t xml:space="preserve">etter communication </w:t>
      </w:r>
      <w:r w:rsidR="00A55D52">
        <w:rPr>
          <w:color w:val="000000" w:themeColor="text1"/>
        </w:rPr>
        <w:t xml:space="preserve">around </w:t>
      </w:r>
      <w:r w:rsidR="009C519A">
        <w:rPr>
          <w:color w:val="000000" w:themeColor="text1"/>
        </w:rPr>
        <w:t>the application process and eligibility criteria</w:t>
      </w:r>
      <w:r w:rsidR="00A55D52">
        <w:rPr>
          <w:color w:val="000000" w:themeColor="text1"/>
        </w:rPr>
        <w:t xml:space="preserve"> may have improved the success rate of </w:t>
      </w:r>
      <w:r w:rsidR="00A95543">
        <w:rPr>
          <w:color w:val="000000" w:themeColor="text1"/>
        </w:rPr>
        <w:t>previously rejected</w:t>
      </w:r>
      <w:r>
        <w:rPr>
          <w:color w:val="000000" w:themeColor="text1"/>
        </w:rPr>
        <w:t xml:space="preserve"> </w:t>
      </w:r>
      <w:r w:rsidR="009861B1">
        <w:rPr>
          <w:color w:val="000000" w:themeColor="text1"/>
        </w:rPr>
        <w:t>claims</w:t>
      </w:r>
      <w:r w:rsidR="009C519A">
        <w:rPr>
          <w:color w:val="000000" w:themeColor="text1"/>
        </w:rPr>
        <w:t xml:space="preserve">. </w:t>
      </w:r>
      <w:r w:rsidR="00173D08">
        <w:rPr>
          <w:color w:val="000000" w:themeColor="text1"/>
        </w:rPr>
        <w:t xml:space="preserve">There are a </w:t>
      </w:r>
      <w:r w:rsidR="00306A09">
        <w:rPr>
          <w:color w:val="000000" w:themeColor="text1"/>
        </w:rPr>
        <w:t xml:space="preserve">significant number of rejections </w:t>
      </w:r>
      <w:r w:rsidR="00173D08">
        <w:rPr>
          <w:color w:val="000000" w:themeColor="text1"/>
        </w:rPr>
        <w:t xml:space="preserve">for reasons </w:t>
      </w:r>
      <w:r w:rsidR="00306A09">
        <w:rPr>
          <w:color w:val="000000" w:themeColor="text1"/>
        </w:rPr>
        <w:t>that demonstrate</w:t>
      </w:r>
      <w:r w:rsidR="00173D08">
        <w:rPr>
          <w:color w:val="000000" w:themeColor="text1"/>
        </w:rPr>
        <w:t xml:space="preserve"> a</w:t>
      </w:r>
      <w:r w:rsidR="00306A09">
        <w:rPr>
          <w:color w:val="000000" w:themeColor="text1"/>
        </w:rPr>
        <w:t xml:space="preserve"> misunderstanding of the </w:t>
      </w:r>
      <w:r w:rsidR="00173D08">
        <w:rPr>
          <w:color w:val="000000" w:themeColor="text1"/>
        </w:rPr>
        <w:t xml:space="preserve">eligibility </w:t>
      </w:r>
      <w:r w:rsidR="00306A09">
        <w:rPr>
          <w:color w:val="000000" w:themeColor="text1"/>
        </w:rPr>
        <w:t>criteria</w:t>
      </w:r>
      <w:r w:rsidR="00D63A4E">
        <w:rPr>
          <w:color w:val="000000" w:themeColor="text1"/>
        </w:rPr>
        <w:t xml:space="preserve"> (Table 3.6)</w:t>
      </w:r>
      <w:r w:rsidR="00173D08">
        <w:rPr>
          <w:color w:val="000000" w:themeColor="text1"/>
        </w:rPr>
        <w:t xml:space="preserve">. This </w:t>
      </w:r>
      <w:r w:rsidR="00A95543">
        <w:rPr>
          <w:color w:val="000000" w:themeColor="text1"/>
        </w:rPr>
        <w:t>indicate</w:t>
      </w:r>
      <w:r w:rsidR="00173D08">
        <w:rPr>
          <w:color w:val="000000" w:themeColor="text1"/>
        </w:rPr>
        <w:t>s</w:t>
      </w:r>
      <w:r w:rsidR="00A95543">
        <w:rPr>
          <w:color w:val="000000" w:themeColor="text1"/>
        </w:rPr>
        <w:t xml:space="preserve"> </w:t>
      </w:r>
      <w:r w:rsidR="00306A09">
        <w:rPr>
          <w:color w:val="000000" w:themeColor="text1"/>
        </w:rPr>
        <w:t xml:space="preserve">there </w:t>
      </w:r>
      <w:r w:rsidR="00643768">
        <w:rPr>
          <w:color w:val="000000" w:themeColor="text1"/>
        </w:rPr>
        <w:t xml:space="preserve">may </w:t>
      </w:r>
      <w:r w:rsidR="00306A09">
        <w:rPr>
          <w:color w:val="000000" w:themeColor="text1"/>
        </w:rPr>
        <w:t xml:space="preserve">have been </w:t>
      </w:r>
      <w:r w:rsidR="00173D08">
        <w:rPr>
          <w:color w:val="000000" w:themeColor="text1"/>
        </w:rPr>
        <w:t xml:space="preserve">people </w:t>
      </w:r>
      <w:r w:rsidR="00306A09">
        <w:rPr>
          <w:color w:val="000000" w:themeColor="text1"/>
        </w:rPr>
        <w:t xml:space="preserve">who were eligible but did not </w:t>
      </w:r>
      <w:r w:rsidR="00643768">
        <w:rPr>
          <w:color w:val="000000" w:themeColor="text1"/>
        </w:rPr>
        <w:t>realise it</w:t>
      </w:r>
      <w:r w:rsidR="00D63A4E">
        <w:rPr>
          <w:color w:val="000000" w:themeColor="text1"/>
        </w:rPr>
        <w:t>.</w:t>
      </w:r>
      <w:r w:rsidR="008D1AF5">
        <w:rPr>
          <w:color w:val="000000" w:themeColor="text1"/>
        </w:rPr>
        <w:t xml:space="preserve"> </w:t>
      </w:r>
      <w:r w:rsidR="00306A09">
        <w:rPr>
          <w:color w:val="000000" w:themeColor="text1"/>
        </w:rPr>
        <w:t xml:space="preserve">The extent </w:t>
      </w:r>
      <w:r w:rsidR="00A95543">
        <w:rPr>
          <w:color w:val="000000" w:themeColor="text1"/>
        </w:rPr>
        <w:t xml:space="preserve">to which </w:t>
      </w:r>
      <w:r w:rsidR="00306A09">
        <w:rPr>
          <w:color w:val="000000" w:themeColor="text1"/>
        </w:rPr>
        <w:t xml:space="preserve">this </w:t>
      </w:r>
      <w:r w:rsidR="00A95543">
        <w:rPr>
          <w:color w:val="000000" w:themeColor="text1"/>
        </w:rPr>
        <w:t xml:space="preserve">occurred </w:t>
      </w:r>
      <w:r w:rsidR="00306A09">
        <w:rPr>
          <w:color w:val="000000" w:themeColor="text1"/>
        </w:rPr>
        <w:t xml:space="preserve">cannot be </w:t>
      </w:r>
      <w:r w:rsidR="00426499">
        <w:rPr>
          <w:color w:val="000000" w:themeColor="text1"/>
        </w:rPr>
        <w:t>quantified</w:t>
      </w:r>
      <w:r w:rsidR="00173D08">
        <w:rPr>
          <w:color w:val="000000" w:themeColor="text1"/>
        </w:rPr>
        <w:t>,</w:t>
      </w:r>
      <w:r w:rsidR="00306A09">
        <w:rPr>
          <w:color w:val="000000" w:themeColor="text1"/>
        </w:rPr>
        <w:t xml:space="preserve"> but </w:t>
      </w:r>
      <w:r w:rsidR="00A817AC">
        <w:rPr>
          <w:color w:val="000000" w:themeColor="text1"/>
        </w:rPr>
        <w:t>is</w:t>
      </w:r>
      <w:r w:rsidR="00306A09">
        <w:rPr>
          <w:color w:val="000000" w:themeColor="text1"/>
        </w:rPr>
        <w:t xml:space="preserve"> </w:t>
      </w:r>
      <w:r w:rsidR="007D73C9">
        <w:rPr>
          <w:color w:val="000000" w:themeColor="text1"/>
        </w:rPr>
        <w:t xml:space="preserve">explored </w:t>
      </w:r>
      <w:r w:rsidR="00426499">
        <w:rPr>
          <w:color w:val="000000" w:themeColor="text1"/>
        </w:rPr>
        <w:t xml:space="preserve">in the qualitative </w:t>
      </w:r>
      <w:r w:rsidR="00306A09">
        <w:rPr>
          <w:color w:val="000000" w:themeColor="text1"/>
        </w:rPr>
        <w:t xml:space="preserve">research </w:t>
      </w:r>
      <w:r w:rsidR="00306A09" w:rsidRPr="00A817AC">
        <w:rPr>
          <w:color w:val="000000" w:themeColor="text1"/>
        </w:rPr>
        <w:t>(</w:t>
      </w:r>
      <w:r w:rsidR="00643768">
        <w:rPr>
          <w:color w:val="000000" w:themeColor="text1"/>
        </w:rPr>
        <w:t>S</w:t>
      </w:r>
      <w:r w:rsidR="00306A09" w:rsidRPr="00A817AC">
        <w:rPr>
          <w:color w:val="000000" w:themeColor="text1"/>
        </w:rPr>
        <w:t xml:space="preserve">ection </w:t>
      </w:r>
      <w:r w:rsidR="00A817AC" w:rsidRPr="00A817AC">
        <w:rPr>
          <w:color w:val="000000" w:themeColor="text1"/>
        </w:rPr>
        <w:t>3.7</w:t>
      </w:r>
      <w:r w:rsidR="00306A09" w:rsidRPr="00A817AC">
        <w:rPr>
          <w:color w:val="000000" w:themeColor="text1"/>
        </w:rPr>
        <w:t>).</w:t>
      </w:r>
    </w:p>
    <w:p w:rsidR="007A1E53" w:rsidRPr="007A1E53" w:rsidRDefault="007A1E53" w:rsidP="00A36B6D">
      <w:pPr>
        <w:pStyle w:val="TableCaption"/>
        <w:keepLines/>
      </w:pPr>
      <w:bookmarkStart w:id="147" w:name="_Toc507600310"/>
      <w:r w:rsidRPr="007A1E53">
        <w:lastRenderedPageBreak/>
        <w:t>Table 3.</w:t>
      </w:r>
      <w:r w:rsidR="008D1AF5">
        <w:t>6</w:t>
      </w:r>
      <w:r w:rsidRPr="007A1E53">
        <w:t>: Reasons for rejections</w:t>
      </w:r>
      <w:r w:rsidR="00810B97">
        <w:t xml:space="preserve"> of </w:t>
      </w:r>
      <w:r w:rsidR="00643C87">
        <w:t xml:space="preserve">JCB 1 </w:t>
      </w:r>
      <w:r w:rsidR="00810B97">
        <w:t>claims</w:t>
      </w:r>
      <w:r w:rsidR="00643C87">
        <w:t>, 1 July 2015 to 5 July 2016</w:t>
      </w:r>
      <w:bookmarkEnd w:id="14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3.6: Reasons for rejections of JCB 1 claims, 1 July 2015 to 5 July 2016"/>
      </w:tblPr>
      <w:tblGrid>
        <w:gridCol w:w="6062"/>
        <w:gridCol w:w="1134"/>
        <w:gridCol w:w="1134"/>
      </w:tblGrid>
      <w:tr w:rsidR="00643C87" w:rsidRPr="00643C87" w:rsidTr="00FE2487">
        <w:trPr>
          <w:tblHeader/>
        </w:trPr>
        <w:tc>
          <w:tcPr>
            <w:tcW w:w="6062" w:type="dxa"/>
            <w:shd w:val="clear" w:color="auto" w:fill="1E3D6B"/>
          </w:tcPr>
          <w:p w:rsidR="00643C87" w:rsidRPr="00643C87" w:rsidRDefault="00643C87" w:rsidP="00A36B6D">
            <w:pPr>
              <w:keepNext/>
              <w:keepLines/>
              <w:tabs>
                <w:tab w:val="left" w:pos="227"/>
              </w:tabs>
              <w:suppressAutoHyphens/>
              <w:autoSpaceDE w:val="0"/>
              <w:autoSpaceDN w:val="0"/>
              <w:adjustRightInd w:val="0"/>
              <w:spacing w:before="20" w:after="198" w:line="300" w:lineRule="atLeast"/>
              <w:textAlignment w:val="center"/>
              <w:rPr>
                <w:b/>
                <w:color w:val="FFFFFF" w:themeColor="background2"/>
                <w:sz w:val="20"/>
                <w:szCs w:val="20"/>
              </w:rPr>
            </w:pPr>
            <w:bookmarkStart w:id="148" w:name="Title_36"/>
            <w:bookmarkEnd w:id="148"/>
            <w:r w:rsidRPr="00643C87">
              <w:rPr>
                <w:b/>
                <w:color w:val="FFFFFF" w:themeColor="background2"/>
                <w:sz w:val="20"/>
                <w:szCs w:val="20"/>
              </w:rPr>
              <w:t>Rejection reason</w:t>
            </w:r>
          </w:p>
        </w:tc>
        <w:tc>
          <w:tcPr>
            <w:tcW w:w="1134" w:type="dxa"/>
            <w:shd w:val="clear" w:color="auto" w:fill="1E3D6B"/>
          </w:tcPr>
          <w:p w:rsidR="00643C87" w:rsidRPr="00643C87" w:rsidRDefault="00643C87" w:rsidP="00A36B6D">
            <w:pPr>
              <w:keepNext/>
              <w:keepLines/>
              <w:tabs>
                <w:tab w:val="left" w:pos="227"/>
              </w:tabs>
              <w:suppressAutoHyphens/>
              <w:autoSpaceDE w:val="0"/>
              <w:autoSpaceDN w:val="0"/>
              <w:adjustRightInd w:val="0"/>
              <w:spacing w:before="20" w:after="198" w:line="300" w:lineRule="atLeast"/>
              <w:jc w:val="center"/>
              <w:textAlignment w:val="center"/>
              <w:rPr>
                <w:b/>
                <w:color w:val="FFFFFF" w:themeColor="background2"/>
                <w:sz w:val="20"/>
                <w:szCs w:val="20"/>
              </w:rPr>
            </w:pPr>
            <w:r w:rsidRPr="00643C87">
              <w:rPr>
                <w:b/>
                <w:color w:val="FFFFFF" w:themeColor="background2"/>
                <w:sz w:val="20"/>
                <w:szCs w:val="20"/>
              </w:rPr>
              <w:t>Number</w:t>
            </w:r>
          </w:p>
        </w:tc>
        <w:tc>
          <w:tcPr>
            <w:tcW w:w="1134" w:type="dxa"/>
            <w:shd w:val="clear" w:color="auto" w:fill="1E3D6B"/>
          </w:tcPr>
          <w:p w:rsidR="00643C87" w:rsidRPr="00643C87" w:rsidRDefault="00643C87" w:rsidP="00A36B6D">
            <w:pPr>
              <w:keepNext/>
              <w:keepLines/>
              <w:tabs>
                <w:tab w:val="left" w:pos="227"/>
              </w:tabs>
              <w:suppressAutoHyphens/>
              <w:autoSpaceDE w:val="0"/>
              <w:autoSpaceDN w:val="0"/>
              <w:adjustRightInd w:val="0"/>
              <w:spacing w:before="20" w:after="198" w:line="300" w:lineRule="atLeast"/>
              <w:jc w:val="center"/>
              <w:textAlignment w:val="center"/>
              <w:rPr>
                <w:b/>
                <w:color w:val="FFFFFF" w:themeColor="background2"/>
                <w:sz w:val="20"/>
                <w:szCs w:val="20"/>
              </w:rPr>
            </w:pPr>
            <w:r w:rsidRPr="00643C87">
              <w:rPr>
                <w:b/>
                <w:color w:val="FFFFFF" w:themeColor="background2"/>
                <w:sz w:val="20"/>
                <w:szCs w:val="20"/>
              </w:rPr>
              <w:t>Per cent</w:t>
            </w:r>
          </w:p>
        </w:tc>
      </w:tr>
      <w:tr w:rsidR="00643C87" w:rsidRPr="00643C87" w:rsidTr="00643C87">
        <w:trPr>
          <w:trHeight w:val="340"/>
        </w:trPr>
        <w:tc>
          <w:tcPr>
            <w:tcW w:w="6062" w:type="dxa"/>
            <w:vAlign w:val="center"/>
          </w:tcPr>
          <w:p w:rsidR="00643C87" w:rsidRPr="00643C87" w:rsidRDefault="00643C87" w:rsidP="00A36B6D">
            <w:pPr>
              <w:pStyle w:val="TableText0"/>
              <w:keepNext/>
              <w:keepLines/>
              <w:rPr>
                <w:rFonts w:asciiTheme="minorHAnsi" w:hAnsiTheme="minorHAnsi"/>
                <w:color w:val="000000" w:themeColor="text1"/>
                <w:sz w:val="20"/>
              </w:rPr>
            </w:pPr>
            <w:r w:rsidRPr="00643C87">
              <w:rPr>
                <w:rFonts w:ascii="Calibri" w:hAnsi="Calibri" w:cs="Calibri"/>
                <w:bCs/>
                <w:color w:val="000000" w:themeColor="text1"/>
                <w:sz w:val="20"/>
                <w:lang w:eastAsia="en-AU"/>
              </w:rPr>
              <w:t>Evidence not supplied</w:t>
            </w:r>
          </w:p>
        </w:tc>
        <w:tc>
          <w:tcPr>
            <w:tcW w:w="1134" w:type="dxa"/>
            <w:vAlign w:val="center"/>
          </w:tcPr>
          <w:p w:rsidR="00643C87" w:rsidRPr="00643C87" w:rsidRDefault="00643C87" w:rsidP="00A36B6D">
            <w:pPr>
              <w:pStyle w:val="TableText0"/>
              <w:keepNext/>
              <w:keepLines/>
              <w:ind w:left="-250" w:right="317"/>
              <w:jc w:val="right"/>
              <w:rPr>
                <w:rFonts w:asciiTheme="minorHAnsi" w:hAnsiTheme="minorHAnsi"/>
                <w:sz w:val="20"/>
              </w:rPr>
            </w:pPr>
            <w:r w:rsidRPr="00643C87">
              <w:rPr>
                <w:rFonts w:asciiTheme="minorHAnsi" w:hAnsiTheme="minorHAnsi"/>
                <w:sz w:val="20"/>
              </w:rPr>
              <w:t>455</w:t>
            </w:r>
          </w:p>
        </w:tc>
        <w:tc>
          <w:tcPr>
            <w:tcW w:w="1134" w:type="dxa"/>
            <w:vAlign w:val="center"/>
          </w:tcPr>
          <w:p w:rsidR="00643C87" w:rsidRPr="00643C87" w:rsidRDefault="00643C87" w:rsidP="00A36B6D">
            <w:pPr>
              <w:pStyle w:val="TableText0"/>
              <w:keepNext/>
              <w:keepLines/>
              <w:ind w:left="-250" w:right="176"/>
              <w:jc w:val="right"/>
              <w:rPr>
                <w:rFonts w:asciiTheme="minorHAnsi" w:hAnsiTheme="minorHAnsi"/>
                <w:sz w:val="20"/>
              </w:rPr>
            </w:pPr>
            <w:r w:rsidRPr="00643C87">
              <w:rPr>
                <w:rFonts w:asciiTheme="minorHAnsi" w:hAnsiTheme="minorHAnsi"/>
                <w:sz w:val="20"/>
              </w:rPr>
              <w:t>44.3</w:t>
            </w:r>
          </w:p>
        </w:tc>
      </w:tr>
      <w:tr w:rsidR="00643C87" w:rsidRPr="00643C87" w:rsidTr="00643C87">
        <w:trPr>
          <w:trHeight w:val="340"/>
        </w:trPr>
        <w:tc>
          <w:tcPr>
            <w:tcW w:w="6062" w:type="dxa"/>
            <w:shd w:val="clear" w:color="auto" w:fill="E5E5E5" w:themeFill="background1" w:themeFillTint="33"/>
            <w:vAlign w:val="center"/>
          </w:tcPr>
          <w:p w:rsidR="00643C87" w:rsidRPr="00643C87" w:rsidRDefault="00643C87" w:rsidP="00A36B6D">
            <w:pPr>
              <w:pStyle w:val="TableText0"/>
              <w:keepNext/>
              <w:keepLines/>
              <w:rPr>
                <w:rFonts w:asciiTheme="minorHAnsi" w:hAnsiTheme="minorHAnsi"/>
                <w:color w:val="000000" w:themeColor="text1"/>
                <w:sz w:val="20"/>
              </w:rPr>
            </w:pPr>
            <w:r w:rsidRPr="00643C87">
              <w:rPr>
                <w:rFonts w:ascii="Calibri" w:hAnsi="Calibri" w:cs="Calibri"/>
                <w:bCs/>
                <w:color w:val="000000" w:themeColor="text1"/>
                <w:sz w:val="20"/>
                <w:lang w:eastAsia="en-AU"/>
              </w:rPr>
              <w:t>Not in continuous employment for 12 months</w:t>
            </w:r>
          </w:p>
        </w:tc>
        <w:tc>
          <w:tcPr>
            <w:tcW w:w="1134" w:type="dxa"/>
            <w:shd w:val="clear" w:color="auto" w:fill="E5E5E5" w:themeFill="background1" w:themeFillTint="33"/>
            <w:vAlign w:val="center"/>
          </w:tcPr>
          <w:p w:rsidR="00643C87" w:rsidRPr="00643C87" w:rsidRDefault="00643C87" w:rsidP="00A36B6D">
            <w:pPr>
              <w:pStyle w:val="TableText0"/>
              <w:keepNext/>
              <w:keepLines/>
              <w:ind w:left="-250" w:right="317"/>
              <w:jc w:val="right"/>
              <w:rPr>
                <w:rFonts w:asciiTheme="minorHAnsi" w:hAnsiTheme="minorHAnsi"/>
                <w:sz w:val="20"/>
              </w:rPr>
            </w:pPr>
            <w:r w:rsidRPr="00643C87">
              <w:rPr>
                <w:rFonts w:asciiTheme="minorHAnsi" w:hAnsiTheme="minorHAnsi"/>
                <w:sz w:val="20"/>
              </w:rPr>
              <w:t>265</w:t>
            </w:r>
          </w:p>
        </w:tc>
        <w:tc>
          <w:tcPr>
            <w:tcW w:w="1134" w:type="dxa"/>
            <w:shd w:val="clear" w:color="auto" w:fill="E5E5E5" w:themeFill="background1" w:themeFillTint="33"/>
            <w:vAlign w:val="center"/>
          </w:tcPr>
          <w:p w:rsidR="00643C87" w:rsidRPr="00643C87" w:rsidRDefault="00643C87" w:rsidP="00A36B6D">
            <w:pPr>
              <w:pStyle w:val="TableText0"/>
              <w:keepNext/>
              <w:keepLines/>
              <w:ind w:left="-250" w:right="176"/>
              <w:jc w:val="right"/>
              <w:rPr>
                <w:rFonts w:asciiTheme="minorHAnsi" w:hAnsiTheme="minorHAnsi"/>
                <w:sz w:val="20"/>
              </w:rPr>
            </w:pPr>
            <w:r w:rsidRPr="00643C87">
              <w:rPr>
                <w:rFonts w:asciiTheme="minorHAnsi" w:hAnsiTheme="minorHAnsi"/>
                <w:sz w:val="20"/>
              </w:rPr>
              <w:t>25.8</w:t>
            </w:r>
          </w:p>
        </w:tc>
      </w:tr>
      <w:tr w:rsidR="00643C87" w:rsidRPr="00643C87" w:rsidTr="00643C87">
        <w:trPr>
          <w:trHeight w:val="340"/>
        </w:trPr>
        <w:tc>
          <w:tcPr>
            <w:tcW w:w="6062" w:type="dxa"/>
            <w:vAlign w:val="center"/>
          </w:tcPr>
          <w:p w:rsidR="00643C87" w:rsidRPr="00643C87" w:rsidRDefault="00643C87" w:rsidP="00A36B6D">
            <w:pPr>
              <w:pStyle w:val="TableText0"/>
              <w:keepNext/>
              <w:keepLines/>
              <w:rPr>
                <w:rFonts w:asciiTheme="minorHAnsi" w:hAnsiTheme="minorHAnsi"/>
                <w:color w:val="000000" w:themeColor="text1"/>
                <w:sz w:val="20"/>
              </w:rPr>
            </w:pPr>
            <w:r w:rsidRPr="00643C87">
              <w:rPr>
                <w:rFonts w:ascii="Calibri" w:hAnsi="Calibri" w:cs="Calibri"/>
                <w:bCs/>
                <w:color w:val="000000" w:themeColor="text1"/>
                <w:sz w:val="20"/>
                <w:lang w:eastAsia="en-AU"/>
              </w:rPr>
              <w:t>Claim outside of 90 day period</w:t>
            </w:r>
          </w:p>
        </w:tc>
        <w:tc>
          <w:tcPr>
            <w:tcW w:w="1134" w:type="dxa"/>
            <w:vAlign w:val="center"/>
          </w:tcPr>
          <w:p w:rsidR="00643C87" w:rsidRPr="00643C87" w:rsidRDefault="00643C87" w:rsidP="00A36B6D">
            <w:pPr>
              <w:pStyle w:val="TableText0"/>
              <w:keepNext/>
              <w:keepLines/>
              <w:ind w:left="-250" w:right="317"/>
              <w:jc w:val="right"/>
              <w:rPr>
                <w:rFonts w:asciiTheme="minorHAnsi" w:hAnsiTheme="minorHAnsi"/>
                <w:sz w:val="20"/>
              </w:rPr>
            </w:pPr>
            <w:r w:rsidRPr="00643C87">
              <w:rPr>
                <w:rFonts w:asciiTheme="minorHAnsi" w:hAnsiTheme="minorHAnsi"/>
                <w:sz w:val="20"/>
              </w:rPr>
              <w:t>293</w:t>
            </w:r>
          </w:p>
        </w:tc>
        <w:tc>
          <w:tcPr>
            <w:tcW w:w="1134" w:type="dxa"/>
            <w:vAlign w:val="center"/>
          </w:tcPr>
          <w:p w:rsidR="00643C87" w:rsidRPr="00643C87" w:rsidRDefault="00643C87" w:rsidP="00A36B6D">
            <w:pPr>
              <w:pStyle w:val="TableText0"/>
              <w:keepNext/>
              <w:keepLines/>
              <w:ind w:left="-250" w:right="176"/>
              <w:jc w:val="right"/>
              <w:rPr>
                <w:rFonts w:asciiTheme="minorHAnsi" w:hAnsiTheme="minorHAnsi"/>
                <w:sz w:val="20"/>
              </w:rPr>
            </w:pPr>
            <w:r w:rsidRPr="00643C87">
              <w:rPr>
                <w:rFonts w:asciiTheme="minorHAnsi" w:hAnsiTheme="minorHAnsi"/>
                <w:sz w:val="20"/>
              </w:rPr>
              <w:t>23.3</w:t>
            </w:r>
          </w:p>
        </w:tc>
      </w:tr>
      <w:tr w:rsidR="00643C87" w:rsidRPr="00643C87" w:rsidTr="00643C87">
        <w:trPr>
          <w:trHeight w:val="340"/>
        </w:trPr>
        <w:tc>
          <w:tcPr>
            <w:tcW w:w="6062" w:type="dxa"/>
            <w:shd w:val="clear" w:color="auto" w:fill="E5E5E5" w:themeFill="background1" w:themeFillTint="33"/>
            <w:vAlign w:val="center"/>
          </w:tcPr>
          <w:p w:rsidR="00643C87" w:rsidRPr="00643C87" w:rsidRDefault="00643C87" w:rsidP="00A36B6D">
            <w:pPr>
              <w:pStyle w:val="TableText0"/>
              <w:keepNext/>
              <w:keepLines/>
              <w:rPr>
                <w:rFonts w:asciiTheme="minorHAnsi" w:hAnsiTheme="minorHAnsi"/>
                <w:color w:val="000000" w:themeColor="text1"/>
                <w:sz w:val="20"/>
              </w:rPr>
            </w:pPr>
            <w:r w:rsidRPr="00643C87">
              <w:rPr>
                <w:rFonts w:ascii="Calibri" w:hAnsi="Calibri" w:cs="Calibri"/>
                <w:bCs/>
                <w:color w:val="000000" w:themeColor="text1"/>
                <w:sz w:val="20"/>
                <w:lang w:eastAsia="en-AU"/>
              </w:rPr>
              <w:t>Not on qualifying payment for 12 continuous months or did not meet age criteria</w:t>
            </w:r>
          </w:p>
        </w:tc>
        <w:tc>
          <w:tcPr>
            <w:tcW w:w="1134" w:type="dxa"/>
            <w:shd w:val="clear" w:color="auto" w:fill="E5E5E5" w:themeFill="background1" w:themeFillTint="33"/>
            <w:vAlign w:val="center"/>
          </w:tcPr>
          <w:p w:rsidR="00643C87" w:rsidRPr="00643C87" w:rsidRDefault="00643C87" w:rsidP="00A36B6D">
            <w:pPr>
              <w:pStyle w:val="TableText0"/>
              <w:keepNext/>
              <w:keepLines/>
              <w:ind w:left="-250" w:right="317"/>
              <w:jc w:val="right"/>
              <w:rPr>
                <w:rFonts w:asciiTheme="minorHAnsi" w:hAnsiTheme="minorHAnsi"/>
                <w:sz w:val="20"/>
              </w:rPr>
            </w:pPr>
            <w:r w:rsidRPr="00643C87">
              <w:rPr>
                <w:rFonts w:asciiTheme="minorHAnsi" w:hAnsiTheme="minorHAnsi"/>
                <w:sz w:val="20"/>
              </w:rPr>
              <w:t>36</w:t>
            </w:r>
          </w:p>
        </w:tc>
        <w:tc>
          <w:tcPr>
            <w:tcW w:w="1134" w:type="dxa"/>
            <w:shd w:val="clear" w:color="auto" w:fill="E5E5E5" w:themeFill="background1" w:themeFillTint="33"/>
            <w:vAlign w:val="center"/>
          </w:tcPr>
          <w:p w:rsidR="00643C87" w:rsidRPr="00643C87" w:rsidRDefault="00643C87" w:rsidP="00A36B6D">
            <w:pPr>
              <w:pStyle w:val="TableText0"/>
              <w:keepNext/>
              <w:keepLines/>
              <w:ind w:left="-250" w:right="176"/>
              <w:jc w:val="right"/>
              <w:rPr>
                <w:rFonts w:asciiTheme="minorHAnsi" w:hAnsiTheme="minorHAnsi"/>
                <w:sz w:val="20"/>
              </w:rPr>
            </w:pPr>
            <w:r w:rsidRPr="00643C87">
              <w:rPr>
                <w:rFonts w:asciiTheme="minorHAnsi" w:hAnsiTheme="minorHAnsi"/>
                <w:sz w:val="20"/>
              </w:rPr>
              <w:t>3.5</w:t>
            </w:r>
          </w:p>
        </w:tc>
      </w:tr>
      <w:tr w:rsidR="00643C87" w:rsidRPr="00643C87" w:rsidTr="00643C87">
        <w:trPr>
          <w:trHeight w:val="340"/>
        </w:trPr>
        <w:tc>
          <w:tcPr>
            <w:tcW w:w="6062" w:type="dxa"/>
            <w:vAlign w:val="center"/>
          </w:tcPr>
          <w:p w:rsidR="00643C87" w:rsidRPr="00643C87" w:rsidRDefault="00643C87" w:rsidP="00A36B6D">
            <w:pPr>
              <w:pStyle w:val="TableText0"/>
              <w:keepNext/>
              <w:keepLines/>
              <w:rPr>
                <w:rFonts w:asciiTheme="minorHAnsi" w:hAnsiTheme="minorHAnsi"/>
                <w:color w:val="000000" w:themeColor="text1"/>
                <w:sz w:val="20"/>
              </w:rPr>
            </w:pPr>
            <w:r>
              <w:rPr>
                <w:rFonts w:ascii="Calibri" w:hAnsi="Calibri" w:cs="Calibri"/>
                <w:bCs/>
                <w:color w:val="000000" w:themeColor="text1"/>
                <w:sz w:val="20"/>
                <w:lang w:eastAsia="en-AU"/>
              </w:rPr>
              <w:t>Other</w:t>
            </w:r>
          </w:p>
        </w:tc>
        <w:tc>
          <w:tcPr>
            <w:tcW w:w="1134" w:type="dxa"/>
            <w:vAlign w:val="center"/>
          </w:tcPr>
          <w:p w:rsidR="00643C87" w:rsidRPr="00643C87" w:rsidRDefault="00643C87" w:rsidP="00A36B6D">
            <w:pPr>
              <w:pStyle w:val="TableText0"/>
              <w:keepNext/>
              <w:keepLines/>
              <w:ind w:left="-250" w:right="317"/>
              <w:jc w:val="right"/>
              <w:rPr>
                <w:rFonts w:asciiTheme="minorHAnsi" w:hAnsiTheme="minorHAnsi"/>
                <w:sz w:val="20"/>
              </w:rPr>
            </w:pPr>
            <w:r>
              <w:rPr>
                <w:rFonts w:asciiTheme="minorHAnsi" w:hAnsiTheme="minorHAnsi"/>
                <w:sz w:val="20"/>
              </w:rPr>
              <w:t>32</w:t>
            </w:r>
          </w:p>
        </w:tc>
        <w:tc>
          <w:tcPr>
            <w:tcW w:w="1134" w:type="dxa"/>
            <w:vAlign w:val="center"/>
          </w:tcPr>
          <w:p w:rsidR="00643C87" w:rsidRPr="00643C87" w:rsidRDefault="00643C87" w:rsidP="00A36B6D">
            <w:pPr>
              <w:pStyle w:val="TableText0"/>
              <w:keepNext/>
              <w:keepLines/>
              <w:ind w:left="-250" w:right="176"/>
              <w:jc w:val="right"/>
              <w:rPr>
                <w:rFonts w:asciiTheme="minorHAnsi" w:hAnsiTheme="minorHAnsi"/>
                <w:sz w:val="20"/>
              </w:rPr>
            </w:pPr>
            <w:r>
              <w:rPr>
                <w:rFonts w:asciiTheme="minorHAnsi" w:hAnsiTheme="minorHAnsi"/>
                <w:sz w:val="20"/>
              </w:rPr>
              <w:t>3.1</w:t>
            </w:r>
          </w:p>
        </w:tc>
      </w:tr>
      <w:tr w:rsidR="00643C87" w:rsidRPr="00643C87" w:rsidTr="00643C87">
        <w:trPr>
          <w:trHeight w:val="340"/>
        </w:trPr>
        <w:tc>
          <w:tcPr>
            <w:tcW w:w="6062" w:type="dxa"/>
            <w:shd w:val="clear" w:color="auto" w:fill="8EAEDE"/>
            <w:vAlign w:val="center"/>
          </w:tcPr>
          <w:p w:rsidR="00643C87" w:rsidRPr="00643C87" w:rsidRDefault="00643C87" w:rsidP="00A36B6D">
            <w:pPr>
              <w:keepNext/>
              <w:keepLines/>
              <w:rPr>
                <w:sz w:val="20"/>
                <w:szCs w:val="20"/>
              </w:rPr>
            </w:pPr>
            <w:r w:rsidRPr="00643C87">
              <w:rPr>
                <w:sz w:val="20"/>
                <w:szCs w:val="20"/>
              </w:rPr>
              <w:t>Total</w:t>
            </w:r>
          </w:p>
        </w:tc>
        <w:tc>
          <w:tcPr>
            <w:tcW w:w="1134" w:type="dxa"/>
            <w:shd w:val="clear" w:color="auto" w:fill="8EAEDE"/>
            <w:vAlign w:val="center"/>
          </w:tcPr>
          <w:p w:rsidR="00643C87" w:rsidRPr="00643C87" w:rsidRDefault="00643C87" w:rsidP="00A36B6D">
            <w:pPr>
              <w:keepNext/>
              <w:keepLines/>
              <w:ind w:left="-250" w:right="317"/>
              <w:jc w:val="right"/>
              <w:rPr>
                <w:sz w:val="20"/>
                <w:szCs w:val="20"/>
              </w:rPr>
            </w:pPr>
            <w:r w:rsidRPr="00643C87">
              <w:rPr>
                <w:sz w:val="20"/>
                <w:szCs w:val="20"/>
              </w:rPr>
              <w:t>1,027</w:t>
            </w:r>
          </w:p>
        </w:tc>
        <w:tc>
          <w:tcPr>
            <w:tcW w:w="1134" w:type="dxa"/>
            <w:shd w:val="clear" w:color="auto" w:fill="8EAEDE"/>
            <w:vAlign w:val="center"/>
          </w:tcPr>
          <w:p w:rsidR="00643C87" w:rsidRPr="00643C87" w:rsidRDefault="00643C87" w:rsidP="00A36B6D">
            <w:pPr>
              <w:keepNext/>
              <w:keepLines/>
              <w:ind w:left="-250" w:right="176"/>
              <w:jc w:val="right"/>
              <w:rPr>
                <w:sz w:val="20"/>
                <w:szCs w:val="20"/>
              </w:rPr>
            </w:pPr>
            <w:r w:rsidRPr="00643C87">
              <w:rPr>
                <w:sz w:val="20"/>
                <w:szCs w:val="20"/>
              </w:rPr>
              <w:t>100.0</w:t>
            </w:r>
          </w:p>
        </w:tc>
      </w:tr>
    </w:tbl>
    <w:p w:rsidR="00643C87" w:rsidRPr="004B0F8E" w:rsidRDefault="00643C87" w:rsidP="00A36B6D">
      <w:pPr>
        <w:pStyle w:val="Source"/>
        <w:keepNext/>
        <w:keepLines/>
      </w:pPr>
      <w:r w:rsidRPr="004B0F8E">
        <w:t>Notes:</w:t>
      </w:r>
    </w:p>
    <w:p w:rsidR="00643C87" w:rsidRDefault="00643C87" w:rsidP="00E3205B">
      <w:pPr>
        <w:pStyle w:val="Source"/>
        <w:keepNext/>
        <w:keepLines/>
        <w:numPr>
          <w:ilvl w:val="0"/>
          <w:numId w:val="87"/>
        </w:numPr>
        <w:rPr>
          <w:b w:val="0"/>
        </w:rPr>
      </w:pPr>
      <w:r w:rsidRPr="004B0F8E">
        <w:rPr>
          <w:b w:val="0"/>
        </w:rPr>
        <w:t>Processing data of rejection rates from July 2016 was not available in the monitoring data.</w:t>
      </w:r>
    </w:p>
    <w:p w:rsidR="00643C87" w:rsidRPr="004B0F8E" w:rsidRDefault="00283E3D" w:rsidP="00E3205B">
      <w:pPr>
        <w:pStyle w:val="Source"/>
        <w:keepNext/>
        <w:keepLines/>
        <w:numPr>
          <w:ilvl w:val="0"/>
          <w:numId w:val="87"/>
        </w:numPr>
        <w:rPr>
          <w:b w:val="0"/>
        </w:rPr>
      </w:pPr>
      <w:r w:rsidRPr="004B0F8E" w:rsidDel="00283E3D">
        <w:rPr>
          <w:b w:val="0"/>
        </w:rPr>
        <w:t xml:space="preserve"> </w:t>
      </w:r>
      <w:r w:rsidR="00643C87" w:rsidRPr="004B0F8E">
        <w:rPr>
          <w:b w:val="0"/>
        </w:rPr>
        <w:t xml:space="preserve">‘Other’ category includes: </w:t>
      </w:r>
      <w:r w:rsidR="00643C87" w:rsidRPr="004B0F8E">
        <w:rPr>
          <w:rFonts w:ascii="Calibri" w:hAnsi="Calibri" w:cs="Calibri"/>
          <w:b w:val="0"/>
          <w:bCs/>
          <w:lang w:eastAsia="en-AU"/>
        </w:rPr>
        <w:t>Residentially unqualified, Precluding payment/returned to income support and Employment not suitable (including scholarship, self-employed under NEIS, Green Army).</w:t>
      </w:r>
    </w:p>
    <w:p w:rsidR="00FD1666" w:rsidRPr="004B0F8E" w:rsidRDefault="00810B97" w:rsidP="00A36B6D">
      <w:pPr>
        <w:pStyle w:val="Source"/>
        <w:keepNext/>
        <w:keepLines/>
        <w:rPr>
          <w:b w:val="0"/>
        </w:rPr>
      </w:pPr>
      <w:r w:rsidRPr="004B0F8E">
        <w:t>Source:</w:t>
      </w:r>
      <w:r w:rsidRPr="004B0F8E">
        <w:rPr>
          <w:b w:val="0"/>
        </w:rPr>
        <w:t xml:space="preserve"> DHS and DoE monitoring data.</w:t>
      </w:r>
    </w:p>
    <w:p w:rsidR="0007324F" w:rsidRDefault="0007324F" w:rsidP="0007324F">
      <w:pPr>
        <w:spacing w:before="120"/>
        <w:rPr>
          <w:color w:val="000000" w:themeColor="text1"/>
        </w:rPr>
      </w:pPr>
      <w:r>
        <w:rPr>
          <w:color w:val="000000" w:themeColor="text1"/>
        </w:rPr>
        <w:t xml:space="preserve">It should be </w:t>
      </w:r>
      <w:r w:rsidR="007D73C9">
        <w:rPr>
          <w:color w:val="000000" w:themeColor="text1"/>
        </w:rPr>
        <w:t>noted</w:t>
      </w:r>
      <w:r>
        <w:rPr>
          <w:color w:val="000000" w:themeColor="text1"/>
        </w:rPr>
        <w:t xml:space="preserve"> that these figures </w:t>
      </w:r>
      <w:r w:rsidR="006B181D">
        <w:rPr>
          <w:color w:val="000000" w:themeColor="text1"/>
        </w:rPr>
        <w:t>may</w:t>
      </w:r>
      <w:r>
        <w:rPr>
          <w:color w:val="000000" w:themeColor="text1"/>
        </w:rPr>
        <w:t xml:space="preserve"> not re</w:t>
      </w:r>
      <w:r w:rsidR="007D73C9">
        <w:rPr>
          <w:color w:val="000000" w:themeColor="text1"/>
        </w:rPr>
        <w:t>present</w:t>
      </w:r>
      <w:r>
        <w:rPr>
          <w:color w:val="000000" w:themeColor="text1"/>
        </w:rPr>
        <w:t xml:space="preserve"> the final </w:t>
      </w:r>
      <w:r w:rsidR="006B181D">
        <w:rPr>
          <w:color w:val="000000" w:themeColor="text1"/>
        </w:rPr>
        <w:t>outcome</w:t>
      </w:r>
      <w:r>
        <w:rPr>
          <w:color w:val="000000" w:themeColor="text1"/>
        </w:rPr>
        <w:t xml:space="preserve"> for many </w:t>
      </w:r>
      <w:r w:rsidR="009861B1">
        <w:rPr>
          <w:color w:val="000000" w:themeColor="text1"/>
        </w:rPr>
        <w:t xml:space="preserve">claimants </w:t>
      </w:r>
      <w:r w:rsidR="007D73C9">
        <w:rPr>
          <w:color w:val="000000" w:themeColor="text1"/>
        </w:rPr>
        <w:t>as s</w:t>
      </w:r>
      <w:r>
        <w:rPr>
          <w:color w:val="000000" w:themeColor="text1"/>
        </w:rPr>
        <w:t xml:space="preserve">ome made several lodgement attempts. </w:t>
      </w:r>
      <w:r w:rsidR="007D73C9">
        <w:rPr>
          <w:color w:val="000000" w:themeColor="text1"/>
        </w:rPr>
        <w:t xml:space="preserve">The final </w:t>
      </w:r>
      <w:r w:rsidR="00581683">
        <w:rPr>
          <w:color w:val="000000" w:themeColor="text1"/>
        </w:rPr>
        <w:t xml:space="preserve">claim </w:t>
      </w:r>
      <w:r w:rsidR="007D73C9">
        <w:rPr>
          <w:color w:val="000000" w:themeColor="text1"/>
        </w:rPr>
        <w:t>status is ultimately more relevant than the number of attempts</w:t>
      </w:r>
      <w:r>
        <w:rPr>
          <w:color w:val="000000" w:themeColor="text1"/>
        </w:rPr>
        <w:t xml:space="preserve">. Following re-lodgement and amendment, 15.1 per cent of people who applied for the first bonus were ultimately </w:t>
      </w:r>
      <w:r w:rsidRPr="00A817AC">
        <w:rPr>
          <w:color w:val="000000" w:themeColor="text1"/>
        </w:rPr>
        <w:t>unsuccessful (Table 3.</w:t>
      </w:r>
      <w:r w:rsidR="008D1AF5">
        <w:rPr>
          <w:color w:val="000000" w:themeColor="text1"/>
        </w:rPr>
        <w:t>1</w:t>
      </w:r>
      <w:r w:rsidRPr="00A817AC">
        <w:rPr>
          <w:color w:val="000000" w:themeColor="text1"/>
        </w:rPr>
        <w:t>). Rejection</w:t>
      </w:r>
      <w:r>
        <w:rPr>
          <w:color w:val="000000" w:themeColor="text1"/>
        </w:rPr>
        <w:t xml:space="preserve"> rates for the second bonus, as expected, were lower (7.2 per cent)</w:t>
      </w:r>
      <w:r w:rsidR="00173D08">
        <w:rPr>
          <w:color w:val="000000" w:themeColor="text1"/>
        </w:rPr>
        <w:t>. This is likely because</w:t>
      </w:r>
      <w:r>
        <w:rPr>
          <w:color w:val="000000" w:themeColor="text1"/>
        </w:rPr>
        <w:t xml:space="preserve"> people </w:t>
      </w:r>
      <w:r w:rsidR="006B181D">
        <w:rPr>
          <w:color w:val="000000" w:themeColor="text1"/>
        </w:rPr>
        <w:t>who</w:t>
      </w:r>
      <w:r>
        <w:rPr>
          <w:color w:val="000000" w:themeColor="text1"/>
        </w:rPr>
        <w:t xml:space="preserve"> claimed the second bonus had previously submitted a claim for the first (only 17</w:t>
      </w:r>
      <w:r w:rsidR="00A817AC">
        <w:rPr>
          <w:color w:val="000000" w:themeColor="text1"/>
        </w:rPr>
        <w:t>.6</w:t>
      </w:r>
      <w:r>
        <w:rPr>
          <w:color w:val="000000" w:themeColor="text1"/>
        </w:rPr>
        <w:t xml:space="preserve"> per cent of </w:t>
      </w:r>
      <w:r w:rsidR="00173D08">
        <w:rPr>
          <w:color w:val="000000" w:themeColor="text1"/>
        </w:rPr>
        <w:t xml:space="preserve">people </w:t>
      </w:r>
      <w:r>
        <w:rPr>
          <w:color w:val="000000" w:themeColor="text1"/>
        </w:rPr>
        <w:t xml:space="preserve">claiming the second bonus submitted a Combined </w:t>
      </w:r>
      <w:r w:rsidRPr="00A817AC">
        <w:rPr>
          <w:color w:val="000000" w:themeColor="text1"/>
        </w:rPr>
        <w:t>Claim) (Table 3.</w:t>
      </w:r>
      <w:r w:rsidR="00D63A4E">
        <w:rPr>
          <w:color w:val="000000" w:themeColor="text1"/>
        </w:rPr>
        <w:t>2</w:t>
      </w:r>
      <w:r w:rsidRPr="00A817AC">
        <w:rPr>
          <w:color w:val="000000" w:themeColor="text1"/>
        </w:rPr>
        <w:t>).</w:t>
      </w:r>
    </w:p>
    <w:p w:rsidR="001F5BE3" w:rsidRDefault="001F5BE3" w:rsidP="001F5BE3">
      <w:pPr>
        <w:tabs>
          <w:tab w:val="left" w:pos="227"/>
        </w:tabs>
        <w:suppressAutoHyphens/>
        <w:autoSpaceDE w:val="0"/>
        <w:autoSpaceDN w:val="0"/>
        <w:adjustRightInd w:val="0"/>
        <w:spacing w:before="120" w:after="198" w:line="300" w:lineRule="atLeast"/>
        <w:textAlignment w:val="center"/>
        <w:rPr>
          <w:color w:val="000000" w:themeColor="text1"/>
        </w:rPr>
      </w:pPr>
      <w:r>
        <w:rPr>
          <w:color w:val="000000" w:themeColor="text1"/>
        </w:rPr>
        <w:t xml:space="preserve">Some applicants </w:t>
      </w:r>
      <w:r w:rsidR="007D73C9">
        <w:rPr>
          <w:color w:val="000000" w:themeColor="text1"/>
        </w:rPr>
        <w:t>who</w:t>
      </w:r>
      <w:r w:rsidR="000F5955">
        <w:rPr>
          <w:color w:val="000000" w:themeColor="text1"/>
        </w:rPr>
        <w:t>se</w:t>
      </w:r>
      <w:r w:rsidR="007D73C9">
        <w:rPr>
          <w:color w:val="000000" w:themeColor="text1"/>
        </w:rPr>
        <w:t xml:space="preserve"> </w:t>
      </w:r>
      <w:r w:rsidR="00B278B8">
        <w:rPr>
          <w:color w:val="000000" w:themeColor="text1"/>
        </w:rPr>
        <w:t xml:space="preserve">claims </w:t>
      </w:r>
      <w:r w:rsidR="000F5955">
        <w:rPr>
          <w:color w:val="000000" w:themeColor="text1"/>
        </w:rPr>
        <w:t xml:space="preserve">were </w:t>
      </w:r>
      <w:r w:rsidR="007D73C9">
        <w:rPr>
          <w:color w:val="000000" w:themeColor="text1"/>
        </w:rPr>
        <w:t xml:space="preserve">rejected and later approved </w:t>
      </w:r>
      <w:r>
        <w:rPr>
          <w:color w:val="000000" w:themeColor="text1"/>
        </w:rPr>
        <w:t>were unaware</w:t>
      </w:r>
      <w:r w:rsidR="007D73C9">
        <w:rPr>
          <w:color w:val="000000" w:themeColor="text1"/>
        </w:rPr>
        <w:t xml:space="preserve"> of</w:t>
      </w:r>
      <w:r>
        <w:rPr>
          <w:color w:val="000000" w:themeColor="text1"/>
        </w:rPr>
        <w:t xml:space="preserve"> how or why </w:t>
      </w:r>
      <w:r w:rsidR="000F5955">
        <w:rPr>
          <w:color w:val="000000" w:themeColor="text1"/>
        </w:rPr>
        <w:t>this changed</w:t>
      </w:r>
      <w:r>
        <w:rPr>
          <w:color w:val="000000" w:themeColor="text1"/>
        </w:rPr>
        <w:t>.</w:t>
      </w:r>
    </w:p>
    <w:p w:rsidR="001F5BE3" w:rsidRDefault="001F5BE3" w:rsidP="001F5BE3">
      <w:pPr>
        <w:pStyle w:val="QuotationJCB"/>
      </w:pPr>
      <w:r>
        <w:t>I found it very difficult, so the first time I put it through it got declined. And then I went into Centrelink and spoke to them and they said to do it a</w:t>
      </w:r>
      <w:r w:rsidR="00602B02">
        <w:t>gain, and then it got approved.</w:t>
      </w:r>
    </w:p>
    <w:p w:rsidR="001F5BE3" w:rsidRDefault="002361DB" w:rsidP="004968D9">
      <w:pPr>
        <w:pStyle w:val="quopteJCB-source"/>
        <w:spacing w:before="0"/>
      </w:pPr>
      <w:r>
        <w:t>October 2016 (Round 3),</w:t>
      </w:r>
      <w:r w:rsidR="00AD60DE">
        <w:t xml:space="preserve"> received JCB</w:t>
      </w:r>
      <w:r w:rsidR="001F5BE3">
        <w:t>, focus group,</w:t>
      </w:r>
      <w:r w:rsidR="001F5BE3" w:rsidRPr="0085604E">
        <w:t xml:space="preserve"> </w:t>
      </w:r>
      <w:r w:rsidR="001F5BE3">
        <w:t>Gold Coast</w:t>
      </w:r>
    </w:p>
    <w:p w:rsidR="007A1E53" w:rsidRPr="006C7796" w:rsidRDefault="00422492" w:rsidP="006C7796">
      <w:pPr>
        <w:spacing w:before="120"/>
        <w:rPr>
          <w:color w:val="000000" w:themeColor="text1"/>
        </w:rPr>
      </w:pPr>
      <w:r>
        <w:rPr>
          <w:color w:val="000000" w:themeColor="text1"/>
        </w:rPr>
        <w:t>Applicants with rejected claims</w:t>
      </w:r>
      <w:r w:rsidR="007A1E53" w:rsidRPr="007A1E53">
        <w:rPr>
          <w:color w:val="000000" w:themeColor="text1"/>
        </w:rPr>
        <w:t xml:space="preserve"> respon</w:t>
      </w:r>
      <w:r>
        <w:rPr>
          <w:color w:val="000000" w:themeColor="text1"/>
        </w:rPr>
        <w:t>ded in varying ways. S</w:t>
      </w:r>
      <w:r w:rsidR="007A1E53">
        <w:rPr>
          <w:color w:val="000000" w:themeColor="text1"/>
        </w:rPr>
        <w:t xml:space="preserve">ome </w:t>
      </w:r>
      <w:r w:rsidR="007A1E53" w:rsidRPr="007A1E53">
        <w:rPr>
          <w:color w:val="000000" w:themeColor="text1"/>
        </w:rPr>
        <w:t>accepted the outcome</w:t>
      </w:r>
      <w:r w:rsidR="007D73C9">
        <w:rPr>
          <w:color w:val="000000" w:themeColor="text1"/>
        </w:rPr>
        <w:t xml:space="preserve"> and </w:t>
      </w:r>
      <w:r w:rsidR="006C7796">
        <w:rPr>
          <w:color w:val="000000" w:themeColor="text1"/>
        </w:rPr>
        <w:t xml:space="preserve">understood they had </w:t>
      </w:r>
      <w:r w:rsidR="006C7796" w:rsidRPr="007A1E53">
        <w:rPr>
          <w:color w:val="000000" w:themeColor="text1"/>
        </w:rPr>
        <w:t>failed to meet the eligibility criteria</w:t>
      </w:r>
    </w:p>
    <w:p w:rsidR="00717E92" w:rsidRPr="005A5D07" w:rsidRDefault="00717E92" w:rsidP="00CD44C4">
      <w:pPr>
        <w:pStyle w:val="QuotationJCB"/>
      </w:pPr>
      <w:r w:rsidRPr="005A5D07">
        <w:t>Yeah, I was expecting like the answer to be positive, but then when they explained to me why and all that, I was okay with it, I understood it…</w:t>
      </w:r>
      <w:r w:rsidRPr="00717E92">
        <w:t>Actually</w:t>
      </w:r>
      <w:r w:rsidRPr="005A5D07">
        <w:t xml:space="preserve"> to be honest I was like, “Oh you know, that would be nice to have the Bonus”.</w:t>
      </w:r>
    </w:p>
    <w:p w:rsidR="00717E92" w:rsidRDefault="002361DB" w:rsidP="004968D9">
      <w:pPr>
        <w:pStyle w:val="quopteJCB-source"/>
        <w:spacing w:before="0"/>
        <w:rPr>
          <w:rFonts w:eastAsia="Times New Roman"/>
          <w:lang w:eastAsia="en-AU"/>
        </w:rPr>
      </w:pPr>
      <w:r>
        <w:rPr>
          <w:rFonts w:eastAsia="Times New Roman"/>
          <w:lang w:eastAsia="en-AU"/>
        </w:rPr>
        <w:t>November 2015 (Round 2),</w:t>
      </w:r>
      <w:r w:rsidR="00C00195">
        <w:rPr>
          <w:rFonts w:eastAsia="Times New Roman"/>
          <w:lang w:eastAsia="en-AU"/>
        </w:rPr>
        <w:t xml:space="preserve"> </w:t>
      </w:r>
      <w:r w:rsidR="007D5865">
        <w:rPr>
          <w:rFonts w:eastAsia="Times New Roman"/>
          <w:lang w:eastAsia="en-AU"/>
        </w:rPr>
        <w:t xml:space="preserve">claim rejected, </w:t>
      </w:r>
      <w:r w:rsidR="00C00195">
        <w:rPr>
          <w:rFonts w:eastAsia="Times New Roman"/>
          <w:lang w:eastAsia="en-AU"/>
        </w:rPr>
        <w:t>female</w:t>
      </w:r>
      <w:r w:rsidR="00717E92" w:rsidRPr="005A5D07">
        <w:rPr>
          <w:rFonts w:eastAsia="Times New Roman"/>
          <w:lang w:eastAsia="en-AU"/>
        </w:rPr>
        <w:t xml:space="preserve">, under 25 years, </w:t>
      </w:r>
      <w:r w:rsidR="00C00195">
        <w:rPr>
          <w:rFonts w:eastAsia="Times New Roman"/>
          <w:lang w:eastAsia="en-AU"/>
        </w:rPr>
        <w:t>metropolitan</w:t>
      </w:r>
    </w:p>
    <w:p w:rsidR="00717E92" w:rsidRPr="006C7796" w:rsidRDefault="007D73C9" w:rsidP="00602B02">
      <w:pPr>
        <w:spacing w:before="120"/>
        <w:rPr>
          <w:color w:val="000000" w:themeColor="text1"/>
        </w:rPr>
      </w:pPr>
      <w:r>
        <w:t xml:space="preserve">Others were </w:t>
      </w:r>
      <w:r w:rsidRPr="007A1E53">
        <w:t>frustrated</w:t>
      </w:r>
      <w:r>
        <w:t xml:space="preserve">, </w:t>
      </w:r>
      <w:r w:rsidRPr="007A1E53">
        <w:t>upset</w:t>
      </w:r>
      <w:r>
        <w:t xml:space="preserve"> and annoyed as they felt things beyond their control hindered their application</w:t>
      </w:r>
      <w:r w:rsidR="000F5955">
        <w:t xml:space="preserve">. </w:t>
      </w:r>
      <w:r w:rsidR="006C7796">
        <w:rPr>
          <w:color w:val="000000" w:themeColor="text1"/>
        </w:rPr>
        <w:t>S</w:t>
      </w:r>
      <w:r w:rsidR="006C7796" w:rsidRPr="006C7796">
        <w:rPr>
          <w:color w:val="000000" w:themeColor="text1"/>
        </w:rPr>
        <w:t>ome were</w:t>
      </w:r>
      <w:r w:rsidR="007A1E53" w:rsidRPr="006C7796">
        <w:rPr>
          <w:color w:val="000000" w:themeColor="text1"/>
        </w:rPr>
        <w:t xml:space="preserve"> unaware </w:t>
      </w:r>
      <w:r w:rsidR="00864C53">
        <w:rPr>
          <w:color w:val="000000" w:themeColor="text1"/>
        </w:rPr>
        <w:t>that</w:t>
      </w:r>
      <w:r w:rsidR="00864C53" w:rsidRPr="006C7796">
        <w:rPr>
          <w:color w:val="000000" w:themeColor="text1"/>
        </w:rPr>
        <w:t xml:space="preserve"> </w:t>
      </w:r>
      <w:r w:rsidR="007A1E53" w:rsidRPr="006C7796">
        <w:rPr>
          <w:color w:val="000000" w:themeColor="text1"/>
        </w:rPr>
        <w:t xml:space="preserve">their claims had been rejected </w:t>
      </w:r>
      <w:r w:rsidR="008F2FF7" w:rsidRPr="006C7796">
        <w:rPr>
          <w:color w:val="000000" w:themeColor="text1"/>
        </w:rPr>
        <w:t>and</w:t>
      </w:r>
      <w:r w:rsidR="007A1E53" w:rsidRPr="006C7796">
        <w:rPr>
          <w:color w:val="000000" w:themeColor="text1"/>
        </w:rPr>
        <w:t xml:space="preserve"> did not recall receiving any communication from DHS about the outcome of their claim</w:t>
      </w:r>
      <w:r w:rsidR="00173D08">
        <w:rPr>
          <w:color w:val="000000" w:themeColor="text1"/>
        </w:rPr>
        <w:t>. O</w:t>
      </w:r>
      <w:r w:rsidR="006C7796" w:rsidRPr="006C7796">
        <w:rPr>
          <w:color w:val="000000" w:themeColor="text1"/>
        </w:rPr>
        <w:t>thers had</w:t>
      </w:r>
      <w:r w:rsidR="008F2FF7" w:rsidRPr="006C7796">
        <w:rPr>
          <w:color w:val="000000" w:themeColor="text1"/>
        </w:rPr>
        <w:t xml:space="preserve"> read</w:t>
      </w:r>
      <w:r w:rsidR="00717E92" w:rsidRPr="006C7796">
        <w:rPr>
          <w:color w:val="000000" w:themeColor="text1"/>
        </w:rPr>
        <w:t xml:space="preserve"> </w:t>
      </w:r>
      <w:r w:rsidR="008F2FF7" w:rsidRPr="006C7796">
        <w:rPr>
          <w:color w:val="000000" w:themeColor="text1"/>
        </w:rPr>
        <w:t xml:space="preserve">the </w:t>
      </w:r>
      <w:r w:rsidR="00717E92" w:rsidRPr="006C7796">
        <w:rPr>
          <w:color w:val="000000" w:themeColor="text1"/>
        </w:rPr>
        <w:t>communication f</w:t>
      </w:r>
      <w:r w:rsidR="008F2FF7" w:rsidRPr="006C7796">
        <w:rPr>
          <w:color w:val="000000" w:themeColor="text1"/>
        </w:rPr>
        <w:t>ro</w:t>
      </w:r>
      <w:r w:rsidR="00717E92" w:rsidRPr="006C7796">
        <w:rPr>
          <w:color w:val="000000" w:themeColor="text1"/>
        </w:rPr>
        <w:t xml:space="preserve">m DHS about their rejection </w:t>
      </w:r>
      <w:r w:rsidR="00C630F7">
        <w:rPr>
          <w:color w:val="000000" w:themeColor="text1"/>
        </w:rPr>
        <w:t xml:space="preserve">but </w:t>
      </w:r>
      <w:r w:rsidR="00717E92" w:rsidRPr="006C7796">
        <w:rPr>
          <w:color w:val="000000" w:themeColor="text1"/>
        </w:rPr>
        <w:t xml:space="preserve">found the feedback and information provided </w:t>
      </w:r>
      <w:r w:rsidR="00173D08">
        <w:rPr>
          <w:color w:val="000000" w:themeColor="text1"/>
        </w:rPr>
        <w:t>in</w:t>
      </w:r>
      <w:r w:rsidR="00C630F7">
        <w:rPr>
          <w:color w:val="000000" w:themeColor="text1"/>
        </w:rPr>
        <w:t>sufficient explanation.</w:t>
      </w:r>
    </w:p>
    <w:p w:rsidR="00717E92" w:rsidRPr="005A5D07" w:rsidRDefault="00717E92" w:rsidP="00CD44C4">
      <w:pPr>
        <w:pStyle w:val="QuotationJCB"/>
      </w:pPr>
      <w:r w:rsidRPr="005A5D07">
        <w:t>When I got declined I had to make a judgement call on why I had been declined. All it said in the letter was we don’t feel that you’ve been working 12 months. It felt very bland and generic, it didn’t feel like someone had actually reviewed my application</w:t>
      </w:r>
      <w:r w:rsidR="008F2FF7">
        <w:t>.</w:t>
      </w:r>
    </w:p>
    <w:p w:rsidR="00717E92" w:rsidRDefault="002361DB" w:rsidP="004968D9">
      <w:pPr>
        <w:pStyle w:val="quopteJCB-source"/>
        <w:spacing w:before="0"/>
        <w:rPr>
          <w:rFonts w:eastAsia="Times New Roman"/>
          <w:lang w:eastAsia="en-AU"/>
        </w:rPr>
      </w:pPr>
      <w:r>
        <w:rPr>
          <w:rFonts w:eastAsia="Times New Roman"/>
          <w:lang w:eastAsia="en-AU"/>
        </w:rPr>
        <w:t>November 2015 (Round 2),</w:t>
      </w:r>
      <w:r w:rsidR="00C00195">
        <w:rPr>
          <w:rFonts w:eastAsia="Times New Roman"/>
          <w:lang w:eastAsia="en-AU"/>
        </w:rPr>
        <w:t xml:space="preserve"> </w:t>
      </w:r>
      <w:r w:rsidR="007D5865">
        <w:rPr>
          <w:rFonts w:eastAsia="Times New Roman"/>
          <w:lang w:eastAsia="en-AU"/>
        </w:rPr>
        <w:t xml:space="preserve">claim rejected, </w:t>
      </w:r>
      <w:r w:rsidR="00C00195">
        <w:rPr>
          <w:rFonts w:eastAsia="Times New Roman"/>
          <w:lang w:eastAsia="en-AU"/>
        </w:rPr>
        <w:t>male</w:t>
      </w:r>
      <w:r w:rsidR="00717E92" w:rsidRPr="005A5D07">
        <w:rPr>
          <w:rFonts w:eastAsia="Times New Roman"/>
          <w:lang w:eastAsia="en-AU"/>
        </w:rPr>
        <w:t xml:space="preserve">, 25 years or more, </w:t>
      </w:r>
      <w:r w:rsidR="00C00195">
        <w:rPr>
          <w:rFonts w:eastAsia="Times New Roman"/>
          <w:lang w:eastAsia="en-AU"/>
        </w:rPr>
        <w:t>metropolitan</w:t>
      </w:r>
    </w:p>
    <w:p w:rsidR="00B4282B" w:rsidRDefault="00B4282B" w:rsidP="007D65F2">
      <w:pPr>
        <w:pStyle w:val="QuotationJCB"/>
      </w:pPr>
      <w:r w:rsidRPr="00B4282B">
        <w:lastRenderedPageBreak/>
        <w:t>It was easy to apply, the problem was it got rejected and I had no reasoning for why it got rejected, the information was so minimal that I thought well, what’s going on here, all the information I provide</w:t>
      </w:r>
      <w:r w:rsidR="00AD29CF">
        <w:t>d</w:t>
      </w:r>
      <w:r w:rsidRPr="00B4282B">
        <w:t xml:space="preserve"> was correct, so I had no idea and then chasing it was extremely difficult because there’s no point of contact, and no one knew anything about it when yo</w:t>
      </w:r>
      <w:r w:rsidR="00C962FC">
        <w:t>u called any Centrelink office.</w:t>
      </w:r>
      <w:r w:rsidRPr="00B4282B">
        <w:t xml:space="preserve"> They were like Job Commitment Bonus I have no id</w:t>
      </w:r>
      <w:r w:rsidR="00602B02">
        <w:t>ea what you are talking about.</w:t>
      </w:r>
    </w:p>
    <w:p w:rsidR="00B4282B" w:rsidRDefault="002361DB" w:rsidP="004968D9">
      <w:pPr>
        <w:pStyle w:val="quopteJCB-source"/>
        <w:spacing w:before="0"/>
      </w:pPr>
      <w:r>
        <w:t>October 2016 (Round 3),</w:t>
      </w:r>
      <w:r w:rsidR="00AD60DE">
        <w:t xml:space="preserve"> claim</w:t>
      </w:r>
      <w:r w:rsidR="00B4282B">
        <w:t xml:space="preserve"> rejected, interview, </w:t>
      </w:r>
      <w:r w:rsidR="00E32C3F">
        <w:t>r</w:t>
      </w:r>
      <w:r w:rsidR="00B4282B">
        <w:t>egional Victoria</w:t>
      </w:r>
    </w:p>
    <w:p w:rsidR="009E2C6C" w:rsidRDefault="006128DA" w:rsidP="006128DA">
      <w:pPr>
        <w:pStyle w:val="Heading2"/>
      </w:pPr>
      <w:bookmarkStart w:id="149" w:name="_Toc478117578"/>
      <w:bookmarkStart w:id="150" w:name="_Toc507600244"/>
      <w:r>
        <w:t>3.6</w:t>
      </w:r>
      <w:r>
        <w:tab/>
      </w:r>
      <w:r w:rsidR="009E2C6C">
        <w:t>Appeals</w:t>
      </w:r>
      <w:bookmarkEnd w:id="149"/>
      <w:bookmarkEnd w:id="150"/>
      <w:r w:rsidR="009E2C6C">
        <w:t xml:space="preserve"> </w:t>
      </w:r>
    </w:p>
    <w:p w:rsidR="00C14DAC" w:rsidRPr="0018315C" w:rsidRDefault="00C14DAC" w:rsidP="007B55C3">
      <w:pPr>
        <w:keepNext/>
        <w:pBdr>
          <w:top w:val="single" w:sz="4" w:space="1" w:color="auto"/>
          <w:left w:val="single" w:sz="4" w:space="4" w:color="auto"/>
          <w:bottom w:val="single" w:sz="4" w:space="1" w:color="auto"/>
          <w:right w:val="single" w:sz="4" w:space="4" w:color="auto"/>
        </w:pBdr>
        <w:shd w:val="clear" w:color="auto" w:fill="FDCBA0"/>
        <w:spacing w:after="120"/>
        <w:rPr>
          <w:rStyle w:val="Strong"/>
        </w:rPr>
      </w:pPr>
      <w:r w:rsidRPr="0018315C">
        <w:rPr>
          <w:rStyle w:val="Strong"/>
        </w:rPr>
        <w:t>Highlights</w:t>
      </w:r>
    </w:p>
    <w:p w:rsidR="00881423" w:rsidRDefault="008F2FF7" w:rsidP="008F2FF7">
      <w:pPr>
        <w:pBdr>
          <w:top w:val="single" w:sz="4" w:space="1" w:color="auto"/>
          <w:left w:val="single" w:sz="4" w:space="4" w:color="auto"/>
          <w:bottom w:val="single" w:sz="4" w:space="1" w:color="auto"/>
          <w:right w:val="single" w:sz="4" w:space="4" w:color="auto"/>
        </w:pBdr>
        <w:shd w:val="clear" w:color="auto" w:fill="FDCBA0"/>
        <w:spacing w:before="120" w:after="0"/>
      </w:pPr>
      <w:r>
        <w:t>Most</w:t>
      </w:r>
      <w:r w:rsidR="00881423">
        <w:t xml:space="preserve"> appeals related to </w:t>
      </w:r>
      <w:r w:rsidR="00C94B94">
        <w:t xml:space="preserve">a </w:t>
      </w:r>
      <w:r w:rsidR="00881423">
        <w:t>misunderstanding of eligibility requirements</w:t>
      </w:r>
      <w:r>
        <w:t xml:space="preserve">. The number of appeals would likely have been lower had </w:t>
      </w:r>
      <w:r w:rsidR="0026222E">
        <w:t xml:space="preserve">there been </w:t>
      </w:r>
      <w:r>
        <w:t>more effective communication about eligibility requirements or a simpler program design.</w:t>
      </w:r>
    </w:p>
    <w:p w:rsidR="00864C53" w:rsidRPr="006C7796" w:rsidRDefault="00864C53" w:rsidP="00864C53">
      <w:pPr>
        <w:tabs>
          <w:tab w:val="left" w:pos="227"/>
        </w:tabs>
        <w:suppressAutoHyphens/>
        <w:autoSpaceDE w:val="0"/>
        <w:autoSpaceDN w:val="0"/>
        <w:adjustRightInd w:val="0"/>
        <w:spacing w:before="20" w:after="198" w:line="300" w:lineRule="atLeast"/>
        <w:textAlignment w:val="center"/>
        <w:rPr>
          <w:color w:val="000000" w:themeColor="text1"/>
        </w:rPr>
      </w:pPr>
      <w:r>
        <w:rPr>
          <w:color w:val="000000" w:themeColor="text1"/>
        </w:rPr>
        <w:t xml:space="preserve">Some research participants lacked awareness of the </w:t>
      </w:r>
      <w:r w:rsidRPr="006C7796">
        <w:rPr>
          <w:color w:val="000000" w:themeColor="text1"/>
        </w:rPr>
        <w:t xml:space="preserve">right to appeal, </w:t>
      </w:r>
      <w:r>
        <w:rPr>
          <w:color w:val="000000" w:themeColor="text1"/>
        </w:rPr>
        <w:t xml:space="preserve">and </w:t>
      </w:r>
      <w:r w:rsidRPr="006C7796">
        <w:rPr>
          <w:color w:val="000000" w:themeColor="text1"/>
        </w:rPr>
        <w:t xml:space="preserve">others </w:t>
      </w:r>
      <w:r>
        <w:rPr>
          <w:color w:val="000000" w:themeColor="text1"/>
        </w:rPr>
        <w:t xml:space="preserve">though </w:t>
      </w:r>
      <w:r w:rsidRPr="006C7796">
        <w:rPr>
          <w:color w:val="000000" w:themeColor="text1"/>
        </w:rPr>
        <w:t>aware</w:t>
      </w:r>
      <w:r>
        <w:rPr>
          <w:color w:val="000000" w:themeColor="text1"/>
        </w:rPr>
        <w:t>,</w:t>
      </w:r>
      <w:r w:rsidRPr="006C7796">
        <w:rPr>
          <w:color w:val="000000" w:themeColor="text1"/>
        </w:rPr>
        <w:t xml:space="preserve"> thought the process would be too much effort.</w:t>
      </w:r>
    </w:p>
    <w:p w:rsidR="00864C53" w:rsidRDefault="00864C53" w:rsidP="00864C53">
      <w:pPr>
        <w:pStyle w:val="QuotationJCB"/>
      </w:pPr>
      <w:r w:rsidRPr="00E47771">
        <w:t>I think the reason was because I was on payments and then I got, I went off payments for I think two months and then I went back, no, I was off payments, I was working but then I went back on payments for just two months, and then I went back off them, and I was working for a year then, but I think there was something like, you need, that sort of two months when I went back on it, sort of initially stuffed it up, they said I wasn’t eligible, but there’s a clause that says, you can go back on it for just a small amount of time and still be eligible or something.</w:t>
      </w:r>
      <w:r>
        <w:t xml:space="preserve"> </w:t>
      </w:r>
      <w:r w:rsidRPr="00E47771">
        <w:t>It was all very confusing.</w:t>
      </w:r>
      <w:r>
        <w:t xml:space="preserve"> </w:t>
      </w:r>
    </w:p>
    <w:p w:rsidR="00864C53" w:rsidRDefault="002361DB" w:rsidP="004968D9">
      <w:pPr>
        <w:pStyle w:val="quopteJCB-source"/>
        <w:spacing w:before="0"/>
      </w:pPr>
      <w:r>
        <w:t>October 2016 (Round 3),</w:t>
      </w:r>
      <w:r w:rsidR="00864C53">
        <w:t xml:space="preserve"> received JCB, focus group,</w:t>
      </w:r>
      <w:r w:rsidR="00864C53" w:rsidRPr="00E47771">
        <w:t xml:space="preserve"> </w:t>
      </w:r>
      <w:r w:rsidR="00864C53">
        <w:t>Gold Coast</w:t>
      </w:r>
    </w:p>
    <w:p w:rsidR="00864C53" w:rsidRDefault="00864C53" w:rsidP="00864C53">
      <w:pPr>
        <w:pStyle w:val="QuotationJCB"/>
      </w:pPr>
      <w:r>
        <w:t>The wait times for Centrelink are so lon</w:t>
      </w:r>
      <w:r w:rsidR="00602B02">
        <w:t>g. I didn’t bother (appealing).</w:t>
      </w:r>
    </w:p>
    <w:p w:rsidR="00864C53" w:rsidRDefault="002361DB" w:rsidP="004968D9">
      <w:pPr>
        <w:pStyle w:val="quopteJCB-source"/>
        <w:spacing w:before="0"/>
      </w:pPr>
      <w:r>
        <w:t>October 2016 (Round 3),</w:t>
      </w:r>
      <w:r w:rsidR="00864C53">
        <w:t xml:space="preserve"> claim rejected, interview, Melbourne</w:t>
      </w:r>
    </w:p>
    <w:p w:rsidR="00864C53" w:rsidRPr="00422492" w:rsidRDefault="00864C53" w:rsidP="00864C53">
      <w:pPr>
        <w:spacing w:before="120"/>
        <w:rPr>
          <w:color w:val="000000" w:themeColor="text1"/>
        </w:rPr>
      </w:pPr>
      <w:r>
        <w:rPr>
          <w:color w:val="000000" w:themeColor="text1"/>
        </w:rPr>
        <w:t>Qualitative</w:t>
      </w:r>
      <w:r w:rsidRPr="00422492">
        <w:rPr>
          <w:color w:val="000000" w:themeColor="text1"/>
        </w:rPr>
        <w:t xml:space="preserve"> evidence suggests that</w:t>
      </w:r>
      <w:r>
        <w:rPr>
          <w:color w:val="000000" w:themeColor="text1"/>
        </w:rPr>
        <w:t xml:space="preserve"> communication was an issue in that</w:t>
      </w:r>
      <w:r w:rsidRPr="00422492">
        <w:rPr>
          <w:color w:val="000000" w:themeColor="text1"/>
        </w:rPr>
        <w:t>:</w:t>
      </w:r>
    </w:p>
    <w:p w:rsidR="00864C53" w:rsidRDefault="00864C53" w:rsidP="00864C53">
      <w:pPr>
        <w:pStyle w:val="ListParagraph"/>
        <w:numPr>
          <w:ilvl w:val="0"/>
          <w:numId w:val="41"/>
        </w:numPr>
        <w:spacing w:before="120"/>
        <w:rPr>
          <w:color w:val="000000" w:themeColor="text1"/>
        </w:rPr>
      </w:pPr>
      <w:r w:rsidRPr="00422492">
        <w:rPr>
          <w:color w:val="000000" w:themeColor="text1"/>
        </w:rPr>
        <w:t>more effective communication about eligibility criteria or simpler</w:t>
      </w:r>
      <w:r>
        <w:rPr>
          <w:color w:val="000000" w:themeColor="text1"/>
        </w:rPr>
        <w:t>,</w:t>
      </w:r>
      <w:r w:rsidRPr="00422492">
        <w:rPr>
          <w:color w:val="000000" w:themeColor="text1"/>
        </w:rPr>
        <w:t xml:space="preserve"> less complex </w:t>
      </w:r>
      <w:r>
        <w:rPr>
          <w:color w:val="000000" w:themeColor="text1"/>
        </w:rPr>
        <w:t xml:space="preserve">program </w:t>
      </w:r>
      <w:r w:rsidRPr="00422492">
        <w:rPr>
          <w:color w:val="000000" w:themeColor="text1"/>
        </w:rPr>
        <w:t xml:space="preserve">requirements may have reduced the </w:t>
      </w:r>
      <w:r w:rsidR="00602B02">
        <w:rPr>
          <w:color w:val="000000" w:themeColor="text1"/>
        </w:rPr>
        <w:t>number of rejected applications</w:t>
      </w:r>
    </w:p>
    <w:p w:rsidR="00864C53" w:rsidRPr="00422492" w:rsidRDefault="00864C53" w:rsidP="00864C53">
      <w:pPr>
        <w:pStyle w:val="ListParagraph"/>
        <w:numPr>
          <w:ilvl w:val="0"/>
          <w:numId w:val="41"/>
        </w:numPr>
        <w:spacing w:before="120"/>
        <w:rPr>
          <w:color w:val="000000" w:themeColor="text1"/>
        </w:rPr>
      </w:pPr>
      <w:r w:rsidRPr="00422492">
        <w:rPr>
          <w:color w:val="000000" w:themeColor="text1"/>
        </w:rPr>
        <w:t xml:space="preserve">communication with applicants about the reasons for claim rejections was not </w:t>
      </w:r>
      <w:r>
        <w:rPr>
          <w:color w:val="000000" w:themeColor="text1"/>
        </w:rPr>
        <w:t>effective</w:t>
      </w:r>
    </w:p>
    <w:p w:rsidR="00864C53" w:rsidRPr="00422492" w:rsidRDefault="00864C53" w:rsidP="00864C53">
      <w:pPr>
        <w:pStyle w:val="ListParagraph"/>
        <w:numPr>
          <w:ilvl w:val="0"/>
          <w:numId w:val="41"/>
        </w:numPr>
        <w:spacing w:before="120"/>
        <w:rPr>
          <w:color w:val="000000" w:themeColor="text1"/>
        </w:rPr>
      </w:pPr>
      <w:r w:rsidRPr="00422492">
        <w:rPr>
          <w:color w:val="000000" w:themeColor="text1"/>
        </w:rPr>
        <w:t>many were unaware of their right to appeal rejected applications</w:t>
      </w:r>
      <w:r>
        <w:rPr>
          <w:color w:val="000000" w:themeColor="text1"/>
        </w:rPr>
        <w:t>, while others based on preconceived negative views were discouraged from seeking an appeal</w:t>
      </w:r>
      <w:r w:rsidRPr="00422492">
        <w:rPr>
          <w:color w:val="000000" w:themeColor="text1"/>
        </w:rPr>
        <w:t>.</w:t>
      </w:r>
    </w:p>
    <w:p w:rsidR="00864C53" w:rsidRDefault="00864C53" w:rsidP="00AA510E">
      <w:pPr>
        <w:pStyle w:val="Heading3"/>
      </w:pPr>
      <w:r>
        <w:t xml:space="preserve">Appeal </w:t>
      </w:r>
      <w:r w:rsidR="00656A3A">
        <w:t>rates</w:t>
      </w:r>
    </w:p>
    <w:p w:rsidR="005A5D07" w:rsidRPr="00520151" w:rsidRDefault="006957B9" w:rsidP="009563E0">
      <w:pPr>
        <w:spacing w:before="120"/>
        <w:rPr>
          <w:color w:val="000000" w:themeColor="text1"/>
        </w:rPr>
      </w:pPr>
      <w:r>
        <w:rPr>
          <w:color w:val="000000" w:themeColor="text1"/>
        </w:rPr>
        <w:t>In a</w:t>
      </w:r>
      <w:r w:rsidR="009563E0" w:rsidRPr="009563E0">
        <w:rPr>
          <w:color w:val="000000" w:themeColor="text1"/>
        </w:rPr>
        <w:t>round two-thirds (68.5 per cent) o</w:t>
      </w:r>
      <w:r w:rsidR="005E1ED2" w:rsidRPr="009563E0">
        <w:rPr>
          <w:color w:val="000000" w:themeColor="text1"/>
        </w:rPr>
        <w:t xml:space="preserve">f the 178 appeals </w:t>
      </w:r>
      <w:r w:rsidR="005A5D07" w:rsidRPr="009563E0">
        <w:rPr>
          <w:color w:val="000000" w:themeColor="text1"/>
        </w:rPr>
        <w:t>lodged</w:t>
      </w:r>
      <w:r w:rsidR="005E1ED2" w:rsidRPr="009563E0">
        <w:rPr>
          <w:color w:val="000000" w:themeColor="text1"/>
        </w:rPr>
        <w:t xml:space="preserve"> to 12 May 2017 </w:t>
      </w:r>
      <w:r w:rsidR="009563E0" w:rsidRPr="009563E0">
        <w:rPr>
          <w:color w:val="000000" w:themeColor="text1"/>
        </w:rPr>
        <w:t xml:space="preserve">the original decision was </w:t>
      </w:r>
      <w:r w:rsidR="005A5D07" w:rsidRPr="009563E0">
        <w:rPr>
          <w:color w:val="000000" w:themeColor="text1"/>
        </w:rPr>
        <w:t>uph</w:t>
      </w:r>
      <w:r w:rsidR="009563E0" w:rsidRPr="009563E0">
        <w:rPr>
          <w:color w:val="000000" w:themeColor="text1"/>
        </w:rPr>
        <w:t>eld</w:t>
      </w:r>
      <w:r>
        <w:rPr>
          <w:color w:val="000000" w:themeColor="text1"/>
        </w:rPr>
        <w:t>. A</w:t>
      </w:r>
      <w:r w:rsidR="00AD40DD">
        <w:rPr>
          <w:color w:val="000000" w:themeColor="text1"/>
        </w:rPr>
        <w:t xml:space="preserve"> </w:t>
      </w:r>
      <w:r w:rsidR="005A5D07" w:rsidRPr="009563E0">
        <w:rPr>
          <w:color w:val="000000" w:themeColor="text1"/>
        </w:rPr>
        <w:t xml:space="preserve">further </w:t>
      </w:r>
      <w:r w:rsidR="009563E0" w:rsidRPr="009563E0">
        <w:rPr>
          <w:color w:val="000000" w:themeColor="text1"/>
        </w:rPr>
        <w:t>11.8</w:t>
      </w:r>
      <w:r w:rsidR="005A5D07" w:rsidRPr="009563E0">
        <w:rPr>
          <w:color w:val="000000" w:themeColor="text1"/>
        </w:rPr>
        <w:t xml:space="preserve"> per cent</w:t>
      </w:r>
      <w:r>
        <w:rPr>
          <w:color w:val="000000" w:themeColor="text1"/>
        </w:rPr>
        <w:t xml:space="preserve"> of appeals</w:t>
      </w:r>
      <w:r w:rsidR="005A5D07" w:rsidRPr="009563E0">
        <w:rPr>
          <w:color w:val="000000" w:themeColor="text1"/>
        </w:rPr>
        <w:t xml:space="preserve"> </w:t>
      </w:r>
      <w:r w:rsidR="009563E0" w:rsidRPr="009563E0">
        <w:rPr>
          <w:color w:val="000000" w:themeColor="text1"/>
        </w:rPr>
        <w:t>were</w:t>
      </w:r>
      <w:r w:rsidR="005A5D07" w:rsidRPr="009563E0">
        <w:rPr>
          <w:color w:val="000000" w:themeColor="text1"/>
        </w:rPr>
        <w:t xml:space="preserve"> withdrawn after the decision</w:t>
      </w:r>
      <w:r w:rsidR="009563E0" w:rsidRPr="009563E0">
        <w:rPr>
          <w:color w:val="000000" w:themeColor="text1"/>
        </w:rPr>
        <w:t xml:space="preserve"> was explained to the applicant</w:t>
      </w:r>
      <w:r w:rsidR="00C630F7">
        <w:rPr>
          <w:color w:val="000000" w:themeColor="text1"/>
        </w:rPr>
        <w:t xml:space="preserve"> (</w:t>
      </w:r>
      <w:r w:rsidR="00C630F7" w:rsidRPr="009563E0">
        <w:rPr>
          <w:color w:val="000000" w:themeColor="text1"/>
        </w:rPr>
        <w:t>Table 3.</w:t>
      </w:r>
      <w:r w:rsidR="008D1AF5">
        <w:rPr>
          <w:color w:val="000000" w:themeColor="text1"/>
        </w:rPr>
        <w:t>7</w:t>
      </w:r>
      <w:r w:rsidR="00C630F7">
        <w:rPr>
          <w:color w:val="000000" w:themeColor="text1"/>
        </w:rPr>
        <w:t>)</w:t>
      </w:r>
      <w:r w:rsidR="005A5D07" w:rsidRPr="009563E0">
        <w:rPr>
          <w:color w:val="000000" w:themeColor="text1"/>
        </w:rPr>
        <w:t xml:space="preserve">. This aligns with findings from qualitative research that communication </w:t>
      </w:r>
      <w:r w:rsidRPr="009563E0">
        <w:rPr>
          <w:color w:val="000000" w:themeColor="text1"/>
        </w:rPr>
        <w:t>a</w:t>
      </w:r>
      <w:r>
        <w:rPr>
          <w:color w:val="000000" w:themeColor="text1"/>
        </w:rPr>
        <w:t>bout</w:t>
      </w:r>
      <w:r w:rsidRPr="009563E0">
        <w:rPr>
          <w:color w:val="000000" w:themeColor="text1"/>
        </w:rPr>
        <w:t xml:space="preserve"> </w:t>
      </w:r>
      <w:r w:rsidR="005A5D07" w:rsidRPr="009563E0">
        <w:rPr>
          <w:color w:val="000000" w:themeColor="text1"/>
        </w:rPr>
        <w:t>rejection</w:t>
      </w:r>
      <w:r w:rsidR="00520151">
        <w:rPr>
          <w:color w:val="000000" w:themeColor="text1"/>
        </w:rPr>
        <w:t>s</w:t>
      </w:r>
      <w:r w:rsidR="005A5D07" w:rsidRPr="009563E0">
        <w:rPr>
          <w:color w:val="000000" w:themeColor="text1"/>
        </w:rPr>
        <w:t xml:space="preserve"> </w:t>
      </w:r>
      <w:r w:rsidR="009563E0">
        <w:rPr>
          <w:color w:val="000000" w:themeColor="text1"/>
        </w:rPr>
        <w:t xml:space="preserve">lacked </w:t>
      </w:r>
      <w:r w:rsidR="005A5D07" w:rsidRPr="009563E0">
        <w:rPr>
          <w:color w:val="000000" w:themeColor="text1"/>
        </w:rPr>
        <w:t>information and explanation about the decision</w:t>
      </w:r>
      <w:r w:rsidR="005A5D07" w:rsidRPr="009563E0" w:rsidDel="001C7836">
        <w:rPr>
          <w:color w:val="000000" w:themeColor="text1"/>
        </w:rPr>
        <w:t xml:space="preserve"> </w:t>
      </w:r>
      <w:r w:rsidR="005A5D07" w:rsidRPr="009563E0">
        <w:rPr>
          <w:color w:val="000000" w:themeColor="text1"/>
        </w:rPr>
        <w:t>(</w:t>
      </w:r>
      <w:r w:rsidR="00AD40DD">
        <w:rPr>
          <w:color w:val="000000" w:themeColor="text1"/>
        </w:rPr>
        <w:t>S</w:t>
      </w:r>
      <w:r w:rsidR="00C630F7">
        <w:rPr>
          <w:color w:val="000000" w:themeColor="text1"/>
        </w:rPr>
        <w:t>ection 3.5</w:t>
      </w:r>
      <w:r w:rsidR="005A5D07" w:rsidRPr="009563E0">
        <w:rPr>
          <w:color w:val="000000" w:themeColor="text1"/>
        </w:rPr>
        <w:t>).</w:t>
      </w:r>
    </w:p>
    <w:p w:rsidR="005A5D07" w:rsidRPr="00D83A7E" w:rsidRDefault="005A5D07" w:rsidP="00D83A7E">
      <w:pPr>
        <w:pStyle w:val="TableCaption"/>
      </w:pPr>
      <w:bookmarkStart w:id="151" w:name="_Toc475459009"/>
      <w:bookmarkStart w:id="152" w:name="_Toc507600311"/>
      <w:r w:rsidRPr="00D83A7E">
        <w:lastRenderedPageBreak/>
        <w:t>Table 3.</w:t>
      </w:r>
      <w:r w:rsidR="008D1AF5">
        <w:t>7</w:t>
      </w:r>
      <w:r w:rsidRPr="00D83A7E">
        <w:t xml:space="preserve">: </w:t>
      </w:r>
      <w:r w:rsidR="00023081" w:rsidRPr="00D83A7E">
        <w:t>Ap</w:t>
      </w:r>
      <w:r w:rsidRPr="00D83A7E">
        <w:t xml:space="preserve">peals of JCB claims, </w:t>
      </w:r>
      <w:bookmarkEnd w:id="151"/>
      <w:r w:rsidR="00177E1F" w:rsidRPr="00D83A7E">
        <w:t>1 July 2015 to 12 May 2017</w:t>
      </w:r>
      <w:bookmarkEnd w:id="152"/>
    </w:p>
    <w:tbl>
      <w:tblPr>
        <w:tblW w:w="8520" w:type="dxa"/>
        <w:tblInd w:w="93" w:type="dxa"/>
        <w:tblLook w:val="04A0" w:firstRow="1" w:lastRow="0" w:firstColumn="1" w:lastColumn="0" w:noHBand="0" w:noVBand="1"/>
      </w:tblPr>
      <w:tblGrid>
        <w:gridCol w:w="4977"/>
        <w:gridCol w:w="1275"/>
        <w:gridCol w:w="2268"/>
      </w:tblGrid>
      <w:tr w:rsidR="005A5D07" w:rsidRPr="005A5D07" w:rsidTr="001B545E">
        <w:trPr>
          <w:trHeight w:val="397"/>
          <w:tblHeader/>
        </w:trPr>
        <w:tc>
          <w:tcPr>
            <w:tcW w:w="4977" w:type="dxa"/>
            <w:shd w:val="clear" w:color="000000" w:fill="1E3D6B"/>
            <w:noWrap/>
            <w:vAlign w:val="center"/>
            <w:hideMark/>
          </w:tcPr>
          <w:p w:rsidR="005A5D07" w:rsidRPr="006B181D" w:rsidRDefault="001B545E" w:rsidP="005A5D07">
            <w:pPr>
              <w:keepNext/>
              <w:spacing w:after="0" w:line="240" w:lineRule="auto"/>
              <w:rPr>
                <w:rFonts w:ascii="Calibri" w:eastAsia="Times New Roman" w:hAnsi="Calibri" w:cs="Calibri"/>
                <w:b/>
                <w:bCs/>
                <w:color w:val="000000" w:themeColor="text1"/>
                <w:sz w:val="20"/>
                <w:szCs w:val="20"/>
                <w:lang w:eastAsia="en-AU"/>
              </w:rPr>
            </w:pPr>
            <w:bookmarkStart w:id="153" w:name="Title_37"/>
            <w:bookmarkEnd w:id="153"/>
            <w:r w:rsidRPr="006B181D">
              <w:rPr>
                <w:rFonts w:ascii="Calibri" w:eastAsia="Times New Roman" w:hAnsi="Calibri" w:cs="Calibri"/>
                <w:b/>
                <w:bCs/>
                <w:color w:val="FFFFFF" w:themeColor="background2"/>
                <w:sz w:val="20"/>
                <w:szCs w:val="20"/>
                <w:lang w:eastAsia="en-AU"/>
              </w:rPr>
              <w:t>Decision</w:t>
            </w:r>
          </w:p>
        </w:tc>
        <w:tc>
          <w:tcPr>
            <w:tcW w:w="1275" w:type="dxa"/>
            <w:shd w:val="clear" w:color="000000" w:fill="1E3D6B"/>
            <w:vAlign w:val="center"/>
          </w:tcPr>
          <w:p w:rsidR="005A5D07" w:rsidRPr="006B181D" w:rsidRDefault="005A5D07" w:rsidP="005A5D07">
            <w:pPr>
              <w:keepNext/>
              <w:spacing w:after="0" w:line="240" w:lineRule="auto"/>
              <w:jc w:val="center"/>
              <w:rPr>
                <w:rFonts w:ascii="Calibri" w:eastAsia="Times New Roman" w:hAnsi="Calibri" w:cs="Calibri"/>
                <w:b/>
                <w:bCs/>
                <w:color w:val="FFFFFF" w:themeColor="background2"/>
                <w:sz w:val="20"/>
                <w:szCs w:val="20"/>
                <w:lang w:eastAsia="en-AU"/>
              </w:rPr>
            </w:pPr>
            <w:r w:rsidRPr="006B181D">
              <w:rPr>
                <w:rFonts w:ascii="Calibri" w:eastAsia="Times New Roman" w:hAnsi="Calibri" w:cs="Calibri"/>
                <w:b/>
                <w:bCs/>
                <w:color w:val="FFFFFF" w:themeColor="background2"/>
                <w:sz w:val="20"/>
                <w:szCs w:val="20"/>
                <w:lang w:eastAsia="en-AU"/>
              </w:rPr>
              <w:t>Number</w:t>
            </w:r>
          </w:p>
        </w:tc>
        <w:tc>
          <w:tcPr>
            <w:tcW w:w="2268" w:type="dxa"/>
            <w:shd w:val="clear" w:color="000000" w:fill="1E3D6B"/>
            <w:noWrap/>
            <w:vAlign w:val="center"/>
            <w:hideMark/>
          </w:tcPr>
          <w:p w:rsidR="005A5D07" w:rsidRPr="006B181D" w:rsidRDefault="00602B02" w:rsidP="005A5D07">
            <w:pPr>
              <w:keepNext/>
              <w:spacing w:after="0" w:line="240" w:lineRule="auto"/>
              <w:jc w:val="center"/>
              <w:rPr>
                <w:rFonts w:ascii="Calibri" w:eastAsia="Times New Roman" w:hAnsi="Calibri" w:cs="Calibri"/>
                <w:b/>
                <w:bCs/>
                <w:color w:val="FFFFFF" w:themeColor="background2"/>
                <w:sz w:val="20"/>
                <w:szCs w:val="20"/>
                <w:lang w:eastAsia="en-AU"/>
              </w:rPr>
            </w:pPr>
            <w:r>
              <w:rPr>
                <w:rFonts w:ascii="Calibri" w:eastAsia="Times New Roman" w:hAnsi="Calibri" w:cs="Calibri"/>
                <w:b/>
                <w:bCs/>
                <w:color w:val="FFFFFF" w:themeColor="background2"/>
                <w:sz w:val="20"/>
                <w:szCs w:val="20"/>
                <w:lang w:eastAsia="en-AU"/>
              </w:rPr>
              <w:t>Proportion</w:t>
            </w:r>
            <w:r w:rsidR="005A5D07" w:rsidRPr="006B181D">
              <w:rPr>
                <w:rFonts w:ascii="Calibri" w:eastAsia="Times New Roman" w:hAnsi="Calibri" w:cs="Calibri"/>
                <w:b/>
                <w:bCs/>
                <w:color w:val="FFFFFF" w:themeColor="background2"/>
                <w:sz w:val="20"/>
                <w:szCs w:val="20"/>
                <w:lang w:eastAsia="en-AU"/>
              </w:rPr>
              <w:br/>
              <w:t>(%)</w:t>
            </w:r>
          </w:p>
        </w:tc>
      </w:tr>
      <w:tr w:rsidR="005A5D07" w:rsidRPr="005A5D07" w:rsidTr="001B545E">
        <w:trPr>
          <w:trHeight w:val="397"/>
        </w:trPr>
        <w:tc>
          <w:tcPr>
            <w:tcW w:w="4977" w:type="dxa"/>
            <w:shd w:val="clear" w:color="auto" w:fill="FFFFFF" w:themeFill="background2"/>
            <w:noWrap/>
            <w:vAlign w:val="center"/>
          </w:tcPr>
          <w:p w:rsidR="005A5D07" w:rsidRPr="006B181D" w:rsidRDefault="005A5D07" w:rsidP="005A5D07">
            <w:pPr>
              <w:keepNext/>
              <w:spacing w:after="0" w:line="240" w:lineRule="auto"/>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Affirmed (decision to reject not overturned)</w:t>
            </w:r>
          </w:p>
        </w:tc>
        <w:tc>
          <w:tcPr>
            <w:tcW w:w="1275" w:type="dxa"/>
            <w:shd w:val="clear" w:color="auto" w:fill="FFFFFF" w:themeFill="background2"/>
            <w:vAlign w:val="center"/>
          </w:tcPr>
          <w:p w:rsidR="005A5D07" w:rsidRPr="006B181D" w:rsidRDefault="00177E1F" w:rsidP="005A5D07">
            <w:pPr>
              <w:keepNext/>
              <w:spacing w:after="0" w:line="240" w:lineRule="auto"/>
              <w:ind w:right="317"/>
              <w:jc w:val="right"/>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122</w:t>
            </w:r>
          </w:p>
        </w:tc>
        <w:tc>
          <w:tcPr>
            <w:tcW w:w="2268" w:type="dxa"/>
            <w:shd w:val="clear" w:color="auto" w:fill="FFFFFF" w:themeFill="background2"/>
            <w:noWrap/>
            <w:vAlign w:val="center"/>
          </w:tcPr>
          <w:p w:rsidR="005A5D07" w:rsidRPr="006B181D" w:rsidRDefault="00177E1F" w:rsidP="005A5D07">
            <w:pPr>
              <w:keepNext/>
              <w:spacing w:after="0" w:line="240" w:lineRule="auto"/>
              <w:ind w:right="884"/>
              <w:jc w:val="right"/>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68.5</w:t>
            </w:r>
          </w:p>
        </w:tc>
      </w:tr>
      <w:tr w:rsidR="005A5D07" w:rsidRPr="005A5D07" w:rsidTr="001B545E">
        <w:trPr>
          <w:trHeight w:val="397"/>
        </w:trPr>
        <w:tc>
          <w:tcPr>
            <w:tcW w:w="4977" w:type="dxa"/>
            <w:shd w:val="clear" w:color="auto" w:fill="E5E5E5" w:themeFill="background1" w:themeFillTint="33"/>
            <w:noWrap/>
            <w:vAlign w:val="center"/>
          </w:tcPr>
          <w:p w:rsidR="005A5D07" w:rsidRPr="006B181D" w:rsidRDefault="00C962FC" w:rsidP="005A5D07">
            <w:pPr>
              <w:keepNext/>
              <w:spacing w:after="0" w:line="240" w:lineRule="auto"/>
              <w:rPr>
                <w:rFonts w:ascii="Calibri" w:eastAsia="Times New Roman" w:hAnsi="Calibri" w:cs="Calibri"/>
                <w:bCs/>
                <w:color w:val="000000" w:themeColor="text1"/>
                <w:sz w:val="20"/>
                <w:szCs w:val="20"/>
                <w:lang w:eastAsia="en-AU"/>
              </w:rPr>
            </w:pPr>
            <w:r>
              <w:rPr>
                <w:rFonts w:ascii="Calibri" w:eastAsia="Times New Roman" w:hAnsi="Calibri" w:cs="Calibri"/>
                <w:bCs/>
                <w:color w:val="000000" w:themeColor="text1"/>
                <w:sz w:val="20"/>
                <w:szCs w:val="20"/>
                <w:lang w:eastAsia="en-AU"/>
              </w:rPr>
              <w:t>Withdrawn</w:t>
            </w:r>
          </w:p>
        </w:tc>
        <w:tc>
          <w:tcPr>
            <w:tcW w:w="1275" w:type="dxa"/>
            <w:shd w:val="clear" w:color="auto" w:fill="E5E5E5" w:themeFill="background1" w:themeFillTint="33"/>
            <w:vAlign w:val="center"/>
          </w:tcPr>
          <w:p w:rsidR="005A5D07" w:rsidRPr="006B181D" w:rsidRDefault="00177E1F" w:rsidP="005A5D07">
            <w:pPr>
              <w:keepNext/>
              <w:spacing w:after="0" w:line="240" w:lineRule="auto"/>
              <w:ind w:right="317"/>
              <w:jc w:val="right"/>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21</w:t>
            </w:r>
          </w:p>
        </w:tc>
        <w:tc>
          <w:tcPr>
            <w:tcW w:w="2268" w:type="dxa"/>
            <w:shd w:val="clear" w:color="auto" w:fill="E5E5E5" w:themeFill="background1" w:themeFillTint="33"/>
            <w:noWrap/>
            <w:vAlign w:val="center"/>
          </w:tcPr>
          <w:p w:rsidR="005A5D07" w:rsidRPr="006B181D" w:rsidRDefault="00177E1F" w:rsidP="005A5D07">
            <w:pPr>
              <w:keepNext/>
              <w:spacing w:after="0" w:line="240" w:lineRule="auto"/>
              <w:ind w:right="884"/>
              <w:jc w:val="right"/>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11.8</w:t>
            </w:r>
          </w:p>
        </w:tc>
      </w:tr>
      <w:tr w:rsidR="005A5D07" w:rsidRPr="005A5D07" w:rsidTr="001B545E">
        <w:trPr>
          <w:trHeight w:val="397"/>
        </w:trPr>
        <w:tc>
          <w:tcPr>
            <w:tcW w:w="4977" w:type="dxa"/>
            <w:shd w:val="clear" w:color="auto" w:fill="FFFFFF" w:themeFill="background2"/>
            <w:noWrap/>
            <w:vAlign w:val="center"/>
          </w:tcPr>
          <w:p w:rsidR="005A5D07" w:rsidRPr="006B181D" w:rsidRDefault="005A5D07" w:rsidP="005A5D07">
            <w:pPr>
              <w:keepNext/>
              <w:spacing w:after="0" w:line="240" w:lineRule="auto"/>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 xml:space="preserve">Set aside </w:t>
            </w:r>
          </w:p>
        </w:tc>
        <w:tc>
          <w:tcPr>
            <w:tcW w:w="1275" w:type="dxa"/>
            <w:shd w:val="clear" w:color="auto" w:fill="FFFFFF" w:themeFill="background2"/>
            <w:vAlign w:val="center"/>
          </w:tcPr>
          <w:p w:rsidR="005A5D07" w:rsidRPr="006B181D" w:rsidRDefault="00177E1F" w:rsidP="005A5D07">
            <w:pPr>
              <w:keepNext/>
              <w:spacing w:after="0" w:line="240" w:lineRule="auto"/>
              <w:ind w:right="317"/>
              <w:jc w:val="right"/>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19</w:t>
            </w:r>
          </w:p>
        </w:tc>
        <w:tc>
          <w:tcPr>
            <w:tcW w:w="2268" w:type="dxa"/>
            <w:shd w:val="clear" w:color="auto" w:fill="FFFFFF" w:themeFill="background2"/>
            <w:noWrap/>
            <w:vAlign w:val="center"/>
          </w:tcPr>
          <w:p w:rsidR="005A5D07" w:rsidRPr="006B181D" w:rsidRDefault="00177E1F" w:rsidP="005A5D07">
            <w:pPr>
              <w:keepNext/>
              <w:spacing w:after="0" w:line="240" w:lineRule="auto"/>
              <w:ind w:right="884"/>
              <w:jc w:val="right"/>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16.3</w:t>
            </w:r>
          </w:p>
        </w:tc>
      </w:tr>
      <w:tr w:rsidR="005A5D07" w:rsidRPr="005A5D07" w:rsidTr="001B545E">
        <w:trPr>
          <w:trHeight w:val="397"/>
        </w:trPr>
        <w:tc>
          <w:tcPr>
            <w:tcW w:w="4977" w:type="dxa"/>
            <w:shd w:val="clear" w:color="auto" w:fill="E5E5E5" w:themeFill="background1" w:themeFillTint="33"/>
            <w:noWrap/>
            <w:vAlign w:val="center"/>
          </w:tcPr>
          <w:p w:rsidR="005A5D07" w:rsidRPr="006B181D" w:rsidRDefault="005A5D07" w:rsidP="005A5D07">
            <w:pPr>
              <w:keepNext/>
              <w:spacing w:after="0" w:line="240" w:lineRule="auto"/>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Dismissed</w:t>
            </w:r>
          </w:p>
        </w:tc>
        <w:tc>
          <w:tcPr>
            <w:tcW w:w="1275" w:type="dxa"/>
            <w:shd w:val="clear" w:color="auto" w:fill="E5E5E5" w:themeFill="background1" w:themeFillTint="33"/>
            <w:vAlign w:val="center"/>
          </w:tcPr>
          <w:p w:rsidR="005A5D07" w:rsidRPr="006B181D" w:rsidRDefault="00177E1F" w:rsidP="005A5D07">
            <w:pPr>
              <w:keepNext/>
              <w:spacing w:after="0" w:line="240" w:lineRule="auto"/>
              <w:ind w:right="317"/>
              <w:jc w:val="right"/>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5</w:t>
            </w:r>
            <w:r w:rsidR="005A5D07" w:rsidRPr="006B181D">
              <w:rPr>
                <w:rFonts w:ascii="Calibri" w:eastAsia="Times New Roman" w:hAnsi="Calibri" w:cs="Calibri"/>
                <w:bCs/>
                <w:color w:val="000000" w:themeColor="text1"/>
                <w:sz w:val="20"/>
                <w:szCs w:val="20"/>
                <w:lang w:eastAsia="en-AU"/>
              </w:rPr>
              <w:t>1</w:t>
            </w:r>
          </w:p>
        </w:tc>
        <w:tc>
          <w:tcPr>
            <w:tcW w:w="2268" w:type="dxa"/>
            <w:shd w:val="clear" w:color="auto" w:fill="E5E5E5" w:themeFill="background1" w:themeFillTint="33"/>
            <w:noWrap/>
            <w:vAlign w:val="center"/>
          </w:tcPr>
          <w:p w:rsidR="005A5D07" w:rsidRPr="006B181D" w:rsidRDefault="00177E1F" w:rsidP="005A5D07">
            <w:pPr>
              <w:keepNext/>
              <w:spacing w:after="0" w:line="240" w:lineRule="auto"/>
              <w:ind w:right="884"/>
              <w:jc w:val="right"/>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2.8</w:t>
            </w:r>
          </w:p>
        </w:tc>
      </w:tr>
      <w:tr w:rsidR="005A5D07" w:rsidRPr="005A5D07" w:rsidTr="001B545E">
        <w:trPr>
          <w:trHeight w:val="397"/>
        </w:trPr>
        <w:tc>
          <w:tcPr>
            <w:tcW w:w="4977" w:type="dxa"/>
            <w:shd w:val="clear" w:color="auto" w:fill="FFFFFF" w:themeFill="background2"/>
            <w:noWrap/>
            <w:vAlign w:val="center"/>
          </w:tcPr>
          <w:p w:rsidR="005A5D07" w:rsidRPr="006B181D" w:rsidRDefault="005A5D07" w:rsidP="005A5D07">
            <w:pPr>
              <w:keepNext/>
              <w:spacing w:after="0" w:line="240" w:lineRule="auto"/>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Still in progress</w:t>
            </w:r>
          </w:p>
        </w:tc>
        <w:tc>
          <w:tcPr>
            <w:tcW w:w="1275" w:type="dxa"/>
            <w:shd w:val="clear" w:color="auto" w:fill="FFFFFF" w:themeFill="background2"/>
            <w:vAlign w:val="center"/>
          </w:tcPr>
          <w:p w:rsidR="005A5D07" w:rsidRPr="006B181D" w:rsidRDefault="00177E1F" w:rsidP="005A5D07">
            <w:pPr>
              <w:keepNext/>
              <w:spacing w:after="0" w:line="240" w:lineRule="auto"/>
              <w:ind w:right="317"/>
              <w:jc w:val="right"/>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3</w:t>
            </w:r>
          </w:p>
        </w:tc>
        <w:tc>
          <w:tcPr>
            <w:tcW w:w="2268" w:type="dxa"/>
            <w:shd w:val="clear" w:color="auto" w:fill="FFFFFF" w:themeFill="background2"/>
            <w:noWrap/>
            <w:vAlign w:val="center"/>
          </w:tcPr>
          <w:p w:rsidR="005A5D07" w:rsidRPr="006B181D" w:rsidRDefault="00177E1F" w:rsidP="005A5D07">
            <w:pPr>
              <w:keepNext/>
              <w:spacing w:after="0" w:line="240" w:lineRule="auto"/>
              <w:ind w:right="884"/>
              <w:jc w:val="right"/>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1.7</w:t>
            </w:r>
          </w:p>
        </w:tc>
      </w:tr>
      <w:tr w:rsidR="005A5D07" w:rsidRPr="005A5D07" w:rsidTr="001B545E">
        <w:trPr>
          <w:trHeight w:val="397"/>
        </w:trPr>
        <w:tc>
          <w:tcPr>
            <w:tcW w:w="4977" w:type="dxa"/>
            <w:shd w:val="clear" w:color="auto" w:fill="8EAEDE"/>
            <w:noWrap/>
            <w:vAlign w:val="center"/>
          </w:tcPr>
          <w:p w:rsidR="005A5D07" w:rsidRPr="006B181D" w:rsidRDefault="005A5D07" w:rsidP="005A5D07">
            <w:pPr>
              <w:spacing w:after="0" w:line="240" w:lineRule="auto"/>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 xml:space="preserve">Total </w:t>
            </w:r>
          </w:p>
        </w:tc>
        <w:tc>
          <w:tcPr>
            <w:tcW w:w="1275" w:type="dxa"/>
            <w:shd w:val="clear" w:color="auto" w:fill="8EAEDE"/>
            <w:vAlign w:val="center"/>
          </w:tcPr>
          <w:p w:rsidR="005A5D07" w:rsidRPr="006B181D" w:rsidRDefault="00177E1F" w:rsidP="005A5D07">
            <w:pPr>
              <w:spacing w:after="0" w:line="240" w:lineRule="auto"/>
              <w:ind w:right="317"/>
              <w:jc w:val="right"/>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178</w:t>
            </w:r>
          </w:p>
        </w:tc>
        <w:tc>
          <w:tcPr>
            <w:tcW w:w="2268" w:type="dxa"/>
            <w:shd w:val="clear" w:color="auto" w:fill="8EAEDE"/>
            <w:noWrap/>
            <w:vAlign w:val="center"/>
          </w:tcPr>
          <w:p w:rsidR="005A5D07" w:rsidRPr="006B181D" w:rsidRDefault="005A5D07" w:rsidP="005A5D07">
            <w:pPr>
              <w:spacing w:after="0" w:line="240" w:lineRule="auto"/>
              <w:ind w:right="884"/>
              <w:jc w:val="right"/>
              <w:rPr>
                <w:rFonts w:ascii="Calibri" w:eastAsia="Times New Roman" w:hAnsi="Calibri" w:cs="Calibri"/>
                <w:bCs/>
                <w:color w:val="000000" w:themeColor="text1"/>
                <w:sz w:val="20"/>
                <w:szCs w:val="20"/>
                <w:lang w:eastAsia="en-AU"/>
              </w:rPr>
            </w:pPr>
            <w:r w:rsidRPr="006B181D">
              <w:rPr>
                <w:rFonts w:ascii="Calibri" w:eastAsia="Times New Roman" w:hAnsi="Calibri" w:cs="Calibri"/>
                <w:bCs/>
                <w:color w:val="000000" w:themeColor="text1"/>
                <w:sz w:val="20"/>
                <w:szCs w:val="20"/>
                <w:lang w:eastAsia="en-AU"/>
              </w:rPr>
              <w:t>100.0</w:t>
            </w:r>
          </w:p>
        </w:tc>
      </w:tr>
    </w:tbl>
    <w:p w:rsidR="005A5D07" w:rsidRPr="00177E1F" w:rsidRDefault="005A5D07" w:rsidP="004B0F8E">
      <w:pPr>
        <w:pStyle w:val="Source"/>
      </w:pPr>
      <w:r w:rsidRPr="00D743DB">
        <w:t>Notes:</w:t>
      </w:r>
    </w:p>
    <w:p w:rsidR="005A5D07" w:rsidRDefault="005A5D07" w:rsidP="00E3205B">
      <w:pPr>
        <w:pStyle w:val="Source"/>
        <w:numPr>
          <w:ilvl w:val="0"/>
          <w:numId w:val="98"/>
        </w:numPr>
        <w:rPr>
          <w:b w:val="0"/>
        </w:rPr>
      </w:pPr>
      <w:r w:rsidRPr="004B0F8E">
        <w:rPr>
          <w:b w:val="0"/>
        </w:rPr>
        <w:t xml:space="preserve">In </w:t>
      </w:r>
      <w:r w:rsidR="00177E1F" w:rsidRPr="004B0F8E">
        <w:rPr>
          <w:b w:val="0"/>
        </w:rPr>
        <w:t>21</w:t>
      </w:r>
      <w:r w:rsidRPr="004B0F8E">
        <w:rPr>
          <w:b w:val="0"/>
        </w:rPr>
        <w:t xml:space="preserve"> cases the appeal was withdrawn following explanation of the decision </w:t>
      </w:r>
      <w:r w:rsidR="00177E1F" w:rsidRPr="004B0F8E">
        <w:rPr>
          <w:b w:val="0"/>
        </w:rPr>
        <w:t>at the customer’s request</w:t>
      </w:r>
      <w:r w:rsidRPr="004B0F8E">
        <w:rPr>
          <w:b w:val="0"/>
        </w:rPr>
        <w:t>.</w:t>
      </w:r>
    </w:p>
    <w:p w:rsidR="005A5D07" w:rsidRDefault="005A5D07" w:rsidP="00E3205B">
      <w:pPr>
        <w:pStyle w:val="Source"/>
        <w:numPr>
          <w:ilvl w:val="0"/>
          <w:numId w:val="98"/>
        </w:numPr>
        <w:rPr>
          <w:b w:val="0"/>
        </w:rPr>
      </w:pPr>
      <w:r w:rsidRPr="004B0F8E">
        <w:rPr>
          <w:b w:val="0"/>
        </w:rPr>
        <w:t>One case was set aside following the provision of additional information to support the claim.</w:t>
      </w:r>
    </w:p>
    <w:p w:rsidR="005A5D07" w:rsidRPr="004B0F8E" w:rsidRDefault="0037196A" w:rsidP="00E3205B">
      <w:pPr>
        <w:pStyle w:val="Source"/>
        <w:numPr>
          <w:ilvl w:val="0"/>
          <w:numId w:val="98"/>
        </w:numPr>
        <w:rPr>
          <w:b w:val="0"/>
        </w:rPr>
      </w:pPr>
      <w:r>
        <w:rPr>
          <w:b w:val="0"/>
        </w:rPr>
        <w:t>At 12 May 2017 t</w:t>
      </w:r>
      <w:r w:rsidR="00177E1F" w:rsidRPr="004B0F8E">
        <w:rPr>
          <w:b w:val="0"/>
        </w:rPr>
        <w:t xml:space="preserve">wenty cases </w:t>
      </w:r>
      <w:r>
        <w:rPr>
          <w:b w:val="0"/>
        </w:rPr>
        <w:t>had been</w:t>
      </w:r>
      <w:r w:rsidR="00177E1F" w:rsidRPr="004B0F8E">
        <w:rPr>
          <w:b w:val="0"/>
        </w:rPr>
        <w:t xml:space="preserve"> considered by the A</w:t>
      </w:r>
      <w:r w:rsidR="009E47E2">
        <w:rPr>
          <w:b w:val="0"/>
        </w:rPr>
        <w:t xml:space="preserve">dministrative </w:t>
      </w:r>
      <w:r w:rsidR="00177E1F" w:rsidRPr="004B0F8E">
        <w:rPr>
          <w:b w:val="0"/>
        </w:rPr>
        <w:t>A</w:t>
      </w:r>
      <w:r w:rsidR="009E47E2">
        <w:rPr>
          <w:b w:val="0"/>
        </w:rPr>
        <w:t xml:space="preserve">ppeal </w:t>
      </w:r>
      <w:r w:rsidR="00177E1F" w:rsidRPr="004B0F8E">
        <w:rPr>
          <w:b w:val="0"/>
        </w:rPr>
        <w:t>T</w:t>
      </w:r>
      <w:r w:rsidR="009E47E2">
        <w:rPr>
          <w:b w:val="0"/>
        </w:rPr>
        <w:t xml:space="preserve">ribunal </w:t>
      </w:r>
      <w:r w:rsidR="00177E1F" w:rsidRPr="004B0F8E">
        <w:rPr>
          <w:b w:val="0"/>
        </w:rPr>
        <w:t>(</w:t>
      </w:r>
      <w:r>
        <w:rPr>
          <w:b w:val="0"/>
        </w:rPr>
        <w:t>18 cases had</w:t>
      </w:r>
      <w:r w:rsidR="009E47E2">
        <w:rPr>
          <w:b w:val="0"/>
        </w:rPr>
        <w:t xml:space="preserve"> </w:t>
      </w:r>
      <w:r w:rsidR="00177E1F" w:rsidRPr="004B0F8E">
        <w:rPr>
          <w:b w:val="0"/>
        </w:rPr>
        <w:t>one review</w:t>
      </w:r>
      <w:r w:rsidR="009E47E2">
        <w:rPr>
          <w:b w:val="0"/>
        </w:rPr>
        <w:t>,</w:t>
      </w:r>
      <w:r w:rsidR="00177E1F" w:rsidRPr="004B0F8E">
        <w:rPr>
          <w:b w:val="0"/>
        </w:rPr>
        <w:t xml:space="preserve"> </w:t>
      </w:r>
      <w:r>
        <w:rPr>
          <w:b w:val="0"/>
        </w:rPr>
        <w:t xml:space="preserve">with </w:t>
      </w:r>
      <w:r w:rsidR="00AD40DD">
        <w:rPr>
          <w:b w:val="0"/>
        </w:rPr>
        <w:t>two</w:t>
      </w:r>
      <w:r w:rsidR="00AD40DD" w:rsidRPr="004B0F8E">
        <w:rPr>
          <w:b w:val="0"/>
        </w:rPr>
        <w:t xml:space="preserve"> </w:t>
      </w:r>
      <w:r w:rsidR="00177E1F" w:rsidRPr="004B0F8E">
        <w:rPr>
          <w:b w:val="0"/>
        </w:rPr>
        <w:t xml:space="preserve">cases </w:t>
      </w:r>
      <w:r>
        <w:rPr>
          <w:b w:val="0"/>
        </w:rPr>
        <w:t>decided after</w:t>
      </w:r>
      <w:r w:rsidRPr="004B0F8E">
        <w:rPr>
          <w:b w:val="0"/>
        </w:rPr>
        <w:t xml:space="preserve"> </w:t>
      </w:r>
      <w:r w:rsidR="00177E1F" w:rsidRPr="004B0F8E">
        <w:rPr>
          <w:b w:val="0"/>
        </w:rPr>
        <w:t>two reviews</w:t>
      </w:r>
      <w:r w:rsidR="009E47E2">
        <w:rPr>
          <w:b w:val="0"/>
        </w:rPr>
        <w:t>)</w:t>
      </w:r>
      <w:r w:rsidR="00177E1F" w:rsidRPr="004B0F8E">
        <w:rPr>
          <w:b w:val="0"/>
        </w:rPr>
        <w:t>.</w:t>
      </w:r>
    </w:p>
    <w:p w:rsidR="005A5D07" w:rsidRPr="004B0F8E" w:rsidRDefault="005A5D07" w:rsidP="004B0F8E">
      <w:pPr>
        <w:pStyle w:val="Source"/>
        <w:rPr>
          <w:rFonts w:ascii="Calibri" w:eastAsia="Times New Roman" w:hAnsi="Calibri" w:cs="Calibri"/>
          <w:b w:val="0"/>
          <w:lang w:eastAsia="en-AU"/>
        </w:rPr>
      </w:pPr>
      <w:r w:rsidRPr="00D743DB">
        <w:t xml:space="preserve">Source: </w:t>
      </w:r>
      <w:r w:rsidRPr="004B0F8E">
        <w:rPr>
          <w:b w:val="0"/>
        </w:rPr>
        <w:t>D</w:t>
      </w:r>
      <w:r w:rsidR="008B4BC0">
        <w:rPr>
          <w:b w:val="0"/>
        </w:rPr>
        <w:t xml:space="preserve">epartment of </w:t>
      </w:r>
      <w:r w:rsidRPr="004B0F8E">
        <w:rPr>
          <w:b w:val="0"/>
        </w:rPr>
        <w:t>H</w:t>
      </w:r>
      <w:r w:rsidR="008B4BC0">
        <w:rPr>
          <w:b w:val="0"/>
        </w:rPr>
        <w:t xml:space="preserve">uman </w:t>
      </w:r>
      <w:r w:rsidRPr="004B0F8E">
        <w:rPr>
          <w:b w:val="0"/>
        </w:rPr>
        <w:t>S</w:t>
      </w:r>
      <w:r w:rsidR="008B4BC0">
        <w:rPr>
          <w:b w:val="0"/>
        </w:rPr>
        <w:t>ervices</w:t>
      </w:r>
      <w:r w:rsidRPr="004B0F8E">
        <w:rPr>
          <w:b w:val="0"/>
        </w:rPr>
        <w:t xml:space="preserve"> monitoring data</w:t>
      </w:r>
      <w:r w:rsidRPr="004B0F8E">
        <w:rPr>
          <w:rFonts w:ascii="Calibri" w:eastAsia="Times New Roman" w:hAnsi="Calibri" w:cs="Calibri"/>
          <w:b w:val="0"/>
          <w:lang w:eastAsia="en-AU"/>
        </w:rPr>
        <w:t>.</w:t>
      </w:r>
    </w:p>
    <w:p w:rsidR="00606C95" w:rsidRDefault="00AD40DD" w:rsidP="009D60AD">
      <w:pPr>
        <w:spacing w:before="120"/>
        <w:rPr>
          <w:color w:val="000000" w:themeColor="text1"/>
        </w:rPr>
      </w:pPr>
      <w:r>
        <w:rPr>
          <w:color w:val="000000" w:themeColor="text1"/>
        </w:rPr>
        <w:t>A</w:t>
      </w:r>
      <w:r w:rsidR="00C144A5">
        <w:rPr>
          <w:color w:val="000000" w:themeColor="text1"/>
        </w:rPr>
        <w:t xml:space="preserve"> c</w:t>
      </w:r>
      <w:r w:rsidR="008C2478">
        <w:rPr>
          <w:color w:val="000000" w:themeColor="text1"/>
        </w:rPr>
        <w:t>ompari</w:t>
      </w:r>
      <w:r>
        <w:rPr>
          <w:color w:val="000000" w:themeColor="text1"/>
        </w:rPr>
        <w:t>son of</w:t>
      </w:r>
      <w:r w:rsidR="008C2478">
        <w:rPr>
          <w:color w:val="000000" w:themeColor="text1"/>
        </w:rPr>
        <w:t xml:space="preserve"> the proportion of appealed cases by rejection reasons</w:t>
      </w:r>
      <w:r w:rsidR="00D1564F">
        <w:rPr>
          <w:color w:val="000000" w:themeColor="text1"/>
        </w:rPr>
        <w:t xml:space="preserve"> </w:t>
      </w:r>
      <w:r w:rsidR="00C62636">
        <w:rPr>
          <w:color w:val="000000" w:themeColor="text1"/>
        </w:rPr>
        <w:t xml:space="preserve">with </w:t>
      </w:r>
      <w:r w:rsidR="008C2478">
        <w:rPr>
          <w:color w:val="000000" w:themeColor="text1"/>
        </w:rPr>
        <w:t>overall rejection rates</w:t>
      </w:r>
      <w:r w:rsidR="006B181D">
        <w:rPr>
          <w:color w:val="000000" w:themeColor="text1"/>
        </w:rPr>
        <w:t xml:space="preserve"> (Table 3.</w:t>
      </w:r>
      <w:r w:rsidR="008D1AF5">
        <w:rPr>
          <w:color w:val="000000" w:themeColor="text1"/>
        </w:rPr>
        <w:t>6</w:t>
      </w:r>
      <w:r>
        <w:rPr>
          <w:color w:val="000000" w:themeColor="text1"/>
        </w:rPr>
        <w:t>)</w:t>
      </w:r>
      <w:r w:rsidR="00C62636">
        <w:rPr>
          <w:color w:val="000000" w:themeColor="text1"/>
        </w:rPr>
        <w:t>,</w:t>
      </w:r>
      <w:r w:rsidR="00C144A5">
        <w:rPr>
          <w:color w:val="000000" w:themeColor="text1"/>
        </w:rPr>
        <w:t xml:space="preserve"> </w:t>
      </w:r>
      <w:r>
        <w:rPr>
          <w:color w:val="000000" w:themeColor="text1"/>
        </w:rPr>
        <w:t xml:space="preserve">shows </w:t>
      </w:r>
      <w:r w:rsidR="008C2478">
        <w:rPr>
          <w:color w:val="000000" w:themeColor="text1"/>
        </w:rPr>
        <w:t xml:space="preserve">that while almost equal numbers of claims were rejected for either </w:t>
      </w:r>
      <w:r w:rsidR="00C62636">
        <w:rPr>
          <w:color w:val="000000" w:themeColor="text1"/>
        </w:rPr>
        <w:t>‘</w:t>
      </w:r>
      <w:r w:rsidR="008C2478">
        <w:rPr>
          <w:color w:val="000000" w:themeColor="text1"/>
        </w:rPr>
        <w:t>not being in continuous employment</w:t>
      </w:r>
      <w:r w:rsidR="00C62636">
        <w:rPr>
          <w:color w:val="000000" w:themeColor="text1"/>
        </w:rPr>
        <w:t>’</w:t>
      </w:r>
      <w:r w:rsidR="008C2478">
        <w:rPr>
          <w:color w:val="000000" w:themeColor="text1"/>
        </w:rPr>
        <w:t xml:space="preserve"> (25.8 per cent) and </w:t>
      </w:r>
      <w:r w:rsidR="00C62636">
        <w:rPr>
          <w:color w:val="000000" w:themeColor="text1"/>
        </w:rPr>
        <w:t>‘</w:t>
      </w:r>
      <w:r w:rsidR="008C2478">
        <w:rPr>
          <w:color w:val="000000" w:themeColor="text1"/>
        </w:rPr>
        <w:t>claim being made outside the 90 day period</w:t>
      </w:r>
      <w:r w:rsidR="00C62636">
        <w:rPr>
          <w:color w:val="000000" w:themeColor="text1"/>
        </w:rPr>
        <w:t>’</w:t>
      </w:r>
      <w:r w:rsidR="008C2478">
        <w:rPr>
          <w:color w:val="000000" w:themeColor="text1"/>
        </w:rPr>
        <w:t xml:space="preserve"> (23.3 per cent), the proportions that appealed from these two groups was quite different</w:t>
      </w:r>
      <w:r>
        <w:rPr>
          <w:color w:val="000000" w:themeColor="text1"/>
        </w:rPr>
        <w:t>.</w:t>
      </w:r>
      <w:r w:rsidR="00D1564F">
        <w:rPr>
          <w:color w:val="000000" w:themeColor="text1"/>
        </w:rPr>
        <w:t xml:space="preserve"> About a third (</w:t>
      </w:r>
      <w:r w:rsidR="008C2478">
        <w:rPr>
          <w:color w:val="000000" w:themeColor="text1"/>
        </w:rPr>
        <w:t>34.</w:t>
      </w:r>
      <w:r w:rsidR="00D63A4E">
        <w:rPr>
          <w:color w:val="000000" w:themeColor="text1"/>
        </w:rPr>
        <w:t>3 </w:t>
      </w:r>
      <w:r w:rsidR="008C2478">
        <w:rPr>
          <w:color w:val="000000" w:themeColor="text1"/>
        </w:rPr>
        <w:t>per cent</w:t>
      </w:r>
      <w:r w:rsidR="00D1564F">
        <w:rPr>
          <w:color w:val="000000" w:themeColor="text1"/>
        </w:rPr>
        <w:t>)</w:t>
      </w:r>
      <w:r w:rsidR="008C2478">
        <w:rPr>
          <w:color w:val="000000" w:themeColor="text1"/>
        </w:rPr>
        <w:t xml:space="preserve"> of appeals </w:t>
      </w:r>
      <w:r w:rsidR="00D1564F">
        <w:rPr>
          <w:color w:val="000000" w:themeColor="text1"/>
        </w:rPr>
        <w:t xml:space="preserve">were </w:t>
      </w:r>
      <w:r w:rsidR="008C2478">
        <w:rPr>
          <w:color w:val="000000" w:themeColor="text1"/>
        </w:rPr>
        <w:t xml:space="preserve">rejected because they </w:t>
      </w:r>
      <w:r w:rsidR="00C62636">
        <w:rPr>
          <w:color w:val="000000" w:themeColor="text1"/>
        </w:rPr>
        <w:t>‘</w:t>
      </w:r>
      <w:r w:rsidR="008C2478">
        <w:rPr>
          <w:color w:val="000000" w:themeColor="text1"/>
        </w:rPr>
        <w:t>lodged their claim too late</w:t>
      </w:r>
      <w:r w:rsidR="00C62636">
        <w:rPr>
          <w:color w:val="000000" w:themeColor="text1"/>
        </w:rPr>
        <w:t>’</w:t>
      </w:r>
      <w:r w:rsidR="00D1564F">
        <w:rPr>
          <w:color w:val="000000" w:themeColor="text1"/>
        </w:rPr>
        <w:t>,</w:t>
      </w:r>
      <w:r w:rsidR="008C2478">
        <w:rPr>
          <w:color w:val="000000" w:themeColor="text1"/>
        </w:rPr>
        <w:t xml:space="preserve"> compared to just 4.6 per cent rejected because they </w:t>
      </w:r>
      <w:r w:rsidR="00C62636">
        <w:rPr>
          <w:color w:val="000000" w:themeColor="text1"/>
        </w:rPr>
        <w:t>were ‘</w:t>
      </w:r>
      <w:r w:rsidR="008C2478">
        <w:rPr>
          <w:color w:val="000000" w:themeColor="text1"/>
        </w:rPr>
        <w:t>not in continuous employment</w:t>
      </w:r>
      <w:r w:rsidR="00C62636">
        <w:rPr>
          <w:color w:val="000000" w:themeColor="text1"/>
        </w:rPr>
        <w:t>’</w:t>
      </w:r>
      <w:r w:rsidR="008C2478">
        <w:rPr>
          <w:color w:val="000000" w:themeColor="text1"/>
        </w:rPr>
        <w:t xml:space="preserve"> (Table 3.</w:t>
      </w:r>
      <w:r w:rsidR="008D1AF5">
        <w:rPr>
          <w:color w:val="000000" w:themeColor="text1"/>
        </w:rPr>
        <w:t>8</w:t>
      </w:r>
      <w:r w:rsidR="008C2478">
        <w:rPr>
          <w:color w:val="000000" w:themeColor="text1"/>
        </w:rPr>
        <w:t>).</w:t>
      </w:r>
    </w:p>
    <w:p w:rsidR="00F1655C" w:rsidRPr="00D83A7E" w:rsidRDefault="00F1655C" w:rsidP="00D83A7E">
      <w:pPr>
        <w:pStyle w:val="TableCaption"/>
      </w:pPr>
      <w:bookmarkStart w:id="154" w:name="_Toc507600312"/>
      <w:r w:rsidRPr="00D83A7E">
        <w:t>Table 3.</w:t>
      </w:r>
      <w:r w:rsidR="008D1AF5">
        <w:t>8</w:t>
      </w:r>
      <w:r w:rsidRPr="00D83A7E">
        <w:t xml:space="preserve">: </w:t>
      </w:r>
      <w:r w:rsidR="006957B9">
        <w:t>Claims appealed by r</w:t>
      </w:r>
      <w:r w:rsidRPr="00D83A7E">
        <w:t>easons for rejection, 1 July 2015 to 12 May 2017</w:t>
      </w:r>
      <w:bookmarkEnd w:id="154"/>
    </w:p>
    <w:tbl>
      <w:tblPr>
        <w:tblW w:w="8520" w:type="dxa"/>
        <w:tblInd w:w="93" w:type="dxa"/>
        <w:tblLook w:val="04A0" w:firstRow="1" w:lastRow="0" w:firstColumn="1" w:lastColumn="0" w:noHBand="0" w:noVBand="1"/>
      </w:tblPr>
      <w:tblGrid>
        <w:gridCol w:w="5969"/>
        <w:gridCol w:w="1134"/>
        <w:gridCol w:w="1417"/>
      </w:tblGrid>
      <w:tr w:rsidR="001B545E" w:rsidRPr="001B545E" w:rsidTr="00A35914">
        <w:trPr>
          <w:trHeight w:hRule="exact" w:val="614"/>
          <w:tblHeader/>
        </w:trPr>
        <w:tc>
          <w:tcPr>
            <w:tcW w:w="5969" w:type="dxa"/>
            <w:shd w:val="clear" w:color="000000" w:fill="1E3D6B"/>
            <w:vAlign w:val="center"/>
            <w:hideMark/>
          </w:tcPr>
          <w:p w:rsidR="001B545E" w:rsidRPr="006B181D" w:rsidRDefault="001B545E" w:rsidP="001B545E">
            <w:pPr>
              <w:spacing w:after="0" w:line="240" w:lineRule="auto"/>
              <w:rPr>
                <w:rFonts w:ascii="Calibri" w:eastAsia="Times New Roman" w:hAnsi="Calibri" w:cs="Calibri"/>
                <w:b/>
                <w:bCs/>
                <w:color w:val="EEECE1"/>
                <w:sz w:val="20"/>
                <w:szCs w:val="20"/>
                <w:lang w:eastAsia="en-AU"/>
              </w:rPr>
            </w:pPr>
            <w:bookmarkStart w:id="155" w:name="Title_38"/>
            <w:bookmarkEnd w:id="155"/>
            <w:r w:rsidRPr="006B181D">
              <w:rPr>
                <w:rFonts w:ascii="Calibri" w:eastAsia="Times New Roman" w:hAnsi="Calibri" w:cs="Calibri"/>
                <w:b/>
                <w:bCs/>
                <w:color w:val="EEECE1"/>
                <w:sz w:val="20"/>
                <w:szCs w:val="20"/>
                <w:lang w:eastAsia="en-AU"/>
              </w:rPr>
              <w:t>Rejection reason</w:t>
            </w:r>
          </w:p>
        </w:tc>
        <w:tc>
          <w:tcPr>
            <w:tcW w:w="1134" w:type="dxa"/>
            <w:shd w:val="clear" w:color="000000" w:fill="1E3D6B"/>
            <w:vAlign w:val="center"/>
            <w:hideMark/>
          </w:tcPr>
          <w:p w:rsidR="001B545E" w:rsidRPr="006B181D" w:rsidRDefault="001B545E" w:rsidP="001B545E">
            <w:pPr>
              <w:spacing w:after="0" w:line="240" w:lineRule="auto"/>
              <w:jc w:val="center"/>
              <w:rPr>
                <w:rFonts w:ascii="Calibri" w:eastAsia="Times New Roman" w:hAnsi="Calibri" w:cs="Calibri"/>
                <w:b/>
                <w:bCs/>
                <w:color w:val="EEECE1"/>
                <w:sz w:val="20"/>
                <w:szCs w:val="20"/>
                <w:lang w:eastAsia="en-AU"/>
              </w:rPr>
            </w:pPr>
            <w:r w:rsidRPr="006B181D">
              <w:rPr>
                <w:rFonts w:ascii="Calibri" w:eastAsia="Times New Roman" w:hAnsi="Calibri" w:cs="Calibri"/>
                <w:b/>
                <w:bCs/>
                <w:color w:val="EEECE1"/>
                <w:sz w:val="20"/>
                <w:szCs w:val="20"/>
                <w:lang w:eastAsia="en-AU"/>
              </w:rPr>
              <w:t>Number</w:t>
            </w:r>
          </w:p>
        </w:tc>
        <w:tc>
          <w:tcPr>
            <w:tcW w:w="1417" w:type="dxa"/>
            <w:shd w:val="clear" w:color="000000" w:fill="1E3D6B"/>
            <w:noWrap/>
            <w:vAlign w:val="center"/>
            <w:hideMark/>
          </w:tcPr>
          <w:p w:rsidR="001B545E" w:rsidRPr="006B181D" w:rsidRDefault="001B545E" w:rsidP="001B545E">
            <w:pPr>
              <w:spacing w:after="0" w:line="240" w:lineRule="auto"/>
              <w:jc w:val="center"/>
              <w:rPr>
                <w:rFonts w:ascii="Calibri" w:eastAsia="Times New Roman" w:hAnsi="Calibri" w:cs="Calibri"/>
                <w:b/>
                <w:color w:val="FFFFFF"/>
                <w:sz w:val="20"/>
                <w:szCs w:val="20"/>
                <w:lang w:eastAsia="en-AU"/>
              </w:rPr>
            </w:pPr>
            <w:r w:rsidRPr="006B181D">
              <w:rPr>
                <w:rFonts w:ascii="Calibri" w:eastAsia="Times New Roman" w:hAnsi="Calibri" w:cs="Calibri"/>
                <w:b/>
                <w:color w:val="FFFFFF"/>
                <w:sz w:val="20"/>
                <w:szCs w:val="20"/>
                <w:lang w:eastAsia="en-AU"/>
              </w:rPr>
              <w:t>Proportion</w:t>
            </w:r>
            <w:r w:rsidRPr="006B181D">
              <w:rPr>
                <w:rFonts w:ascii="Calibri" w:eastAsia="Times New Roman" w:hAnsi="Calibri" w:cs="Calibri"/>
                <w:b/>
                <w:color w:val="FFFFFF"/>
                <w:sz w:val="20"/>
                <w:szCs w:val="20"/>
                <w:lang w:eastAsia="en-AU"/>
              </w:rPr>
              <w:br/>
              <w:t>(%)</w:t>
            </w:r>
          </w:p>
        </w:tc>
      </w:tr>
      <w:tr w:rsidR="001B545E" w:rsidRPr="001B545E" w:rsidTr="001B545E">
        <w:trPr>
          <w:trHeight w:hRule="exact" w:val="397"/>
        </w:trPr>
        <w:tc>
          <w:tcPr>
            <w:tcW w:w="5969" w:type="dxa"/>
            <w:shd w:val="clear" w:color="auto" w:fill="auto"/>
            <w:vAlign w:val="center"/>
            <w:hideMark/>
          </w:tcPr>
          <w:p w:rsidR="001B545E" w:rsidRPr="006B181D" w:rsidRDefault="001B545E" w:rsidP="001B545E">
            <w:pPr>
              <w:spacing w:after="0" w:line="240" w:lineRule="auto"/>
              <w:rPr>
                <w:rFonts w:ascii="Calibri" w:eastAsia="Times New Roman" w:hAnsi="Calibri" w:cs="Calibri"/>
                <w:color w:val="000000"/>
                <w:sz w:val="20"/>
                <w:szCs w:val="20"/>
                <w:lang w:eastAsia="en-AU"/>
              </w:rPr>
            </w:pPr>
            <w:r w:rsidRPr="006B181D">
              <w:rPr>
                <w:rFonts w:ascii="Calibri" w:eastAsia="Times New Roman" w:hAnsi="Calibri" w:cs="Calibri"/>
                <w:color w:val="000000"/>
                <w:sz w:val="20"/>
                <w:szCs w:val="20"/>
                <w:lang w:eastAsia="en-AU"/>
              </w:rPr>
              <w:t>Claim outside of 90 day period</w:t>
            </w:r>
          </w:p>
        </w:tc>
        <w:tc>
          <w:tcPr>
            <w:tcW w:w="1134" w:type="dxa"/>
            <w:shd w:val="clear" w:color="auto" w:fill="auto"/>
            <w:vAlign w:val="center"/>
            <w:hideMark/>
          </w:tcPr>
          <w:p w:rsidR="001B545E" w:rsidRPr="006B181D" w:rsidRDefault="001B545E" w:rsidP="001B545E">
            <w:pPr>
              <w:spacing w:after="0" w:line="240" w:lineRule="auto"/>
              <w:ind w:left="-250" w:right="317"/>
              <w:jc w:val="right"/>
              <w:rPr>
                <w:rFonts w:ascii="Calibri" w:eastAsia="Times New Roman" w:hAnsi="Calibri" w:cs="Calibri"/>
                <w:color w:val="000000"/>
                <w:sz w:val="20"/>
                <w:szCs w:val="20"/>
                <w:lang w:eastAsia="en-AU"/>
              </w:rPr>
            </w:pPr>
            <w:r w:rsidRPr="006B181D">
              <w:rPr>
                <w:rFonts w:ascii="Calibri" w:eastAsia="Times New Roman" w:hAnsi="Calibri" w:cs="Calibri"/>
                <w:color w:val="000000"/>
                <w:sz w:val="20"/>
                <w:szCs w:val="20"/>
                <w:lang w:eastAsia="en-AU"/>
              </w:rPr>
              <w:t>60</w:t>
            </w:r>
          </w:p>
        </w:tc>
        <w:tc>
          <w:tcPr>
            <w:tcW w:w="1417" w:type="dxa"/>
            <w:shd w:val="clear" w:color="auto" w:fill="auto"/>
            <w:noWrap/>
            <w:vAlign w:val="center"/>
            <w:hideMark/>
          </w:tcPr>
          <w:p w:rsidR="001B545E" w:rsidRPr="006B181D" w:rsidRDefault="001B545E" w:rsidP="001B545E">
            <w:pPr>
              <w:spacing w:after="0" w:line="240" w:lineRule="auto"/>
              <w:ind w:left="-108" w:right="459"/>
              <w:jc w:val="right"/>
              <w:rPr>
                <w:rFonts w:ascii="Calibri" w:eastAsia="Times New Roman" w:hAnsi="Calibri" w:cs="Calibri"/>
                <w:color w:val="000000"/>
                <w:sz w:val="20"/>
                <w:szCs w:val="20"/>
                <w:lang w:eastAsia="en-AU"/>
              </w:rPr>
            </w:pPr>
            <w:r w:rsidRPr="006B181D">
              <w:rPr>
                <w:rFonts w:ascii="Calibri" w:eastAsia="Times New Roman" w:hAnsi="Calibri" w:cs="Calibri"/>
                <w:color w:val="000000"/>
                <w:sz w:val="20"/>
                <w:szCs w:val="20"/>
                <w:lang w:eastAsia="en-AU"/>
              </w:rPr>
              <w:t>34.3</w:t>
            </w:r>
          </w:p>
        </w:tc>
      </w:tr>
      <w:tr w:rsidR="001B545E" w:rsidRPr="001B545E" w:rsidTr="001B545E">
        <w:trPr>
          <w:trHeight w:hRule="exact" w:val="397"/>
        </w:trPr>
        <w:tc>
          <w:tcPr>
            <w:tcW w:w="5969" w:type="dxa"/>
            <w:shd w:val="clear" w:color="auto" w:fill="E5E5E5" w:themeFill="background1" w:themeFillTint="33"/>
            <w:vAlign w:val="center"/>
            <w:hideMark/>
          </w:tcPr>
          <w:p w:rsidR="001B545E" w:rsidRPr="006B181D" w:rsidRDefault="001B545E" w:rsidP="001B545E">
            <w:pPr>
              <w:spacing w:after="0" w:line="240" w:lineRule="auto"/>
              <w:rPr>
                <w:rFonts w:ascii="Calibri" w:eastAsia="Times New Roman" w:hAnsi="Calibri" w:cs="Calibri"/>
                <w:color w:val="000000"/>
                <w:sz w:val="20"/>
                <w:szCs w:val="20"/>
                <w:lang w:eastAsia="en-AU"/>
              </w:rPr>
            </w:pPr>
            <w:r w:rsidRPr="006B181D">
              <w:rPr>
                <w:rFonts w:ascii="Calibri" w:eastAsia="Times New Roman" w:hAnsi="Calibri" w:cs="Calibri"/>
                <w:color w:val="000000"/>
                <w:sz w:val="20"/>
                <w:szCs w:val="20"/>
                <w:lang w:eastAsia="en-AU"/>
              </w:rPr>
              <w:t>Qualifications not met</w:t>
            </w:r>
          </w:p>
        </w:tc>
        <w:tc>
          <w:tcPr>
            <w:tcW w:w="1134" w:type="dxa"/>
            <w:shd w:val="clear" w:color="auto" w:fill="E5E5E5" w:themeFill="background1" w:themeFillTint="33"/>
            <w:vAlign w:val="center"/>
            <w:hideMark/>
          </w:tcPr>
          <w:p w:rsidR="001B545E" w:rsidRPr="006B181D" w:rsidRDefault="001B545E" w:rsidP="001B545E">
            <w:pPr>
              <w:spacing w:after="0" w:line="240" w:lineRule="auto"/>
              <w:ind w:left="-250" w:right="317"/>
              <w:jc w:val="right"/>
              <w:rPr>
                <w:rFonts w:ascii="Calibri" w:eastAsia="Times New Roman" w:hAnsi="Calibri" w:cs="Calibri"/>
                <w:color w:val="000000"/>
                <w:sz w:val="20"/>
                <w:szCs w:val="20"/>
                <w:lang w:eastAsia="en-AU"/>
              </w:rPr>
            </w:pPr>
            <w:r w:rsidRPr="006B181D">
              <w:rPr>
                <w:rFonts w:ascii="Calibri" w:eastAsia="Times New Roman" w:hAnsi="Calibri" w:cs="Calibri"/>
                <w:color w:val="000000"/>
                <w:sz w:val="20"/>
                <w:szCs w:val="20"/>
                <w:lang w:eastAsia="en-AU"/>
              </w:rPr>
              <w:t>39</w:t>
            </w:r>
          </w:p>
        </w:tc>
        <w:tc>
          <w:tcPr>
            <w:tcW w:w="1417" w:type="dxa"/>
            <w:shd w:val="clear" w:color="auto" w:fill="E5E5E5" w:themeFill="background1" w:themeFillTint="33"/>
            <w:noWrap/>
            <w:vAlign w:val="center"/>
            <w:hideMark/>
          </w:tcPr>
          <w:p w:rsidR="001B545E" w:rsidRPr="006B181D" w:rsidRDefault="001B545E" w:rsidP="001B545E">
            <w:pPr>
              <w:spacing w:after="0" w:line="240" w:lineRule="auto"/>
              <w:ind w:left="-108" w:right="459"/>
              <w:jc w:val="right"/>
              <w:rPr>
                <w:rFonts w:ascii="Calibri" w:eastAsia="Times New Roman" w:hAnsi="Calibri" w:cs="Calibri"/>
                <w:color w:val="000000"/>
                <w:sz w:val="20"/>
                <w:szCs w:val="20"/>
                <w:lang w:eastAsia="en-AU"/>
              </w:rPr>
            </w:pPr>
            <w:r w:rsidRPr="006B181D">
              <w:rPr>
                <w:rFonts w:ascii="Calibri" w:eastAsia="Times New Roman" w:hAnsi="Calibri" w:cs="Calibri"/>
                <w:color w:val="000000"/>
                <w:sz w:val="20"/>
                <w:szCs w:val="20"/>
                <w:lang w:eastAsia="en-AU"/>
              </w:rPr>
              <w:t>22.3</w:t>
            </w:r>
          </w:p>
        </w:tc>
      </w:tr>
      <w:tr w:rsidR="001B545E" w:rsidRPr="001B545E" w:rsidTr="001B545E">
        <w:trPr>
          <w:trHeight w:hRule="exact" w:val="397"/>
        </w:trPr>
        <w:tc>
          <w:tcPr>
            <w:tcW w:w="5969" w:type="dxa"/>
            <w:shd w:val="clear" w:color="auto" w:fill="auto"/>
            <w:vAlign w:val="center"/>
            <w:hideMark/>
          </w:tcPr>
          <w:p w:rsidR="001B545E" w:rsidRPr="006B181D" w:rsidRDefault="001B545E" w:rsidP="001B545E">
            <w:pPr>
              <w:spacing w:after="0" w:line="240" w:lineRule="auto"/>
              <w:rPr>
                <w:rFonts w:ascii="Calibri" w:eastAsia="Times New Roman" w:hAnsi="Calibri" w:cs="Calibri"/>
                <w:color w:val="000000"/>
                <w:sz w:val="20"/>
                <w:szCs w:val="20"/>
                <w:lang w:eastAsia="en-AU"/>
              </w:rPr>
            </w:pPr>
            <w:r w:rsidRPr="006B181D">
              <w:rPr>
                <w:rFonts w:ascii="Calibri" w:eastAsia="Times New Roman" w:hAnsi="Calibri" w:cs="Calibri"/>
                <w:color w:val="000000"/>
                <w:sz w:val="20"/>
                <w:szCs w:val="20"/>
                <w:lang w:eastAsia="en-AU"/>
              </w:rPr>
              <w:t>Not eligible for first JCB payment</w:t>
            </w:r>
          </w:p>
        </w:tc>
        <w:tc>
          <w:tcPr>
            <w:tcW w:w="1134" w:type="dxa"/>
            <w:shd w:val="clear" w:color="auto" w:fill="auto"/>
            <w:vAlign w:val="center"/>
            <w:hideMark/>
          </w:tcPr>
          <w:p w:rsidR="001B545E" w:rsidRPr="006B181D" w:rsidRDefault="001B545E" w:rsidP="001B545E">
            <w:pPr>
              <w:spacing w:after="0" w:line="240" w:lineRule="auto"/>
              <w:ind w:left="-250" w:right="317"/>
              <w:jc w:val="right"/>
              <w:rPr>
                <w:rFonts w:ascii="Calibri" w:eastAsia="Times New Roman" w:hAnsi="Calibri" w:cs="Calibri"/>
                <w:color w:val="000000"/>
                <w:sz w:val="20"/>
                <w:szCs w:val="20"/>
                <w:lang w:eastAsia="en-AU"/>
              </w:rPr>
            </w:pPr>
            <w:r w:rsidRPr="006B181D">
              <w:rPr>
                <w:rFonts w:ascii="Calibri" w:eastAsia="Times New Roman" w:hAnsi="Calibri" w:cs="Calibri"/>
                <w:color w:val="000000"/>
                <w:sz w:val="20"/>
                <w:szCs w:val="20"/>
                <w:lang w:eastAsia="en-AU"/>
              </w:rPr>
              <w:t>34</w:t>
            </w:r>
          </w:p>
        </w:tc>
        <w:tc>
          <w:tcPr>
            <w:tcW w:w="1417" w:type="dxa"/>
            <w:shd w:val="clear" w:color="auto" w:fill="auto"/>
            <w:noWrap/>
            <w:vAlign w:val="center"/>
            <w:hideMark/>
          </w:tcPr>
          <w:p w:rsidR="001B545E" w:rsidRPr="006B181D" w:rsidRDefault="001B545E" w:rsidP="001B545E">
            <w:pPr>
              <w:spacing w:after="0" w:line="240" w:lineRule="auto"/>
              <w:ind w:left="-108" w:right="459"/>
              <w:jc w:val="right"/>
              <w:rPr>
                <w:rFonts w:ascii="Calibri" w:eastAsia="Times New Roman" w:hAnsi="Calibri" w:cs="Calibri"/>
                <w:color w:val="000000"/>
                <w:sz w:val="20"/>
                <w:szCs w:val="20"/>
                <w:lang w:eastAsia="en-AU"/>
              </w:rPr>
            </w:pPr>
            <w:r w:rsidRPr="006B181D">
              <w:rPr>
                <w:rFonts w:ascii="Calibri" w:eastAsia="Times New Roman" w:hAnsi="Calibri" w:cs="Calibri"/>
                <w:color w:val="000000"/>
                <w:sz w:val="20"/>
                <w:szCs w:val="20"/>
                <w:lang w:eastAsia="en-AU"/>
              </w:rPr>
              <w:t>19.4</w:t>
            </w:r>
          </w:p>
        </w:tc>
      </w:tr>
      <w:tr w:rsidR="001B545E" w:rsidRPr="001B545E" w:rsidTr="001B545E">
        <w:trPr>
          <w:trHeight w:hRule="exact" w:val="397"/>
        </w:trPr>
        <w:tc>
          <w:tcPr>
            <w:tcW w:w="5969" w:type="dxa"/>
            <w:shd w:val="clear" w:color="auto" w:fill="E5E5E5" w:themeFill="background1" w:themeFillTint="33"/>
            <w:vAlign w:val="center"/>
            <w:hideMark/>
          </w:tcPr>
          <w:p w:rsidR="001B545E" w:rsidRPr="006B181D" w:rsidRDefault="001B545E" w:rsidP="001B545E">
            <w:pPr>
              <w:spacing w:after="0" w:line="240" w:lineRule="auto"/>
              <w:rPr>
                <w:rFonts w:ascii="Calibri" w:eastAsia="Times New Roman" w:hAnsi="Calibri" w:cs="Calibri"/>
                <w:color w:val="000000"/>
                <w:sz w:val="20"/>
                <w:szCs w:val="20"/>
                <w:lang w:eastAsia="en-AU"/>
              </w:rPr>
            </w:pPr>
            <w:r w:rsidRPr="006B181D">
              <w:rPr>
                <w:rFonts w:ascii="Calibri" w:eastAsia="Times New Roman" w:hAnsi="Calibri" w:cs="Calibri"/>
                <w:color w:val="000000"/>
                <w:sz w:val="20"/>
                <w:szCs w:val="20"/>
                <w:lang w:eastAsia="en-AU"/>
              </w:rPr>
              <w:t>Did not respond to information request</w:t>
            </w:r>
          </w:p>
        </w:tc>
        <w:tc>
          <w:tcPr>
            <w:tcW w:w="1134" w:type="dxa"/>
            <w:shd w:val="clear" w:color="auto" w:fill="E5E5E5" w:themeFill="background1" w:themeFillTint="33"/>
            <w:vAlign w:val="center"/>
            <w:hideMark/>
          </w:tcPr>
          <w:p w:rsidR="001B545E" w:rsidRPr="006B181D" w:rsidRDefault="001B545E" w:rsidP="001B545E">
            <w:pPr>
              <w:spacing w:after="0" w:line="240" w:lineRule="auto"/>
              <w:ind w:left="-250" w:right="317"/>
              <w:jc w:val="right"/>
              <w:rPr>
                <w:rFonts w:ascii="Calibri" w:eastAsia="Times New Roman" w:hAnsi="Calibri" w:cs="Calibri"/>
                <w:color w:val="000000"/>
                <w:sz w:val="20"/>
                <w:szCs w:val="20"/>
                <w:lang w:eastAsia="en-AU"/>
              </w:rPr>
            </w:pPr>
            <w:r w:rsidRPr="006B181D">
              <w:rPr>
                <w:rFonts w:ascii="Calibri" w:eastAsia="Times New Roman" w:hAnsi="Calibri" w:cs="Calibri"/>
                <w:color w:val="000000"/>
                <w:sz w:val="20"/>
                <w:szCs w:val="20"/>
                <w:lang w:eastAsia="en-AU"/>
              </w:rPr>
              <w:t>14</w:t>
            </w:r>
          </w:p>
        </w:tc>
        <w:tc>
          <w:tcPr>
            <w:tcW w:w="1417" w:type="dxa"/>
            <w:shd w:val="clear" w:color="auto" w:fill="E5E5E5" w:themeFill="background1" w:themeFillTint="33"/>
            <w:noWrap/>
            <w:vAlign w:val="center"/>
            <w:hideMark/>
          </w:tcPr>
          <w:p w:rsidR="001B545E" w:rsidRPr="006B181D" w:rsidRDefault="001B545E" w:rsidP="001B545E">
            <w:pPr>
              <w:spacing w:after="0" w:line="240" w:lineRule="auto"/>
              <w:ind w:left="-108" w:right="459"/>
              <w:jc w:val="right"/>
              <w:rPr>
                <w:rFonts w:ascii="Calibri" w:eastAsia="Times New Roman" w:hAnsi="Calibri" w:cs="Calibri"/>
                <w:color w:val="000000"/>
                <w:sz w:val="20"/>
                <w:szCs w:val="20"/>
                <w:lang w:eastAsia="en-AU"/>
              </w:rPr>
            </w:pPr>
            <w:r w:rsidRPr="006B181D">
              <w:rPr>
                <w:rFonts w:ascii="Calibri" w:eastAsia="Times New Roman" w:hAnsi="Calibri" w:cs="Calibri"/>
                <w:color w:val="000000"/>
                <w:sz w:val="20"/>
                <w:szCs w:val="20"/>
                <w:lang w:eastAsia="en-AU"/>
              </w:rPr>
              <w:t>8.0</w:t>
            </w:r>
          </w:p>
        </w:tc>
      </w:tr>
      <w:tr w:rsidR="001B545E" w:rsidRPr="001B545E" w:rsidTr="001B545E">
        <w:trPr>
          <w:trHeight w:hRule="exact" w:val="397"/>
        </w:trPr>
        <w:tc>
          <w:tcPr>
            <w:tcW w:w="5969" w:type="dxa"/>
            <w:shd w:val="clear" w:color="auto" w:fill="auto"/>
            <w:vAlign w:val="center"/>
            <w:hideMark/>
          </w:tcPr>
          <w:p w:rsidR="001B545E" w:rsidRPr="006B181D" w:rsidRDefault="001B545E" w:rsidP="001B545E">
            <w:pPr>
              <w:spacing w:after="0" w:line="240" w:lineRule="auto"/>
              <w:rPr>
                <w:rFonts w:ascii="Calibri" w:eastAsia="Times New Roman" w:hAnsi="Calibri" w:cs="Calibri"/>
                <w:color w:val="000000"/>
                <w:sz w:val="20"/>
                <w:szCs w:val="20"/>
                <w:lang w:eastAsia="en-AU"/>
              </w:rPr>
            </w:pPr>
            <w:r w:rsidRPr="006B181D">
              <w:rPr>
                <w:rFonts w:ascii="Calibri" w:eastAsia="Times New Roman" w:hAnsi="Calibri" w:cs="Calibri"/>
                <w:color w:val="000000"/>
                <w:sz w:val="20"/>
                <w:szCs w:val="20"/>
                <w:lang w:eastAsia="en-AU"/>
              </w:rPr>
              <w:t>Not receiving qualifying payment for more than 12 months</w:t>
            </w:r>
          </w:p>
        </w:tc>
        <w:tc>
          <w:tcPr>
            <w:tcW w:w="1134" w:type="dxa"/>
            <w:shd w:val="clear" w:color="auto" w:fill="auto"/>
            <w:vAlign w:val="center"/>
            <w:hideMark/>
          </w:tcPr>
          <w:p w:rsidR="001B545E" w:rsidRPr="006B181D" w:rsidRDefault="001B545E" w:rsidP="001B545E">
            <w:pPr>
              <w:spacing w:after="0" w:line="240" w:lineRule="auto"/>
              <w:ind w:left="-250" w:right="317"/>
              <w:jc w:val="right"/>
              <w:rPr>
                <w:rFonts w:ascii="Calibri" w:eastAsia="Times New Roman" w:hAnsi="Calibri" w:cs="Calibri"/>
                <w:color w:val="000000"/>
                <w:sz w:val="20"/>
                <w:szCs w:val="20"/>
                <w:lang w:eastAsia="en-AU"/>
              </w:rPr>
            </w:pPr>
            <w:r w:rsidRPr="006B181D">
              <w:rPr>
                <w:rFonts w:ascii="Calibri" w:eastAsia="Times New Roman" w:hAnsi="Calibri" w:cs="Calibri"/>
                <w:color w:val="000000"/>
                <w:sz w:val="20"/>
                <w:szCs w:val="20"/>
                <w:lang w:eastAsia="en-AU"/>
              </w:rPr>
              <w:t>11</w:t>
            </w:r>
          </w:p>
        </w:tc>
        <w:tc>
          <w:tcPr>
            <w:tcW w:w="1417" w:type="dxa"/>
            <w:shd w:val="clear" w:color="auto" w:fill="auto"/>
            <w:noWrap/>
            <w:vAlign w:val="center"/>
            <w:hideMark/>
          </w:tcPr>
          <w:p w:rsidR="001B545E" w:rsidRPr="006B181D" w:rsidRDefault="001B545E" w:rsidP="001B545E">
            <w:pPr>
              <w:spacing w:after="0" w:line="240" w:lineRule="auto"/>
              <w:ind w:left="-108" w:right="459"/>
              <w:jc w:val="right"/>
              <w:rPr>
                <w:rFonts w:ascii="Calibri" w:eastAsia="Times New Roman" w:hAnsi="Calibri" w:cs="Calibri"/>
                <w:color w:val="000000"/>
                <w:sz w:val="20"/>
                <w:szCs w:val="20"/>
                <w:lang w:eastAsia="en-AU"/>
              </w:rPr>
            </w:pPr>
            <w:r w:rsidRPr="006B181D">
              <w:rPr>
                <w:rFonts w:ascii="Calibri" w:eastAsia="Times New Roman" w:hAnsi="Calibri" w:cs="Calibri"/>
                <w:color w:val="000000"/>
                <w:sz w:val="20"/>
                <w:szCs w:val="20"/>
                <w:lang w:eastAsia="en-AU"/>
              </w:rPr>
              <w:t>6.3</w:t>
            </w:r>
          </w:p>
        </w:tc>
      </w:tr>
      <w:tr w:rsidR="001B545E" w:rsidRPr="001B545E" w:rsidTr="001B545E">
        <w:trPr>
          <w:trHeight w:hRule="exact" w:val="397"/>
        </w:trPr>
        <w:tc>
          <w:tcPr>
            <w:tcW w:w="5969" w:type="dxa"/>
            <w:shd w:val="clear" w:color="auto" w:fill="E5E5E5" w:themeFill="background1" w:themeFillTint="33"/>
            <w:vAlign w:val="center"/>
            <w:hideMark/>
          </w:tcPr>
          <w:p w:rsidR="001B545E" w:rsidRPr="006B181D" w:rsidRDefault="001B545E" w:rsidP="001B545E">
            <w:pPr>
              <w:spacing w:after="0" w:line="240" w:lineRule="auto"/>
              <w:rPr>
                <w:rFonts w:ascii="Calibri" w:eastAsia="Times New Roman" w:hAnsi="Calibri" w:cs="Calibri"/>
                <w:color w:val="000000"/>
                <w:sz w:val="20"/>
                <w:szCs w:val="20"/>
                <w:lang w:eastAsia="en-AU"/>
              </w:rPr>
            </w:pPr>
            <w:r w:rsidRPr="006B181D">
              <w:rPr>
                <w:rFonts w:ascii="Calibri" w:eastAsia="Times New Roman" w:hAnsi="Calibri" w:cs="Calibri"/>
                <w:color w:val="000000"/>
                <w:sz w:val="20"/>
                <w:szCs w:val="20"/>
                <w:lang w:eastAsia="en-AU"/>
              </w:rPr>
              <w:t>Not in continuous employment for 12 months</w:t>
            </w:r>
          </w:p>
        </w:tc>
        <w:tc>
          <w:tcPr>
            <w:tcW w:w="1134" w:type="dxa"/>
            <w:shd w:val="clear" w:color="auto" w:fill="E5E5E5" w:themeFill="background1" w:themeFillTint="33"/>
            <w:vAlign w:val="center"/>
            <w:hideMark/>
          </w:tcPr>
          <w:p w:rsidR="001B545E" w:rsidRPr="006B181D" w:rsidRDefault="001B545E" w:rsidP="001B545E">
            <w:pPr>
              <w:spacing w:after="0" w:line="240" w:lineRule="auto"/>
              <w:ind w:left="-250" w:right="317"/>
              <w:jc w:val="right"/>
              <w:rPr>
                <w:rFonts w:ascii="Calibri" w:eastAsia="Times New Roman" w:hAnsi="Calibri" w:cs="Calibri"/>
                <w:color w:val="000000"/>
                <w:sz w:val="20"/>
                <w:szCs w:val="20"/>
                <w:lang w:eastAsia="en-AU"/>
              </w:rPr>
            </w:pPr>
            <w:r w:rsidRPr="006B181D">
              <w:rPr>
                <w:rFonts w:ascii="Calibri" w:eastAsia="Times New Roman" w:hAnsi="Calibri" w:cs="Calibri"/>
                <w:color w:val="000000"/>
                <w:sz w:val="20"/>
                <w:szCs w:val="20"/>
                <w:lang w:eastAsia="en-AU"/>
              </w:rPr>
              <w:t>8</w:t>
            </w:r>
          </w:p>
        </w:tc>
        <w:tc>
          <w:tcPr>
            <w:tcW w:w="1417" w:type="dxa"/>
            <w:shd w:val="clear" w:color="auto" w:fill="E5E5E5" w:themeFill="background1" w:themeFillTint="33"/>
            <w:noWrap/>
            <w:vAlign w:val="center"/>
            <w:hideMark/>
          </w:tcPr>
          <w:p w:rsidR="001B545E" w:rsidRPr="006B181D" w:rsidRDefault="001B545E" w:rsidP="001B545E">
            <w:pPr>
              <w:spacing w:after="0" w:line="240" w:lineRule="auto"/>
              <w:ind w:left="-108" w:right="459"/>
              <w:jc w:val="right"/>
              <w:rPr>
                <w:rFonts w:ascii="Calibri" w:eastAsia="Times New Roman" w:hAnsi="Calibri" w:cs="Calibri"/>
                <w:color w:val="000000"/>
                <w:sz w:val="20"/>
                <w:szCs w:val="20"/>
                <w:lang w:eastAsia="en-AU"/>
              </w:rPr>
            </w:pPr>
            <w:r w:rsidRPr="006B181D">
              <w:rPr>
                <w:rFonts w:ascii="Calibri" w:eastAsia="Times New Roman" w:hAnsi="Calibri" w:cs="Calibri"/>
                <w:color w:val="000000"/>
                <w:sz w:val="20"/>
                <w:szCs w:val="20"/>
                <w:lang w:eastAsia="en-AU"/>
              </w:rPr>
              <w:t>4.6</w:t>
            </w:r>
          </w:p>
        </w:tc>
      </w:tr>
      <w:tr w:rsidR="001B545E" w:rsidRPr="001B545E" w:rsidTr="001B545E">
        <w:trPr>
          <w:trHeight w:hRule="exact" w:val="397"/>
        </w:trPr>
        <w:tc>
          <w:tcPr>
            <w:tcW w:w="5969" w:type="dxa"/>
            <w:shd w:val="clear" w:color="000000" w:fill="FFFFFF"/>
            <w:vAlign w:val="center"/>
            <w:hideMark/>
          </w:tcPr>
          <w:p w:rsidR="001B545E" w:rsidRPr="006B181D" w:rsidRDefault="001B545E" w:rsidP="001B545E">
            <w:pPr>
              <w:spacing w:after="0" w:line="240" w:lineRule="auto"/>
              <w:rPr>
                <w:rFonts w:ascii="Calibri" w:eastAsia="Times New Roman" w:hAnsi="Calibri" w:cs="Calibri"/>
                <w:color w:val="000000"/>
                <w:sz w:val="20"/>
                <w:szCs w:val="20"/>
                <w:lang w:eastAsia="en-AU"/>
              </w:rPr>
            </w:pPr>
            <w:r w:rsidRPr="006B181D">
              <w:rPr>
                <w:rFonts w:ascii="Calibri" w:eastAsia="Times New Roman" w:hAnsi="Calibri" w:cs="Calibri"/>
                <w:color w:val="000000"/>
                <w:sz w:val="20"/>
                <w:szCs w:val="20"/>
                <w:lang w:eastAsia="en-AU"/>
              </w:rPr>
              <w:t>Other</w:t>
            </w:r>
          </w:p>
        </w:tc>
        <w:tc>
          <w:tcPr>
            <w:tcW w:w="1134" w:type="dxa"/>
            <w:shd w:val="clear" w:color="000000" w:fill="FFFFFF"/>
            <w:vAlign w:val="center"/>
            <w:hideMark/>
          </w:tcPr>
          <w:p w:rsidR="001B545E" w:rsidRPr="006B181D" w:rsidRDefault="001B545E" w:rsidP="001B545E">
            <w:pPr>
              <w:spacing w:after="0" w:line="240" w:lineRule="auto"/>
              <w:ind w:left="-250" w:right="317"/>
              <w:jc w:val="right"/>
              <w:rPr>
                <w:rFonts w:ascii="Calibri" w:eastAsia="Times New Roman" w:hAnsi="Calibri" w:cs="Calibri"/>
                <w:color w:val="000000"/>
                <w:sz w:val="20"/>
                <w:szCs w:val="20"/>
                <w:lang w:eastAsia="en-AU"/>
              </w:rPr>
            </w:pPr>
            <w:r w:rsidRPr="006B181D">
              <w:rPr>
                <w:rFonts w:ascii="Calibri" w:eastAsia="Times New Roman" w:hAnsi="Calibri" w:cs="Calibri"/>
                <w:color w:val="000000"/>
                <w:sz w:val="20"/>
                <w:szCs w:val="20"/>
                <w:lang w:eastAsia="en-AU"/>
              </w:rPr>
              <w:t>9</w:t>
            </w:r>
          </w:p>
        </w:tc>
        <w:tc>
          <w:tcPr>
            <w:tcW w:w="1417" w:type="dxa"/>
            <w:shd w:val="clear" w:color="auto" w:fill="auto"/>
            <w:noWrap/>
            <w:vAlign w:val="center"/>
            <w:hideMark/>
          </w:tcPr>
          <w:p w:rsidR="001B545E" w:rsidRPr="006B181D" w:rsidRDefault="001B545E" w:rsidP="001B545E">
            <w:pPr>
              <w:spacing w:after="0" w:line="240" w:lineRule="auto"/>
              <w:ind w:left="-108" w:right="459"/>
              <w:jc w:val="right"/>
              <w:rPr>
                <w:rFonts w:ascii="Calibri" w:eastAsia="Times New Roman" w:hAnsi="Calibri" w:cs="Calibri"/>
                <w:color w:val="000000"/>
                <w:sz w:val="20"/>
                <w:szCs w:val="20"/>
                <w:lang w:eastAsia="en-AU"/>
              </w:rPr>
            </w:pPr>
            <w:r w:rsidRPr="006B181D">
              <w:rPr>
                <w:rFonts w:ascii="Calibri" w:eastAsia="Times New Roman" w:hAnsi="Calibri" w:cs="Calibri"/>
                <w:color w:val="000000"/>
                <w:sz w:val="20"/>
                <w:szCs w:val="20"/>
                <w:lang w:eastAsia="en-AU"/>
              </w:rPr>
              <w:t>5.1</w:t>
            </w:r>
          </w:p>
        </w:tc>
      </w:tr>
      <w:tr w:rsidR="001B545E" w:rsidRPr="001B545E" w:rsidTr="001B545E">
        <w:trPr>
          <w:trHeight w:hRule="exact" w:val="397"/>
        </w:trPr>
        <w:tc>
          <w:tcPr>
            <w:tcW w:w="5969" w:type="dxa"/>
            <w:shd w:val="clear" w:color="000000" w:fill="8EAEDE"/>
            <w:vAlign w:val="center"/>
            <w:hideMark/>
          </w:tcPr>
          <w:p w:rsidR="001B545E" w:rsidRPr="006B181D" w:rsidRDefault="001B545E" w:rsidP="001B545E">
            <w:pPr>
              <w:spacing w:after="0" w:line="240" w:lineRule="auto"/>
              <w:rPr>
                <w:rFonts w:ascii="Calibri" w:eastAsia="Times New Roman" w:hAnsi="Calibri" w:cs="Calibri"/>
                <w:color w:val="000000"/>
                <w:sz w:val="20"/>
                <w:szCs w:val="20"/>
                <w:lang w:eastAsia="en-AU"/>
              </w:rPr>
            </w:pPr>
            <w:r w:rsidRPr="006B181D">
              <w:rPr>
                <w:rFonts w:ascii="Calibri" w:eastAsia="Times New Roman" w:hAnsi="Calibri" w:cs="Calibri"/>
                <w:color w:val="000000"/>
                <w:sz w:val="20"/>
                <w:szCs w:val="20"/>
                <w:lang w:eastAsia="en-AU"/>
              </w:rPr>
              <w:t>Total</w:t>
            </w:r>
          </w:p>
        </w:tc>
        <w:tc>
          <w:tcPr>
            <w:tcW w:w="1134" w:type="dxa"/>
            <w:shd w:val="clear" w:color="000000" w:fill="8EAEDE"/>
            <w:vAlign w:val="center"/>
            <w:hideMark/>
          </w:tcPr>
          <w:p w:rsidR="001B545E" w:rsidRPr="006B181D" w:rsidRDefault="001B545E" w:rsidP="001B545E">
            <w:pPr>
              <w:spacing w:after="0" w:line="240" w:lineRule="auto"/>
              <w:ind w:left="-250" w:right="317"/>
              <w:jc w:val="right"/>
              <w:rPr>
                <w:rFonts w:ascii="Calibri" w:eastAsia="Times New Roman" w:hAnsi="Calibri" w:cs="Calibri"/>
                <w:color w:val="000000"/>
                <w:sz w:val="20"/>
                <w:szCs w:val="20"/>
                <w:lang w:eastAsia="en-AU"/>
              </w:rPr>
            </w:pPr>
            <w:r w:rsidRPr="006B181D">
              <w:rPr>
                <w:rFonts w:ascii="Calibri" w:eastAsia="Times New Roman" w:hAnsi="Calibri" w:cs="Calibri"/>
                <w:color w:val="000000"/>
                <w:sz w:val="20"/>
                <w:szCs w:val="20"/>
                <w:lang w:eastAsia="en-AU"/>
              </w:rPr>
              <w:t>175</w:t>
            </w:r>
          </w:p>
        </w:tc>
        <w:tc>
          <w:tcPr>
            <w:tcW w:w="1417" w:type="dxa"/>
            <w:shd w:val="clear" w:color="000000" w:fill="8EAEDE"/>
            <w:noWrap/>
            <w:vAlign w:val="center"/>
            <w:hideMark/>
          </w:tcPr>
          <w:p w:rsidR="001B545E" w:rsidRPr="006B181D" w:rsidRDefault="001B545E" w:rsidP="001B545E">
            <w:pPr>
              <w:spacing w:after="0" w:line="240" w:lineRule="auto"/>
              <w:ind w:left="-108" w:right="459"/>
              <w:jc w:val="right"/>
              <w:rPr>
                <w:rFonts w:ascii="Calibri" w:eastAsia="Times New Roman" w:hAnsi="Calibri" w:cs="Calibri"/>
                <w:color w:val="000000"/>
                <w:sz w:val="20"/>
                <w:szCs w:val="20"/>
                <w:lang w:eastAsia="en-AU"/>
              </w:rPr>
            </w:pPr>
            <w:r w:rsidRPr="006B181D">
              <w:rPr>
                <w:rFonts w:ascii="Calibri" w:eastAsia="Times New Roman" w:hAnsi="Calibri" w:cs="Calibri"/>
                <w:color w:val="000000"/>
                <w:sz w:val="20"/>
                <w:szCs w:val="20"/>
                <w:lang w:eastAsia="en-AU"/>
              </w:rPr>
              <w:t>100.0</w:t>
            </w:r>
          </w:p>
        </w:tc>
      </w:tr>
    </w:tbl>
    <w:p w:rsidR="008C2478" w:rsidRPr="004B0F8E" w:rsidRDefault="001B545E" w:rsidP="004B0F8E">
      <w:pPr>
        <w:pStyle w:val="Source"/>
        <w:rPr>
          <w:b w:val="0"/>
        </w:rPr>
      </w:pPr>
      <w:r w:rsidRPr="00D743DB">
        <w:t>Note:</w:t>
      </w:r>
      <w:r>
        <w:t xml:space="preserve"> </w:t>
      </w:r>
      <w:r w:rsidRPr="004B0F8E">
        <w:rPr>
          <w:b w:val="0"/>
        </w:rPr>
        <w:t>‘Other’ category includes:</w:t>
      </w:r>
    </w:p>
    <w:p w:rsidR="008C2478" w:rsidRPr="004B0F8E" w:rsidRDefault="001B545E" w:rsidP="00E3205B">
      <w:pPr>
        <w:pStyle w:val="Source"/>
        <w:numPr>
          <w:ilvl w:val="0"/>
          <w:numId w:val="89"/>
        </w:numPr>
        <w:rPr>
          <w:b w:val="0"/>
        </w:rPr>
      </w:pPr>
      <w:r w:rsidRPr="004B0F8E">
        <w:rPr>
          <w:b w:val="0"/>
        </w:rPr>
        <w:t>Not on qualifying payment for 12 continuous month</w:t>
      </w:r>
      <w:r w:rsidR="00602B02">
        <w:rPr>
          <w:b w:val="0"/>
        </w:rPr>
        <w:t>s or did not meet age criteria</w:t>
      </w:r>
    </w:p>
    <w:p w:rsidR="008C2478" w:rsidRPr="004B0F8E" w:rsidRDefault="001B545E" w:rsidP="00E3205B">
      <w:pPr>
        <w:pStyle w:val="Source"/>
        <w:numPr>
          <w:ilvl w:val="0"/>
          <w:numId w:val="89"/>
        </w:numPr>
        <w:rPr>
          <w:b w:val="0"/>
        </w:rPr>
      </w:pPr>
      <w:r w:rsidRPr="004B0F8E">
        <w:rPr>
          <w:b w:val="0"/>
        </w:rPr>
        <w:t>Residentially unqualified</w:t>
      </w:r>
    </w:p>
    <w:p w:rsidR="008C2478" w:rsidRPr="004B0F8E" w:rsidRDefault="001B545E" w:rsidP="00E3205B">
      <w:pPr>
        <w:pStyle w:val="Source"/>
        <w:numPr>
          <w:ilvl w:val="0"/>
          <w:numId w:val="89"/>
        </w:numPr>
        <w:rPr>
          <w:b w:val="0"/>
        </w:rPr>
      </w:pPr>
      <w:r w:rsidRPr="004B0F8E">
        <w:rPr>
          <w:b w:val="0"/>
        </w:rPr>
        <w:t>Customer was self employed</w:t>
      </w:r>
    </w:p>
    <w:p w:rsidR="001B545E" w:rsidRPr="004B0F8E" w:rsidRDefault="001B545E" w:rsidP="00E3205B">
      <w:pPr>
        <w:pStyle w:val="Source"/>
        <w:numPr>
          <w:ilvl w:val="0"/>
          <w:numId w:val="89"/>
        </w:numPr>
        <w:rPr>
          <w:b w:val="0"/>
        </w:rPr>
      </w:pPr>
      <w:r w:rsidRPr="004B0F8E">
        <w:rPr>
          <w:b w:val="0"/>
        </w:rPr>
        <w:t>Method of Payment.</w:t>
      </w:r>
    </w:p>
    <w:p w:rsidR="001B545E" w:rsidRDefault="001B545E" w:rsidP="004B0F8E">
      <w:pPr>
        <w:pStyle w:val="Source"/>
        <w:rPr>
          <w:rFonts w:ascii="Calibri" w:eastAsia="Times New Roman" w:hAnsi="Calibri" w:cs="Calibri"/>
          <w:lang w:eastAsia="en-AU"/>
        </w:rPr>
      </w:pPr>
      <w:r w:rsidRPr="00D743DB">
        <w:t xml:space="preserve">Source: </w:t>
      </w:r>
      <w:r w:rsidRPr="004B0F8E">
        <w:rPr>
          <w:b w:val="0"/>
        </w:rPr>
        <w:t>D</w:t>
      </w:r>
      <w:r w:rsidR="008B4BC0">
        <w:rPr>
          <w:b w:val="0"/>
        </w:rPr>
        <w:t xml:space="preserve">epartment of </w:t>
      </w:r>
      <w:r w:rsidRPr="004B0F8E">
        <w:rPr>
          <w:b w:val="0"/>
        </w:rPr>
        <w:t>H</w:t>
      </w:r>
      <w:r w:rsidR="008B4BC0">
        <w:rPr>
          <w:b w:val="0"/>
        </w:rPr>
        <w:t xml:space="preserve">uman </w:t>
      </w:r>
      <w:r w:rsidRPr="004B0F8E">
        <w:rPr>
          <w:b w:val="0"/>
        </w:rPr>
        <w:t>S</w:t>
      </w:r>
      <w:r w:rsidR="008B4BC0">
        <w:rPr>
          <w:b w:val="0"/>
        </w:rPr>
        <w:t>ervices</w:t>
      </w:r>
      <w:r w:rsidRPr="004B0F8E">
        <w:rPr>
          <w:b w:val="0"/>
        </w:rPr>
        <w:t xml:space="preserve"> monitoring data</w:t>
      </w:r>
      <w:r w:rsidRPr="004B0F8E">
        <w:rPr>
          <w:rFonts w:ascii="Calibri" w:eastAsia="Times New Roman" w:hAnsi="Calibri" w:cs="Calibri"/>
          <w:b w:val="0"/>
          <w:lang w:eastAsia="en-AU"/>
        </w:rPr>
        <w:t>.</w:t>
      </w:r>
    </w:p>
    <w:p w:rsidR="0021149A" w:rsidRDefault="0021149A" w:rsidP="0021149A">
      <w:pPr>
        <w:spacing w:before="120"/>
        <w:rPr>
          <w:color w:val="000000" w:themeColor="text1"/>
        </w:rPr>
      </w:pPr>
      <w:r>
        <w:rPr>
          <w:color w:val="000000" w:themeColor="text1"/>
        </w:rPr>
        <w:lastRenderedPageBreak/>
        <w:t>This suggests that while there was confusion around the continuous employment requirement</w:t>
      </w:r>
      <w:r w:rsidR="00C62636">
        <w:rPr>
          <w:color w:val="000000" w:themeColor="text1"/>
        </w:rPr>
        <w:t>,</w:t>
      </w:r>
      <w:r>
        <w:rPr>
          <w:color w:val="000000" w:themeColor="text1"/>
        </w:rPr>
        <w:t xml:space="preserve"> most </w:t>
      </w:r>
      <w:r w:rsidR="00C62636">
        <w:rPr>
          <w:color w:val="000000" w:themeColor="text1"/>
        </w:rPr>
        <w:t xml:space="preserve">applicants whose </w:t>
      </w:r>
      <w:r>
        <w:rPr>
          <w:color w:val="000000" w:themeColor="text1"/>
        </w:rPr>
        <w:t xml:space="preserve">claims </w:t>
      </w:r>
      <w:r w:rsidR="006B181D">
        <w:rPr>
          <w:color w:val="000000" w:themeColor="text1"/>
        </w:rPr>
        <w:t xml:space="preserve">were </w:t>
      </w:r>
      <w:r>
        <w:rPr>
          <w:color w:val="000000" w:themeColor="text1"/>
        </w:rPr>
        <w:t>rejected based on this criterion accepted the decision once they better understood the requirement.</w:t>
      </w:r>
    </w:p>
    <w:p w:rsidR="00143779" w:rsidRDefault="0021149A" w:rsidP="0021149A">
      <w:pPr>
        <w:spacing w:before="120"/>
        <w:rPr>
          <w:color w:val="000000" w:themeColor="text1"/>
        </w:rPr>
      </w:pPr>
      <w:r>
        <w:rPr>
          <w:color w:val="000000" w:themeColor="text1"/>
        </w:rPr>
        <w:t xml:space="preserve">The high proportion of appeals against the 90 day claims window </w:t>
      </w:r>
      <w:r w:rsidR="00143779">
        <w:rPr>
          <w:color w:val="000000" w:themeColor="text1"/>
        </w:rPr>
        <w:t>indicate</w:t>
      </w:r>
      <w:r w:rsidR="00D63A4E">
        <w:rPr>
          <w:color w:val="000000" w:themeColor="text1"/>
        </w:rPr>
        <w:t>s</w:t>
      </w:r>
      <w:r w:rsidR="00143779">
        <w:rPr>
          <w:color w:val="000000" w:themeColor="text1"/>
        </w:rPr>
        <w:t xml:space="preserve"> </w:t>
      </w:r>
      <w:r>
        <w:rPr>
          <w:color w:val="000000" w:themeColor="text1"/>
        </w:rPr>
        <w:t xml:space="preserve">that </w:t>
      </w:r>
      <w:r w:rsidR="00143779">
        <w:rPr>
          <w:color w:val="000000" w:themeColor="text1"/>
        </w:rPr>
        <w:t xml:space="preserve">the specifics around this requirement, </w:t>
      </w:r>
      <w:r w:rsidR="00F618AD">
        <w:rPr>
          <w:color w:val="000000" w:themeColor="text1"/>
        </w:rPr>
        <w:t>such as</w:t>
      </w:r>
      <w:r w:rsidR="00143779">
        <w:rPr>
          <w:color w:val="000000" w:themeColor="text1"/>
        </w:rPr>
        <w:t>:</w:t>
      </w:r>
    </w:p>
    <w:p w:rsidR="00143779" w:rsidRDefault="00143779" w:rsidP="00E3205B">
      <w:pPr>
        <w:pStyle w:val="ListParagraph"/>
        <w:numPr>
          <w:ilvl w:val="0"/>
          <w:numId w:val="92"/>
        </w:numPr>
        <w:spacing w:before="120"/>
        <w:rPr>
          <w:color w:val="000000" w:themeColor="text1"/>
        </w:rPr>
      </w:pPr>
      <w:r w:rsidRPr="004968D9">
        <w:rPr>
          <w:color w:val="000000" w:themeColor="text1"/>
        </w:rPr>
        <w:t>their date of exit from income support</w:t>
      </w:r>
    </w:p>
    <w:p w:rsidR="00143779" w:rsidRDefault="00143779" w:rsidP="00E3205B">
      <w:pPr>
        <w:pStyle w:val="ListParagraph"/>
        <w:numPr>
          <w:ilvl w:val="0"/>
          <w:numId w:val="92"/>
        </w:numPr>
        <w:spacing w:before="120"/>
        <w:rPr>
          <w:color w:val="000000" w:themeColor="text1"/>
        </w:rPr>
      </w:pPr>
      <w:r>
        <w:rPr>
          <w:color w:val="000000" w:themeColor="text1"/>
        </w:rPr>
        <w:t>the d</w:t>
      </w:r>
      <w:r w:rsidRPr="004968D9">
        <w:rPr>
          <w:color w:val="000000" w:themeColor="text1"/>
        </w:rPr>
        <w:t>ate they last received payment</w:t>
      </w:r>
    </w:p>
    <w:p w:rsidR="00143779" w:rsidRDefault="00143779" w:rsidP="00E3205B">
      <w:pPr>
        <w:pStyle w:val="ListParagraph"/>
        <w:numPr>
          <w:ilvl w:val="0"/>
          <w:numId w:val="92"/>
        </w:numPr>
        <w:spacing w:before="120"/>
        <w:rPr>
          <w:color w:val="000000" w:themeColor="text1"/>
        </w:rPr>
      </w:pPr>
      <w:r w:rsidRPr="004968D9">
        <w:rPr>
          <w:color w:val="000000" w:themeColor="text1"/>
        </w:rPr>
        <w:t>the gap allowed between that date and starting work</w:t>
      </w:r>
    </w:p>
    <w:p w:rsidR="00143779" w:rsidRDefault="00143779" w:rsidP="00E3205B">
      <w:pPr>
        <w:pStyle w:val="ListParagraph"/>
        <w:numPr>
          <w:ilvl w:val="0"/>
          <w:numId w:val="92"/>
        </w:numPr>
        <w:spacing w:before="120"/>
        <w:rPr>
          <w:color w:val="000000" w:themeColor="text1"/>
        </w:rPr>
      </w:pPr>
      <w:r w:rsidRPr="004968D9">
        <w:rPr>
          <w:color w:val="000000" w:themeColor="text1"/>
        </w:rPr>
        <w:t>the final date of their 90 day claim window</w:t>
      </w:r>
    </w:p>
    <w:p w:rsidR="0021149A" w:rsidRPr="009D60AD" w:rsidRDefault="00143779" w:rsidP="0021149A">
      <w:pPr>
        <w:spacing w:before="120"/>
        <w:rPr>
          <w:color w:val="000000" w:themeColor="text1"/>
        </w:rPr>
      </w:pPr>
      <w:r w:rsidDel="00D3770D">
        <w:rPr>
          <w:color w:val="000000" w:themeColor="text1"/>
        </w:rPr>
        <w:t>were confusing, over</w:t>
      </w:r>
      <w:r w:rsidR="00F618AD" w:rsidDel="00D3770D">
        <w:rPr>
          <w:color w:val="000000" w:themeColor="text1"/>
        </w:rPr>
        <w:t xml:space="preserve">ly </w:t>
      </w:r>
      <w:r w:rsidDel="00D3770D">
        <w:rPr>
          <w:color w:val="000000" w:themeColor="text1"/>
        </w:rPr>
        <w:t xml:space="preserve">complex, unknown or possibly just considered unfair to the claimant. </w:t>
      </w:r>
      <w:r>
        <w:rPr>
          <w:color w:val="000000" w:themeColor="text1"/>
        </w:rPr>
        <w:t xml:space="preserve">Simpler rules, more flexibility and </w:t>
      </w:r>
      <w:r w:rsidR="0021149A">
        <w:rPr>
          <w:color w:val="000000" w:themeColor="text1"/>
        </w:rPr>
        <w:t xml:space="preserve">improved communication </w:t>
      </w:r>
      <w:r>
        <w:rPr>
          <w:color w:val="000000" w:themeColor="text1"/>
        </w:rPr>
        <w:t xml:space="preserve">may </w:t>
      </w:r>
      <w:r w:rsidR="0021149A">
        <w:rPr>
          <w:color w:val="000000" w:themeColor="text1"/>
        </w:rPr>
        <w:t>have mitigated these issues.</w:t>
      </w:r>
    </w:p>
    <w:p w:rsidR="00D95D52" w:rsidRDefault="006128DA" w:rsidP="006128DA">
      <w:pPr>
        <w:pStyle w:val="Heading2"/>
      </w:pPr>
      <w:bookmarkStart w:id="156" w:name="_Toc478117579"/>
      <w:bookmarkStart w:id="157" w:name="_Toc507600245"/>
      <w:r>
        <w:t>3.7</w:t>
      </w:r>
      <w:r>
        <w:tab/>
      </w:r>
      <w:r w:rsidR="0037196A">
        <w:t xml:space="preserve">Issues affecting </w:t>
      </w:r>
      <w:r w:rsidR="00D95D52">
        <w:t>take-up</w:t>
      </w:r>
      <w:bookmarkEnd w:id="156"/>
      <w:r w:rsidR="0037196A">
        <w:t xml:space="preserve"> rates</w:t>
      </w:r>
      <w:bookmarkEnd w:id="157"/>
    </w:p>
    <w:p w:rsidR="00C14DAC" w:rsidRPr="0018315C" w:rsidRDefault="00C14DAC" w:rsidP="007B55C3">
      <w:pPr>
        <w:keepNext/>
        <w:pBdr>
          <w:top w:val="single" w:sz="4" w:space="1" w:color="auto"/>
          <w:left w:val="single" w:sz="4" w:space="4" w:color="auto"/>
          <w:bottom w:val="single" w:sz="4" w:space="1" w:color="auto"/>
          <w:right w:val="single" w:sz="4" w:space="4" w:color="auto"/>
        </w:pBdr>
        <w:shd w:val="clear" w:color="auto" w:fill="FDCBA0"/>
        <w:spacing w:after="120"/>
        <w:rPr>
          <w:rStyle w:val="Strong"/>
        </w:rPr>
      </w:pPr>
      <w:r w:rsidRPr="0018315C">
        <w:rPr>
          <w:rStyle w:val="Strong"/>
        </w:rPr>
        <w:t>Highlights</w:t>
      </w:r>
    </w:p>
    <w:p w:rsidR="00BE22C7" w:rsidRDefault="00BE22C7" w:rsidP="00BE22C7">
      <w:pPr>
        <w:keepNext/>
        <w:pBdr>
          <w:top w:val="single" w:sz="4" w:space="1" w:color="auto"/>
          <w:left w:val="single" w:sz="4" w:space="4" w:color="auto"/>
          <w:bottom w:val="single" w:sz="4" w:space="1" w:color="auto"/>
          <w:right w:val="single" w:sz="4" w:space="4" w:color="auto"/>
        </w:pBdr>
        <w:shd w:val="clear" w:color="auto" w:fill="FDCBA0"/>
        <w:spacing w:before="120" w:after="0"/>
      </w:pPr>
      <w:r>
        <w:t xml:space="preserve">The main </w:t>
      </w:r>
      <w:r w:rsidR="0037196A">
        <w:t>issues that impacted</w:t>
      </w:r>
      <w:r>
        <w:t xml:space="preserve"> take-up of the Bonus were:</w:t>
      </w:r>
    </w:p>
    <w:p w:rsidR="00BE22C7" w:rsidRDefault="00BE22C7" w:rsidP="00BE22C7">
      <w:pPr>
        <w:pStyle w:val="ListParagraph"/>
        <w:keepNext/>
        <w:numPr>
          <w:ilvl w:val="0"/>
          <w:numId w:val="37"/>
        </w:numPr>
        <w:pBdr>
          <w:top w:val="single" w:sz="4" w:space="1" w:color="auto"/>
          <w:left w:val="single" w:sz="4" w:space="4" w:color="auto"/>
          <w:bottom w:val="single" w:sz="4" w:space="1" w:color="auto"/>
          <w:right w:val="single" w:sz="4" w:space="4" w:color="auto"/>
        </w:pBdr>
        <w:shd w:val="clear" w:color="auto" w:fill="FDCBA0"/>
        <w:spacing w:before="120" w:after="0"/>
        <w:ind w:left="426" w:hanging="426"/>
      </w:pPr>
      <w:r>
        <w:t>low program awareness</w:t>
      </w:r>
    </w:p>
    <w:p w:rsidR="00BE22C7" w:rsidRDefault="00BE22C7" w:rsidP="00BE22C7">
      <w:pPr>
        <w:pStyle w:val="ListParagraph"/>
        <w:keepNext/>
        <w:numPr>
          <w:ilvl w:val="0"/>
          <w:numId w:val="37"/>
        </w:numPr>
        <w:pBdr>
          <w:top w:val="single" w:sz="4" w:space="1" w:color="auto"/>
          <w:left w:val="single" w:sz="4" w:space="4" w:color="auto"/>
          <w:bottom w:val="single" w:sz="4" w:space="1" w:color="auto"/>
          <w:right w:val="single" w:sz="4" w:space="4" w:color="auto"/>
        </w:pBdr>
        <w:shd w:val="clear" w:color="auto" w:fill="FDCBA0"/>
        <w:spacing w:before="120" w:after="0"/>
        <w:ind w:left="426" w:hanging="426"/>
      </w:pPr>
      <w:r>
        <w:t>prior negative perceptions with the income support system</w:t>
      </w:r>
    </w:p>
    <w:p w:rsidR="00BE22C7" w:rsidRDefault="00BE22C7" w:rsidP="00BE22C7">
      <w:pPr>
        <w:pStyle w:val="ListParagraph"/>
        <w:keepNext/>
        <w:numPr>
          <w:ilvl w:val="0"/>
          <w:numId w:val="37"/>
        </w:numPr>
        <w:pBdr>
          <w:top w:val="single" w:sz="4" w:space="1" w:color="auto"/>
          <w:left w:val="single" w:sz="4" w:space="4" w:color="auto"/>
          <w:bottom w:val="single" w:sz="4" w:space="1" w:color="auto"/>
          <w:right w:val="single" w:sz="4" w:space="4" w:color="auto"/>
        </w:pBdr>
        <w:shd w:val="clear" w:color="auto" w:fill="FDCBA0"/>
        <w:spacing w:before="120" w:after="0"/>
        <w:ind w:left="426" w:hanging="426"/>
      </w:pPr>
      <w:r>
        <w:t>program design issues</w:t>
      </w:r>
    </w:p>
    <w:p w:rsidR="00BE22C7" w:rsidRDefault="00BE22C7" w:rsidP="00BE22C7">
      <w:pPr>
        <w:pStyle w:val="ListParagraph"/>
        <w:keepNext/>
        <w:numPr>
          <w:ilvl w:val="0"/>
          <w:numId w:val="37"/>
        </w:numPr>
        <w:pBdr>
          <w:top w:val="single" w:sz="4" w:space="1" w:color="auto"/>
          <w:left w:val="single" w:sz="4" w:space="4" w:color="auto"/>
          <w:bottom w:val="single" w:sz="4" w:space="1" w:color="auto"/>
          <w:right w:val="single" w:sz="4" w:space="4" w:color="auto"/>
        </w:pBdr>
        <w:shd w:val="clear" w:color="auto" w:fill="FDCBA0"/>
        <w:spacing w:before="120" w:after="0"/>
        <w:ind w:left="426" w:hanging="426"/>
      </w:pPr>
      <w:r>
        <w:t>a weak labour market</w:t>
      </w:r>
    </w:p>
    <w:p w:rsidR="000137A1" w:rsidRDefault="00BE22C7" w:rsidP="00A16659">
      <w:pPr>
        <w:pStyle w:val="ListParagraph"/>
        <w:numPr>
          <w:ilvl w:val="0"/>
          <w:numId w:val="37"/>
        </w:numPr>
        <w:pBdr>
          <w:top w:val="single" w:sz="4" w:space="1" w:color="auto"/>
          <w:left w:val="single" w:sz="4" w:space="4" w:color="auto"/>
          <w:bottom w:val="single" w:sz="4" w:space="1" w:color="auto"/>
          <w:right w:val="single" w:sz="4" w:space="4" w:color="auto"/>
        </w:pBdr>
        <w:shd w:val="clear" w:color="auto" w:fill="FDCBA0"/>
        <w:spacing w:before="120" w:after="0"/>
        <w:ind w:left="426" w:hanging="426"/>
      </w:pPr>
      <w:r>
        <w:t>discounted future value of the bonus.</w:t>
      </w:r>
    </w:p>
    <w:p w:rsidR="00BF6229" w:rsidRPr="00D83A7E" w:rsidRDefault="00BF6229" w:rsidP="00FF4B7A">
      <w:pPr>
        <w:pStyle w:val="Heading3"/>
        <w:spacing w:after="120"/>
      </w:pPr>
      <w:bookmarkStart w:id="158" w:name="_Toc478117580"/>
      <w:r w:rsidRPr="00D83A7E">
        <w:t>3.7.1</w:t>
      </w:r>
      <w:r w:rsidRPr="00D83A7E">
        <w:tab/>
      </w:r>
      <w:r w:rsidR="00BA59A7" w:rsidRPr="00D83A7E">
        <w:t>P</w:t>
      </w:r>
      <w:r w:rsidRPr="00D83A7E">
        <w:t>rogram awareness</w:t>
      </w:r>
      <w:bookmarkEnd w:id="158"/>
    </w:p>
    <w:p w:rsidR="00BE22C7" w:rsidRDefault="00D942B3" w:rsidP="00C76746">
      <w:pPr>
        <w:spacing w:before="120"/>
      </w:pPr>
      <w:r>
        <w:rPr>
          <w:color w:val="000000" w:themeColor="text1"/>
        </w:rPr>
        <w:t xml:space="preserve">Program awareness among the target audience </w:t>
      </w:r>
      <w:r w:rsidR="00D40F09" w:rsidRPr="00D40F09">
        <w:rPr>
          <w:color w:val="000000" w:themeColor="text1"/>
        </w:rPr>
        <w:t xml:space="preserve">was one of the main barriers </w:t>
      </w:r>
      <w:r w:rsidR="00C144A5">
        <w:rPr>
          <w:color w:val="000000" w:themeColor="text1"/>
        </w:rPr>
        <w:t>to</w:t>
      </w:r>
      <w:r w:rsidR="006F3633">
        <w:rPr>
          <w:color w:val="000000" w:themeColor="text1"/>
        </w:rPr>
        <w:t xml:space="preserve"> program take up</w:t>
      </w:r>
      <w:r w:rsidR="00D40F09" w:rsidRPr="00D40F09">
        <w:rPr>
          <w:color w:val="000000" w:themeColor="text1"/>
        </w:rPr>
        <w:t xml:space="preserve">. The </w:t>
      </w:r>
      <w:r w:rsidR="008D1AF5">
        <w:rPr>
          <w:color w:val="000000" w:themeColor="text1"/>
        </w:rPr>
        <w:t>JCB</w:t>
      </w:r>
      <w:r w:rsidR="00D40F09" w:rsidRPr="00D40F09">
        <w:rPr>
          <w:color w:val="000000" w:themeColor="text1"/>
        </w:rPr>
        <w:t xml:space="preserve"> could not meet its objective of motivating and encouraging long-term unemployed </w:t>
      </w:r>
      <w:r w:rsidR="006957B9" w:rsidRPr="00D40F09">
        <w:rPr>
          <w:color w:val="000000" w:themeColor="text1"/>
        </w:rPr>
        <w:t>you</w:t>
      </w:r>
      <w:r w:rsidR="006957B9">
        <w:rPr>
          <w:color w:val="000000" w:themeColor="text1"/>
        </w:rPr>
        <w:t>ng adults</w:t>
      </w:r>
      <w:r w:rsidR="006957B9" w:rsidRPr="00D40F09">
        <w:rPr>
          <w:color w:val="000000" w:themeColor="text1"/>
        </w:rPr>
        <w:t xml:space="preserve"> </w:t>
      </w:r>
      <w:r w:rsidR="00D40F09" w:rsidRPr="00D40F09">
        <w:rPr>
          <w:color w:val="000000" w:themeColor="text1"/>
        </w:rPr>
        <w:t xml:space="preserve">into work and off income support if </w:t>
      </w:r>
      <w:r w:rsidR="00563015">
        <w:rPr>
          <w:color w:val="000000" w:themeColor="text1"/>
        </w:rPr>
        <w:t>y</w:t>
      </w:r>
      <w:r w:rsidR="00D40F09" w:rsidRPr="00D40F09">
        <w:rPr>
          <w:color w:val="000000" w:themeColor="text1"/>
        </w:rPr>
        <w:t>o</w:t>
      </w:r>
      <w:r w:rsidR="00563015">
        <w:rPr>
          <w:color w:val="000000" w:themeColor="text1"/>
        </w:rPr>
        <w:t xml:space="preserve">ung </w:t>
      </w:r>
      <w:r w:rsidR="00163C6B">
        <w:rPr>
          <w:color w:val="000000" w:themeColor="text1"/>
        </w:rPr>
        <w:t>adults</w:t>
      </w:r>
      <w:r w:rsidR="00163C6B" w:rsidRPr="00D40F09">
        <w:rPr>
          <w:color w:val="000000" w:themeColor="text1"/>
        </w:rPr>
        <w:t xml:space="preserve"> </w:t>
      </w:r>
      <w:r w:rsidR="00D40F09" w:rsidRPr="00D40F09">
        <w:rPr>
          <w:color w:val="000000" w:themeColor="text1"/>
        </w:rPr>
        <w:t xml:space="preserve">did not know </w:t>
      </w:r>
      <w:r w:rsidR="00163C6B">
        <w:rPr>
          <w:color w:val="000000" w:themeColor="text1"/>
        </w:rPr>
        <w:t>it</w:t>
      </w:r>
      <w:r w:rsidR="00D40F09" w:rsidRPr="00D40F09">
        <w:rPr>
          <w:color w:val="000000" w:themeColor="text1"/>
        </w:rPr>
        <w:t xml:space="preserve"> </w:t>
      </w:r>
      <w:r w:rsidR="00D40F09" w:rsidRPr="00BA59A7">
        <w:rPr>
          <w:color w:val="000000" w:themeColor="text1"/>
        </w:rPr>
        <w:t>existed.</w:t>
      </w:r>
      <w:r w:rsidR="00C76746">
        <w:rPr>
          <w:rStyle w:val="FootnoteReference"/>
          <w:color w:val="000000" w:themeColor="text1"/>
        </w:rPr>
        <w:footnoteReference w:id="49"/>
      </w:r>
      <w:r w:rsidR="00BE22C7">
        <w:rPr>
          <w:color w:val="000000" w:themeColor="text1"/>
        </w:rPr>
        <w:t xml:space="preserve"> </w:t>
      </w:r>
      <w:r w:rsidR="00BE22C7">
        <w:t xml:space="preserve">There was no </w:t>
      </w:r>
      <w:r w:rsidR="00C94B94">
        <w:t xml:space="preserve">explicit </w:t>
      </w:r>
      <w:r w:rsidR="00BE22C7">
        <w:t>allocated funding to either DoE or DHS fo</w:t>
      </w:r>
      <w:r w:rsidR="00602B02">
        <w:t>r promotion of the JCB program.</w:t>
      </w:r>
    </w:p>
    <w:p w:rsidR="00BE22C7" w:rsidRDefault="00BE22C7" w:rsidP="00BE22C7">
      <w:r>
        <w:t>The</w:t>
      </w:r>
      <w:r w:rsidR="00C94B94">
        <w:t xml:space="preserve">re were </w:t>
      </w:r>
      <w:r>
        <w:t xml:space="preserve">impediments to DHS contacting the target group </w:t>
      </w:r>
      <w:r w:rsidR="00C94B94">
        <w:t xml:space="preserve">that </w:t>
      </w:r>
      <w:r>
        <w:t>included:</w:t>
      </w:r>
    </w:p>
    <w:p w:rsidR="00BE22C7" w:rsidRDefault="00BE22C7" w:rsidP="00BE22C7">
      <w:pPr>
        <w:pStyle w:val="ListParagraph"/>
        <w:numPr>
          <w:ilvl w:val="0"/>
          <w:numId w:val="42"/>
        </w:numPr>
      </w:pPr>
      <w:r>
        <w:t>these young adults are generally quite transient, often changing address and digital contact details (email addresses and mobile phone numbers)</w:t>
      </w:r>
    </w:p>
    <w:p w:rsidR="00BE22C7" w:rsidRDefault="00BE22C7" w:rsidP="00BE22C7">
      <w:pPr>
        <w:pStyle w:val="ListParagraph"/>
        <w:numPr>
          <w:ilvl w:val="0"/>
          <w:numId w:val="42"/>
        </w:numPr>
      </w:pPr>
      <w:r>
        <w:t>there were no established protocols for DHS communicating with people who were no longer their clients</w:t>
      </w:r>
    </w:p>
    <w:p w:rsidR="00BE22C7" w:rsidRDefault="00BE22C7" w:rsidP="00BE22C7">
      <w:pPr>
        <w:pStyle w:val="ListParagraph"/>
        <w:numPr>
          <w:ilvl w:val="0"/>
          <w:numId w:val="42"/>
        </w:numPr>
      </w:pPr>
      <w:r>
        <w:t>new privacy rules introduced around the same time as the JCB further compounded issues as DHS had to determine if they were even allowed to write to people’s last known address under these new rules</w:t>
      </w:r>
    </w:p>
    <w:p w:rsidR="00BE22C7" w:rsidRDefault="00BE22C7" w:rsidP="00BE22C7">
      <w:pPr>
        <w:pStyle w:val="ListParagraph"/>
        <w:numPr>
          <w:ilvl w:val="0"/>
          <w:numId w:val="42"/>
        </w:numPr>
      </w:pPr>
      <w:r>
        <w:lastRenderedPageBreak/>
        <w:t>once people exit the income support system they are usually keen to sever ties with the system (unless they are accessing other payments such as child care support</w:t>
      </w:r>
      <w:r w:rsidR="00190786">
        <w:t xml:space="preserve"> or Family Tax Benefit</w:t>
      </w:r>
      <w:r>
        <w:t>) and therefore have no need to update their contact details with DHS, and many do not readily want to reconnect with the system online again.</w:t>
      </w:r>
    </w:p>
    <w:p w:rsidR="00443A47" w:rsidRPr="00357C9B" w:rsidRDefault="00443A47" w:rsidP="00443A47">
      <w:pPr>
        <w:spacing w:before="120"/>
        <w:rPr>
          <w:rStyle w:val="Emphasis"/>
        </w:rPr>
      </w:pPr>
      <w:r>
        <w:rPr>
          <w:rFonts w:ascii="Calibri" w:eastAsia="Times New Roman" w:hAnsi="Calibri" w:cs="Calibri"/>
          <w:color w:val="000000"/>
          <w:lang w:eastAsia="en-AU"/>
        </w:rPr>
        <w:t>There is evidence that</w:t>
      </w:r>
      <w:r w:rsidRPr="00AA5A03">
        <w:rPr>
          <w:rFonts w:ascii="Calibri" w:eastAsia="Times New Roman" w:hAnsi="Calibri" w:cs="Calibri"/>
          <w:color w:val="000000"/>
          <w:lang w:eastAsia="en-AU"/>
        </w:rPr>
        <w:t xml:space="preserve"> while some providers saw the JCB as a useful tool and promoted it to their clients others may not have, meaning this primary source of promotion for the program was </w:t>
      </w:r>
      <w:r>
        <w:rPr>
          <w:rFonts w:ascii="Calibri" w:eastAsia="Times New Roman" w:hAnsi="Calibri" w:cs="Calibri"/>
          <w:color w:val="000000"/>
          <w:lang w:eastAsia="en-AU"/>
        </w:rPr>
        <w:t>likely</w:t>
      </w:r>
      <w:r w:rsidRPr="00AA5A03">
        <w:rPr>
          <w:rFonts w:ascii="Calibri" w:eastAsia="Times New Roman" w:hAnsi="Calibri" w:cs="Calibri"/>
          <w:color w:val="000000"/>
          <w:lang w:eastAsia="en-AU"/>
        </w:rPr>
        <w:t xml:space="preserve"> not fully effective.</w:t>
      </w:r>
    </w:p>
    <w:p w:rsidR="00443A47" w:rsidRDefault="00443A47" w:rsidP="00443A47">
      <w:pPr>
        <w:pStyle w:val="QuotationJCB"/>
      </w:pPr>
      <w:r w:rsidRPr="00064714">
        <w:t>My job provider did tell me.</w:t>
      </w:r>
      <w:r>
        <w:t xml:space="preserve"> </w:t>
      </w:r>
      <w:r w:rsidRPr="00064714">
        <w:t>It was a good incentive for me to get back to work.</w:t>
      </w:r>
      <w:r>
        <w:t xml:space="preserve"> She was like, </w:t>
      </w:r>
      <w:r w:rsidRPr="00064714">
        <w:t xml:space="preserve">pretty much pushing it. </w:t>
      </w:r>
    </w:p>
    <w:p w:rsidR="00443A47" w:rsidRDefault="002361DB" w:rsidP="004968D9">
      <w:pPr>
        <w:pStyle w:val="quopteJCB-source"/>
        <w:spacing w:before="0"/>
      </w:pPr>
      <w:r>
        <w:t>October 2016 (Round 3),</w:t>
      </w:r>
      <w:r w:rsidR="00443A47">
        <w:t xml:space="preserve"> received JCB, focus group, Sydney</w:t>
      </w:r>
    </w:p>
    <w:p w:rsidR="00443A47" w:rsidRDefault="00443A47" w:rsidP="00443A47">
      <w:pPr>
        <w:pStyle w:val="QuotationJCB"/>
      </w:pPr>
      <w:r>
        <w:t>When I was in Melbourne I had to go to one of the job places, in Oakleigh. And the person there went and showed me the piece of paper and she was like what do you know about this, because I already had my job at that point, so they were like if you stay in the job for a year you can get this an</w:t>
      </w:r>
      <w:r w:rsidR="00602B02">
        <w:t>d I thought that’s pretty cool.</w:t>
      </w:r>
    </w:p>
    <w:p w:rsidR="00443A47" w:rsidRDefault="002361DB" w:rsidP="004968D9">
      <w:pPr>
        <w:pStyle w:val="quopteJCB-source"/>
        <w:spacing w:before="0"/>
      </w:pPr>
      <w:r>
        <w:t>October 2016 (Round 3),</w:t>
      </w:r>
      <w:r w:rsidR="00443A47">
        <w:t xml:space="preserve"> c</w:t>
      </w:r>
      <w:r w:rsidR="00443A47" w:rsidRPr="009E5D43">
        <w:t>laim rejected, interview, M</w:t>
      </w:r>
      <w:r w:rsidR="00443A47">
        <w:t>el</w:t>
      </w:r>
      <w:r w:rsidR="00443A47" w:rsidRPr="009E5D43">
        <w:t>bourne</w:t>
      </w:r>
    </w:p>
    <w:p w:rsidR="00AA6063" w:rsidRPr="00B83C41" w:rsidRDefault="00AA6063" w:rsidP="004968D9">
      <w:pPr>
        <w:pStyle w:val="Heading4"/>
      </w:pPr>
      <w:r w:rsidRPr="00B83C41">
        <w:t>Identifie</w:t>
      </w:r>
      <w:r w:rsidR="00602B02">
        <w:t>d issues with the communication</w:t>
      </w:r>
    </w:p>
    <w:p w:rsidR="00AA6063" w:rsidRPr="00927FB7" w:rsidRDefault="008D1AF5" w:rsidP="00AA6063">
      <w:pPr>
        <w:spacing w:before="120"/>
        <w:rPr>
          <w:color w:val="000000" w:themeColor="text1"/>
        </w:rPr>
      </w:pPr>
      <w:r>
        <w:rPr>
          <w:color w:val="000000" w:themeColor="text1"/>
        </w:rPr>
        <w:t>Table 3.9</w:t>
      </w:r>
      <w:r w:rsidR="00AA6063" w:rsidRPr="00927FB7">
        <w:rPr>
          <w:color w:val="000000" w:themeColor="text1"/>
        </w:rPr>
        <w:t xml:space="preserve"> summarise</w:t>
      </w:r>
      <w:r w:rsidR="00AA6063">
        <w:rPr>
          <w:color w:val="000000" w:themeColor="text1"/>
        </w:rPr>
        <w:t>s some</w:t>
      </w:r>
      <w:r w:rsidR="00AA6063" w:rsidRPr="00927FB7">
        <w:rPr>
          <w:color w:val="000000" w:themeColor="text1"/>
        </w:rPr>
        <w:t xml:space="preserve"> issues </w:t>
      </w:r>
      <w:r w:rsidR="00AA6063">
        <w:rPr>
          <w:color w:val="000000" w:themeColor="text1"/>
        </w:rPr>
        <w:t>for the main</w:t>
      </w:r>
      <w:r w:rsidR="00AA6063" w:rsidRPr="00927FB7">
        <w:rPr>
          <w:color w:val="000000" w:themeColor="text1"/>
        </w:rPr>
        <w:t xml:space="preserve"> forms of communication </w:t>
      </w:r>
      <w:r w:rsidR="00AA6063">
        <w:rPr>
          <w:color w:val="000000" w:themeColor="text1"/>
        </w:rPr>
        <w:t>for the JCB</w:t>
      </w:r>
      <w:r w:rsidR="00AA6063" w:rsidRPr="00927FB7">
        <w:rPr>
          <w:color w:val="000000" w:themeColor="text1"/>
        </w:rPr>
        <w:t>.</w:t>
      </w:r>
    </w:p>
    <w:p w:rsidR="00AA6063" w:rsidRPr="00D83A7E" w:rsidRDefault="00AA6063" w:rsidP="00AA6063">
      <w:pPr>
        <w:pStyle w:val="TableCaption"/>
      </w:pPr>
      <w:bookmarkStart w:id="159" w:name="_Toc507600313"/>
      <w:r w:rsidRPr="00D83A7E">
        <w:t>Table 3.</w:t>
      </w:r>
      <w:r w:rsidR="008D1AF5">
        <w:t>9</w:t>
      </w:r>
      <w:r>
        <w:t xml:space="preserve">: </w:t>
      </w:r>
      <w:r w:rsidRPr="00D83A7E">
        <w:t>Issues with selected forms of communication with potential applicants</w:t>
      </w:r>
      <w:bookmarkEnd w:id="15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3.9: Issues with selected forms of communication with potential applicants"/>
      </w:tblPr>
      <w:tblGrid>
        <w:gridCol w:w="2799"/>
        <w:gridCol w:w="6227"/>
      </w:tblGrid>
      <w:tr w:rsidR="00AA6063" w:rsidRPr="0095073C" w:rsidTr="00FE268C">
        <w:trPr>
          <w:trHeight w:val="428"/>
          <w:tblHeader/>
        </w:trPr>
        <w:tc>
          <w:tcPr>
            <w:tcW w:w="2802" w:type="dxa"/>
            <w:shd w:val="clear" w:color="auto" w:fill="1E3D6B"/>
            <w:vAlign w:val="center"/>
          </w:tcPr>
          <w:p w:rsidR="00AA6063" w:rsidRPr="0095073C" w:rsidRDefault="00AA6063" w:rsidP="00FE268C">
            <w:pPr>
              <w:keepNext/>
              <w:jc w:val="center"/>
              <w:rPr>
                <w:b/>
                <w:color w:val="FFFFFF" w:themeColor="background2"/>
              </w:rPr>
            </w:pPr>
            <w:bookmarkStart w:id="160" w:name="ColumnTitle_39"/>
            <w:bookmarkEnd w:id="160"/>
            <w:r w:rsidRPr="0095073C">
              <w:rPr>
                <w:b/>
                <w:color w:val="FFFFFF" w:themeColor="background2"/>
              </w:rPr>
              <w:t>Communication</w:t>
            </w:r>
          </w:p>
        </w:tc>
        <w:tc>
          <w:tcPr>
            <w:tcW w:w="6237" w:type="dxa"/>
            <w:shd w:val="clear" w:color="auto" w:fill="1E3D6B"/>
            <w:vAlign w:val="center"/>
          </w:tcPr>
          <w:p w:rsidR="00AA6063" w:rsidRPr="0095073C" w:rsidRDefault="00AA6063" w:rsidP="00FE268C">
            <w:pPr>
              <w:keepNext/>
              <w:ind w:left="176"/>
              <w:jc w:val="center"/>
              <w:rPr>
                <w:b/>
                <w:color w:val="FFFFFF" w:themeColor="background2"/>
              </w:rPr>
            </w:pPr>
            <w:r w:rsidRPr="0095073C">
              <w:rPr>
                <w:b/>
                <w:color w:val="FFFFFF" w:themeColor="background2"/>
              </w:rPr>
              <w:t>Problem</w:t>
            </w:r>
          </w:p>
        </w:tc>
      </w:tr>
      <w:tr w:rsidR="00AA6063" w:rsidTr="00FE268C">
        <w:tc>
          <w:tcPr>
            <w:tcW w:w="2802" w:type="dxa"/>
            <w:vAlign w:val="center"/>
          </w:tcPr>
          <w:p w:rsidR="00AA6063" w:rsidRPr="00B634CA" w:rsidRDefault="00AA6063" w:rsidP="00FE268C">
            <w:pPr>
              <w:keepNext/>
              <w:ind w:right="175"/>
              <w:rPr>
                <w:color w:val="000000" w:themeColor="text1"/>
                <w:sz w:val="20"/>
                <w:szCs w:val="20"/>
              </w:rPr>
            </w:pPr>
            <w:r w:rsidRPr="00B634CA">
              <w:rPr>
                <w:color w:val="000000" w:themeColor="text1"/>
                <w:sz w:val="20"/>
                <w:szCs w:val="20"/>
              </w:rPr>
              <w:t xml:space="preserve">Bulk mail out letter </w:t>
            </w:r>
          </w:p>
        </w:tc>
        <w:tc>
          <w:tcPr>
            <w:tcW w:w="6237" w:type="dxa"/>
            <w:vAlign w:val="center"/>
          </w:tcPr>
          <w:p w:rsidR="00AA6063" w:rsidRPr="00B634CA" w:rsidRDefault="000230E7" w:rsidP="00E3205B">
            <w:pPr>
              <w:pStyle w:val="ListParagraph"/>
              <w:keepNext/>
              <w:numPr>
                <w:ilvl w:val="0"/>
                <w:numId w:val="91"/>
              </w:numPr>
              <w:ind w:left="175" w:right="-108" w:hanging="142"/>
              <w:rPr>
                <w:color w:val="000000" w:themeColor="text1"/>
                <w:sz w:val="20"/>
                <w:szCs w:val="20"/>
              </w:rPr>
            </w:pPr>
            <w:r w:rsidRPr="00B634CA">
              <w:rPr>
                <w:color w:val="000000" w:themeColor="text1"/>
                <w:sz w:val="20"/>
                <w:szCs w:val="20"/>
              </w:rPr>
              <w:t>H</w:t>
            </w:r>
            <w:r w:rsidR="00AA6063" w:rsidRPr="00B634CA">
              <w:rPr>
                <w:color w:val="000000" w:themeColor="text1"/>
                <w:sz w:val="20"/>
                <w:szCs w:val="20"/>
              </w:rPr>
              <w:t>ad the potential to raise awareness</w:t>
            </w:r>
            <w:r w:rsidRPr="00B634CA">
              <w:rPr>
                <w:color w:val="000000" w:themeColor="text1"/>
                <w:sz w:val="20"/>
                <w:szCs w:val="20"/>
              </w:rPr>
              <w:t xml:space="preserve"> and influence job search behaviour </w:t>
            </w:r>
            <w:r w:rsidR="00AA6063" w:rsidRPr="00B634CA">
              <w:rPr>
                <w:color w:val="000000" w:themeColor="text1"/>
                <w:sz w:val="20"/>
                <w:szCs w:val="20"/>
              </w:rPr>
              <w:t xml:space="preserve">at the </w:t>
            </w:r>
            <w:r w:rsidRPr="00B634CA">
              <w:rPr>
                <w:color w:val="000000" w:themeColor="text1"/>
                <w:sz w:val="20"/>
                <w:szCs w:val="20"/>
              </w:rPr>
              <w:t>start</w:t>
            </w:r>
            <w:r w:rsidR="00AA6063" w:rsidRPr="00B634CA">
              <w:rPr>
                <w:color w:val="000000" w:themeColor="text1"/>
                <w:sz w:val="20"/>
                <w:szCs w:val="20"/>
              </w:rPr>
              <w:t xml:space="preserve"> of the program,</w:t>
            </w:r>
            <w:r w:rsidRPr="00B634CA">
              <w:rPr>
                <w:color w:val="000000" w:themeColor="text1"/>
                <w:sz w:val="20"/>
                <w:szCs w:val="20"/>
              </w:rPr>
              <w:t xml:space="preserve"> but</w:t>
            </w:r>
            <w:r w:rsidR="00AA6063" w:rsidRPr="00B634CA">
              <w:rPr>
                <w:color w:val="000000" w:themeColor="text1"/>
                <w:sz w:val="20"/>
                <w:szCs w:val="20"/>
              </w:rPr>
              <w:t xml:space="preserve"> </w:t>
            </w:r>
            <w:r w:rsidR="004E4560" w:rsidRPr="00B634CA">
              <w:rPr>
                <w:color w:val="000000" w:themeColor="text1"/>
                <w:sz w:val="20"/>
                <w:szCs w:val="20"/>
              </w:rPr>
              <w:t xml:space="preserve">occurred </w:t>
            </w:r>
            <w:r w:rsidR="00AA6063" w:rsidRPr="00B634CA">
              <w:rPr>
                <w:color w:val="000000" w:themeColor="text1"/>
                <w:sz w:val="20"/>
                <w:szCs w:val="20"/>
              </w:rPr>
              <w:t xml:space="preserve">too </w:t>
            </w:r>
            <w:r w:rsidR="004E4560" w:rsidRPr="00B634CA">
              <w:rPr>
                <w:color w:val="000000" w:themeColor="text1"/>
                <w:sz w:val="20"/>
                <w:szCs w:val="20"/>
              </w:rPr>
              <w:t xml:space="preserve">long </w:t>
            </w:r>
            <w:r w:rsidR="00AA6063" w:rsidRPr="00B634CA">
              <w:rPr>
                <w:color w:val="000000" w:themeColor="text1"/>
                <w:sz w:val="20"/>
                <w:szCs w:val="20"/>
              </w:rPr>
              <w:t xml:space="preserve">before qualification to be </w:t>
            </w:r>
            <w:r w:rsidR="004E4560" w:rsidRPr="00B634CA">
              <w:rPr>
                <w:color w:val="000000" w:themeColor="text1"/>
                <w:sz w:val="20"/>
                <w:szCs w:val="20"/>
              </w:rPr>
              <w:t xml:space="preserve">fully </w:t>
            </w:r>
            <w:r w:rsidR="00AA6063" w:rsidRPr="00B634CA">
              <w:rPr>
                <w:color w:val="000000" w:themeColor="text1"/>
                <w:sz w:val="20"/>
                <w:szCs w:val="20"/>
              </w:rPr>
              <w:t>effective.</w:t>
            </w:r>
          </w:p>
        </w:tc>
      </w:tr>
      <w:tr w:rsidR="00AA6063" w:rsidTr="00FE268C">
        <w:tc>
          <w:tcPr>
            <w:tcW w:w="2802" w:type="dxa"/>
            <w:shd w:val="clear" w:color="auto" w:fill="E5E5E5" w:themeFill="background1" w:themeFillTint="33"/>
            <w:vAlign w:val="center"/>
          </w:tcPr>
          <w:p w:rsidR="00AA6063" w:rsidRPr="00B634CA" w:rsidRDefault="00AA6063" w:rsidP="00FE268C">
            <w:pPr>
              <w:keepNext/>
              <w:ind w:right="175"/>
              <w:rPr>
                <w:color w:val="000000" w:themeColor="text1"/>
                <w:sz w:val="20"/>
                <w:szCs w:val="20"/>
              </w:rPr>
            </w:pPr>
            <w:r w:rsidRPr="00B634CA">
              <w:rPr>
                <w:color w:val="000000" w:themeColor="text1"/>
                <w:sz w:val="20"/>
                <w:szCs w:val="20"/>
              </w:rPr>
              <w:t xml:space="preserve">Paragraph in exit from income support letter </w:t>
            </w:r>
          </w:p>
        </w:tc>
        <w:tc>
          <w:tcPr>
            <w:tcW w:w="6237" w:type="dxa"/>
            <w:shd w:val="clear" w:color="auto" w:fill="E5E5E5" w:themeFill="background1" w:themeFillTint="33"/>
            <w:vAlign w:val="center"/>
          </w:tcPr>
          <w:p w:rsidR="00AA6063" w:rsidRPr="00B634CA" w:rsidRDefault="00AA6063" w:rsidP="00283E3D">
            <w:pPr>
              <w:pStyle w:val="ListParagraph"/>
              <w:keepNext/>
              <w:numPr>
                <w:ilvl w:val="0"/>
                <w:numId w:val="48"/>
              </w:numPr>
              <w:ind w:left="175" w:right="-108" w:hanging="175"/>
              <w:rPr>
                <w:color w:val="000000" w:themeColor="text1"/>
                <w:sz w:val="20"/>
                <w:szCs w:val="20"/>
              </w:rPr>
            </w:pPr>
            <w:r w:rsidRPr="00B634CA">
              <w:rPr>
                <w:color w:val="000000" w:themeColor="text1"/>
                <w:sz w:val="20"/>
                <w:szCs w:val="20"/>
              </w:rPr>
              <w:t xml:space="preserve">Sent as people were </w:t>
            </w:r>
            <w:r w:rsidR="004E4560" w:rsidRPr="00B634CA">
              <w:rPr>
                <w:color w:val="000000" w:themeColor="text1"/>
                <w:sz w:val="20"/>
                <w:szCs w:val="20"/>
              </w:rPr>
              <w:t xml:space="preserve">leaving </w:t>
            </w:r>
            <w:r w:rsidRPr="00B634CA">
              <w:rPr>
                <w:color w:val="000000" w:themeColor="text1"/>
                <w:sz w:val="20"/>
                <w:szCs w:val="20"/>
              </w:rPr>
              <w:t>income support, so too late to influence job search behaviour</w:t>
            </w:r>
            <w:r w:rsidR="00B634CA" w:rsidRPr="00B634CA">
              <w:rPr>
                <w:color w:val="000000" w:themeColor="text1"/>
                <w:sz w:val="20"/>
                <w:szCs w:val="20"/>
              </w:rPr>
              <w:t>.</w:t>
            </w:r>
          </w:p>
          <w:p w:rsidR="00AA6063" w:rsidRPr="00B634CA" w:rsidRDefault="00AA6063" w:rsidP="00283E3D">
            <w:pPr>
              <w:pStyle w:val="ListParagraph"/>
              <w:keepNext/>
              <w:numPr>
                <w:ilvl w:val="0"/>
                <w:numId w:val="48"/>
              </w:numPr>
              <w:ind w:left="175" w:right="-108" w:hanging="175"/>
              <w:rPr>
                <w:color w:val="000000" w:themeColor="text1"/>
                <w:sz w:val="20"/>
                <w:szCs w:val="20"/>
              </w:rPr>
            </w:pPr>
            <w:r w:rsidRPr="00B634CA">
              <w:rPr>
                <w:color w:val="000000" w:themeColor="text1"/>
                <w:sz w:val="20"/>
                <w:szCs w:val="20"/>
              </w:rPr>
              <w:t xml:space="preserve">Had potential to influence motivation to stay employed, but sent too long before qualification </w:t>
            </w:r>
            <w:r w:rsidR="004E4560" w:rsidRPr="00B634CA">
              <w:rPr>
                <w:color w:val="000000" w:themeColor="text1"/>
                <w:sz w:val="20"/>
                <w:szCs w:val="20"/>
              </w:rPr>
              <w:t xml:space="preserve">to be </w:t>
            </w:r>
            <w:r w:rsidR="000230E7" w:rsidRPr="00B634CA">
              <w:rPr>
                <w:color w:val="000000" w:themeColor="text1"/>
                <w:sz w:val="20"/>
                <w:szCs w:val="20"/>
              </w:rPr>
              <w:t>recall</w:t>
            </w:r>
            <w:r w:rsidR="004E4560" w:rsidRPr="00B634CA">
              <w:rPr>
                <w:color w:val="000000" w:themeColor="text1"/>
                <w:sz w:val="20"/>
                <w:szCs w:val="20"/>
              </w:rPr>
              <w:t>ed</w:t>
            </w:r>
            <w:r w:rsidR="00B634CA" w:rsidRPr="00B634CA">
              <w:rPr>
                <w:color w:val="000000" w:themeColor="text1"/>
                <w:sz w:val="20"/>
                <w:szCs w:val="20"/>
              </w:rPr>
              <w:t>.</w:t>
            </w:r>
          </w:p>
        </w:tc>
      </w:tr>
      <w:tr w:rsidR="00AA6063" w:rsidTr="00FE268C">
        <w:tc>
          <w:tcPr>
            <w:tcW w:w="2802" w:type="dxa"/>
            <w:vAlign w:val="center"/>
          </w:tcPr>
          <w:p w:rsidR="00AA6063" w:rsidRPr="00B634CA" w:rsidRDefault="00AA6063" w:rsidP="00FE268C">
            <w:pPr>
              <w:keepNext/>
              <w:ind w:right="175"/>
              <w:rPr>
                <w:color w:val="000000" w:themeColor="text1"/>
                <w:sz w:val="20"/>
                <w:szCs w:val="20"/>
              </w:rPr>
            </w:pPr>
            <w:r w:rsidRPr="00B634CA">
              <w:rPr>
                <w:color w:val="000000" w:themeColor="text1"/>
                <w:sz w:val="20"/>
                <w:szCs w:val="20"/>
              </w:rPr>
              <w:t>Electronic reminders to myGov accounts</w:t>
            </w:r>
          </w:p>
        </w:tc>
        <w:tc>
          <w:tcPr>
            <w:tcW w:w="6237" w:type="dxa"/>
            <w:vAlign w:val="center"/>
          </w:tcPr>
          <w:p w:rsidR="00AA6063" w:rsidRPr="00B634CA" w:rsidRDefault="00AA6063" w:rsidP="00283E3D">
            <w:pPr>
              <w:pStyle w:val="ListParagraph"/>
              <w:keepNext/>
              <w:numPr>
                <w:ilvl w:val="0"/>
                <w:numId w:val="48"/>
              </w:numPr>
              <w:ind w:left="175" w:right="-108" w:hanging="175"/>
              <w:rPr>
                <w:color w:val="000000" w:themeColor="text1"/>
                <w:sz w:val="20"/>
                <w:szCs w:val="20"/>
              </w:rPr>
            </w:pPr>
            <w:r w:rsidRPr="00B634CA">
              <w:rPr>
                <w:color w:val="000000" w:themeColor="text1"/>
                <w:sz w:val="20"/>
                <w:szCs w:val="20"/>
              </w:rPr>
              <w:t xml:space="preserve">Timely reminder for those who stayed off income support, but if person was previously unaware of bonus then claims </w:t>
            </w:r>
            <w:r w:rsidR="004E4560" w:rsidRPr="00B634CA">
              <w:rPr>
                <w:color w:val="000000" w:themeColor="text1"/>
                <w:sz w:val="20"/>
                <w:szCs w:val="20"/>
              </w:rPr>
              <w:t xml:space="preserve">resulting from this communication </w:t>
            </w:r>
            <w:r w:rsidRPr="00B634CA">
              <w:rPr>
                <w:color w:val="000000" w:themeColor="text1"/>
                <w:sz w:val="20"/>
                <w:szCs w:val="20"/>
              </w:rPr>
              <w:t>would most likely be ‘deadweight’.</w:t>
            </w:r>
          </w:p>
          <w:p w:rsidR="00AA6063" w:rsidRPr="00B634CA" w:rsidRDefault="00AA6063" w:rsidP="00283E3D">
            <w:pPr>
              <w:pStyle w:val="ListParagraph"/>
              <w:keepNext/>
              <w:numPr>
                <w:ilvl w:val="0"/>
                <w:numId w:val="48"/>
              </w:numPr>
              <w:ind w:left="175" w:right="-108" w:hanging="175"/>
              <w:rPr>
                <w:color w:val="000000" w:themeColor="text1"/>
                <w:sz w:val="20"/>
                <w:szCs w:val="20"/>
              </w:rPr>
            </w:pPr>
            <w:r w:rsidRPr="00B634CA">
              <w:rPr>
                <w:color w:val="000000" w:themeColor="text1"/>
                <w:sz w:val="20"/>
                <w:szCs w:val="20"/>
              </w:rPr>
              <w:t>Many people no longer need</w:t>
            </w:r>
            <w:r w:rsidR="008D1AF5" w:rsidRPr="00B634CA">
              <w:rPr>
                <w:color w:val="000000" w:themeColor="text1"/>
                <w:sz w:val="20"/>
                <w:szCs w:val="20"/>
              </w:rPr>
              <w:t>ed</w:t>
            </w:r>
            <w:r w:rsidRPr="00B634CA">
              <w:rPr>
                <w:color w:val="000000" w:themeColor="text1"/>
                <w:sz w:val="20"/>
                <w:szCs w:val="20"/>
              </w:rPr>
              <w:t xml:space="preserve"> to access myGov accounts so this form of communication </w:t>
            </w:r>
            <w:r w:rsidR="004E4560" w:rsidRPr="00B634CA">
              <w:rPr>
                <w:color w:val="000000" w:themeColor="text1"/>
                <w:sz w:val="20"/>
                <w:szCs w:val="20"/>
              </w:rPr>
              <w:t xml:space="preserve">did not always </w:t>
            </w:r>
            <w:r w:rsidRPr="00B634CA">
              <w:rPr>
                <w:color w:val="000000" w:themeColor="text1"/>
                <w:sz w:val="20"/>
                <w:szCs w:val="20"/>
              </w:rPr>
              <w:t>reach its audience</w:t>
            </w:r>
          </w:p>
          <w:p w:rsidR="00AA6063" w:rsidRPr="00B634CA" w:rsidRDefault="004E4560" w:rsidP="00283E3D">
            <w:pPr>
              <w:pStyle w:val="ListParagraph"/>
              <w:keepNext/>
              <w:numPr>
                <w:ilvl w:val="0"/>
                <w:numId w:val="48"/>
              </w:numPr>
              <w:ind w:left="175" w:right="-108" w:hanging="175"/>
              <w:rPr>
                <w:color w:val="000000" w:themeColor="text1"/>
                <w:sz w:val="20"/>
                <w:szCs w:val="20"/>
              </w:rPr>
            </w:pPr>
            <w:r w:rsidRPr="00B634CA">
              <w:rPr>
                <w:color w:val="000000" w:themeColor="text1"/>
                <w:sz w:val="20"/>
                <w:szCs w:val="20"/>
              </w:rPr>
              <w:t>There was no s</w:t>
            </w:r>
            <w:r w:rsidR="00AA6063" w:rsidRPr="00B634CA">
              <w:rPr>
                <w:color w:val="000000" w:themeColor="text1"/>
                <w:sz w:val="20"/>
                <w:szCs w:val="20"/>
              </w:rPr>
              <w:t>imilar communication for those unable to receive electronic messages.</w:t>
            </w:r>
          </w:p>
        </w:tc>
      </w:tr>
      <w:tr w:rsidR="00AA6063" w:rsidTr="00FE268C">
        <w:tc>
          <w:tcPr>
            <w:tcW w:w="2802" w:type="dxa"/>
            <w:tcBorders>
              <w:bottom w:val="single" w:sz="4" w:space="0" w:color="auto"/>
            </w:tcBorders>
            <w:shd w:val="clear" w:color="auto" w:fill="E5E5E5" w:themeFill="background1" w:themeFillTint="33"/>
            <w:vAlign w:val="center"/>
          </w:tcPr>
          <w:p w:rsidR="00AA6063" w:rsidRPr="00B634CA" w:rsidRDefault="00AA6063" w:rsidP="00FE268C">
            <w:pPr>
              <w:ind w:right="175"/>
              <w:rPr>
                <w:color w:val="000000" w:themeColor="text1"/>
                <w:sz w:val="20"/>
                <w:szCs w:val="20"/>
              </w:rPr>
            </w:pPr>
            <w:r w:rsidRPr="00B634CA">
              <w:rPr>
                <w:color w:val="000000" w:themeColor="text1"/>
                <w:sz w:val="20"/>
                <w:szCs w:val="20"/>
              </w:rPr>
              <w:t>Information provided at DHS Customer Service Centres such as brochures and auto-reel shows</w:t>
            </w:r>
          </w:p>
        </w:tc>
        <w:tc>
          <w:tcPr>
            <w:tcW w:w="6237" w:type="dxa"/>
            <w:tcBorders>
              <w:bottom w:val="single" w:sz="4" w:space="0" w:color="auto"/>
            </w:tcBorders>
            <w:shd w:val="clear" w:color="auto" w:fill="E5E5E5" w:themeFill="background1" w:themeFillTint="33"/>
            <w:vAlign w:val="center"/>
          </w:tcPr>
          <w:p w:rsidR="00AA6063" w:rsidRPr="00B634CA" w:rsidRDefault="00D861CD" w:rsidP="0037196A">
            <w:pPr>
              <w:pStyle w:val="ListParagraph"/>
              <w:keepNext/>
              <w:numPr>
                <w:ilvl w:val="0"/>
                <w:numId w:val="48"/>
              </w:numPr>
              <w:ind w:left="175" w:right="-108" w:hanging="175"/>
              <w:rPr>
                <w:color w:val="000000" w:themeColor="text1"/>
                <w:sz w:val="20"/>
                <w:szCs w:val="20"/>
              </w:rPr>
            </w:pPr>
            <w:r w:rsidRPr="00B634CA">
              <w:rPr>
                <w:color w:val="000000" w:themeColor="text1"/>
                <w:sz w:val="20"/>
                <w:szCs w:val="20"/>
              </w:rPr>
              <w:t>P</w:t>
            </w:r>
            <w:r w:rsidR="00AA6063" w:rsidRPr="00B634CA">
              <w:rPr>
                <w:color w:val="000000" w:themeColor="text1"/>
                <w:sz w:val="20"/>
                <w:szCs w:val="20"/>
              </w:rPr>
              <w:t>otentially seen by those seeking employment but those who had left the income support system (and could try to qualify for the bonus) had no need to go to Customer Service Centres.</w:t>
            </w:r>
          </w:p>
        </w:tc>
      </w:tr>
    </w:tbl>
    <w:p w:rsidR="00C76746" w:rsidRPr="004029F8" w:rsidRDefault="005B06EB" w:rsidP="00656A3A">
      <w:pPr>
        <w:spacing w:before="240"/>
        <w:rPr>
          <w:color w:val="000000" w:themeColor="text1"/>
        </w:rPr>
      </w:pPr>
      <w:r>
        <w:rPr>
          <w:color w:val="000000" w:themeColor="text1"/>
        </w:rPr>
        <w:t>There were lo</w:t>
      </w:r>
      <w:r w:rsidR="00C76746">
        <w:rPr>
          <w:color w:val="000000" w:themeColor="text1"/>
        </w:rPr>
        <w:t xml:space="preserve">w levels of awareness of the </w:t>
      </w:r>
      <w:r>
        <w:rPr>
          <w:color w:val="000000" w:themeColor="text1"/>
        </w:rPr>
        <w:t>JCB</w:t>
      </w:r>
      <w:r w:rsidR="00C76746">
        <w:rPr>
          <w:color w:val="000000" w:themeColor="text1"/>
        </w:rPr>
        <w:t xml:space="preserve"> </w:t>
      </w:r>
      <w:r w:rsidR="00563015">
        <w:rPr>
          <w:color w:val="000000" w:themeColor="text1"/>
        </w:rPr>
        <w:t xml:space="preserve">in </w:t>
      </w:r>
      <w:r w:rsidR="00C76746">
        <w:rPr>
          <w:color w:val="000000" w:themeColor="text1"/>
        </w:rPr>
        <w:t xml:space="preserve">both </w:t>
      </w:r>
      <w:r w:rsidR="00163C6B">
        <w:rPr>
          <w:color w:val="000000" w:themeColor="text1"/>
        </w:rPr>
        <w:t>Round 1 fieldwork</w:t>
      </w:r>
      <w:r w:rsidR="00C76746">
        <w:rPr>
          <w:color w:val="000000" w:themeColor="text1"/>
        </w:rPr>
        <w:t xml:space="preserve"> (nine months after the program had commenced) and </w:t>
      </w:r>
      <w:r w:rsidR="00163C6B">
        <w:rPr>
          <w:color w:val="000000" w:themeColor="text1"/>
        </w:rPr>
        <w:t>Round 3</w:t>
      </w:r>
      <w:r w:rsidR="00C76746">
        <w:rPr>
          <w:color w:val="000000" w:themeColor="text1"/>
        </w:rPr>
        <w:t xml:space="preserve"> (just prior to the program ending). Combined, these two studies gauged views </w:t>
      </w:r>
      <w:r w:rsidR="00B634CA">
        <w:rPr>
          <w:color w:val="000000" w:themeColor="text1"/>
        </w:rPr>
        <w:t>of</w:t>
      </w:r>
      <w:r w:rsidR="00C76746">
        <w:rPr>
          <w:color w:val="000000" w:themeColor="text1"/>
        </w:rPr>
        <w:t xml:space="preserve"> a diverse range of young adults who had been long</w:t>
      </w:r>
      <w:r w:rsidR="00163C6B">
        <w:rPr>
          <w:color w:val="000000" w:themeColor="text1"/>
        </w:rPr>
        <w:t>-</w:t>
      </w:r>
      <w:r w:rsidR="00C76746">
        <w:rPr>
          <w:color w:val="000000" w:themeColor="text1"/>
        </w:rPr>
        <w:t>term unemployed job seekers</w:t>
      </w:r>
      <w:r w:rsidR="004E4560">
        <w:rPr>
          <w:color w:val="000000" w:themeColor="text1"/>
        </w:rPr>
        <w:t xml:space="preserve">. These young adults </w:t>
      </w:r>
      <w:r w:rsidR="00C144A5">
        <w:rPr>
          <w:color w:val="000000" w:themeColor="text1"/>
        </w:rPr>
        <w:t>had</w:t>
      </w:r>
      <w:r w:rsidR="00163C6B" w:rsidRPr="00163C6B">
        <w:rPr>
          <w:color w:val="000000" w:themeColor="text1"/>
        </w:rPr>
        <w:t xml:space="preserve"> </w:t>
      </w:r>
      <w:r w:rsidR="00163C6B">
        <w:rPr>
          <w:color w:val="000000" w:themeColor="text1"/>
        </w:rPr>
        <w:t>either</w:t>
      </w:r>
      <w:r w:rsidR="00C76746">
        <w:rPr>
          <w:color w:val="000000" w:themeColor="text1"/>
        </w:rPr>
        <w:t xml:space="preserve"> remained long</w:t>
      </w:r>
      <w:r w:rsidR="00163C6B">
        <w:rPr>
          <w:color w:val="000000" w:themeColor="text1"/>
        </w:rPr>
        <w:t>-</w:t>
      </w:r>
      <w:r w:rsidR="00C76746">
        <w:rPr>
          <w:color w:val="000000" w:themeColor="text1"/>
        </w:rPr>
        <w:t xml:space="preserve">term unemployed or obtained employment and </w:t>
      </w:r>
      <w:r w:rsidR="004E4560">
        <w:rPr>
          <w:color w:val="000000" w:themeColor="text1"/>
        </w:rPr>
        <w:t xml:space="preserve">left </w:t>
      </w:r>
      <w:r w:rsidR="00C76746">
        <w:rPr>
          <w:color w:val="000000" w:themeColor="text1"/>
        </w:rPr>
        <w:t xml:space="preserve">income support (some of </w:t>
      </w:r>
      <w:r w:rsidR="004E4560">
        <w:rPr>
          <w:color w:val="000000" w:themeColor="text1"/>
        </w:rPr>
        <w:t>them</w:t>
      </w:r>
      <w:r w:rsidR="00C76746">
        <w:rPr>
          <w:color w:val="000000" w:themeColor="text1"/>
        </w:rPr>
        <w:t xml:space="preserve"> had sustained the employment for more than 12 months). All were in the</w:t>
      </w:r>
      <w:r w:rsidR="00163C6B">
        <w:rPr>
          <w:color w:val="000000" w:themeColor="text1"/>
        </w:rPr>
        <w:t xml:space="preserve"> JCB</w:t>
      </w:r>
      <w:r w:rsidR="00C76746">
        <w:rPr>
          <w:color w:val="000000" w:themeColor="text1"/>
        </w:rPr>
        <w:t xml:space="preserve"> target cohort</w:t>
      </w:r>
      <w:r w:rsidRPr="005B06EB">
        <w:rPr>
          <w:color w:val="000000" w:themeColor="text1"/>
        </w:rPr>
        <w:t xml:space="preserve"> </w:t>
      </w:r>
      <w:r>
        <w:rPr>
          <w:color w:val="000000" w:themeColor="text1"/>
        </w:rPr>
        <w:t>at some point</w:t>
      </w:r>
      <w:r w:rsidR="00163C6B">
        <w:rPr>
          <w:color w:val="000000" w:themeColor="text1"/>
        </w:rPr>
        <w:t xml:space="preserve"> </w:t>
      </w:r>
      <w:r w:rsidR="00C76746">
        <w:rPr>
          <w:color w:val="000000" w:themeColor="text1"/>
        </w:rPr>
        <w:t>and with effective communication</w:t>
      </w:r>
      <w:r w:rsidR="00C144A5">
        <w:rPr>
          <w:color w:val="000000" w:themeColor="text1"/>
        </w:rPr>
        <w:t>,</w:t>
      </w:r>
      <w:r w:rsidR="00C76746">
        <w:rPr>
          <w:color w:val="000000" w:themeColor="text1"/>
        </w:rPr>
        <w:t xml:space="preserve"> should have been aware of the program. Excluding those who had applied for the bonus, awareness levels were low, </w:t>
      </w:r>
      <w:r w:rsidR="00C76746">
        <w:rPr>
          <w:color w:val="000000" w:themeColor="text1"/>
        </w:rPr>
        <w:lastRenderedPageBreak/>
        <w:t xml:space="preserve">with </w:t>
      </w:r>
      <w:r w:rsidR="004E4560">
        <w:rPr>
          <w:color w:val="000000" w:themeColor="text1"/>
        </w:rPr>
        <w:t xml:space="preserve">many </w:t>
      </w:r>
      <w:r w:rsidR="00563015">
        <w:rPr>
          <w:color w:val="000000" w:themeColor="text1"/>
        </w:rPr>
        <w:t xml:space="preserve">participants </w:t>
      </w:r>
      <w:r w:rsidR="00C76746">
        <w:rPr>
          <w:color w:val="000000" w:themeColor="text1"/>
        </w:rPr>
        <w:t xml:space="preserve">only finding out about the bonus because </w:t>
      </w:r>
      <w:r>
        <w:rPr>
          <w:color w:val="000000" w:themeColor="text1"/>
        </w:rPr>
        <w:t xml:space="preserve">of </w:t>
      </w:r>
      <w:r w:rsidR="00C76746">
        <w:rPr>
          <w:color w:val="000000" w:themeColor="text1"/>
        </w:rPr>
        <w:t>the</w:t>
      </w:r>
      <w:r>
        <w:rPr>
          <w:color w:val="000000" w:themeColor="text1"/>
        </w:rPr>
        <w:t>ir</w:t>
      </w:r>
      <w:r w:rsidR="00C76746">
        <w:rPr>
          <w:color w:val="000000" w:themeColor="text1"/>
        </w:rPr>
        <w:t xml:space="preserve"> </w:t>
      </w:r>
      <w:r>
        <w:rPr>
          <w:color w:val="000000" w:themeColor="text1"/>
        </w:rPr>
        <w:t xml:space="preserve">participation </w:t>
      </w:r>
      <w:r w:rsidR="00C76746">
        <w:rPr>
          <w:color w:val="000000" w:themeColor="text1"/>
        </w:rPr>
        <w:t>in the research.</w:t>
      </w:r>
    </w:p>
    <w:p w:rsidR="000B63D2" w:rsidRDefault="000B63D2" w:rsidP="004029F8">
      <w:pPr>
        <w:spacing w:before="120"/>
        <w:rPr>
          <w:color w:val="000000" w:themeColor="text1"/>
        </w:rPr>
      </w:pPr>
      <w:r>
        <w:rPr>
          <w:color w:val="000000" w:themeColor="text1"/>
        </w:rPr>
        <w:t xml:space="preserve">Qualitative </w:t>
      </w:r>
      <w:r w:rsidR="002A2C62">
        <w:rPr>
          <w:color w:val="000000" w:themeColor="text1"/>
        </w:rPr>
        <w:t>research</w:t>
      </w:r>
      <w:r w:rsidR="00563015">
        <w:rPr>
          <w:color w:val="000000" w:themeColor="text1"/>
        </w:rPr>
        <w:t xml:space="preserve"> </w:t>
      </w:r>
      <w:r>
        <w:rPr>
          <w:color w:val="000000" w:themeColor="text1"/>
        </w:rPr>
        <w:t>provide</w:t>
      </w:r>
      <w:r w:rsidR="006F3633">
        <w:rPr>
          <w:color w:val="000000" w:themeColor="text1"/>
        </w:rPr>
        <w:t>s</w:t>
      </w:r>
      <w:r>
        <w:rPr>
          <w:color w:val="000000" w:themeColor="text1"/>
        </w:rPr>
        <w:t xml:space="preserve"> </w:t>
      </w:r>
      <w:r w:rsidR="002A2C62">
        <w:rPr>
          <w:color w:val="000000" w:themeColor="text1"/>
        </w:rPr>
        <w:t>evidence</w:t>
      </w:r>
      <w:r>
        <w:rPr>
          <w:color w:val="000000" w:themeColor="text1"/>
        </w:rPr>
        <w:t xml:space="preserve"> </w:t>
      </w:r>
      <w:r w:rsidR="006F3633">
        <w:rPr>
          <w:color w:val="000000" w:themeColor="text1"/>
        </w:rPr>
        <w:t>of</w:t>
      </w:r>
      <w:r>
        <w:rPr>
          <w:color w:val="000000" w:themeColor="text1"/>
        </w:rPr>
        <w:t xml:space="preserve"> some issues that the formal communications implemented for the bonus </w:t>
      </w:r>
      <w:r w:rsidR="00F724DA">
        <w:rPr>
          <w:color w:val="000000" w:themeColor="text1"/>
        </w:rPr>
        <w:t>needed to overcome to</w:t>
      </w:r>
      <w:r w:rsidR="002A2C62">
        <w:rPr>
          <w:color w:val="000000" w:themeColor="text1"/>
        </w:rPr>
        <w:t xml:space="preserve"> </w:t>
      </w:r>
      <w:r w:rsidR="00563015">
        <w:rPr>
          <w:color w:val="000000" w:themeColor="text1"/>
        </w:rPr>
        <w:t>be more effective</w:t>
      </w:r>
      <w:r w:rsidR="00020993">
        <w:rPr>
          <w:color w:val="000000" w:themeColor="text1"/>
        </w:rPr>
        <w:t>.</w:t>
      </w:r>
    </w:p>
    <w:p w:rsidR="002A2C62" w:rsidRDefault="002A2C62" w:rsidP="00BC64A3">
      <w:pPr>
        <w:pStyle w:val="Heading4"/>
      </w:pPr>
      <w:r w:rsidRPr="00B9215D">
        <w:t xml:space="preserve">Method of </w:t>
      </w:r>
      <w:r w:rsidR="00927FB7">
        <w:t>communication</w:t>
      </w:r>
    </w:p>
    <w:p w:rsidR="00B072E4" w:rsidRDefault="000F70FF" w:rsidP="004968D9">
      <w:pPr>
        <w:rPr>
          <w:color w:val="000000" w:themeColor="text1"/>
        </w:rPr>
      </w:pPr>
      <w:r w:rsidRPr="000F70FF">
        <w:rPr>
          <w:color w:val="000000" w:themeColor="text1"/>
        </w:rPr>
        <w:t xml:space="preserve">Most participants </w:t>
      </w:r>
      <w:r w:rsidR="00B634CA">
        <w:rPr>
          <w:color w:val="000000" w:themeColor="text1"/>
        </w:rPr>
        <w:t xml:space="preserve">who were </w:t>
      </w:r>
      <w:r w:rsidRPr="000F70FF">
        <w:rPr>
          <w:color w:val="000000" w:themeColor="text1"/>
        </w:rPr>
        <w:t>aware of the bonus</w:t>
      </w:r>
      <w:r>
        <w:rPr>
          <w:color w:val="000000" w:themeColor="text1"/>
        </w:rPr>
        <w:t xml:space="preserve"> </w:t>
      </w:r>
      <w:r w:rsidR="003F2B93">
        <w:rPr>
          <w:color w:val="000000" w:themeColor="text1"/>
        </w:rPr>
        <w:t>were</w:t>
      </w:r>
      <w:r>
        <w:rPr>
          <w:color w:val="000000" w:themeColor="text1"/>
        </w:rPr>
        <w:t xml:space="preserve"> informed by </w:t>
      </w:r>
      <w:r w:rsidRPr="000F70FF">
        <w:rPr>
          <w:color w:val="000000" w:themeColor="text1"/>
        </w:rPr>
        <w:t xml:space="preserve">correspondence from DHS. </w:t>
      </w:r>
      <w:r w:rsidR="00596D90">
        <w:rPr>
          <w:color w:val="000000" w:themeColor="text1"/>
        </w:rPr>
        <w:t xml:space="preserve">There were issues with both postal and electronic </w:t>
      </w:r>
      <w:r>
        <w:rPr>
          <w:color w:val="000000" w:themeColor="text1"/>
        </w:rPr>
        <w:t xml:space="preserve">DHS </w:t>
      </w:r>
      <w:r w:rsidR="00596D90">
        <w:rPr>
          <w:color w:val="000000" w:themeColor="text1"/>
        </w:rPr>
        <w:t xml:space="preserve">messages sent to the target cohort. </w:t>
      </w:r>
      <w:r w:rsidR="00B072E4" w:rsidRPr="00B072E4">
        <w:rPr>
          <w:color w:val="000000" w:themeColor="text1"/>
        </w:rPr>
        <w:t xml:space="preserve">The use of myGov </w:t>
      </w:r>
      <w:r w:rsidR="00736FEC">
        <w:rPr>
          <w:color w:val="000000" w:themeColor="text1"/>
        </w:rPr>
        <w:t>was in</w:t>
      </w:r>
      <w:r w:rsidR="00563015">
        <w:rPr>
          <w:color w:val="000000" w:themeColor="text1"/>
        </w:rPr>
        <w:t>effective</w:t>
      </w:r>
      <w:r>
        <w:rPr>
          <w:color w:val="000000" w:themeColor="text1"/>
        </w:rPr>
        <w:t>,</w:t>
      </w:r>
      <w:r w:rsidR="00B072E4" w:rsidRPr="00B072E4">
        <w:rPr>
          <w:color w:val="000000" w:themeColor="text1"/>
        </w:rPr>
        <w:t xml:space="preserve"> </w:t>
      </w:r>
      <w:r w:rsidR="00B072E4">
        <w:rPr>
          <w:color w:val="000000" w:themeColor="text1"/>
        </w:rPr>
        <w:t xml:space="preserve">as </w:t>
      </w:r>
      <w:r>
        <w:rPr>
          <w:color w:val="000000" w:themeColor="text1"/>
        </w:rPr>
        <w:t xml:space="preserve">people </w:t>
      </w:r>
      <w:r w:rsidR="00B072E4" w:rsidRPr="00B072E4">
        <w:rPr>
          <w:color w:val="000000" w:themeColor="text1"/>
        </w:rPr>
        <w:t xml:space="preserve">had </w:t>
      </w:r>
      <w:r w:rsidR="00563015">
        <w:rPr>
          <w:color w:val="000000" w:themeColor="text1"/>
        </w:rPr>
        <w:t>little</w:t>
      </w:r>
      <w:r w:rsidR="00563015" w:rsidRPr="00B072E4">
        <w:rPr>
          <w:color w:val="000000" w:themeColor="text1"/>
        </w:rPr>
        <w:t xml:space="preserve"> </w:t>
      </w:r>
      <w:r w:rsidR="00B072E4" w:rsidRPr="00B072E4">
        <w:rPr>
          <w:color w:val="000000" w:themeColor="text1"/>
        </w:rPr>
        <w:t xml:space="preserve">reason to access this system </w:t>
      </w:r>
      <w:r w:rsidR="003F2B93">
        <w:rPr>
          <w:color w:val="000000" w:themeColor="text1"/>
        </w:rPr>
        <w:t>once employed</w:t>
      </w:r>
      <w:r w:rsidR="00DE6F1D">
        <w:rPr>
          <w:color w:val="000000" w:themeColor="text1"/>
        </w:rPr>
        <w:t xml:space="preserve"> for income support or job search reasons</w:t>
      </w:r>
      <w:r w:rsidR="00B072E4">
        <w:rPr>
          <w:color w:val="000000" w:themeColor="text1"/>
        </w:rPr>
        <w:t xml:space="preserve">, </w:t>
      </w:r>
      <w:r>
        <w:rPr>
          <w:color w:val="000000" w:themeColor="text1"/>
        </w:rPr>
        <w:t>and</w:t>
      </w:r>
      <w:r w:rsidR="00B072E4">
        <w:rPr>
          <w:color w:val="000000" w:themeColor="text1"/>
        </w:rPr>
        <w:t xml:space="preserve"> some had completely</w:t>
      </w:r>
      <w:r w:rsidR="00B072E4" w:rsidRPr="00B072E4">
        <w:rPr>
          <w:color w:val="000000" w:themeColor="text1"/>
        </w:rPr>
        <w:t xml:space="preserve"> disconnected from it</w:t>
      </w:r>
      <w:r w:rsidR="00B072E4">
        <w:rPr>
          <w:color w:val="000000" w:themeColor="text1"/>
        </w:rPr>
        <w:t>.</w:t>
      </w:r>
    </w:p>
    <w:p w:rsidR="00B072E4" w:rsidRDefault="00B072E4" w:rsidP="00B072E4">
      <w:pPr>
        <w:pStyle w:val="QuotationJCB"/>
      </w:pPr>
      <w:r w:rsidRPr="00B072E4">
        <w:t>I remember like because I requested Centrelin</w:t>
      </w:r>
      <w:r w:rsidR="00602B02">
        <w:t>k to take me off their records.</w:t>
      </w:r>
    </w:p>
    <w:p w:rsidR="00B072E4" w:rsidRPr="00B072E4" w:rsidRDefault="002361DB" w:rsidP="004968D9">
      <w:pPr>
        <w:pStyle w:val="quopteJCB-source"/>
        <w:spacing w:before="0"/>
      </w:pPr>
      <w:r>
        <w:t>October 2016 (Round 3),</w:t>
      </w:r>
      <w:r w:rsidR="005B06B6">
        <w:t xml:space="preserve"> n</w:t>
      </w:r>
      <w:r w:rsidR="00BC469D">
        <w:t>ot yet claimed</w:t>
      </w:r>
      <w:r w:rsidR="005B06B6">
        <w:t>, focus group, Gold Coast</w:t>
      </w:r>
      <w:r w:rsidR="00B072E4" w:rsidRPr="00B072E4">
        <w:t xml:space="preserve"> </w:t>
      </w:r>
    </w:p>
    <w:p w:rsidR="00B072E4" w:rsidRPr="00B072E4" w:rsidRDefault="00B072E4" w:rsidP="00B072E4">
      <w:pPr>
        <w:spacing w:before="120"/>
        <w:rPr>
          <w:color w:val="000000" w:themeColor="text1"/>
        </w:rPr>
      </w:pPr>
      <w:r>
        <w:rPr>
          <w:color w:val="000000" w:themeColor="text1"/>
        </w:rPr>
        <w:t>Some</w:t>
      </w:r>
      <w:r w:rsidRPr="00B072E4">
        <w:rPr>
          <w:color w:val="000000" w:themeColor="text1"/>
        </w:rPr>
        <w:t xml:space="preserve"> </w:t>
      </w:r>
      <w:r w:rsidR="00C144A5">
        <w:rPr>
          <w:color w:val="000000" w:themeColor="text1"/>
        </w:rPr>
        <w:t xml:space="preserve">people </w:t>
      </w:r>
      <w:r w:rsidRPr="00B072E4">
        <w:rPr>
          <w:color w:val="000000" w:themeColor="text1"/>
        </w:rPr>
        <w:t xml:space="preserve">no longer received </w:t>
      </w:r>
      <w:r w:rsidR="00C144A5">
        <w:rPr>
          <w:color w:val="000000" w:themeColor="text1"/>
        </w:rPr>
        <w:t xml:space="preserve">myGov </w:t>
      </w:r>
      <w:r w:rsidRPr="00B072E4">
        <w:rPr>
          <w:color w:val="000000" w:themeColor="text1"/>
        </w:rPr>
        <w:t>notifications,</w:t>
      </w:r>
      <w:r w:rsidR="00563015">
        <w:rPr>
          <w:color w:val="000000" w:themeColor="text1"/>
        </w:rPr>
        <w:t xml:space="preserve"> while</w:t>
      </w:r>
      <w:r w:rsidRPr="00B072E4">
        <w:rPr>
          <w:color w:val="000000" w:themeColor="text1"/>
        </w:rPr>
        <w:t xml:space="preserve"> others checked messages infrequently and </w:t>
      </w:r>
      <w:r w:rsidR="00563015">
        <w:rPr>
          <w:color w:val="000000" w:themeColor="text1"/>
        </w:rPr>
        <w:t xml:space="preserve">therefore </w:t>
      </w:r>
      <w:r w:rsidR="000F70FF">
        <w:rPr>
          <w:color w:val="000000" w:themeColor="text1"/>
        </w:rPr>
        <w:t>found</w:t>
      </w:r>
      <w:r w:rsidRPr="00B072E4">
        <w:rPr>
          <w:color w:val="000000" w:themeColor="text1"/>
        </w:rPr>
        <w:t xml:space="preserve"> correspondence when it was too late. Some </w:t>
      </w:r>
      <w:r>
        <w:rPr>
          <w:color w:val="000000" w:themeColor="text1"/>
        </w:rPr>
        <w:t xml:space="preserve">indicated they </w:t>
      </w:r>
      <w:r w:rsidRPr="00B072E4">
        <w:rPr>
          <w:color w:val="000000" w:themeColor="text1"/>
        </w:rPr>
        <w:t>only scan</w:t>
      </w:r>
      <w:r>
        <w:rPr>
          <w:color w:val="000000" w:themeColor="text1"/>
        </w:rPr>
        <w:t>ned for</w:t>
      </w:r>
      <w:r w:rsidRPr="00B072E4">
        <w:rPr>
          <w:color w:val="000000" w:themeColor="text1"/>
        </w:rPr>
        <w:t xml:space="preserve"> c</w:t>
      </w:r>
      <w:r>
        <w:rPr>
          <w:color w:val="000000" w:themeColor="text1"/>
        </w:rPr>
        <w:t>orrespondence that was c</w:t>
      </w:r>
      <w:r w:rsidRPr="00B072E4">
        <w:rPr>
          <w:color w:val="000000" w:themeColor="text1"/>
        </w:rPr>
        <w:t>ritical</w:t>
      </w:r>
      <w:r>
        <w:rPr>
          <w:color w:val="000000" w:themeColor="text1"/>
        </w:rPr>
        <w:t xml:space="preserve"> or needed</w:t>
      </w:r>
      <w:r w:rsidR="007426D2">
        <w:rPr>
          <w:color w:val="000000" w:themeColor="text1"/>
        </w:rPr>
        <w:t xml:space="preserve"> immediate action</w:t>
      </w:r>
      <w:r w:rsidR="006F3667">
        <w:rPr>
          <w:color w:val="000000" w:themeColor="text1"/>
        </w:rPr>
        <w:t>, for example at tax return time</w:t>
      </w:r>
      <w:r>
        <w:rPr>
          <w:color w:val="000000" w:themeColor="text1"/>
        </w:rPr>
        <w:t>.</w:t>
      </w:r>
    </w:p>
    <w:p w:rsidR="00B072E4" w:rsidRDefault="00D57717" w:rsidP="00B072E4">
      <w:pPr>
        <w:pStyle w:val="QuotationJCB"/>
      </w:pPr>
      <w:r w:rsidRPr="00D57717">
        <w:t xml:space="preserve">I didn’t get, I can’t remember if I got anything in my </w:t>
      </w:r>
      <w:r w:rsidR="000F70FF">
        <w:t>m</w:t>
      </w:r>
      <w:r w:rsidRPr="00D57717">
        <w:t>yGov account, I didn’t check it heaps because I mean there’s not much point in doing it once I’d gone off payments and stuff, but I didn’t get a text or anything, there wasn’t a reminder saying you have been working for a ye</w:t>
      </w:r>
      <w:r w:rsidR="00602B02">
        <w:t>ar, now you can get your money.</w:t>
      </w:r>
    </w:p>
    <w:p w:rsidR="00D57717" w:rsidRPr="00D57717" w:rsidRDefault="002361DB" w:rsidP="004968D9">
      <w:pPr>
        <w:pStyle w:val="quopteJCB-source"/>
        <w:spacing w:before="0"/>
      </w:pPr>
      <w:r>
        <w:t>October 2016 (Round 3),</w:t>
      </w:r>
      <w:r w:rsidR="005B06B6">
        <w:t xml:space="preserve"> claim rejected, interview, Melbourne</w:t>
      </w:r>
    </w:p>
    <w:p w:rsidR="003F2B93" w:rsidRDefault="003F2B93" w:rsidP="003F2B93">
      <w:pPr>
        <w:rPr>
          <w:color w:val="000000" w:themeColor="text1"/>
        </w:rPr>
      </w:pPr>
      <w:r>
        <w:rPr>
          <w:color w:val="000000" w:themeColor="text1"/>
        </w:rPr>
        <w:t>Staff involved with the program felt that a dedicated social media campaign to raise awareness and reach those harder to reach may have been beneficial. An engagement strategy using proven methods of communicating with the target cohort may have been more effective, but without dedicated funding this was not possible.</w:t>
      </w:r>
    </w:p>
    <w:p w:rsidR="002A2C62" w:rsidRPr="00D072A8" w:rsidRDefault="002A2C62" w:rsidP="00BC64A3">
      <w:pPr>
        <w:pStyle w:val="Heading4"/>
      </w:pPr>
      <w:r w:rsidRPr="00D072A8">
        <w:t>Timing of delivery</w:t>
      </w:r>
    </w:p>
    <w:p w:rsidR="00F91EA4" w:rsidRDefault="003F2B93" w:rsidP="00E24216">
      <w:pPr>
        <w:spacing w:before="120"/>
        <w:rPr>
          <w:color w:val="000000" w:themeColor="text1"/>
        </w:rPr>
      </w:pPr>
      <w:r>
        <w:rPr>
          <w:color w:val="000000" w:themeColor="text1"/>
        </w:rPr>
        <w:t>T</w:t>
      </w:r>
      <w:r w:rsidR="007426D2">
        <w:rPr>
          <w:color w:val="000000" w:themeColor="text1"/>
        </w:rPr>
        <w:t xml:space="preserve">he </w:t>
      </w:r>
      <w:r w:rsidR="0063173F">
        <w:rPr>
          <w:color w:val="000000" w:themeColor="text1"/>
        </w:rPr>
        <w:t>despatch</w:t>
      </w:r>
      <w:r w:rsidR="0063173F" w:rsidRPr="007426D2">
        <w:rPr>
          <w:color w:val="000000" w:themeColor="text1"/>
        </w:rPr>
        <w:t xml:space="preserve"> </w:t>
      </w:r>
      <w:r w:rsidR="00F91EA4" w:rsidRPr="007426D2">
        <w:rPr>
          <w:color w:val="000000" w:themeColor="text1"/>
        </w:rPr>
        <w:t xml:space="preserve">of </w:t>
      </w:r>
      <w:r w:rsidR="007426D2">
        <w:rPr>
          <w:color w:val="000000" w:themeColor="text1"/>
        </w:rPr>
        <w:t xml:space="preserve">DHS </w:t>
      </w:r>
      <w:r w:rsidR="00F91EA4" w:rsidRPr="007426D2">
        <w:rPr>
          <w:color w:val="000000" w:themeColor="text1"/>
        </w:rPr>
        <w:t>correspondence</w:t>
      </w:r>
      <w:r w:rsidR="007426D2">
        <w:rPr>
          <w:color w:val="000000" w:themeColor="text1"/>
        </w:rPr>
        <w:t xml:space="preserve"> </w:t>
      </w:r>
      <w:r w:rsidR="0063173F">
        <w:rPr>
          <w:color w:val="000000" w:themeColor="text1"/>
        </w:rPr>
        <w:t>could have been more effectively scheduled</w:t>
      </w:r>
      <w:r w:rsidR="007426D2">
        <w:rPr>
          <w:color w:val="000000" w:themeColor="text1"/>
        </w:rPr>
        <w:t xml:space="preserve"> to achieve the desired behavioural outcomes</w:t>
      </w:r>
      <w:r w:rsidR="00C144A5">
        <w:rPr>
          <w:color w:val="000000" w:themeColor="text1"/>
        </w:rPr>
        <w:t>.</w:t>
      </w:r>
      <w:r w:rsidR="007426D2">
        <w:rPr>
          <w:color w:val="000000" w:themeColor="text1"/>
        </w:rPr>
        <w:t xml:space="preserve"> There was evidence of promotion by some providers and </w:t>
      </w:r>
      <w:r w:rsidR="00E24216">
        <w:rPr>
          <w:color w:val="000000" w:themeColor="text1"/>
        </w:rPr>
        <w:t xml:space="preserve">some </w:t>
      </w:r>
      <w:r w:rsidR="007426D2">
        <w:rPr>
          <w:color w:val="000000" w:themeColor="text1"/>
        </w:rPr>
        <w:t>word of mouth</w:t>
      </w:r>
      <w:r w:rsidR="00E24216">
        <w:rPr>
          <w:color w:val="000000" w:themeColor="text1"/>
        </w:rPr>
        <w:t xml:space="preserve"> </w:t>
      </w:r>
      <w:r>
        <w:rPr>
          <w:color w:val="000000" w:themeColor="text1"/>
        </w:rPr>
        <w:t xml:space="preserve">program </w:t>
      </w:r>
      <w:r w:rsidR="00E24216">
        <w:rPr>
          <w:color w:val="000000" w:themeColor="text1"/>
        </w:rPr>
        <w:t>promotion</w:t>
      </w:r>
      <w:r>
        <w:rPr>
          <w:color w:val="000000" w:themeColor="text1"/>
        </w:rPr>
        <w:t>,</w:t>
      </w:r>
      <w:r w:rsidR="00DB153A">
        <w:rPr>
          <w:color w:val="000000" w:themeColor="text1"/>
        </w:rPr>
        <w:t xml:space="preserve"> </w:t>
      </w:r>
      <w:r>
        <w:rPr>
          <w:color w:val="000000" w:themeColor="text1"/>
        </w:rPr>
        <w:t xml:space="preserve">but based on qualitative evidence, these </w:t>
      </w:r>
      <w:r w:rsidR="007426D2">
        <w:rPr>
          <w:color w:val="000000" w:themeColor="text1"/>
        </w:rPr>
        <w:t>appear</w:t>
      </w:r>
      <w:r>
        <w:rPr>
          <w:color w:val="000000" w:themeColor="text1"/>
        </w:rPr>
        <w:t xml:space="preserve"> not</w:t>
      </w:r>
      <w:r w:rsidR="007426D2">
        <w:rPr>
          <w:color w:val="000000" w:themeColor="text1"/>
        </w:rPr>
        <w:t xml:space="preserve"> to have been extensive.</w:t>
      </w:r>
    </w:p>
    <w:p w:rsidR="00E24216" w:rsidRDefault="0098523B" w:rsidP="00E24216">
      <w:pPr>
        <w:pStyle w:val="QuotationJCB"/>
      </w:pPr>
      <w:r w:rsidRPr="00BC2786">
        <w:t>I think I got a letter when I first started working and then I got two follow ups around the time I was ready to apply for it.</w:t>
      </w:r>
    </w:p>
    <w:p w:rsidR="0098523B" w:rsidRDefault="002361DB" w:rsidP="004968D9">
      <w:pPr>
        <w:pStyle w:val="quopteJCB-source"/>
        <w:spacing w:before="0"/>
      </w:pPr>
      <w:r>
        <w:t>October 2016 (Round 3),</w:t>
      </w:r>
      <w:r w:rsidR="00AD60DE">
        <w:t xml:space="preserve"> received JCB</w:t>
      </w:r>
      <w:r w:rsidR="00BC469D">
        <w:t>, focus group, Melbourne</w:t>
      </w:r>
    </w:p>
    <w:p w:rsidR="00E24216" w:rsidRDefault="0098523B" w:rsidP="00E24216">
      <w:pPr>
        <w:pStyle w:val="QuotationJCB"/>
      </w:pPr>
      <w:r w:rsidRPr="00C42C3F">
        <w:t>I actually had no idea it was going until I received a letter in the Centrelink site, in my Centrelink account, they just sent a letter saying you are eligible for the Job Commitment Bonus, so I had no idea it was a thing until a year after I’d finished receiving support.</w:t>
      </w:r>
      <w:r>
        <w:t xml:space="preserve"> </w:t>
      </w:r>
      <w:r w:rsidRPr="00C42C3F">
        <w:t>So yeah, and then I just, becaus</w:t>
      </w:r>
      <w:r w:rsidR="00602B02">
        <w:t>e I was eligible, I claimed it.</w:t>
      </w:r>
    </w:p>
    <w:p w:rsidR="0098523B" w:rsidRPr="00C42C3F" w:rsidRDefault="002361DB" w:rsidP="004968D9">
      <w:pPr>
        <w:pStyle w:val="quopteJCB-source"/>
        <w:spacing w:before="0"/>
      </w:pPr>
      <w:r>
        <w:t>October 2016 (Round 3),</w:t>
      </w:r>
      <w:r w:rsidR="00AD60DE">
        <w:t xml:space="preserve"> received JCB</w:t>
      </w:r>
      <w:r w:rsidR="00BC469D">
        <w:t>, interview, regional NSW</w:t>
      </w:r>
    </w:p>
    <w:p w:rsidR="00B475BA" w:rsidRDefault="00B475BA" w:rsidP="00B475BA">
      <w:pPr>
        <w:spacing w:before="120"/>
        <w:rPr>
          <w:color w:val="000000" w:themeColor="text1"/>
        </w:rPr>
      </w:pPr>
      <w:r>
        <w:rPr>
          <w:color w:val="000000" w:themeColor="text1"/>
        </w:rPr>
        <w:t xml:space="preserve">As the DHS communications were sent when people were either </w:t>
      </w:r>
      <w:r w:rsidR="006A0A6A">
        <w:rPr>
          <w:color w:val="000000" w:themeColor="text1"/>
        </w:rPr>
        <w:t>leaving</w:t>
      </w:r>
      <w:r>
        <w:rPr>
          <w:color w:val="000000" w:themeColor="text1"/>
        </w:rPr>
        <w:t xml:space="preserve"> or had been off income support for some time, some </w:t>
      </w:r>
      <w:r w:rsidR="00563015">
        <w:rPr>
          <w:color w:val="000000" w:themeColor="text1"/>
        </w:rPr>
        <w:t xml:space="preserve">paid little </w:t>
      </w:r>
      <w:r>
        <w:rPr>
          <w:color w:val="000000" w:themeColor="text1"/>
        </w:rPr>
        <w:t>attention to them.</w:t>
      </w:r>
    </w:p>
    <w:p w:rsidR="00B475BA" w:rsidRDefault="00B475BA" w:rsidP="00B475BA">
      <w:pPr>
        <w:pStyle w:val="QuotationJCB"/>
      </w:pPr>
      <w:r w:rsidRPr="005E00A4">
        <w:lastRenderedPageBreak/>
        <w:t>With things that are relevant sort of things, like Centrelink was probably getting to the point where it was n</w:t>
      </w:r>
      <w:r w:rsidR="00602B02">
        <w:t>o longer a relevant factor.</w:t>
      </w:r>
    </w:p>
    <w:p w:rsidR="00B475BA" w:rsidRPr="005E00A4" w:rsidRDefault="002361DB" w:rsidP="004968D9">
      <w:pPr>
        <w:pStyle w:val="quopteJCB-source"/>
        <w:spacing w:before="0"/>
      </w:pPr>
      <w:r>
        <w:t>October 2016 (Round 3),</w:t>
      </w:r>
      <w:r w:rsidR="00AD60DE">
        <w:t xml:space="preserve"> received JCB</w:t>
      </w:r>
      <w:r w:rsidR="00BC469D">
        <w:t>, interview, regional NSW</w:t>
      </w:r>
    </w:p>
    <w:p w:rsidR="004E359C" w:rsidRPr="00C144A5" w:rsidRDefault="004E359C" w:rsidP="004E359C">
      <w:pPr>
        <w:spacing w:before="120"/>
        <w:rPr>
          <w:color w:val="000000" w:themeColor="text1"/>
        </w:rPr>
      </w:pPr>
      <w:r w:rsidRPr="00C144A5">
        <w:rPr>
          <w:color w:val="000000" w:themeColor="text1"/>
        </w:rPr>
        <w:t xml:space="preserve">Some participants suggested that emails to eligible participants, or promoting the JCB on television or radio, could have helped raise awareness of the program. Many thought that the JCB could have achieved its objective of encouraging job seekers to increase job search and remain off income support. </w:t>
      </w:r>
    </w:p>
    <w:p w:rsidR="004E359C" w:rsidRPr="00D40F09" w:rsidRDefault="004E359C" w:rsidP="00D861CD">
      <w:pPr>
        <w:pStyle w:val="QuotationJCB"/>
        <w:spacing w:before="0"/>
      </w:pPr>
      <w:r w:rsidRPr="00D40F09">
        <w:t>I definitely think awareness did need to be a little bit better because I wouldn’t be surprised if a vast majority of people have no idea that it exists, because it really is, you really do have to dig to find. If I didn’t get that letter there was no way you’d be aware.</w:t>
      </w:r>
      <w:r w:rsidR="00D861CD">
        <w:t xml:space="preserve"> </w:t>
      </w:r>
      <w:r w:rsidRPr="00D40F09">
        <w:t>Because after you’ve been working, even if you’ve been working for six months you wouldn’t be going back on to the Cen</w:t>
      </w:r>
      <w:r w:rsidR="00602B02">
        <w:t>trelink website for any reason.</w:t>
      </w:r>
    </w:p>
    <w:p w:rsidR="004E359C" w:rsidRPr="00D40F09" w:rsidRDefault="002361DB" w:rsidP="004968D9">
      <w:pPr>
        <w:pStyle w:val="quopteJCB-source"/>
        <w:spacing w:before="0"/>
        <w:rPr>
          <w:rFonts w:eastAsia="Times New Roman"/>
          <w:lang w:eastAsia="en-AU"/>
        </w:rPr>
      </w:pPr>
      <w:r>
        <w:rPr>
          <w:rFonts w:eastAsia="Times New Roman"/>
          <w:lang w:eastAsia="en-AU"/>
        </w:rPr>
        <w:t>November 2015 (Round 2),</w:t>
      </w:r>
      <w:r w:rsidR="004E359C" w:rsidRPr="00112CB6">
        <w:rPr>
          <w:rFonts w:eastAsia="Times New Roman"/>
          <w:lang w:eastAsia="en-AU"/>
        </w:rPr>
        <w:t xml:space="preserve"> </w:t>
      </w:r>
      <w:r w:rsidR="007D5865">
        <w:rPr>
          <w:rFonts w:eastAsia="Times New Roman"/>
          <w:lang w:eastAsia="en-AU"/>
        </w:rPr>
        <w:t xml:space="preserve">received JCB, </w:t>
      </w:r>
      <w:r w:rsidR="004E359C" w:rsidRPr="00112CB6">
        <w:rPr>
          <w:rFonts w:eastAsia="Times New Roman"/>
          <w:lang w:eastAsia="en-AU"/>
        </w:rPr>
        <w:t>female, under 25 years, metropolitan</w:t>
      </w:r>
    </w:p>
    <w:p w:rsidR="0093643A" w:rsidRPr="0093643A" w:rsidRDefault="0093643A" w:rsidP="00BC64A3">
      <w:pPr>
        <w:pStyle w:val="Heading4"/>
      </w:pPr>
      <w:r>
        <w:t>D</w:t>
      </w:r>
      <w:r w:rsidRPr="0093643A">
        <w:t>esire to disengage from the income support system</w:t>
      </w:r>
    </w:p>
    <w:p w:rsidR="0093643A" w:rsidRDefault="0093643A" w:rsidP="0093643A">
      <w:pPr>
        <w:spacing w:before="120"/>
        <w:rPr>
          <w:color w:val="000000" w:themeColor="text1"/>
        </w:rPr>
      </w:pPr>
      <w:r>
        <w:rPr>
          <w:color w:val="000000" w:themeColor="text1"/>
        </w:rPr>
        <w:t>Another reason that many may not have read the DHS communications was as</w:t>
      </w:r>
      <w:r w:rsidRPr="0093643A">
        <w:rPr>
          <w:color w:val="000000" w:themeColor="text1"/>
        </w:rPr>
        <w:t xml:space="preserve"> they had already mentally disengaged from </w:t>
      </w:r>
      <w:r w:rsidR="00983131">
        <w:rPr>
          <w:color w:val="000000" w:themeColor="text1"/>
        </w:rPr>
        <w:t>Centrelink</w:t>
      </w:r>
      <w:r w:rsidRPr="0093643A">
        <w:rPr>
          <w:color w:val="000000" w:themeColor="text1"/>
        </w:rPr>
        <w:t xml:space="preserve"> when </w:t>
      </w:r>
      <w:r w:rsidR="00983131">
        <w:rPr>
          <w:color w:val="000000" w:themeColor="text1"/>
        </w:rPr>
        <w:t xml:space="preserve">they received </w:t>
      </w:r>
      <w:r w:rsidRPr="0093643A">
        <w:rPr>
          <w:color w:val="000000" w:themeColor="text1"/>
        </w:rPr>
        <w:t>their income support exit letter</w:t>
      </w:r>
      <w:r>
        <w:rPr>
          <w:color w:val="000000" w:themeColor="text1"/>
        </w:rPr>
        <w:t>.</w:t>
      </w:r>
    </w:p>
    <w:p w:rsidR="00B160DE" w:rsidRDefault="00B160DE" w:rsidP="00B160DE">
      <w:pPr>
        <w:pStyle w:val="quopteJCB-source"/>
        <w:jc w:val="left"/>
      </w:pPr>
      <w:r w:rsidRPr="00B160DE">
        <w:rPr>
          <w:i/>
          <w:color w:val="000000" w:themeColor="text1"/>
        </w:rPr>
        <w:t>But I don’t go on there (MyGov) that’s the cool thing because I have nothing to do with</w:t>
      </w:r>
      <w:r w:rsidRPr="00B160DE">
        <w:t xml:space="preserve"> Centrelink. </w:t>
      </w:r>
    </w:p>
    <w:p w:rsidR="00B160DE" w:rsidRDefault="002361DB" w:rsidP="004968D9">
      <w:pPr>
        <w:pStyle w:val="quopteJCB-source"/>
        <w:spacing w:before="0"/>
      </w:pPr>
      <w:r>
        <w:t>October 2016 (Round 3),</w:t>
      </w:r>
      <w:r w:rsidR="00AD60DE">
        <w:t xml:space="preserve"> not yet claimed</w:t>
      </w:r>
      <w:r w:rsidR="00B160DE">
        <w:t>, focus group, Adelaide</w:t>
      </w:r>
    </w:p>
    <w:p w:rsidR="00B160DE" w:rsidRPr="00B160DE" w:rsidRDefault="00B160DE" w:rsidP="00B160DE">
      <w:pPr>
        <w:pStyle w:val="quopteJCB-source"/>
        <w:jc w:val="left"/>
        <w:rPr>
          <w:i/>
          <w:color w:val="000000" w:themeColor="text1"/>
        </w:rPr>
      </w:pPr>
      <w:r w:rsidRPr="00B160DE">
        <w:rPr>
          <w:i/>
          <w:color w:val="000000" w:themeColor="text1"/>
        </w:rPr>
        <w:t>Actually I do remember them calling when I got a job and maybe they were trying to say something, but I didn’t want to talk to them, because I had a job now and I hated talking to them and they could have been saying about this.</w:t>
      </w:r>
    </w:p>
    <w:p w:rsidR="00B160DE" w:rsidRDefault="002361DB" w:rsidP="004968D9">
      <w:pPr>
        <w:pStyle w:val="quopteJCB-source"/>
        <w:spacing w:before="0"/>
      </w:pPr>
      <w:r>
        <w:t>October 2016 (Round 3),</w:t>
      </w:r>
      <w:r w:rsidR="00AD60DE">
        <w:t xml:space="preserve"> not yet claimed</w:t>
      </w:r>
      <w:r w:rsidR="00B160DE">
        <w:t>, focus group, Adelaide</w:t>
      </w:r>
    </w:p>
    <w:p w:rsidR="00D715F4" w:rsidRPr="0098523B" w:rsidRDefault="00D715F4" w:rsidP="00BC64A3">
      <w:pPr>
        <w:pStyle w:val="Heading4"/>
      </w:pPr>
      <w:r w:rsidRPr="0098523B">
        <w:t>Receptiveness to message</w:t>
      </w:r>
    </w:p>
    <w:p w:rsidR="00D715F4" w:rsidRPr="00B475BA" w:rsidRDefault="00D715F4" w:rsidP="00D715F4">
      <w:pPr>
        <w:spacing w:before="120"/>
        <w:rPr>
          <w:color w:val="000000" w:themeColor="text1"/>
        </w:rPr>
      </w:pPr>
      <w:r>
        <w:rPr>
          <w:color w:val="000000" w:themeColor="text1"/>
        </w:rPr>
        <w:t>There was a sentiment of mistrust of dealing</w:t>
      </w:r>
      <w:r w:rsidRPr="00B475BA">
        <w:rPr>
          <w:color w:val="000000" w:themeColor="text1"/>
        </w:rPr>
        <w:t>s</w:t>
      </w:r>
      <w:r>
        <w:rPr>
          <w:color w:val="000000" w:themeColor="text1"/>
        </w:rPr>
        <w:t xml:space="preserve"> with government, with some participants actively avoiding looking at</w:t>
      </w:r>
      <w:r w:rsidRPr="00B475BA">
        <w:rPr>
          <w:color w:val="000000" w:themeColor="text1"/>
        </w:rPr>
        <w:t xml:space="preserve"> government communications</w:t>
      </w:r>
      <w:r>
        <w:rPr>
          <w:color w:val="000000" w:themeColor="text1"/>
        </w:rPr>
        <w:t>. The message of a positive financial incentive was not what people were expecting to receive from DHS and some found this difficult to absorb.</w:t>
      </w:r>
    </w:p>
    <w:p w:rsidR="00D715F4" w:rsidRDefault="00D715F4" w:rsidP="00D715F4">
      <w:pPr>
        <w:pStyle w:val="QuotationJCB"/>
      </w:pPr>
      <w:r w:rsidRPr="00D57717">
        <w:t>It’s very confusi</w:t>
      </w:r>
      <w:r w:rsidR="00602B02">
        <w:t>ng. My mind was actually blown.</w:t>
      </w:r>
    </w:p>
    <w:p w:rsidR="00D715F4" w:rsidRPr="00D57717" w:rsidRDefault="002361DB" w:rsidP="004968D9">
      <w:pPr>
        <w:pStyle w:val="quopteJCB-source"/>
        <w:spacing w:before="0"/>
      </w:pPr>
      <w:r>
        <w:t>October 2016 (Round 3),</w:t>
      </w:r>
      <w:r w:rsidR="00AD60DE">
        <w:t xml:space="preserve"> received JCB</w:t>
      </w:r>
      <w:r w:rsidR="00BC469D">
        <w:t>, focus group, Melbourne</w:t>
      </w:r>
    </w:p>
    <w:p w:rsidR="003F6CD3" w:rsidRPr="003F6CD3" w:rsidRDefault="003F6CD3" w:rsidP="003F6CD3">
      <w:pPr>
        <w:pStyle w:val="QuotationJCB"/>
      </w:pPr>
      <w:r w:rsidRPr="003F6CD3">
        <w:t xml:space="preserve">No, just like, that’s pretty, like that’s insane, like I haven’t </w:t>
      </w:r>
      <w:r w:rsidR="00602B02">
        <w:t>seen anything like that before.</w:t>
      </w:r>
      <w:r w:rsidRPr="003F6CD3">
        <w:t xml:space="preserve"> I got a letter and I was like cool, yeah I didn’t believe it until </w:t>
      </w:r>
      <w:r w:rsidR="00602B02">
        <w:t>I saw the money in my account.</w:t>
      </w:r>
    </w:p>
    <w:p w:rsidR="00C76746" w:rsidRDefault="002361DB" w:rsidP="004968D9">
      <w:pPr>
        <w:pStyle w:val="quopteJCB-source"/>
        <w:spacing w:before="0"/>
        <w:rPr>
          <w:color w:val="000000" w:themeColor="text1"/>
        </w:rPr>
      </w:pPr>
      <w:r>
        <w:t>October 2016 (Round 3),</w:t>
      </w:r>
      <w:r w:rsidR="00AD60DE">
        <w:t xml:space="preserve"> received JCB</w:t>
      </w:r>
      <w:r w:rsidR="00BC469D">
        <w:t>, focus group, Melbourne</w:t>
      </w:r>
    </w:p>
    <w:p w:rsidR="00D40F09" w:rsidRPr="00602B02" w:rsidRDefault="00AB3BA3" w:rsidP="00D40F09">
      <w:pPr>
        <w:spacing w:before="120"/>
        <w:rPr>
          <w:color w:val="000000" w:themeColor="text1"/>
        </w:rPr>
      </w:pPr>
      <w:r>
        <w:rPr>
          <w:color w:val="000000" w:themeColor="text1"/>
        </w:rPr>
        <w:t xml:space="preserve">Awareness of the bonus was measured through the </w:t>
      </w:r>
      <w:r w:rsidR="00C64111">
        <w:rPr>
          <w:color w:val="000000" w:themeColor="text1"/>
        </w:rPr>
        <w:t>JCB</w:t>
      </w:r>
      <w:r w:rsidR="001C2625">
        <w:rPr>
          <w:color w:val="000000" w:themeColor="text1"/>
        </w:rPr>
        <w:t xml:space="preserve"> </w:t>
      </w:r>
      <w:r w:rsidR="00983131">
        <w:rPr>
          <w:color w:val="000000" w:themeColor="text1"/>
        </w:rPr>
        <w:t>Post Program Monitoring (</w:t>
      </w:r>
      <w:r w:rsidR="001C2625">
        <w:rPr>
          <w:color w:val="000000" w:themeColor="text1"/>
        </w:rPr>
        <w:t>PPM</w:t>
      </w:r>
      <w:r w:rsidR="00983131">
        <w:rPr>
          <w:color w:val="000000" w:themeColor="text1"/>
        </w:rPr>
        <w:t xml:space="preserve">) </w:t>
      </w:r>
      <w:r w:rsidR="009B6B3A">
        <w:rPr>
          <w:color w:val="000000" w:themeColor="text1"/>
        </w:rPr>
        <w:t>s</w:t>
      </w:r>
      <w:r w:rsidR="00983131">
        <w:rPr>
          <w:color w:val="000000" w:themeColor="text1"/>
        </w:rPr>
        <w:t>urvey</w:t>
      </w:r>
      <w:r>
        <w:rPr>
          <w:color w:val="000000" w:themeColor="text1"/>
        </w:rPr>
        <w:t xml:space="preserve">. </w:t>
      </w:r>
      <w:r w:rsidR="00D40F09" w:rsidRPr="001536B1">
        <w:rPr>
          <w:color w:val="000000" w:themeColor="text1"/>
        </w:rPr>
        <w:t xml:space="preserve">Only about </w:t>
      </w:r>
      <w:r w:rsidR="00C144A5">
        <w:rPr>
          <w:color w:val="000000" w:themeColor="text1"/>
        </w:rPr>
        <w:t>one</w:t>
      </w:r>
      <w:r w:rsidR="00983131">
        <w:rPr>
          <w:color w:val="000000" w:themeColor="text1"/>
        </w:rPr>
        <w:t>-</w:t>
      </w:r>
      <w:r w:rsidR="00D40F09" w:rsidRPr="001536B1">
        <w:rPr>
          <w:color w:val="000000" w:themeColor="text1"/>
        </w:rPr>
        <w:t>quarter (</w:t>
      </w:r>
      <w:r w:rsidR="001536B1" w:rsidRPr="001536B1">
        <w:rPr>
          <w:color w:val="000000" w:themeColor="text1"/>
        </w:rPr>
        <w:t>27.3</w:t>
      </w:r>
      <w:r w:rsidR="00D40F09" w:rsidRPr="001536B1">
        <w:rPr>
          <w:color w:val="000000" w:themeColor="text1"/>
        </w:rPr>
        <w:t xml:space="preserve"> per cent) of </w:t>
      </w:r>
      <w:r w:rsidR="00897D04">
        <w:rPr>
          <w:color w:val="000000" w:themeColor="text1"/>
        </w:rPr>
        <w:t>participants</w:t>
      </w:r>
      <w:r w:rsidR="00897D04" w:rsidRPr="001536B1">
        <w:rPr>
          <w:color w:val="000000" w:themeColor="text1"/>
        </w:rPr>
        <w:t xml:space="preserve"> </w:t>
      </w:r>
      <w:r w:rsidR="00D40F09" w:rsidRPr="001536B1">
        <w:rPr>
          <w:color w:val="000000" w:themeColor="text1"/>
        </w:rPr>
        <w:t>surveyed were aware of the JC</w:t>
      </w:r>
      <w:r w:rsidR="00C144A5">
        <w:rPr>
          <w:color w:val="000000" w:themeColor="text1"/>
        </w:rPr>
        <w:t>B. This figure is likely an overestimate</w:t>
      </w:r>
      <w:r w:rsidR="00D40F09" w:rsidRPr="001536B1">
        <w:rPr>
          <w:color w:val="000000" w:themeColor="text1"/>
        </w:rPr>
        <w:t xml:space="preserve"> as some people would have reported awareness, assuming that was the ‘correct’ </w:t>
      </w:r>
      <w:r w:rsidR="001C2625">
        <w:rPr>
          <w:color w:val="000000" w:themeColor="text1"/>
        </w:rPr>
        <w:t xml:space="preserve">or ‘socially desirable’ </w:t>
      </w:r>
      <w:r w:rsidR="00D40F09" w:rsidRPr="001536B1">
        <w:rPr>
          <w:color w:val="000000" w:themeColor="text1"/>
        </w:rPr>
        <w:t xml:space="preserve">response. </w:t>
      </w:r>
      <w:r w:rsidR="006A0A6A">
        <w:rPr>
          <w:color w:val="000000" w:themeColor="text1"/>
        </w:rPr>
        <w:t>T</w:t>
      </w:r>
      <w:r w:rsidR="00D40F09" w:rsidRPr="001536B1">
        <w:rPr>
          <w:color w:val="000000" w:themeColor="text1"/>
        </w:rPr>
        <w:t xml:space="preserve">he </w:t>
      </w:r>
      <w:r w:rsidR="00DC64C6">
        <w:rPr>
          <w:color w:val="000000" w:themeColor="text1"/>
        </w:rPr>
        <w:t>PPM JCB</w:t>
      </w:r>
      <w:r w:rsidR="00C64111">
        <w:rPr>
          <w:color w:val="000000" w:themeColor="text1"/>
        </w:rPr>
        <w:t xml:space="preserve"> </w:t>
      </w:r>
      <w:r w:rsidR="00D40F09" w:rsidRPr="001536B1">
        <w:rPr>
          <w:color w:val="000000" w:themeColor="text1"/>
        </w:rPr>
        <w:t xml:space="preserve">survey </w:t>
      </w:r>
      <w:r w:rsidR="001C2625">
        <w:rPr>
          <w:color w:val="000000" w:themeColor="text1"/>
        </w:rPr>
        <w:t xml:space="preserve">occurred </w:t>
      </w:r>
      <w:r w:rsidR="00D34A5A">
        <w:rPr>
          <w:color w:val="000000" w:themeColor="text1"/>
        </w:rPr>
        <w:t>some</w:t>
      </w:r>
      <w:r w:rsidR="00D40F09" w:rsidRPr="001536B1">
        <w:rPr>
          <w:color w:val="000000" w:themeColor="text1"/>
        </w:rPr>
        <w:t>time after respondents had left income support</w:t>
      </w:r>
      <w:r w:rsidR="006A0A6A">
        <w:rPr>
          <w:color w:val="000000" w:themeColor="text1"/>
        </w:rPr>
        <w:t xml:space="preserve"> which would have </w:t>
      </w:r>
      <w:r w:rsidR="00D40F09" w:rsidRPr="001536B1">
        <w:rPr>
          <w:color w:val="000000" w:themeColor="text1"/>
        </w:rPr>
        <w:t>reduc</w:t>
      </w:r>
      <w:r w:rsidR="006A0A6A">
        <w:rPr>
          <w:color w:val="000000" w:themeColor="text1"/>
        </w:rPr>
        <w:t>ed</w:t>
      </w:r>
      <w:r w:rsidR="00D34A5A">
        <w:rPr>
          <w:color w:val="000000" w:themeColor="text1"/>
        </w:rPr>
        <w:t xml:space="preserve"> </w:t>
      </w:r>
      <w:r w:rsidR="00D40F09" w:rsidRPr="001536B1">
        <w:rPr>
          <w:color w:val="000000" w:themeColor="text1"/>
        </w:rPr>
        <w:t>recall of the JCB</w:t>
      </w:r>
      <w:r w:rsidR="00913AC9">
        <w:rPr>
          <w:color w:val="000000" w:themeColor="text1"/>
        </w:rPr>
        <w:t>, as th</w:t>
      </w:r>
      <w:r w:rsidR="00D34A5A">
        <w:rPr>
          <w:color w:val="000000" w:themeColor="text1"/>
        </w:rPr>
        <w:t xml:space="preserve">e </w:t>
      </w:r>
      <w:r w:rsidR="006A0A6A">
        <w:rPr>
          <w:color w:val="000000" w:themeColor="text1"/>
        </w:rPr>
        <w:t xml:space="preserve">relevant </w:t>
      </w:r>
      <w:r w:rsidR="00D34A5A">
        <w:rPr>
          <w:color w:val="000000" w:themeColor="text1"/>
        </w:rPr>
        <w:t>correspondence would have been received some 12</w:t>
      </w:r>
      <w:r w:rsidR="00D34A5A" w:rsidRPr="001536B1">
        <w:rPr>
          <w:color w:val="000000" w:themeColor="text1"/>
        </w:rPr>
        <w:t xml:space="preserve"> </w:t>
      </w:r>
      <w:r w:rsidR="00D40F09" w:rsidRPr="001536B1">
        <w:rPr>
          <w:color w:val="000000" w:themeColor="text1"/>
        </w:rPr>
        <w:t xml:space="preserve">months earlier. </w:t>
      </w:r>
      <w:r w:rsidR="001C2625">
        <w:rPr>
          <w:color w:val="000000" w:themeColor="text1"/>
        </w:rPr>
        <w:t xml:space="preserve">Having </w:t>
      </w:r>
      <w:r w:rsidR="00D40F09" w:rsidRPr="001536B1">
        <w:rPr>
          <w:color w:val="000000" w:themeColor="text1"/>
        </w:rPr>
        <w:t>heard something about the bonus</w:t>
      </w:r>
      <w:r w:rsidR="001C2625">
        <w:rPr>
          <w:color w:val="000000" w:themeColor="text1"/>
        </w:rPr>
        <w:t xml:space="preserve"> </w:t>
      </w:r>
      <w:r w:rsidR="00D40F09" w:rsidRPr="001536B1">
        <w:rPr>
          <w:color w:val="000000" w:themeColor="text1"/>
        </w:rPr>
        <w:t>does not equate to being sufficiently informed</w:t>
      </w:r>
      <w:r w:rsidR="001C2625">
        <w:rPr>
          <w:color w:val="000000" w:themeColor="text1"/>
        </w:rPr>
        <w:t xml:space="preserve"> </w:t>
      </w:r>
      <w:r w:rsidR="00D40F09" w:rsidRPr="001536B1">
        <w:rPr>
          <w:color w:val="000000" w:themeColor="text1"/>
        </w:rPr>
        <w:t xml:space="preserve">to </w:t>
      </w:r>
      <w:r w:rsidR="00D34A5A">
        <w:rPr>
          <w:color w:val="000000" w:themeColor="text1"/>
        </w:rPr>
        <w:t xml:space="preserve">be </w:t>
      </w:r>
      <w:r w:rsidR="00D40F09" w:rsidRPr="001536B1">
        <w:rPr>
          <w:color w:val="000000" w:themeColor="text1"/>
        </w:rPr>
        <w:t>motivat</w:t>
      </w:r>
      <w:r w:rsidR="001C2625">
        <w:rPr>
          <w:color w:val="000000" w:themeColor="text1"/>
        </w:rPr>
        <w:t xml:space="preserve">ed </w:t>
      </w:r>
      <w:r w:rsidR="00D34A5A">
        <w:rPr>
          <w:color w:val="000000" w:themeColor="text1"/>
        </w:rPr>
        <w:t>by it</w:t>
      </w:r>
      <w:r w:rsidR="00602B02">
        <w:rPr>
          <w:color w:val="000000" w:themeColor="text1"/>
        </w:rPr>
        <w:t>.</w:t>
      </w:r>
    </w:p>
    <w:p w:rsidR="00D40F09" w:rsidRPr="001536B1" w:rsidRDefault="006A0A6A" w:rsidP="00D40F09">
      <w:pPr>
        <w:spacing w:before="120"/>
        <w:rPr>
          <w:color w:val="000000" w:themeColor="text1"/>
        </w:rPr>
      </w:pPr>
      <w:r>
        <w:rPr>
          <w:color w:val="000000" w:themeColor="text1"/>
        </w:rPr>
        <w:lastRenderedPageBreak/>
        <w:t>T</w:t>
      </w:r>
      <w:r w:rsidR="00D40F09" w:rsidRPr="001536B1">
        <w:rPr>
          <w:color w:val="000000" w:themeColor="text1"/>
        </w:rPr>
        <w:t xml:space="preserve">his </w:t>
      </w:r>
      <w:r w:rsidR="00C144A5">
        <w:rPr>
          <w:color w:val="000000" w:themeColor="text1"/>
        </w:rPr>
        <w:t xml:space="preserve">reported </w:t>
      </w:r>
      <w:r w:rsidR="00D40F09" w:rsidRPr="001536B1">
        <w:rPr>
          <w:color w:val="000000" w:themeColor="text1"/>
        </w:rPr>
        <w:t>low rate of awareness</w:t>
      </w:r>
      <w:r>
        <w:rPr>
          <w:color w:val="000000" w:themeColor="text1"/>
        </w:rPr>
        <w:t xml:space="preserve"> is </w:t>
      </w:r>
      <w:r w:rsidR="00D40F09" w:rsidRPr="001536B1">
        <w:rPr>
          <w:color w:val="000000" w:themeColor="text1"/>
        </w:rPr>
        <w:t>confirm</w:t>
      </w:r>
      <w:r>
        <w:rPr>
          <w:color w:val="000000" w:themeColor="text1"/>
        </w:rPr>
        <w:t>ed by</w:t>
      </w:r>
      <w:r w:rsidR="00D40F09" w:rsidRPr="001536B1">
        <w:rPr>
          <w:color w:val="000000" w:themeColor="text1"/>
        </w:rPr>
        <w:t xml:space="preserve"> qualitative research</w:t>
      </w:r>
      <w:r>
        <w:rPr>
          <w:color w:val="000000" w:themeColor="text1"/>
        </w:rPr>
        <w:t xml:space="preserve"> findings</w:t>
      </w:r>
      <w:r w:rsidR="00D40F09" w:rsidRPr="001536B1">
        <w:rPr>
          <w:color w:val="000000" w:themeColor="text1"/>
        </w:rPr>
        <w:t>.</w:t>
      </w:r>
    </w:p>
    <w:p w:rsidR="00D40F09" w:rsidRPr="001536B1" w:rsidRDefault="00D40F09" w:rsidP="00602B02">
      <w:pPr>
        <w:keepNext/>
        <w:spacing w:before="120"/>
        <w:rPr>
          <w:color w:val="000000" w:themeColor="text1"/>
        </w:rPr>
      </w:pPr>
      <w:r w:rsidRPr="001536B1">
        <w:rPr>
          <w:color w:val="000000" w:themeColor="text1"/>
        </w:rPr>
        <w:t xml:space="preserve">Some responses from those ‘aware’ of the JCB in the </w:t>
      </w:r>
      <w:r w:rsidR="0050747A">
        <w:rPr>
          <w:color w:val="000000" w:themeColor="text1"/>
        </w:rPr>
        <w:t>Round 1</w:t>
      </w:r>
      <w:r w:rsidRPr="001536B1">
        <w:rPr>
          <w:color w:val="000000" w:themeColor="text1"/>
        </w:rPr>
        <w:t xml:space="preserve"> fieldwork illustrate this point:</w:t>
      </w:r>
    </w:p>
    <w:p w:rsidR="00D40F09" w:rsidRPr="00D40F09" w:rsidRDefault="00D40F09" w:rsidP="00CD44C4">
      <w:pPr>
        <w:pStyle w:val="QuotationJCB"/>
      </w:pPr>
      <w:r w:rsidRPr="00D40F09">
        <w:t>I think I have something sketchy in the back of my mind. If you stay in a job for a certain amount of ti</w:t>
      </w:r>
      <w:r w:rsidR="00602B02">
        <w:t>me you get a bonus? Is that it?</w:t>
      </w:r>
    </w:p>
    <w:p w:rsidR="00D40F09" w:rsidRPr="00D40F09" w:rsidRDefault="002361DB" w:rsidP="004968D9">
      <w:pPr>
        <w:pStyle w:val="quopteJCB-source"/>
        <w:spacing w:before="0"/>
        <w:rPr>
          <w:rFonts w:eastAsia="Times New Roman"/>
          <w:lang w:eastAsia="en-AU"/>
        </w:rPr>
      </w:pPr>
      <w:r>
        <w:rPr>
          <w:rFonts w:eastAsia="Times New Roman"/>
          <w:lang w:eastAsia="en-AU"/>
        </w:rPr>
        <w:t>March 2015 (Round 1),</w:t>
      </w:r>
      <w:r w:rsidR="00C00195">
        <w:rPr>
          <w:rFonts w:eastAsia="Times New Roman"/>
          <w:lang w:eastAsia="en-AU"/>
        </w:rPr>
        <w:t xml:space="preserve"> female</w:t>
      </w:r>
      <w:r w:rsidR="00D40F09" w:rsidRPr="00D40F09">
        <w:rPr>
          <w:rFonts w:eastAsia="Times New Roman"/>
          <w:lang w:eastAsia="en-AU"/>
        </w:rPr>
        <w:t xml:space="preserve">, 25 years or older, </w:t>
      </w:r>
      <w:r w:rsidR="00811BE3">
        <w:rPr>
          <w:rFonts w:eastAsia="Times New Roman"/>
          <w:lang w:eastAsia="en-AU"/>
        </w:rPr>
        <w:t>Brisbane</w:t>
      </w:r>
      <w:r w:rsidR="00D40F09" w:rsidRPr="00D40F09">
        <w:rPr>
          <w:rFonts w:eastAsia="Times New Roman"/>
          <w:lang w:eastAsia="en-AU"/>
        </w:rPr>
        <w:t>, unemployed</w:t>
      </w:r>
    </w:p>
    <w:p w:rsidR="00D40F09" w:rsidRPr="00D40F09" w:rsidRDefault="00D40F09" w:rsidP="00CD44C4">
      <w:pPr>
        <w:pStyle w:val="QuotationJCB"/>
      </w:pPr>
      <w:r w:rsidRPr="00D40F09">
        <w:t>Not entirely sure, is that the one how if you stick with a job for about two years, then you get, I don’t know, some amount of money?</w:t>
      </w:r>
    </w:p>
    <w:p w:rsidR="00D40F09" w:rsidRPr="00D40F09" w:rsidRDefault="002361DB" w:rsidP="004968D9">
      <w:pPr>
        <w:pStyle w:val="quopteJCB-source"/>
        <w:spacing w:before="0"/>
        <w:rPr>
          <w:rFonts w:eastAsia="Times New Roman"/>
          <w:lang w:eastAsia="en-AU"/>
        </w:rPr>
      </w:pPr>
      <w:r>
        <w:rPr>
          <w:rFonts w:eastAsia="Times New Roman"/>
          <w:lang w:eastAsia="en-AU"/>
        </w:rPr>
        <w:t>March 2015 (Round 1),</w:t>
      </w:r>
      <w:r w:rsidR="00C00195">
        <w:rPr>
          <w:rFonts w:eastAsia="Times New Roman"/>
          <w:lang w:eastAsia="en-AU"/>
        </w:rPr>
        <w:t xml:space="preserve"> female</w:t>
      </w:r>
      <w:r w:rsidR="00D40F09" w:rsidRPr="00D40F09">
        <w:rPr>
          <w:rFonts w:eastAsia="Times New Roman"/>
          <w:lang w:eastAsia="en-AU"/>
        </w:rPr>
        <w:t xml:space="preserve">, </w:t>
      </w:r>
      <w:r w:rsidR="0046115A">
        <w:rPr>
          <w:rFonts w:eastAsia="Times New Roman"/>
          <w:lang w:eastAsia="en-AU"/>
        </w:rPr>
        <w:t>under 25</w:t>
      </w:r>
      <w:r w:rsidR="00D40F09" w:rsidRPr="00D40F09">
        <w:rPr>
          <w:rFonts w:eastAsia="Times New Roman"/>
          <w:lang w:eastAsia="en-AU"/>
        </w:rPr>
        <w:t xml:space="preserve"> years, regional</w:t>
      </w:r>
      <w:r w:rsidR="00811BE3">
        <w:rPr>
          <w:rFonts w:eastAsia="Times New Roman"/>
          <w:lang w:eastAsia="en-AU"/>
        </w:rPr>
        <w:t xml:space="preserve"> Queensland</w:t>
      </w:r>
      <w:r w:rsidR="00D40F09" w:rsidRPr="00D40F09">
        <w:rPr>
          <w:rFonts w:eastAsia="Times New Roman"/>
          <w:lang w:eastAsia="en-AU"/>
        </w:rPr>
        <w:t>, unemployed</w:t>
      </w:r>
    </w:p>
    <w:p w:rsidR="00D40F09" w:rsidRPr="001536B1" w:rsidRDefault="0050747A" w:rsidP="00D40F09">
      <w:pPr>
        <w:spacing w:before="120"/>
        <w:rPr>
          <w:color w:val="000000" w:themeColor="text1"/>
        </w:rPr>
      </w:pPr>
      <w:r>
        <w:rPr>
          <w:color w:val="000000" w:themeColor="text1"/>
        </w:rPr>
        <w:t xml:space="preserve">Awareness of the </w:t>
      </w:r>
      <w:r w:rsidR="006A0A6A">
        <w:rPr>
          <w:color w:val="000000" w:themeColor="text1"/>
        </w:rPr>
        <w:t xml:space="preserve">bonus as reported in the </w:t>
      </w:r>
      <w:r w:rsidR="00DC64C6">
        <w:rPr>
          <w:color w:val="000000" w:themeColor="text1"/>
        </w:rPr>
        <w:t>PPM JCB</w:t>
      </w:r>
      <w:r w:rsidR="001C2625">
        <w:rPr>
          <w:color w:val="000000" w:themeColor="text1"/>
        </w:rPr>
        <w:t xml:space="preserve"> </w:t>
      </w:r>
      <w:r w:rsidR="00D40F09" w:rsidRPr="001536B1">
        <w:rPr>
          <w:color w:val="000000" w:themeColor="text1"/>
        </w:rPr>
        <w:t xml:space="preserve">survey </w:t>
      </w:r>
      <w:r>
        <w:rPr>
          <w:color w:val="000000" w:themeColor="text1"/>
        </w:rPr>
        <w:t xml:space="preserve">was primarily </w:t>
      </w:r>
      <w:r w:rsidR="006A0A6A">
        <w:rPr>
          <w:color w:val="000000" w:themeColor="text1"/>
        </w:rPr>
        <w:t xml:space="preserve">gained </w:t>
      </w:r>
      <w:r>
        <w:rPr>
          <w:color w:val="000000" w:themeColor="text1"/>
        </w:rPr>
        <w:t xml:space="preserve">through </w:t>
      </w:r>
      <w:r w:rsidR="00D40F09" w:rsidRPr="001536B1">
        <w:rPr>
          <w:color w:val="000000" w:themeColor="text1"/>
        </w:rPr>
        <w:t>government sources (either a government letter or DHS)</w:t>
      </w:r>
      <w:r>
        <w:rPr>
          <w:color w:val="000000" w:themeColor="text1"/>
        </w:rPr>
        <w:t xml:space="preserve"> (Table 3.</w:t>
      </w:r>
      <w:r w:rsidR="00B634CA">
        <w:rPr>
          <w:color w:val="000000" w:themeColor="text1"/>
        </w:rPr>
        <w:t>10</w:t>
      </w:r>
      <w:r>
        <w:rPr>
          <w:color w:val="000000" w:themeColor="text1"/>
        </w:rPr>
        <w:t>)</w:t>
      </w:r>
      <w:r w:rsidR="00D40F09" w:rsidRPr="001536B1">
        <w:rPr>
          <w:color w:val="000000" w:themeColor="text1"/>
        </w:rPr>
        <w:t>.</w:t>
      </w:r>
    </w:p>
    <w:p w:rsidR="00D40F09" w:rsidRPr="00D83A7E" w:rsidRDefault="00D40F09" w:rsidP="00D83A7E">
      <w:pPr>
        <w:pStyle w:val="TableCaption"/>
      </w:pPr>
      <w:bookmarkStart w:id="161" w:name="_Toc475459011"/>
      <w:bookmarkStart w:id="162" w:name="_Toc507600314"/>
      <w:r w:rsidRPr="00D83A7E">
        <w:t>Table 3.</w:t>
      </w:r>
      <w:r w:rsidR="00B634CA">
        <w:t>10</w:t>
      </w:r>
      <w:r w:rsidRPr="00D83A7E">
        <w:t>: Sources of information about the Job Commitment Bonus</w:t>
      </w:r>
      <w:bookmarkEnd w:id="161"/>
      <w:bookmarkEnd w:id="162"/>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3.10: Sources of information about the Job Commitment Bonus"/>
      </w:tblPr>
      <w:tblGrid>
        <w:gridCol w:w="4621"/>
        <w:gridCol w:w="2008"/>
      </w:tblGrid>
      <w:tr w:rsidR="001536B1" w:rsidRPr="001536B1" w:rsidTr="00C74ED9">
        <w:trPr>
          <w:trHeight w:val="443"/>
          <w:tblHeader/>
        </w:trPr>
        <w:tc>
          <w:tcPr>
            <w:tcW w:w="4621" w:type="dxa"/>
            <w:shd w:val="clear" w:color="auto" w:fill="1E3D6B"/>
            <w:vAlign w:val="center"/>
          </w:tcPr>
          <w:p w:rsidR="00D40F09" w:rsidRPr="00B634CA" w:rsidRDefault="00D40F09" w:rsidP="00D40F09">
            <w:pPr>
              <w:keepNext/>
              <w:rPr>
                <w:b/>
                <w:color w:val="FFFFFF" w:themeColor="background2"/>
                <w:sz w:val="20"/>
                <w:szCs w:val="20"/>
              </w:rPr>
            </w:pPr>
            <w:bookmarkStart w:id="163" w:name="ColumnTitle_310"/>
            <w:bookmarkEnd w:id="163"/>
            <w:r w:rsidRPr="00B634CA">
              <w:rPr>
                <w:b/>
                <w:color w:val="FFFFFF" w:themeColor="background2"/>
                <w:sz w:val="20"/>
                <w:szCs w:val="20"/>
              </w:rPr>
              <w:t>Source of information</w:t>
            </w:r>
          </w:p>
        </w:tc>
        <w:tc>
          <w:tcPr>
            <w:tcW w:w="2008" w:type="dxa"/>
            <w:shd w:val="clear" w:color="auto" w:fill="1E3D6B"/>
            <w:vAlign w:val="center"/>
          </w:tcPr>
          <w:p w:rsidR="00D40F09" w:rsidRPr="00B634CA" w:rsidRDefault="00D40F09" w:rsidP="00D40F09">
            <w:pPr>
              <w:keepNext/>
              <w:rPr>
                <w:b/>
                <w:color w:val="FFFFFF" w:themeColor="background2"/>
                <w:sz w:val="20"/>
                <w:szCs w:val="20"/>
              </w:rPr>
            </w:pPr>
            <w:r w:rsidRPr="00B634CA">
              <w:rPr>
                <w:b/>
                <w:color w:val="FFFFFF" w:themeColor="background2"/>
                <w:sz w:val="20"/>
                <w:szCs w:val="20"/>
              </w:rPr>
              <w:t>Proportion</w:t>
            </w:r>
          </w:p>
        </w:tc>
      </w:tr>
      <w:tr w:rsidR="001536B1" w:rsidRPr="001536B1" w:rsidTr="00BB72D5">
        <w:trPr>
          <w:trHeight w:hRule="exact" w:val="369"/>
        </w:trPr>
        <w:tc>
          <w:tcPr>
            <w:tcW w:w="4621" w:type="dxa"/>
            <w:vAlign w:val="center"/>
          </w:tcPr>
          <w:p w:rsidR="00D40F09" w:rsidRPr="00B634CA" w:rsidRDefault="00D40F09" w:rsidP="00BB72D5">
            <w:pPr>
              <w:keepNext/>
              <w:rPr>
                <w:color w:val="000000" w:themeColor="text1"/>
                <w:sz w:val="20"/>
                <w:szCs w:val="20"/>
              </w:rPr>
            </w:pPr>
            <w:r w:rsidRPr="00B634CA">
              <w:rPr>
                <w:color w:val="000000" w:themeColor="text1"/>
                <w:sz w:val="20"/>
                <w:szCs w:val="20"/>
              </w:rPr>
              <w:t>Government letter</w:t>
            </w:r>
          </w:p>
        </w:tc>
        <w:tc>
          <w:tcPr>
            <w:tcW w:w="2008" w:type="dxa"/>
            <w:vAlign w:val="center"/>
          </w:tcPr>
          <w:p w:rsidR="00D40F09" w:rsidRPr="00B634CA" w:rsidRDefault="001536B1" w:rsidP="00BB72D5">
            <w:pPr>
              <w:keepNext/>
              <w:ind w:right="972"/>
              <w:jc w:val="right"/>
              <w:rPr>
                <w:color w:val="000000" w:themeColor="text1"/>
                <w:sz w:val="20"/>
                <w:szCs w:val="20"/>
              </w:rPr>
            </w:pPr>
            <w:r w:rsidRPr="00B634CA">
              <w:rPr>
                <w:color w:val="000000" w:themeColor="text1"/>
                <w:sz w:val="20"/>
                <w:szCs w:val="20"/>
              </w:rPr>
              <w:t>40.5</w:t>
            </w:r>
          </w:p>
        </w:tc>
      </w:tr>
      <w:tr w:rsidR="001536B1" w:rsidRPr="001536B1" w:rsidTr="00BB72D5">
        <w:trPr>
          <w:trHeight w:hRule="exact" w:val="369"/>
        </w:trPr>
        <w:tc>
          <w:tcPr>
            <w:tcW w:w="4621" w:type="dxa"/>
            <w:shd w:val="clear" w:color="auto" w:fill="E5E5E5" w:themeFill="background1" w:themeFillTint="33"/>
            <w:vAlign w:val="center"/>
          </w:tcPr>
          <w:p w:rsidR="00D40F09" w:rsidRPr="00B634CA" w:rsidRDefault="00D40F09" w:rsidP="00BB72D5">
            <w:pPr>
              <w:keepNext/>
              <w:rPr>
                <w:color w:val="000000" w:themeColor="text1"/>
                <w:sz w:val="20"/>
                <w:szCs w:val="20"/>
              </w:rPr>
            </w:pPr>
            <w:r w:rsidRPr="00B634CA">
              <w:rPr>
                <w:color w:val="000000" w:themeColor="text1"/>
                <w:sz w:val="20"/>
                <w:szCs w:val="20"/>
              </w:rPr>
              <w:t>DHS</w:t>
            </w:r>
          </w:p>
        </w:tc>
        <w:tc>
          <w:tcPr>
            <w:tcW w:w="2008" w:type="dxa"/>
            <w:shd w:val="clear" w:color="auto" w:fill="E5E5E5" w:themeFill="background1" w:themeFillTint="33"/>
            <w:vAlign w:val="center"/>
          </w:tcPr>
          <w:p w:rsidR="00D40F09" w:rsidRPr="00B634CA" w:rsidRDefault="001536B1" w:rsidP="00BB72D5">
            <w:pPr>
              <w:keepNext/>
              <w:ind w:right="972"/>
              <w:jc w:val="right"/>
              <w:rPr>
                <w:color w:val="000000" w:themeColor="text1"/>
                <w:sz w:val="20"/>
                <w:szCs w:val="20"/>
              </w:rPr>
            </w:pPr>
            <w:r w:rsidRPr="00B634CA">
              <w:rPr>
                <w:color w:val="000000" w:themeColor="text1"/>
                <w:sz w:val="20"/>
                <w:szCs w:val="20"/>
              </w:rPr>
              <w:t>28.0</w:t>
            </w:r>
          </w:p>
        </w:tc>
      </w:tr>
      <w:tr w:rsidR="001536B1" w:rsidRPr="001536B1" w:rsidTr="00BB72D5">
        <w:trPr>
          <w:trHeight w:hRule="exact" w:val="369"/>
        </w:trPr>
        <w:tc>
          <w:tcPr>
            <w:tcW w:w="4621" w:type="dxa"/>
            <w:shd w:val="clear" w:color="auto" w:fill="auto"/>
            <w:vAlign w:val="center"/>
          </w:tcPr>
          <w:p w:rsidR="00D40F09" w:rsidRPr="00B634CA" w:rsidRDefault="00D40F09" w:rsidP="00BB72D5">
            <w:pPr>
              <w:keepNext/>
              <w:rPr>
                <w:color w:val="000000" w:themeColor="text1"/>
                <w:sz w:val="20"/>
                <w:szCs w:val="20"/>
              </w:rPr>
            </w:pPr>
            <w:r w:rsidRPr="00B634CA">
              <w:rPr>
                <w:color w:val="000000" w:themeColor="text1"/>
                <w:sz w:val="20"/>
                <w:szCs w:val="20"/>
              </w:rPr>
              <w:t>Employment services provider</w:t>
            </w:r>
          </w:p>
        </w:tc>
        <w:tc>
          <w:tcPr>
            <w:tcW w:w="2008" w:type="dxa"/>
            <w:shd w:val="clear" w:color="auto" w:fill="auto"/>
            <w:vAlign w:val="center"/>
          </w:tcPr>
          <w:p w:rsidR="00D40F09" w:rsidRPr="00B634CA" w:rsidRDefault="001536B1" w:rsidP="00BB72D5">
            <w:pPr>
              <w:keepNext/>
              <w:ind w:right="972"/>
              <w:jc w:val="right"/>
              <w:rPr>
                <w:color w:val="000000" w:themeColor="text1"/>
                <w:sz w:val="20"/>
                <w:szCs w:val="20"/>
              </w:rPr>
            </w:pPr>
            <w:r w:rsidRPr="00B634CA">
              <w:rPr>
                <w:color w:val="000000" w:themeColor="text1"/>
                <w:sz w:val="20"/>
                <w:szCs w:val="20"/>
              </w:rPr>
              <w:t>12.8</w:t>
            </w:r>
          </w:p>
        </w:tc>
      </w:tr>
      <w:tr w:rsidR="001536B1" w:rsidRPr="001536B1" w:rsidTr="00BB72D5">
        <w:trPr>
          <w:trHeight w:hRule="exact" w:val="369"/>
        </w:trPr>
        <w:tc>
          <w:tcPr>
            <w:tcW w:w="4621" w:type="dxa"/>
            <w:shd w:val="clear" w:color="auto" w:fill="E5E5E5" w:themeFill="background1" w:themeFillTint="33"/>
            <w:vAlign w:val="center"/>
          </w:tcPr>
          <w:p w:rsidR="00D40F09" w:rsidRPr="00B634CA" w:rsidRDefault="00D40F09" w:rsidP="00BB72D5">
            <w:pPr>
              <w:keepNext/>
              <w:rPr>
                <w:color w:val="000000" w:themeColor="text1"/>
                <w:sz w:val="20"/>
                <w:szCs w:val="20"/>
              </w:rPr>
            </w:pPr>
            <w:r w:rsidRPr="00B634CA">
              <w:rPr>
                <w:color w:val="000000" w:themeColor="text1"/>
                <w:sz w:val="20"/>
                <w:szCs w:val="20"/>
              </w:rPr>
              <w:t>Friend</w:t>
            </w:r>
          </w:p>
        </w:tc>
        <w:tc>
          <w:tcPr>
            <w:tcW w:w="2008" w:type="dxa"/>
            <w:shd w:val="clear" w:color="auto" w:fill="E5E5E5" w:themeFill="background1" w:themeFillTint="33"/>
            <w:vAlign w:val="center"/>
          </w:tcPr>
          <w:p w:rsidR="00D40F09" w:rsidRPr="00B634CA" w:rsidRDefault="001536B1" w:rsidP="00BB72D5">
            <w:pPr>
              <w:keepNext/>
              <w:ind w:right="972"/>
              <w:jc w:val="right"/>
              <w:rPr>
                <w:color w:val="000000" w:themeColor="text1"/>
                <w:sz w:val="20"/>
                <w:szCs w:val="20"/>
              </w:rPr>
            </w:pPr>
            <w:r w:rsidRPr="00B634CA">
              <w:rPr>
                <w:color w:val="000000" w:themeColor="text1"/>
                <w:sz w:val="20"/>
                <w:szCs w:val="20"/>
              </w:rPr>
              <w:t>12.7</w:t>
            </w:r>
          </w:p>
        </w:tc>
      </w:tr>
      <w:tr w:rsidR="001536B1" w:rsidRPr="001536B1" w:rsidTr="00BB72D5">
        <w:trPr>
          <w:trHeight w:hRule="exact" w:val="369"/>
        </w:trPr>
        <w:tc>
          <w:tcPr>
            <w:tcW w:w="4621" w:type="dxa"/>
            <w:vAlign w:val="center"/>
          </w:tcPr>
          <w:p w:rsidR="001536B1" w:rsidRPr="00B634CA" w:rsidRDefault="001536B1" w:rsidP="00BB72D5">
            <w:pPr>
              <w:keepNext/>
              <w:rPr>
                <w:color w:val="000000" w:themeColor="text1"/>
                <w:sz w:val="20"/>
                <w:szCs w:val="20"/>
              </w:rPr>
            </w:pPr>
            <w:r w:rsidRPr="00B634CA">
              <w:rPr>
                <w:color w:val="000000" w:themeColor="text1"/>
                <w:sz w:val="20"/>
                <w:szCs w:val="20"/>
              </w:rPr>
              <w:t>Government website</w:t>
            </w:r>
          </w:p>
        </w:tc>
        <w:tc>
          <w:tcPr>
            <w:tcW w:w="2008" w:type="dxa"/>
            <w:vAlign w:val="center"/>
          </w:tcPr>
          <w:p w:rsidR="001536B1" w:rsidRPr="00B634CA" w:rsidRDefault="001536B1" w:rsidP="00BB72D5">
            <w:pPr>
              <w:keepNext/>
              <w:ind w:right="972"/>
              <w:jc w:val="right"/>
              <w:rPr>
                <w:color w:val="000000" w:themeColor="text1"/>
                <w:sz w:val="20"/>
                <w:szCs w:val="20"/>
              </w:rPr>
            </w:pPr>
            <w:r w:rsidRPr="00B634CA">
              <w:rPr>
                <w:color w:val="000000" w:themeColor="text1"/>
                <w:sz w:val="20"/>
                <w:szCs w:val="20"/>
              </w:rPr>
              <w:t>12.4</w:t>
            </w:r>
          </w:p>
        </w:tc>
      </w:tr>
      <w:tr w:rsidR="001536B1" w:rsidRPr="001536B1" w:rsidTr="00BB72D5">
        <w:trPr>
          <w:trHeight w:hRule="exact" w:val="369"/>
        </w:trPr>
        <w:tc>
          <w:tcPr>
            <w:tcW w:w="4621" w:type="dxa"/>
            <w:shd w:val="clear" w:color="auto" w:fill="E5E5E5" w:themeFill="background1" w:themeFillTint="33"/>
            <w:vAlign w:val="center"/>
          </w:tcPr>
          <w:p w:rsidR="00D40F09" w:rsidRPr="00B634CA" w:rsidRDefault="00D40F09" w:rsidP="00BB72D5">
            <w:pPr>
              <w:keepNext/>
              <w:rPr>
                <w:color w:val="000000" w:themeColor="text1"/>
                <w:sz w:val="20"/>
                <w:szCs w:val="20"/>
              </w:rPr>
            </w:pPr>
            <w:r w:rsidRPr="00B634CA">
              <w:rPr>
                <w:color w:val="000000" w:themeColor="text1"/>
                <w:sz w:val="20"/>
                <w:szCs w:val="20"/>
              </w:rPr>
              <w:t>Employer</w:t>
            </w:r>
          </w:p>
        </w:tc>
        <w:tc>
          <w:tcPr>
            <w:tcW w:w="2008" w:type="dxa"/>
            <w:shd w:val="clear" w:color="auto" w:fill="E5E5E5" w:themeFill="background1" w:themeFillTint="33"/>
            <w:vAlign w:val="center"/>
          </w:tcPr>
          <w:p w:rsidR="00D40F09" w:rsidRPr="00B634CA" w:rsidRDefault="001536B1" w:rsidP="00BB72D5">
            <w:pPr>
              <w:keepNext/>
              <w:ind w:right="972"/>
              <w:jc w:val="right"/>
              <w:rPr>
                <w:color w:val="000000" w:themeColor="text1"/>
                <w:sz w:val="20"/>
                <w:szCs w:val="20"/>
              </w:rPr>
            </w:pPr>
            <w:r w:rsidRPr="00B634CA">
              <w:rPr>
                <w:color w:val="000000" w:themeColor="text1"/>
                <w:sz w:val="20"/>
                <w:szCs w:val="20"/>
              </w:rPr>
              <w:t>1.1</w:t>
            </w:r>
          </w:p>
        </w:tc>
      </w:tr>
      <w:tr w:rsidR="001536B1" w:rsidRPr="001536B1" w:rsidTr="00BB72D5">
        <w:trPr>
          <w:trHeight w:hRule="exact" w:val="369"/>
        </w:trPr>
        <w:tc>
          <w:tcPr>
            <w:tcW w:w="4621" w:type="dxa"/>
            <w:tcBorders>
              <w:bottom w:val="single" w:sz="4" w:space="0" w:color="auto"/>
            </w:tcBorders>
            <w:vAlign w:val="center"/>
          </w:tcPr>
          <w:p w:rsidR="00D40F09" w:rsidRPr="00B634CA" w:rsidRDefault="00D40F09" w:rsidP="00BB72D5">
            <w:pPr>
              <w:keepNext/>
              <w:rPr>
                <w:color w:val="000000" w:themeColor="text1"/>
                <w:sz w:val="20"/>
                <w:szCs w:val="20"/>
              </w:rPr>
            </w:pPr>
            <w:r w:rsidRPr="00B634CA">
              <w:rPr>
                <w:color w:val="000000" w:themeColor="text1"/>
                <w:sz w:val="20"/>
                <w:szCs w:val="20"/>
              </w:rPr>
              <w:t>Other</w:t>
            </w:r>
          </w:p>
        </w:tc>
        <w:tc>
          <w:tcPr>
            <w:tcW w:w="2008" w:type="dxa"/>
            <w:tcBorders>
              <w:bottom w:val="single" w:sz="4" w:space="0" w:color="auto"/>
            </w:tcBorders>
            <w:vAlign w:val="center"/>
          </w:tcPr>
          <w:p w:rsidR="00D40F09" w:rsidRPr="00B634CA" w:rsidRDefault="001536B1" w:rsidP="00BB72D5">
            <w:pPr>
              <w:keepNext/>
              <w:ind w:right="972"/>
              <w:jc w:val="right"/>
              <w:rPr>
                <w:color w:val="000000" w:themeColor="text1"/>
                <w:sz w:val="20"/>
                <w:szCs w:val="20"/>
              </w:rPr>
            </w:pPr>
            <w:r w:rsidRPr="00B634CA">
              <w:rPr>
                <w:color w:val="000000" w:themeColor="text1"/>
                <w:sz w:val="20"/>
                <w:szCs w:val="20"/>
              </w:rPr>
              <w:t>10.5</w:t>
            </w:r>
          </w:p>
        </w:tc>
      </w:tr>
    </w:tbl>
    <w:p w:rsidR="00D40F09" w:rsidRPr="001536B1" w:rsidRDefault="00D40F09" w:rsidP="00841FD8">
      <w:pPr>
        <w:pStyle w:val="Source"/>
        <w:keepNext/>
      </w:pPr>
      <w:r w:rsidRPr="001536B1">
        <w:t xml:space="preserve">Note: </w:t>
      </w:r>
      <w:r w:rsidRPr="00841FD8">
        <w:rPr>
          <w:b w:val="0"/>
        </w:rPr>
        <w:t>Column adds to more than 100 per cent as people could choose more than one source of information.</w:t>
      </w:r>
    </w:p>
    <w:p w:rsidR="00D40F09" w:rsidRPr="00841FD8" w:rsidRDefault="00D40F09" w:rsidP="00841FD8">
      <w:pPr>
        <w:pStyle w:val="Source"/>
        <w:rPr>
          <w:b w:val="0"/>
        </w:rPr>
      </w:pPr>
      <w:r w:rsidRPr="001536B1">
        <w:t xml:space="preserve">Source: </w:t>
      </w:r>
      <w:r w:rsidRPr="00841FD8">
        <w:rPr>
          <w:b w:val="0"/>
        </w:rPr>
        <w:t xml:space="preserve">DoE </w:t>
      </w:r>
      <w:r w:rsidR="00DC64C6">
        <w:rPr>
          <w:b w:val="0"/>
        </w:rPr>
        <w:t>PPM JCB</w:t>
      </w:r>
      <w:r w:rsidRPr="00841FD8">
        <w:rPr>
          <w:b w:val="0"/>
        </w:rPr>
        <w:t xml:space="preserve"> survey.</w:t>
      </w:r>
    </w:p>
    <w:p w:rsidR="00D40F09" w:rsidRPr="000A7045" w:rsidRDefault="00D40F09" w:rsidP="00D40F09">
      <w:pPr>
        <w:spacing w:before="240"/>
        <w:rPr>
          <w:color w:val="000000" w:themeColor="text1"/>
        </w:rPr>
      </w:pPr>
      <w:r w:rsidRPr="000A7045">
        <w:rPr>
          <w:color w:val="000000" w:themeColor="text1"/>
        </w:rPr>
        <w:t xml:space="preserve">Of </w:t>
      </w:r>
      <w:r w:rsidR="006A0A6A">
        <w:rPr>
          <w:color w:val="000000" w:themeColor="text1"/>
        </w:rPr>
        <w:t>the young adults</w:t>
      </w:r>
      <w:r w:rsidR="006A0A6A" w:rsidRPr="000A7045">
        <w:rPr>
          <w:color w:val="000000" w:themeColor="text1"/>
        </w:rPr>
        <w:t xml:space="preserve"> </w:t>
      </w:r>
      <w:r w:rsidRPr="000A7045">
        <w:rPr>
          <w:color w:val="000000" w:themeColor="text1"/>
        </w:rPr>
        <w:t>who lodged a claim for JCB1,</w:t>
      </w:r>
      <w:r w:rsidRPr="000A7045">
        <w:rPr>
          <w:color w:val="000000" w:themeColor="text1"/>
          <w:vertAlign w:val="superscript"/>
        </w:rPr>
        <w:footnoteReference w:id="50"/>
      </w:r>
      <w:r w:rsidRPr="000A7045">
        <w:rPr>
          <w:color w:val="000000" w:themeColor="text1"/>
        </w:rPr>
        <w:t xml:space="preserve"> based on applications for qualifying in the period 1 July 2015 to 30 June 2016, 66.7 per cent were sent the bulk mail out letter from DHS.</w:t>
      </w:r>
    </w:p>
    <w:p w:rsidR="00913AC9" w:rsidRDefault="00913AC9" w:rsidP="004968D9">
      <w:pPr>
        <w:pStyle w:val="Heading4"/>
        <w:rPr>
          <w:rFonts w:eastAsia="Times New Roman"/>
          <w:lang w:eastAsia="en-AU"/>
        </w:rPr>
      </w:pPr>
      <w:bookmarkStart w:id="164" w:name="_Toc478117581"/>
      <w:r>
        <w:rPr>
          <w:rFonts w:eastAsia="Times New Roman"/>
          <w:lang w:eastAsia="en-AU"/>
        </w:rPr>
        <w:t xml:space="preserve">Provider </w:t>
      </w:r>
      <w:r w:rsidR="00656A3A">
        <w:rPr>
          <w:rFonts w:eastAsia="Times New Roman"/>
          <w:lang w:eastAsia="en-AU"/>
        </w:rPr>
        <w:t>awareness</w:t>
      </w:r>
    </w:p>
    <w:p w:rsidR="000230E7" w:rsidRPr="004029F8" w:rsidRDefault="00913AC9" w:rsidP="000230E7">
      <w:pPr>
        <w:spacing w:before="120"/>
        <w:rPr>
          <w:rFonts w:ascii="Calibri" w:eastAsia="Times New Roman" w:hAnsi="Calibri" w:cs="Calibri"/>
          <w:color w:val="000000"/>
          <w:lang w:eastAsia="en-AU"/>
        </w:rPr>
      </w:pPr>
      <w:r>
        <w:rPr>
          <w:rFonts w:ascii="Calibri" w:eastAsia="Times New Roman" w:hAnsi="Calibri" w:cs="Calibri"/>
          <w:color w:val="000000"/>
          <w:lang w:eastAsia="en-AU"/>
        </w:rPr>
        <w:t xml:space="preserve">According to the </w:t>
      </w:r>
      <w:r w:rsidR="003D52BD">
        <w:rPr>
          <w:rFonts w:ascii="Calibri" w:eastAsia="Times New Roman" w:hAnsi="Calibri" w:cs="Calibri"/>
          <w:color w:val="000000"/>
          <w:lang w:eastAsia="en-AU"/>
        </w:rPr>
        <w:t xml:space="preserve">2016 </w:t>
      </w:r>
      <w:r>
        <w:rPr>
          <w:rFonts w:ascii="Calibri" w:eastAsia="Times New Roman" w:hAnsi="Calibri" w:cs="Calibri"/>
          <w:color w:val="000000"/>
          <w:lang w:eastAsia="en-AU"/>
        </w:rPr>
        <w:t>Employment Provider Survey, by</w:t>
      </w:r>
      <w:r w:rsidR="000230E7" w:rsidRPr="004029F8">
        <w:rPr>
          <w:rFonts w:ascii="Calibri" w:eastAsia="Times New Roman" w:hAnsi="Calibri" w:cs="Calibri"/>
          <w:color w:val="000000"/>
          <w:lang w:eastAsia="en-AU"/>
        </w:rPr>
        <w:t xml:space="preserve"> the second year of operation, awareness of the JCB was high am</w:t>
      </w:r>
      <w:r w:rsidR="000230E7">
        <w:rPr>
          <w:rFonts w:ascii="Calibri" w:eastAsia="Times New Roman" w:hAnsi="Calibri" w:cs="Calibri"/>
          <w:color w:val="000000"/>
          <w:lang w:eastAsia="en-AU"/>
        </w:rPr>
        <w:t xml:space="preserve">ong providers, with 92 per cent </w:t>
      </w:r>
      <w:r w:rsidR="000230E7" w:rsidRPr="004029F8">
        <w:rPr>
          <w:rFonts w:ascii="Calibri" w:eastAsia="Times New Roman" w:hAnsi="Calibri" w:cs="Calibri"/>
          <w:color w:val="000000"/>
          <w:lang w:eastAsia="en-AU"/>
        </w:rPr>
        <w:t xml:space="preserve">having heard of </w:t>
      </w:r>
      <w:r w:rsidR="000230E7">
        <w:rPr>
          <w:rFonts w:ascii="Calibri" w:eastAsia="Times New Roman" w:hAnsi="Calibri" w:cs="Calibri"/>
          <w:color w:val="000000"/>
          <w:lang w:eastAsia="en-AU"/>
        </w:rPr>
        <w:t>it</w:t>
      </w:r>
      <w:r w:rsidR="000230E7" w:rsidRPr="004029F8">
        <w:rPr>
          <w:rFonts w:ascii="Calibri" w:eastAsia="Times New Roman" w:hAnsi="Calibri" w:cs="Calibri"/>
          <w:color w:val="000000"/>
          <w:lang w:eastAsia="en-AU"/>
        </w:rPr>
        <w:t xml:space="preserve">. </w:t>
      </w:r>
      <w:r w:rsidR="006A0A6A">
        <w:rPr>
          <w:rFonts w:ascii="Calibri" w:eastAsia="Times New Roman" w:hAnsi="Calibri" w:cs="Calibri"/>
          <w:color w:val="000000"/>
          <w:lang w:eastAsia="en-AU"/>
        </w:rPr>
        <w:t>These p</w:t>
      </w:r>
      <w:r w:rsidR="000230E7" w:rsidRPr="004029F8">
        <w:rPr>
          <w:rFonts w:ascii="Calibri" w:eastAsia="Times New Roman" w:hAnsi="Calibri" w:cs="Calibri"/>
          <w:color w:val="000000"/>
          <w:lang w:eastAsia="en-AU"/>
        </w:rPr>
        <w:t>roviders were asked whether the staff had discussed the bonus with job seekers. Most of the</w:t>
      </w:r>
      <w:r w:rsidR="006A0A6A">
        <w:rPr>
          <w:rFonts w:ascii="Calibri" w:eastAsia="Times New Roman" w:hAnsi="Calibri" w:cs="Calibri"/>
          <w:color w:val="000000"/>
          <w:lang w:eastAsia="en-AU"/>
        </w:rPr>
        <w:t>m</w:t>
      </w:r>
      <w:r w:rsidR="000230E7" w:rsidRPr="004029F8">
        <w:rPr>
          <w:rFonts w:ascii="Calibri" w:eastAsia="Times New Roman" w:hAnsi="Calibri" w:cs="Calibri"/>
          <w:color w:val="000000"/>
          <w:lang w:eastAsia="en-AU"/>
        </w:rPr>
        <w:t xml:space="preserve"> (72 per cent) said that their staff had discussed the JCB with job seekers in the target cohort</w:t>
      </w:r>
      <w:r w:rsidR="000230E7">
        <w:rPr>
          <w:rFonts w:ascii="Calibri" w:eastAsia="Times New Roman" w:hAnsi="Calibri" w:cs="Calibri"/>
          <w:color w:val="000000"/>
          <w:lang w:eastAsia="en-AU"/>
        </w:rPr>
        <w:t>.</w:t>
      </w:r>
      <w:r w:rsidR="000230E7" w:rsidRPr="004029F8">
        <w:rPr>
          <w:rFonts w:ascii="Calibri" w:eastAsia="Times New Roman" w:hAnsi="Calibri" w:cs="Calibri"/>
          <w:color w:val="000000"/>
          <w:lang w:eastAsia="en-AU"/>
        </w:rPr>
        <w:t xml:space="preserve"> However, 12 per cent stated that their staff had not discussed the </w:t>
      </w:r>
      <w:r w:rsidR="000230E7">
        <w:rPr>
          <w:rFonts w:ascii="Calibri" w:eastAsia="Times New Roman" w:hAnsi="Calibri" w:cs="Calibri"/>
          <w:color w:val="000000"/>
          <w:lang w:eastAsia="en-AU"/>
        </w:rPr>
        <w:t>JCB</w:t>
      </w:r>
      <w:r w:rsidR="000230E7" w:rsidRPr="004029F8">
        <w:rPr>
          <w:rFonts w:ascii="Calibri" w:eastAsia="Times New Roman" w:hAnsi="Calibri" w:cs="Calibri"/>
          <w:color w:val="000000"/>
          <w:lang w:eastAsia="en-AU"/>
        </w:rPr>
        <w:t xml:space="preserve"> with job seekers and 16 per cent were unaware whether the </w:t>
      </w:r>
      <w:r w:rsidR="000230E7">
        <w:rPr>
          <w:rFonts w:ascii="Calibri" w:eastAsia="Times New Roman" w:hAnsi="Calibri" w:cs="Calibri"/>
          <w:color w:val="000000"/>
          <w:lang w:eastAsia="en-AU"/>
        </w:rPr>
        <w:t>JCB</w:t>
      </w:r>
      <w:r w:rsidR="000230E7" w:rsidRPr="004029F8">
        <w:rPr>
          <w:rFonts w:ascii="Calibri" w:eastAsia="Times New Roman" w:hAnsi="Calibri" w:cs="Calibri"/>
          <w:color w:val="000000"/>
          <w:lang w:eastAsia="en-AU"/>
        </w:rPr>
        <w:t xml:space="preserve"> had been mentioned to job seekers. Most providers stated that the majority of job seekers were either ‘very aware’ (23 per cent) or ‘somewhat aware’ (64 per cent) of the JCB. Only 8 per cent thought job seekers at their site were not at all aware of the JCB. </w:t>
      </w:r>
      <w:r w:rsidR="00FD2A6D">
        <w:rPr>
          <w:rFonts w:ascii="Calibri" w:eastAsia="Times New Roman" w:hAnsi="Calibri" w:cs="Calibri"/>
          <w:color w:val="000000"/>
          <w:lang w:eastAsia="en-AU"/>
        </w:rPr>
        <w:t>In the</w:t>
      </w:r>
      <w:r w:rsidR="000230E7" w:rsidRPr="004029F8">
        <w:rPr>
          <w:rFonts w:ascii="Calibri" w:eastAsia="Times New Roman" w:hAnsi="Calibri" w:cs="Calibri"/>
          <w:color w:val="000000"/>
          <w:lang w:eastAsia="en-AU"/>
        </w:rPr>
        <w:t xml:space="preserve"> 2015 qualitative research conducted with providers and job seekers, low levels of awareness of </w:t>
      </w:r>
      <w:r w:rsidR="000230E7">
        <w:rPr>
          <w:rFonts w:ascii="Calibri" w:eastAsia="Times New Roman" w:hAnsi="Calibri" w:cs="Calibri"/>
          <w:color w:val="000000"/>
          <w:lang w:eastAsia="en-AU"/>
        </w:rPr>
        <w:t xml:space="preserve">the </w:t>
      </w:r>
      <w:r w:rsidR="000230E7" w:rsidRPr="004029F8">
        <w:rPr>
          <w:rFonts w:ascii="Calibri" w:eastAsia="Times New Roman" w:hAnsi="Calibri" w:cs="Calibri"/>
          <w:color w:val="000000"/>
          <w:lang w:eastAsia="en-AU"/>
        </w:rPr>
        <w:t>JCB</w:t>
      </w:r>
      <w:r w:rsidR="00FD2A6D">
        <w:rPr>
          <w:rFonts w:ascii="Calibri" w:eastAsia="Times New Roman" w:hAnsi="Calibri" w:cs="Calibri"/>
          <w:color w:val="000000"/>
          <w:lang w:eastAsia="en-AU"/>
        </w:rPr>
        <w:t xml:space="preserve"> were found, suggesting that provider awareness of the JCB had been increasing over time</w:t>
      </w:r>
      <w:r w:rsidR="000230E7" w:rsidRPr="004029F8">
        <w:rPr>
          <w:rFonts w:ascii="Calibri" w:eastAsia="Times New Roman" w:hAnsi="Calibri" w:cs="Calibri"/>
          <w:color w:val="000000"/>
          <w:lang w:eastAsia="en-AU"/>
        </w:rPr>
        <w:t>.</w:t>
      </w:r>
    </w:p>
    <w:p w:rsidR="000230E7" w:rsidRPr="00602B02" w:rsidRDefault="000230E7" w:rsidP="000230E7">
      <w:pPr>
        <w:spacing w:before="120"/>
        <w:rPr>
          <w:rStyle w:val="Emphasis"/>
          <w:i w:val="0"/>
        </w:rPr>
      </w:pPr>
      <w:r>
        <w:rPr>
          <w:rFonts w:ascii="Calibri" w:eastAsia="Times New Roman" w:hAnsi="Calibri" w:cs="Calibri"/>
          <w:color w:val="000000"/>
          <w:lang w:eastAsia="en-AU"/>
        </w:rPr>
        <w:lastRenderedPageBreak/>
        <w:t xml:space="preserve">Most participants in the main round of fieldwork who had applied for the bonus </w:t>
      </w:r>
      <w:r w:rsidR="00363B37">
        <w:rPr>
          <w:rFonts w:ascii="Calibri" w:eastAsia="Times New Roman" w:hAnsi="Calibri" w:cs="Calibri"/>
          <w:color w:val="000000"/>
          <w:lang w:eastAsia="en-AU"/>
        </w:rPr>
        <w:t>beca</w:t>
      </w:r>
      <w:r>
        <w:rPr>
          <w:rFonts w:ascii="Calibri" w:eastAsia="Times New Roman" w:hAnsi="Calibri" w:cs="Calibri"/>
          <w:color w:val="000000"/>
          <w:lang w:eastAsia="en-AU"/>
        </w:rPr>
        <w:t xml:space="preserve">me aware of the bonus after they became employed. </w:t>
      </w:r>
      <w:r w:rsidR="00913AC9">
        <w:rPr>
          <w:rFonts w:ascii="Calibri" w:eastAsia="Times New Roman" w:hAnsi="Calibri" w:cs="Calibri"/>
          <w:color w:val="000000"/>
          <w:lang w:eastAsia="en-AU"/>
        </w:rPr>
        <w:t xml:space="preserve">These results indicate that </w:t>
      </w:r>
      <w:r w:rsidR="00363B37">
        <w:rPr>
          <w:rFonts w:ascii="Calibri" w:eastAsia="Times New Roman" w:hAnsi="Calibri" w:cs="Calibri"/>
          <w:color w:val="000000"/>
          <w:lang w:eastAsia="en-AU"/>
        </w:rPr>
        <w:t>employment service providers may not have us</w:t>
      </w:r>
      <w:r w:rsidR="000E2AF7">
        <w:rPr>
          <w:rFonts w:ascii="Calibri" w:eastAsia="Times New Roman" w:hAnsi="Calibri" w:cs="Calibri"/>
          <w:color w:val="000000"/>
          <w:lang w:eastAsia="en-AU"/>
        </w:rPr>
        <w:t>ed</w:t>
      </w:r>
      <w:r w:rsidR="00363B37">
        <w:rPr>
          <w:rFonts w:ascii="Calibri" w:eastAsia="Times New Roman" w:hAnsi="Calibri" w:cs="Calibri"/>
          <w:color w:val="000000"/>
          <w:lang w:eastAsia="en-AU"/>
        </w:rPr>
        <w:t xml:space="preserve"> the JCB as a motivational tool </w:t>
      </w:r>
      <w:r w:rsidR="00D85853">
        <w:rPr>
          <w:rFonts w:ascii="Calibri" w:eastAsia="Times New Roman" w:hAnsi="Calibri" w:cs="Calibri"/>
          <w:color w:val="000000"/>
          <w:lang w:eastAsia="en-AU"/>
        </w:rPr>
        <w:t>as effectively as</w:t>
      </w:r>
      <w:r w:rsidR="000E2AF7">
        <w:rPr>
          <w:rFonts w:ascii="Calibri" w:eastAsia="Times New Roman" w:hAnsi="Calibri" w:cs="Calibri"/>
          <w:color w:val="000000"/>
          <w:lang w:eastAsia="en-AU"/>
        </w:rPr>
        <w:t xml:space="preserve"> they </w:t>
      </w:r>
      <w:r w:rsidR="00363B37">
        <w:rPr>
          <w:rFonts w:ascii="Calibri" w:eastAsia="Times New Roman" w:hAnsi="Calibri" w:cs="Calibri"/>
          <w:color w:val="000000"/>
          <w:lang w:eastAsia="en-AU"/>
        </w:rPr>
        <w:t>could have.</w:t>
      </w:r>
    </w:p>
    <w:p w:rsidR="00050D59" w:rsidRDefault="00050D59" w:rsidP="00050D59">
      <w:pPr>
        <w:pStyle w:val="Heading4"/>
        <w:rPr>
          <w:rFonts w:eastAsia="Times New Roman"/>
          <w:lang w:eastAsia="en-AU"/>
        </w:rPr>
      </w:pPr>
      <w:r>
        <w:rPr>
          <w:rFonts w:eastAsia="Times New Roman"/>
          <w:lang w:eastAsia="en-AU"/>
        </w:rPr>
        <w:t xml:space="preserve">Improving </w:t>
      </w:r>
      <w:r w:rsidR="00656A3A">
        <w:rPr>
          <w:rFonts w:eastAsia="Times New Roman"/>
          <w:lang w:eastAsia="en-AU"/>
        </w:rPr>
        <w:t>communication</w:t>
      </w:r>
    </w:p>
    <w:p w:rsidR="00050D59" w:rsidRPr="001B1FFF" w:rsidRDefault="00050D59" w:rsidP="00050D59">
      <w:pPr>
        <w:spacing w:before="120"/>
        <w:rPr>
          <w:color w:val="000000" w:themeColor="text1"/>
        </w:rPr>
      </w:pPr>
      <w:r w:rsidRPr="001B1FFF">
        <w:rPr>
          <w:color w:val="000000" w:themeColor="text1"/>
        </w:rPr>
        <w:t xml:space="preserve">For most people, friends and family are the most trusted source of information. Using online social networking to harness the social influence of friends could </w:t>
      </w:r>
      <w:r>
        <w:rPr>
          <w:color w:val="000000" w:themeColor="text1"/>
        </w:rPr>
        <w:t xml:space="preserve">have </w:t>
      </w:r>
      <w:r w:rsidRPr="001B1FFF">
        <w:rPr>
          <w:color w:val="000000" w:themeColor="text1"/>
        </w:rPr>
        <w:t>provide</w:t>
      </w:r>
      <w:r>
        <w:rPr>
          <w:color w:val="000000" w:themeColor="text1"/>
        </w:rPr>
        <w:t>d</w:t>
      </w:r>
      <w:r w:rsidRPr="001B1FFF">
        <w:rPr>
          <w:color w:val="000000" w:themeColor="text1"/>
        </w:rPr>
        <w:t xml:space="preserve"> a low cost way to raise </w:t>
      </w:r>
      <w:r>
        <w:rPr>
          <w:color w:val="000000" w:themeColor="text1"/>
        </w:rPr>
        <w:t xml:space="preserve">JCB </w:t>
      </w:r>
      <w:r w:rsidRPr="001B1FFF">
        <w:rPr>
          <w:color w:val="000000" w:themeColor="text1"/>
        </w:rPr>
        <w:t xml:space="preserve">awareness. Similarly, word of mouth (from family and friends) and advertising, promotion (by providers and social media) are other potential ways </w:t>
      </w:r>
      <w:r>
        <w:rPr>
          <w:color w:val="000000" w:themeColor="text1"/>
        </w:rPr>
        <w:t>that</w:t>
      </w:r>
      <w:r w:rsidRPr="001B1FFF">
        <w:rPr>
          <w:color w:val="000000" w:themeColor="text1"/>
        </w:rPr>
        <w:t xml:space="preserve"> receptiveness to the JCB message</w:t>
      </w:r>
      <w:r>
        <w:rPr>
          <w:color w:val="000000" w:themeColor="text1"/>
        </w:rPr>
        <w:t xml:space="preserve"> might have been improved</w:t>
      </w:r>
      <w:r w:rsidRPr="001B1FFF">
        <w:rPr>
          <w:color w:val="000000" w:themeColor="text1"/>
        </w:rPr>
        <w:t>.</w:t>
      </w:r>
    </w:p>
    <w:p w:rsidR="00704748" w:rsidRDefault="00050D59" w:rsidP="00050D59">
      <w:pPr>
        <w:spacing w:before="120"/>
        <w:rPr>
          <w:color w:val="000000" w:themeColor="text1"/>
        </w:rPr>
      </w:pPr>
      <w:r w:rsidRPr="001B1FFF">
        <w:rPr>
          <w:color w:val="000000" w:themeColor="text1"/>
        </w:rPr>
        <w:t xml:space="preserve">The </w:t>
      </w:r>
      <w:r w:rsidR="001E3E56">
        <w:rPr>
          <w:color w:val="000000" w:themeColor="text1"/>
        </w:rPr>
        <w:t xml:space="preserve">early cessation of the </w:t>
      </w:r>
      <w:r w:rsidRPr="001B1FFF">
        <w:rPr>
          <w:color w:val="000000" w:themeColor="text1"/>
        </w:rPr>
        <w:t xml:space="preserve">JCB program </w:t>
      </w:r>
      <w:r w:rsidR="001E3E56">
        <w:rPr>
          <w:color w:val="000000" w:themeColor="text1"/>
        </w:rPr>
        <w:t>means</w:t>
      </w:r>
      <w:r w:rsidRPr="001B1FFF">
        <w:rPr>
          <w:color w:val="000000" w:themeColor="text1"/>
        </w:rPr>
        <w:t xml:space="preserve"> it is not possible to ascertain if this type of program promotion </w:t>
      </w:r>
      <w:r w:rsidR="001E3E56">
        <w:rPr>
          <w:color w:val="000000" w:themeColor="text1"/>
        </w:rPr>
        <w:t>may have grown over time</w:t>
      </w:r>
      <w:r w:rsidRPr="001B1FFF">
        <w:rPr>
          <w:color w:val="000000" w:themeColor="text1"/>
        </w:rPr>
        <w:t>. This method to increase program awareness was not an aspect considered</w:t>
      </w:r>
      <w:r w:rsidR="00602B02">
        <w:rPr>
          <w:color w:val="000000" w:themeColor="text1"/>
        </w:rPr>
        <w:t xml:space="preserve"> in the communication strategy.</w:t>
      </w:r>
    </w:p>
    <w:p w:rsidR="00457608" w:rsidRDefault="00050D59" w:rsidP="00050D59">
      <w:pPr>
        <w:spacing w:before="120"/>
        <w:rPr>
          <w:color w:val="000000" w:themeColor="text1"/>
        </w:rPr>
      </w:pPr>
      <w:r w:rsidRPr="001B1FFF">
        <w:rPr>
          <w:color w:val="000000" w:themeColor="text1"/>
        </w:rPr>
        <w:t xml:space="preserve">Communication strategies for any </w:t>
      </w:r>
      <w:r>
        <w:rPr>
          <w:color w:val="000000" w:themeColor="text1"/>
        </w:rPr>
        <w:t xml:space="preserve">future </w:t>
      </w:r>
      <w:r w:rsidRPr="001B1FFF">
        <w:rPr>
          <w:color w:val="000000" w:themeColor="text1"/>
        </w:rPr>
        <w:t xml:space="preserve">programs involving this younger </w:t>
      </w:r>
      <w:r>
        <w:rPr>
          <w:color w:val="000000" w:themeColor="text1"/>
        </w:rPr>
        <w:t>group</w:t>
      </w:r>
      <w:r w:rsidRPr="001B1FFF">
        <w:rPr>
          <w:color w:val="000000" w:themeColor="text1"/>
        </w:rPr>
        <w:t xml:space="preserve"> should consider taking advantage of online social networks.</w:t>
      </w:r>
      <w:r w:rsidR="00C659BE">
        <w:rPr>
          <w:color w:val="000000" w:themeColor="text1"/>
        </w:rPr>
        <w:t xml:space="preserve"> A recent study</w:t>
      </w:r>
      <w:r w:rsidR="00457608">
        <w:rPr>
          <w:rStyle w:val="FootnoteReference"/>
          <w:color w:val="000000" w:themeColor="text1"/>
        </w:rPr>
        <w:footnoteReference w:id="51"/>
      </w:r>
      <w:r w:rsidR="00457608">
        <w:rPr>
          <w:color w:val="000000" w:themeColor="text1"/>
        </w:rPr>
        <w:t xml:space="preserve"> into social media usage by young people</w:t>
      </w:r>
      <w:r w:rsidR="00457608">
        <w:rPr>
          <w:rStyle w:val="FootnoteReference"/>
          <w:color w:val="000000" w:themeColor="text1"/>
        </w:rPr>
        <w:footnoteReference w:id="52"/>
      </w:r>
      <w:r w:rsidR="00457608">
        <w:rPr>
          <w:color w:val="000000" w:themeColor="text1"/>
        </w:rPr>
        <w:t xml:space="preserve"> </w:t>
      </w:r>
      <w:r w:rsidR="00C659BE">
        <w:rPr>
          <w:color w:val="000000" w:themeColor="text1"/>
        </w:rPr>
        <w:t>found that</w:t>
      </w:r>
      <w:r w:rsidR="00457608">
        <w:rPr>
          <w:color w:val="000000" w:themeColor="text1"/>
        </w:rPr>
        <w:t>:</w:t>
      </w:r>
    </w:p>
    <w:p w:rsidR="00457608" w:rsidRDefault="00C659BE" w:rsidP="00E3205B">
      <w:pPr>
        <w:pStyle w:val="ListParagraph"/>
        <w:numPr>
          <w:ilvl w:val="0"/>
          <w:numId w:val="91"/>
        </w:numPr>
        <w:spacing w:before="120"/>
        <w:rPr>
          <w:color w:val="000000" w:themeColor="text1"/>
        </w:rPr>
      </w:pPr>
      <w:r w:rsidRPr="00457608">
        <w:rPr>
          <w:color w:val="000000" w:themeColor="text1"/>
        </w:rPr>
        <w:t>social media is the</w:t>
      </w:r>
      <w:r w:rsidR="00457608">
        <w:rPr>
          <w:color w:val="000000" w:themeColor="text1"/>
        </w:rPr>
        <w:t>ir</w:t>
      </w:r>
      <w:r w:rsidRPr="00457608">
        <w:rPr>
          <w:color w:val="000000" w:themeColor="text1"/>
        </w:rPr>
        <w:t xml:space="preserve"> first source of information</w:t>
      </w:r>
      <w:r w:rsidR="00457608">
        <w:rPr>
          <w:color w:val="000000" w:themeColor="text1"/>
        </w:rPr>
        <w:t>, being convenient and accessible</w:t>
      </w:r>
    </w:p>
    <w:p w:rsidR="007A7E20" w:rsidRPr="00457608" w:rsidRDefault="00457608" w:rsidP="00E3205B">
      <w:pPr>
        <w:pStyle w:val="ListParagraph"/>
        <w:numPr>
          <w:ilvl w:val="0"/>
          <w:numId w:val="91"/>
        </w:numPr>
        <w:spacing w:before="120"/>
        <w:rPr>
          <w:color w:val="000000" w:themeColor="text1"/>
        </w:rPr>
      </w:pPr>
      <w:r w:rsidRPr="00457608">
        <w:rPr>
          <w:color w:val="000000" w:themeColor="text1"/>
        </w:rPr>
        <w:t>using social media to communicate with you</w:t>
      </w:r>
      <w:r w:rsidR="00C659BE" w:rsidRPr="00457608">
        <w:rPr>
          <w:color w:val="000000" w:themeColor="text1"/>
        </w:rPr>
        <w:t xml:space="preserve">ng people can increase engagement </w:t>
      </w:r>
      <w:r w:rsidRPr="00457608">
        <w:rPr>
          <w:color w:val="000000" w:themeColor="text1"/>
        </w:rPr>
        <w:t>and is an</w:t>
      </w:r>
      <w:r w:rsidR="00C659BE" w:rsidRPr="00457608">
        <w:rPr>
          <w:color w:val="000000" w:themeColor="text1"/>
        </w:rPr>
        <w:t xml:space="preserve"> effective way to increase </w:t>
      </w:r>
      <w:r>
        <w:rPr>
          <w:color w:val="000000" w:themeColor="text1"/>
        </w:rPr>
        <w:t>their</w:t>
      </w:r>
      <w:r w:rsidR="00C659BE" w:rsidRPr="00457608">
        <w:rPr>
          <w:color w:val="000000" w:themeColor="text1"/>
        </w:rPr>
        <w:t xml:space="preserve"> awareness of </w:t>
      </w:r>
      <w:r w:rsidR="007A7E20" w:rsidRPr="00457608">
        <w:rPr>
          <w:color w:val="000000" w:themeColor="text1"/>
        </w:rPr>
        <w:t>programs</w:t>
      </w:r>
    </w:p>
    <w:p w:rsidR="007A7E20" w:rsidRPr="00457608" w:rsidRDefault="00704748" w:rsidP="00E3205B">
      <w:pPr>
        <w:pStyle w:val="ListParagraph"/>
        <w:numPr>
          <w:ilvl w:val="0"/>
          <w:numId w:val="91"/>
        </w:numPr>
        <w:spacing w:before="120"/>
        <w:rPr>
          <w:color w:val="000000" w:themeColor="text1"/>
        </w:rPr>
      </w:pPr>
      <w:r>
        <w:rPr>
          <w:color w:val="000000" w:themeColor="text1"/>
        </w:rPr>
        <w:t>young people</w:t>
      </w:r>
      <w:r w:rsidR="00457608" w:rsidRPr="00457608">
        <w:rPr>
          <w:color w:val="000000" w:themeColor="text1"/>
        </w:rPr>
        <w:t xml:space="preserve"> </w:t>
      </w:r>
      <w:r>
        <w:rPr>
          <w:color w:val="000000" w:themeColor="text1"/>
        </w:rPr>
        <w:t>believe</w:t>
      </w:r>
      <w:r w:rsidR="00457608" w:rsidRPr="00457608">
        <w:rPr>
          <w:color w:val="000000" w:themeColor="text1"/>
        </w:rPr>
        <w:t xml:space="preserve"> that</w:t>
      </w:r>
      <w:r w:rsidR="00457608">
        <w:rPr>
          <w:color w:val="000000" w:themeColor="text1"/>
        </w:rPr>
        <w:t xml:space="preserve"> </w:t>
      </w:r>
      <w:r w:rsidR="007A7E20" w:rsidRPr="00457608">
        <w:rPr>
          <w:color w:val="000000" w:themeColor="text1"/>
        </w:rPr>
        <w:t xml:space="preserve">government should communicate with </w:t>
      </w:r>
      <w:r w:rsidR="00457608">
        <w:rPr>
          <w:color w:val="000000" w:themeColor="text1"/>
        </w:rPr>
        <w:t>them</w:t>
      </w:r>
      <w:r w:rsidR="007A7E20" w:rsidRPr="00457608">
        <w:rPr>
          <w:color w:val="000000" w:themeColor="text1"/>
        </w:rPr>
        <w:t xml:space="preserve"> using </w:t>
      </w:r>
      <w:r w:rsidR="00457608">
        <w:rPr>
          <w:color w:val="000000" w:themeColor="text1"/>
        </w:rPr>
        <w:t xml:space="preserve">the </w:t>
      </w:r>
      <w:r w:rsidR="001E3E56">
        <w:rPr>
          <w:color w:val="000000" w:themeColor="text1"/>
        </w:rPr>
        <w:t xml:space="preserve">communication </w:t>
      </w:r>
      <w:r w:rsidR="007A7E20" w:rsidRPr="00457608">
        <w:rPr>
          <w:color w:val="000000" w:themeColor="text1"/>
        </w:rPr>
        <w:t xml:space="preserve">mediums </w:t>
      </w:r>
      <w:r w:rsidR="00457608">
        <w:rPr>
          <w:color w:val="000000" w:themeColor="text1"/>
        </w:rPr>
        <w:t>they</w:t>
      </w:r>
      <w:r w:rsidR="007A7E20" w:rsidRPr="00457608">
        <w:rPr>
          <w:color w:val="000000" w:themeColor="text1"/>
        </w:rPr>
        <w:t xml:space="preserve"> use rather than expe</w:t>
      </w:r>
      <w:r w:rsidR="00457608">
        <w:rPr>
          <w:color w:val="000000" w:themeColor="text1"/>
        </w:rPr>
        <w:t>c</w:t>
      </w:r>
      <w:r w:rsidR="007A7E20" w:rsidRPr="00457608">
        <w:rPr>
          <w:color w:val="000000" w:themeColor="text1"/>
        </w:rPr>
        <w:t xml:space="preserve">ting young people to </w:t>
      </w:r>
      <w:r w:rsidR="00457608">
        <w:rPr>
          <w:color w:val="000000" w:themeColor="text1"/>
        </w:rPr>
        <w:t xml:space="preserve">engage through </w:t>
      </w:r>
      <w:r w:rsidR="001E3E56">
        <w:rPr>
          <w:color w:val="000000" w:themeColor="text1"/>
        </w:rPr>
        <w:t xml:space="preserve">channels </w:t>
      </w:r>
      <w:r w:rsidR="00457608">
        <w:rPr>
          <w:color w:val="000000" w:themeColor="text1"/>
        </w:rPr>
        <w:t>that government might otherwise prefer / traditionally use.</w:t>
      </w:r>
    </w:p>
    <w:p w:rsidR="00BF6229" w:rsidRPr="00D83A7E" w:rsidRDefault="00BF6229" w:rsidP="00D83A7E">
      <w:pPr>
        <w:pStyle w:val="Heading3"/>
        <w:spacing w:after="120"/>
      </w:pPr>
      <w:r w:rsidRPr="00D83A7E">
        <w:t>3.7.2</w:t>
      </w:r>
      <w:r w:rsidRPr="00D83A7E">
        <w:tab/>
      </w:r>
      <w:r w:rsidR="001E3E56">
        <w:t>View</w:t>
      </w:r>
      <w:r w:rsidR="001E3E56" w:rsidRPr="00D83A7E">
        <w:t xml:space="preserve">s </w:t>
      </w:r>
      <w:r w:rsidRPr="00D83A7E">
        <w:t>about dealings with the income support system</w:t>
      </w:r>
      <w:bookmarkEnd w:id="164"/>
    </w:p>
    <w:p w:rsidR="006D3472" w:rsidRDefault="00EA41F7" w:rsidP="00E9609C">
      <w:pPr>
        <w:spacing w:before="120"/>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The target cohort for the bonus </w:t>
      </w:r>
      <w:r w:rsidR="003D52BD">
        <w:rPr>
          <w:rFonts w:ascii="Calibri" w:eastAsia="Times New Roman" w:hAnsi="Calibri" w:cs="Calibri"/>
          <w:color w:val="000000" w:themeColor="text1"/>
          <w:lang w:eastAsia="en-AU"/>
        </w:rPr>
        <w:t>were people either still on income support or those who had recently exited income support</w:t>
      </w:r>
      <w:r>
        <w:rPr>
          <w:rFonts w:ascii="Calibri" w:eastAsia="Times New Roman" w:hAnsi="Calibri" w:cs="Calibri"/>
          <w:color w:val="000000" w:themeColor="text1"/>
          <w:lang w:eastAsia="en-AU"/>
        </w:rPr>
        <w:t xml:space="preserve">. </w:t>
      </w:r>
      <w:r w:rsidR="00FB2453">
        <w:rPr>
          <w:rFonts w:ascii="Calibri" w:eastAsia="Times New Roman" w:hAnsi="Calibri" w:cs="Calibri"/>
          <w:color w:val="000000" w:themeColor="text1"/>
          <w:lang w:eastAsia="en-AU"/>
        </w:rPr>
        <w:t>For this group, t</w:t>
      </w:r>
      <w:r>
        <w:rPr>
          <w:rFonts w:ascii="Calibri" w:eastAsia="Times New Roman" w:hAnsi="Calibri" w:cs="Calibri"/>
          <w:color w:val="000000" w:themeColor="text1"/>
          <w:lang w:eastAsia="en-AU"/>
        </w:rPr>
        <w:t xml:space="preserve">he JCB </w:t>
      </w:r>
      <w:r w:rsidR="00455298">
        <w:rPr>
          <w:rFonts w:ascii="Calibri" w:eastAsia="Times New Roman" w:hAnsi="Calibri" w:cs="Calibri"/>
          <w:color w:val="000000" w:themeColor="text1"/>
          <w:lang w:eastAsia="en-AU"/>
        </w:rPr>
        <w:t xml:space="preserve">program </w:t>
      </w:r>
      <w:r>
        <w:rPr>
          <w:rFonts w:ascii="Calibri" w:eastAsia="Times New Roman" w:hAnsi="Calibri" w:cs="Calibri"/>
          <w:color w:val="000000" w:themeColor="text1"/>
          <w:lang w:eastAsia="en-AU"/>
        </w:rPr>
        <w:t xml:space="preserve">was a paradigm shift, with the government offering </w:t>
      </w:r>
      <w:r w:rsidR="003D52BD">
        <w:rPr>
          <w:rFonts w:ascii="Calibri" w:eastAsia="Times New Roman" w:hAnsi="Calibri" w:cs="Calibri"/>
          <w:color w:val="000000" w:themeColor="text1"/>
          <w:lang w:eastAsia="en-AU"/>
        </w:rPr>
        <w:t xml:space="preserve">them </w:t>
      </w:r>
      <w:r>
        <w:rPr>
          <w:rFonts w:ascii="Calibri" w:eastAsia="Times New Roman" w:hAnsi="Calibri" w:cs="Calibri"/>
          <w:color w:val="000000" w:themeColor="text1"/>
          <w:lang w:eastAsia="en-AU"/>
        </w:rPr>
        <w:t xml:space="preserve">a </w:t>
      </w:r>
      <w:r w:rsidR="003D52BD">
        <w:rPr>
          <w:rFonts w:ascii="Calibri" w:eastAsia="Times New Roman" w:hAnsi="Calibri" w:cs="Calibri"/>
          <w:color w:val="000000" w:themeColor="text1"/>
          <w:lang w:eastAsia="en-AU"/>
        </w:rPr>
        <w:t xml:space="preserve">positive </w:t>
      </w:r>
      <w:r>
        <w:rPr>
          <w:rFonts w:ascii="Calibri" w:eastAsia="Times New Roman" w:hAnsi="Calibri" w:cs="Calibri"/>
          <w:color w:val="000000" w:themeColor="text1"/>
          <w:lang w:eastAsia="en-AU"/>
        </w:rPr>
        <w:t xml:space="preserve">financial incentive, rather than </w:t>
      </w:r>
      <w:r w:rsidR="003D52BD">
        <w:rPr>
          <w:rFonts w:ascii="Calibri" w:eastAsia="Times New Roman" w:hAnsi="Calibri" w:cs="Calibri"/>
          <w:color w:val="000000" w:themeColor="text1"/>
          <w:lang w:eastAsia="en-AU"/>
        </w:rPr>
        <w:t>the income support compliance framework that they were used to</w:t>
      </w:r>
      <w:r>
        <w:rPr>
          <w:rFonts w:ascii="Calibri" w:eastAsia="Times New Roman" w:hAnsi="Calibri" w:cs="Calibri"/>
          <w:color w:val="000000" w:themeColor="text1"/>
          <w:lang w:eastAsia="en-AU"/>
        </w:rPr>
        <w:t>.</w:t>
      </w:r>
    </w:p>
    <w:p w:rsidR="00E9609C" w:rsidRPr="00E9609C" w:rsidRDefault="00EA41F7" w:rsidP="00E9609C">
      <w:pPr>
        <w:spacing w:before="120"/>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Many</w:t>
      </w:r>
      <w:r w:rsidR="00E9609C" w:rsidRPr="00E9609C">
        <w:rPr>
          <w:rFonts w:ascii="Calibri" w:eastAsia="Times New Roman" w:hAnsi="Calibri" w:cs="Calibri"/>
          <w:color w:val="000000" w:themeColor="text1"/>
          <w:lang w:eastAsia="en-AU"/>
        </w:rPr>
        <w:t xml:space="preserve"> </w:t>
      </w:r>
      <w:r w:rsidR="004A6D17">
        <w:rPr>
          <w:rFonts w:ascii="Calibri" w:eastAsia="Times New Roman" w:hAnsi="Calibri" w:cs="Calibri"/>
          <w:color w:val="000000" w:themeColor="text1"/>
          <w:lang w:eastAsia="en-AU"/>
        </w:rPr>
        <w:t>participants</w:t>
      </w:r>
      <w:r w:rsidR="00E9609C" w:rsidRPr="00E9609C">
        <w:rPr>
          <w:rFonts w:ascii="Calibri" w:eastAsia="Times New Roman" w:hAnsi="Calibri" w:cs="Calibri"/>
          <w:color w:val="000000" w:themeColor="text1"/>
          <w:lang w:eastAsia="en-AU"/>
        </w:rPr>
        <w:t xml:space="preserve"> in </w:t>
      </w:r>
      <w:r w:rsidR="004A6D17">
        <w:rPr>
          <w:rFonts w:ascii="Calibri" w:eastAsia="Times New Roman" w:hAnsi="Calibri" w:cs="Calibri"/>
          <w:color w:val="000000" w:themeColor="text1"/>
          <w:lang w:eastAsia="en-AU"/>
        </w:rPr>
        <w:t xml:space="preserve">the </w:t>
      </w:r>
      <w:r w:rsidR="0050747A">
        <w:rPr>
          <w:rFonts w:ascii="Calibri" w:eastAsia="Times New Roman" w:hAnsi="Calibri" w:cs="Calibri"/>
          <w:color w:val="000000" w:themeColor="text1"/>
          <w:lang w:eastAsia="en-AU"/>
        </w:rPr>
        <w:t>Round 1</w:t>
      </w:r>
      <w:r w:rsidR="00E9609C" w:rsidRPr="00E9609C">
        <w:rPr>
          <w:rFonts w:ascii="Calibri" w:eastAsia="Times New Roman" w:hAnsi="Calibri" w:cs="Calibri"/>
          <w:color w:val="000000" w:themeColor="text1"/>
          <w:lang w:eastAsia="en-AU"/>
        </w:rPr>
        <w:t xml:space="preserve"> </w:t>
      </w:r>
      <w:r w:rsidR="006D3472">
        <w:rPr>
          <w:rFonts w:ascii="Calibri" w:eastAsia="Times New Roman" w:hAnsi="Calibri" w:cs="Calibri"/>
          <w:color w:val="000000" w:themeColor="text1"/>
          <w:lang w:eastAsia="en-AU"/>
        </w:rPr>
        <w:t xml:space="preserve">fieldwork </w:t>
      </w:r>
      <w:r w:rsidR="00E9609C" w:rsidRPr="00E9609C">
        <w:rPr>
          <w:rFonts w:ascii="Calibri" w:eastAsia="Times New Roman" w:hAnsi="Calibri" w:cs="Calibri"/>
          <w:color w:val="000000" w:themeColor="text1"/>
          <w:lang w:eastAsia="en-AU"/>
        </w:rPr>
        <w:t>expressed doubt and mistrust of the JCB</w:t>
      </w:r>
      <w:r>
        <w:rPr>
          <w:rFonts w:ascii="Calibri" w:eastAsia="Times New Roman" w:hAnsi="Calibri" w:cs="Calibri"/>
          <w:color w:val="000000" w:themeColor="text1"/>
          <w:lang w:eastAsia="en-AU"/>
        </w:rPr>
        <w:t>. B</w:t>
      </w:r>
      <w:r w:rsidRPr="00E9609C">
        <w:rPr>
          <w:rFonts w:ascii="Calibri" w:eastAsia="Times New Roman" w:hAnsi="Calibri" w:cs="Calibri"/>
          <w:color w:val="000000" w:themeColor="text1"/>
          <w:lang w:eastAsia="en-AU"/>
        </w:rPr>
        <w:t xml:space="preserve">ased on established </w:t>
      </w:r>
      <w:r w:rsidRPr="00E9609C">
        <w:rPr>
          <w:color w:val="000000" w:themeColor="text1"/>
        </w:rPr>
        <w:t xml:space="preserve">negative perceptions and </w:t>
      </w:r>
      <w:r w:rsidRPr="00E9609C">
        <w:rPr>
          <w:rFonts w:ascii="Calibri" w:eastAsia="Times New Roman" w:hAnsi="Calibri" w:cs="Calibri"/>
          <w:color w:val="000000" w:themeColor="text1"/>
          <w:lang w:eastAsia="en-AU"/>
        </w:rPr>
        <w:t>prior experience with the income support system</w:t>
      </w:r>
      <w:r>
        <w:rPr>
          <w:rFonts w:ascii="Calibri" w:eastAsia="Times New Roman" w:hAnsi="Calibri" w:cs="Calibri"/>
          <w:color w:val="000000" w:themeColor="text1"/>
          <w:lang w:eastAsia="en-AU"/>
        </w:rPr>
        <w:t xml:space="preserve"> they </w:t>
      </w:r>
      <w:r w:rsidR="00E9609C" w:rsidRPr="00E9609C">
        <w:rPr>
          <w:rFonts w:ascii="Calibri" w:eastAsia="Times New Roman" w:hAnsi="Calibri" w:cs="Calibri"/>
          <w:color w:val="000000" w:themeColor="text1"/>
          <w:lang w:eastAsia="en-AU"/>
        </w:rPr>
        <w:t xml:space="preserve">were suspicious that qualifying </w:t>
      </w:r>
      <w:r>
        <w:rPr>
          <w:rFonts w:ascii="Calibri" w:eastAsia="Times New Roman" w:hAnsi="Calibri" w:cs="Calibri"/>
          <w:color w:val="000000" w:themeColor="text1"/>
          <w:lang w:eastAsia="en-AU"/>
        </w:rPr>
        <w:t xml:space="preserve">for the JCB would be </w:t>
      </w:r>
      <w:r w:rsidR="004A6D17">
        <w:rPr>
          <w:rFonts w:ascii="Calibri" w:eastAsia="Times New Roman" w:hAnsi="Calibri" w:cs="Calibri"/>
          <w:color w:val="000000" w:themeColor="text1"/>
          <w:lang w:eastAsia="en-AU"/>
        </w:rPr>
        <w:t>difficult</w:t>
      </w:r>
      <w:r>
        <w:rPr>
          <w:rFonts w:ascii="Calibri" w:eastAsia="Times New Roman" w:hAnsi="Calibri" w:cs="Calibri"/>
          <w:color w:val="000000" w:themeColor="text1"/>
          <w:lang w:eastAsia="en-AU"/>
        </w:rPr>
        <w:t>.</w:t>
      </w:r>
      <w:r w:rsidR="00F10D17">
        <w:rPr>
          <w:rFonts w:ascii="Calibri" w:eastAsia="Times New Roman" w:hAnsi="Calibri" w:cs="Calibri"/>
          <w:color w:val="000000" w:themeColor="text1"/>
          <w:lang w:eastAsia="en-AU"/>
        </w:rPr>
        <w:t xml:space="preserve"> Similar sentiments were expressed by some </w:t>
      </w:r>
      <w:r w:rsidR="0050747A">
        <w:rPr>
          <w:rFonts w:ascii="Calibri" w:eastAsia="Times New Roman" w:hAnsi="Calibri" w:cs="Calibri"/>
          <w:color w:val="000000" w:themeColor="text1"/>
          <w:lang w:eastAsia="en-AU"/>
        </w:rPr>
        <w:t xml:space="preserve">participants in the Round 2 fieldwork, believing there </w:t>
      </w:r>
      <w:r w:rsidR="006D3472">
        <w:rPr>
          <w:szCs w:val="20"/>
        </w:rPr>
        <w:t>were hidden catches that would make qualifying difficult.</w:t>
      </w:r>
    </w:p>
    <w:p w:rsidR="00E9609C" w:rsidRPr="00E9609C" w:rsidRDefault="00E9609C" w:rsidP="00CD44C4">
      <w:pPr>
        <w:pStyle w:val="QuotationJCB"/>
      </w:pPr>
      <w:r w:rsidRPr="00E9609C">
        <w:lastRenderedPageBreak/>
        <w:t>It just seems a bit too good, it’s one of those things like oh I’m going to get this and then you go in there and they are like oh you didn’t fill out section 16C with that period, you missed a XXX, sorry, you are not getting it.</w:t>
      </w:r>
    </w:p>
    <w:p w:rsidR="00E9609C" w:rsidRPr="00E9609C" w:rsidRDefault="002361DB" w:rsidP="004968D9">
      <w:pPr>
        <w:pStyle w:val="quopteJCB-source"/>
        <w:spacing w:before="0"/>
        <w:rPr>
          <w:rFonts w:eastAsia="Times New Roman"/>
          <w:lang w:eastAsia="en-AU"/>
        </w:rPr>
      </w:pPr>
      <w:r>
        <w:rPr>
          <w:rFonts w:eastAsia="Times New Roman"/>
          <w:lang w:eastAsia="en-AU"/>
        </w:rPr>
        <w:t>March 2015 (Round 1),</w:t>
      </w:r>
      <w:r w:rsidR="001339DD">
        <w:rPr>
          <w:rFonts w:eastAsia="Times New Roman"/>
          <w:lang w:eastAsia="en-AU"/>
        </w:rPr>
        <w:t xml:space="preserve"> ma</w:t>
      </w:r>
      <w:r w:rsidR="00E9609C" w:rsidRPr="00E9609C">
        <w:rPr>
          <w:rFonts w:eastAsia="Times New Roman"/>
          <w:lang w:eastAsia="en-AU"/>
        </w:rPr>
        <w:t>le, 18-30 years</w:t>
      </w:r>
      <w:r w:rsidR="002201D7">
        <w:rPr>
          <w:rStyle w:val="FootnoteReference"/>
          <w:rFonts w:eastAsia="Times New Roman"/>
          <w:lang w:eastAsia="en-AU"/>
        </w:rPr>
        <w:footnoteReference w:id="53"/>
      </w:r>
      <w:r w:rsidR="00E9609C" w:rsidRPr="00E9609C">
        <w:rPr>
          <w:rFonts w:eastAsia="Times New Roman"/>
          <w:lang w:eastAsia="en-AU"/>
        </w:rPr>
        <w:t>, regional</w:t>
      </w:r>
      <w:r w:rsidR="00811BE3">
        <w:rPr>
          <w:rFonts w:eastAsia="Times New Roman"/>
          <w:lang w:eastAsia="en-AU"/>
        </w:rPr>
        <w:t xml:space="preserve"> Victoria</w:t>
      </w:r>
      <w:r w:rsidR="00E9609C" w:rsidRPr="00E9609C">
        <w:rPr>
          <w:rFonts w:eastAsia="Times New Roman"/>
          <w:lang w:eastAsia="en-AU"/>
        </w:rPr>
        <w:t>, employed</w:t>
      </w:r>
    </w:p>
    <w:p w:rsidR="00E9609C" w:rsidRPr="00E9609C" w:rsidRDefault="00E9609C" w:rsidP="00CD44C4">
      <w:pPr>
        <w:pStyle w:val="QuotationJCB"/>
      </w:pPr>
      <w:r w:rsidRPr="00E9609C">
        <w:t>How much of any of us have learned to trust the government support?</w:t>
      </w:r>
    </w:p>
    <w:p w:rsidR="00E9609C" w:rsidRDefault="002361DB" w:rsidP="004968D9">
      <w:pPr>
        <w:pStyle w:val="quopteJCB-source"/>
        <w:spacing w:before="0"/>
        <w:rPr>
          <w:rFonts w:eastAsia="Times New Roman"/>
          <w:lang w:eastAsia="en-AU"/>
        </w:rPr>
      </w:pPr>
      <w:r>
        <w:rPr>
          <w:rFonts w:eastAsia="Times New Roman"/>
          <w:lang w:eastAsia="en-AU"/>
        </w:rPr>
        <w:t>March 2015 (Round 1),</w:t>
      </w:r>
      <w:r w:rsidR="001339DD">
        <w:rPr>
          <w:rFonts w:eastAsia="Times New Roman"/>
          <w:lang w:eastAsia="en-AU"/>
        </w:rPr>
        <w:t xml:space="preserve"> f</w:t>
      </w:r>
      <w:r w:rsidR="00E9609C" w:rsidRPr="00E9609C">
        <w:rPr>
          <w:rFonts w:eastAsia="Times New Roman"/>
          <w:lang w:eastAsia="en-AU"/>
        </w:rPr>
        <w:t xml:space="preserve">emale, 25 years or older, </w:t>
      </w:r>
      <w:r w:rsidR="00811BE3">
        <w:rPr>
          <w:rFonts w:eastAsia="Times New Roman"/>
          <w:lang w:eastAsia="en-AU"/>
        </w:rPr>
        <w:t>Melbourne</w:t>
      </w:r>
      <w:r w:rsidR="00E9609C" w:rsidRPr="00E9609C">
        <w:rPr>
          <w:rFonts w:eastAsia="Times New Roman"/>
          <w:lang w:eastAsia="en-AU"/>
        </w:rPr>
        <w:t>, employed</w:t>
      </w:r>
    </w:p>
    <w:p w:rsidR="001E0106" w:rsidRPr="001E0106" w:rsidRDefault="001E0106" w:rsidP="00CD44C4">
      <w:pPr>
        <w:pStyle w:val="QuotationJCB"/>
      </w:pPr>
      <w:r>
        <w:t>B</w:t>
      </w:r>
      <w:r w:rsidRPr="00BC2786">
        <w:t>eyond that there would be hard things you have to jump through.</w:t>
      </w:r>
      <w:r>
        <w:t xml:space="preserve"> </w:t>
      </w:r>
      <w:r w:rsidRPr="00BC2786">
        <w:t>Every Centrelink thing I’ve ever done is</w:t>
      </w:r>
      <w:r w:rsidRPr="000A4A8B">
        <w:t>.</w:t>
      </w:r>
    </w:p>
    <w:p w:rsidR="001E0106" w:rsidRPr="001E0106" w:rsidRDefault="002361DB" w:rsidP="004968D9">
      <w:pPr>
        <w:pStyle w:val="quopteJCB-source"/>
        <w:spacing w:before="0"/>
        <w:rPr>
          <w:rFonts w:eastAsia="Times New Roman"/>
          <w:lang w:eastAsia="en-AU"/>
        </w:rPr>
      </w:pPr>
      <w:r>
        <w:rPr>
          <w:rFonts w:eastAsia="Times New Roman"/>
          <w:lang w:eastAsia="en-AU"/>
        </w:rPr>
        <w:t>October 2016 (Round 3),</w:t>
      </w:r>
      <w:r w:rsidR="00AD60DE">
        <w:rPr>
          <w:rFonts w:eastAsia="Times New Roman"/>
          <w:lang w:eastAsia="en-AU"/>
        </w:rPr>
        <w:t xml:space="preserve"> not yet claimed</w:t>
      </w:r>
      <w:r w:rsidR="00BC469D">
        <w:rPr>
          <w:rFonts w:eastAsia="Times New Roman"/>
          <w:lang w:eastAsia="en-AU"/>
        </w:rPr>
        <w:t>,</w:t>
      </w:r>
      <w:r w:rsidR="001E0106" w:rsidRPr="001E0106">
        <w:rPr>
          <w:rFonts w:eastAsia="Times New Roman"/>
          <w:lang w:eastAsia="en-AU"/>
        </w:rPr>
        <w:t xml:space="preserve"> </w:t>
      </w:r>
      <w:r w:rsidR="00C00195">
        <w:rPr>
          <w:rFonts w:eastAsia="Times New Roman"/>
          <w:lang w:eastAsia="en-AU"/>
        </w:rPr>
        <w:t>focus group, Melbourne</w:t>
      </w:r>
    </w:p>
    <w:p w:rsidR="00455298" w:rsidRDefault="00455298" w:rsidP="00CD44C4">
      <w:pPr>
        <w:pStyle w:val="QuotationJCB"/>
      </w:pPr>
      <w:r w:rsidRPr="00BC2786">
        <w:t>There’s a catch to it, it seems too easy.</w:t>
      </w:r>
    </w:p>
    <w:p w:rsidR="00455298" w:rsidRPr="00BC2786" w:rsidRDefault="002361DB" w:rsidP="004968D9">
      <w:pPr>
        <w:pStyle w:val="quopteJCB-source"/>
        <w:spacing w:before="0"/>
      </w:pPr>
      <w:r>
        <w:t>October 2016 (Round 3),</w:t>
      </w:r>
      <w:r w:rsidR="00AD60DE">
        <w:t xml:space="preserve"> not yet claimed</w:t>
      </w:r>
      <w:r w:rsidR="00BC469D">
        <w:t>,</w:t>
      </w:r>
      <w:r w:rsidR="00455298" w:rsidRPr="00982F30">
        <w:t xml:space="preserve"> </w:t>
      </w:r>
      <w:r w:rsidR="00C00195">
        <w:t>focus group, Melbourne</w:t>
      </w:r>
    </w:p>
    <w:p w:rsidR="006D3472" w:rsidRDefault="000761E7" w:rsidP="006D3472">
      <w:pPr>
        <w:spacing w:before="120"/>
        <w:rPr>
          <w:color w:val="000000" w:themeColor="text1"/>
        </w:rPr>
      </w:pPr>
      <w:r>
        <w:rPr>
          <w:color w:val="000000" w:themeColor="text1"/>
        </w:rPr>
        <w:t xml:space="preserve">Analysis by the </w:t>
      </w:r>
      <w:r w:rsidR="006D3472" w:rsidRPr="00E9609C">
        <w:rPr>
          <w:color w:val="000000" w:themeColor="text1"/>
        </w:rPr>
        <w:t xml:space="preserve">Department </w:t>
      </w:r>
      <w:r>
        <w:rPr>
          <w:color w:val="000000" w:themeColor="text1"/>
        </w:rPr>
        <w:t>shows</w:t>
      </w:r>
      <w:r w:rsidR="006D3472" w:rsidRPr="00E9609C">
        <w:rPr>
          <w:color w:val="000000" w:themeColor="text1"/>
        </w:rPr>
        <w:t xml:space="preserve"> that while trust in government departments is higher than the OECD average, </w:t>
      </w:r>
      <w:r w:rsidR="009552D5" w:rsidRPr="00E9609C">
        <w:rPr>
          <w:color w:val="000000" w:themeColor="text1"/>
        </w:rPr>
        <w:t xml:space="preserve">in recent years </w:t>
      </w:r>
      <w:r w:rsidR="006D3472" w:rsidRPr="00E9609C">
        <w:rPr>
          <w:color w:val="000000" w:themeColor="text1"/>
        </w:rPr>
        <w:t>it has declined faster than the OECD average</w:t>
      </w:r>
      <w:r w:rsidR="006D3472">
        <w:rPr>
          <w:color w:val="000000" w:themeColor="text1"/>
        </w:rPr>
        <w:t>.</w:t>
      </w:r>
      <w:r w:rsidR="006D3472" w:rsidRPr="00E9609C">
        <w:rPr>
          <w:color w:val="000000" w:themeColor="text1"/>
        </w:rPr>
        <w:t xml:space="preserve"> To overcome a mistrust in government, tailored messages using a variety of sources are often required.</w:t>
      </w:r>
      <w:r w:rsidR="006D3472">
        <w:rPr>
          <w:color w:val="000000" w:themeColor="text1"/>
        </w:rPr>
        <w:t xml:space="preserve"> The main sources of information for the JCB were government related.</w:t>
      </w:r>
    </w:p>
    <w:p w:rsidR="00BF6229" w:rsidRPr="00D83A7E" w:rsidRDefault="00BF6229" w:rsidP="00D83A7E">
      <w:pPr>
        <w:pStyle w:val="Heading3"/>
        <w:spacing w:after="120"/>
      </w:pPr>
      <w:bookmarkStart w:id="165" w:name="_Toc478117582"/>
      <w:r w:rsidRPr="00D83A7E">
        <w:t>3.7.3</w:t>
      </w:r>
      <w:r w:rsidRPr="00D83A7E">
        <w:tab/>
        <w:t>Complex program design</w:t>
      </w:r>
      <w:bookmarkEnd w:id="165"/>
    </w:p>
    <w:p w:rsidR="00455298" w:rsidRDefault="009552D5" w:rsidP="00455298">
      <w:pPr>
        <w:spacing w:before="120"/>
        <w:rPr>
          <w:szCs w:val="20"/>
        </w:rPr>
      </w:pPr>
      <w:r>
        <w:rPr>
          <w:szCs w:val="20"/>
        </w:rPr>
        <w:t>V</w:t>
      </w:r>
      <w:r w:rsidR="00455298">
        <w:rPr>
          <w:szCs w:val="20"/>
        </w:rPr>
        <w:t>iews about eligibility requi</w:t>
      </w:r>
      <w:r w:rsidR="00C144A5">
        <w:rPr>
          <w:szCs w:val="20"/>
        </w:rPr>
        <w:t xml:space="preserve">rements were gathered from </w:t>
      </w:r>
      <w:r w:rsidR="00455298">
        <w:rPr>
          <w:szCs w:val="20"/>
        </w:rPr>
        <w:t xml:space="preserve">participants who </w:t>
      </w:r>
      <w:r>
        <w:rPr>
          <w:szCs w:val="20"/>
        </w:rPr>
        <w:t xml:space="preserve">may </w:t>
      </w:r>
      <w:r w:rsidR="00455298">
        <w:rPr>
          <w:szCs w:val="20"/>
        </w:rPr>
        <w:t xml:space="preserve">have been or </w:t>
      </w:r>
      <w:r w:rsidR="00BA0561">
        <w:rPr>
          <w:szCs w:val="20"/>
        </w:rPr>
        <w:t xml:space="preserve">might </w:t>
      </w:r>
      <w:r w:rsidR="00455298">
        <w:rPr>
          <w:szCs w:val="20"/>
        </w:rPr>
        <w:t xml:space="preserve">become eligible, or had applied for the bonus. </w:t>
      </w:r>
      <w:r w:rsidR="00455298">
        <w:t xml:space="preserve">Many of those interviewed </w:t>
      </w:r>
      <w:r w:rsidR="00515DE1">
        <w:t xml:space="preserve">in the qualitative research </w:t>
      </w:r>
      <w:r w:rsidR="00455298">
        <w:t xml:space="preserve">who were aware of the JCB were confused about program rules, </w:t>
      </w:r>
      <w:r>
        <w:t xml:space="preserve">and </w:t>
      </w:r>
      <w:r w:rsidR="00455298">
        <w:t>some were discouraged from trying to obtain it.</w:t>
      </w:r>
    </w:p>
    <w:p w:rsidR="00455298" w:rsidRDefault="00455298" w:rsidP="00455298">
      <w:pPr>
        <w:spacing w:before="120"/>
      </w:pPr>
      <w:r>
        <w:t>While s</w:t>
      </w:r>
      <w:r w:rsidRPr="003A4B00">
        <w:t xml:space="preserve">ome found the </w:t>
      </w:r>
      <w:r>
        <w:t>eligibility criteria straightforward</w:t>
      </w:r>
      <w:r w:rsidRPr="003A4B00">
        <w:t xml:space="preserve">, </w:t>
      </w:r>
      <w:r>
        <w:t>others</w:t>
      </w:r>
      <w:r w:rsidRPr="00426C6C">
        <w:t xml:space="preserve"> found </w:t>
      </w:r>
      <w:r>
        <w:t>the</w:t>
      </w:r>
      <w:r w:rsidRPr="00426C6C">
        <w:t xml:space="preserve"> requirements confusing</w:t>
      </w:r>
      <w:r>
        <w:t xml:space="preserve">, </w:t>
      </w:r>
      <w:r w:rsidR="009552D5">
        <w:t xml:space="preserve">which </w:t>
      </w:r>
      <w:r>
        <w:t xml:space="preserve">led some to </w:t>
      </w:r>
      <w:r w:rsidR="001E2545">
        <w:t xml:space="preserve">decide not to </w:t>
      </w:r>
      <w:r>
        <w:t>claim.</w:t>
      </w:r>
    </w:p>
    <w:p w:rsidR="00455298" w:rsidRDefault="00455298" w:rsidP="00CD44C4">
      <w:pPr>
        <w:pStyle w:val="QuotationJCB"/>
      </w:pPr>
      <w:r w:rsidRPr="00BC2786">
        <w:t>I didn’t pursue it any further because I thought they meant full time for the 12</w:t>
      </w:r>
      <w:r>
        <w:t> </w:t>
      </w:r>
      <w:r w:rsidR="0040795A">
        <w:t>months.</w:t>
      </w:r>
    </w:p>
    <w:p w:rsidR="00455298" w:rsidRDefault="002361DB" w:rsidP="004968D9">
      <w:pPr>
        <w:pStyle w:val="quopteJCB-source"/>
        <w:spacing w:before="0"/>
      </w:pPr>
      <w:r>
        <w:t>October 2016 (Round 3),</w:t>
      </w:r>
      <w:r w:rsidR="00AD60DE">
        <w:t xml:space="preserve"> not yet claimed</w:t>
      </w:r>
      <w:r w:rsidR="00BC469D">
        <w:t>,</w:t>
      </w:r>
      <w:r w:rsidR="00455298" w:rsidRPr="003B78C3">
        <w:t xml:space="preserve"> </w:t>
      </w:r>
      <w:r w:rsidR="00C00195">
        <w:t>focus group, Melbourne</w:t>
      </w:r>
    </w:p>
    <w:p w:rsidR="00455298" w:rsidRPr="00426C6C" w:rsidRDefault="00455298" w:rsidP="00455298">
      <w:pPr>
        <w:keepNext/>
        <w:spacing w:before="120" w:after="0"/>
      </w:pPr>
      <w:r>
        <w:t>There was obvious confusion among pa</w:t>
      </w:r>
      <w:r w:rsidR="00F1247B">
        <w:t>rticipants with issues such as:</w:t>
      </w:r>
    </w:p>
    <w:p w:rsidR="00455298" w:rsidRPr="00C34FDE" w:rsidRDefault="00455298" w:rsidP="00A16659">
      <w:pPr>
        <w:pStyle w:val="ListParagraph"/>
        <w:keepNext/>
        <w:numPr>
          <w:ilvl w:val="0"/>
          <w:numId w:val="36"/>
        </w:numPr>
        <w:spacing w:before="120" w:after="0"/>
        <w:ind w:left="714" w:hanging="357"/>
        <w:rPr>
          <w:szCs w:val="20"/>
        </w:rPr>
      </w:pPr>
      <w:r>
        <w:rPr>
          <w:szCs w:val="20"/>
        </w:rPr>
        <w:t>knowing their</w:t>
      </w:r>
      <w:r w:rsidRPr="00C34FDE">
        <w:rPr>
          <w:szCs w:val="20"/>
        </w:rPr>
        <w:t xml:space="preserve"> </w:t>
      </w:r>
      <w:r w:rsidR="00F824A5">
        <w:rPr>
          <w:szCs w:val="20"/>
        </w:rPr>
        <w:t xml:space="preserve">exact </w:t>
      </w:r>
      <w:r w:rsidRPr="00C34FDE">
        <w:rPr>
          <w:szCs w:val="20"/>
        </w:rPr>
        <w:t>date</w:t>
      </w:r>
      <w:r>
        <w:rPr>
          <w:szCs w:val="20"/>
        </w:rPr>
        <w:t xml:space="preserve"> of exit from</w:t>
      </w:r>
      <w:r w:rsidRPr="00C34FDE">
        <w:rPr>
          <w:szCs w:val="20"/>
        </w:rPr>
        <w:t xml:space="preserve"> income support</w:t>
      </w:r>
    </w:p>
    <w:p w:rsidR="00455298" w:rsidRPr="00BF4277" w:rsidRDefault="00455298" w:rsidP="00A16659">
      <w:pPr>
        <w:pStyle w:val="ListParagraph"/>
        <w:keepNext/>
        <w:numPr>
          <w:ilvl w:val="0"/>
          <w:numId w:val="36"/>
        </w:numPr>
        <w:spacing w:before="120" w:after="0"/>
        <w:ind w:left="714" w:hanging="357"/>
        <w:rPr>
          <w:szCs w:val="20"/>
        </w:rPr>
      </w:pPr>
      <w:r>
        <w:t>the time limit for applying for the bonus after qualifying</w:t>
      </w:r>
    </w:p>
    <w:p w:rsidR="00455298" w:rsidRDefault="00455298" w:rsidP="00A16659">
      <w:pPr>
        <w:pStyle w:val="ListParagraph"/>
        <w:keepNext/>
        <w:numPr>
          <w:ilvl w:val="0"/>
          <w:numId w:val="36"/>
        </w:numPr>
        <w:spacing w:before="120" w:after="0"/>
        <w:ind w:left="714" w:hanging="357"/>
        <w:rPr>
          <w:szCs w:val="20"/>
        </w:rPr>
      </w:pPr>
      <w:r>
        <w:rPr>
          <w:szCs w:val="20"/>
        </w:rPr>
        <w:t>the def</w:t>
      </w:r>
      <w:r w:rsidR="00F1247B">
        <w:rPr>
          <w:szCs w:val="20"/>
        </w:rPr>
        <w:t>inition of ‘off income support’</w:t>
      </w:r>
    </w:p>
    <w:p w:rsidR="00455298" w:rsidRPr="003A4B00" w:rsidRDefault="00455298" w:rsidP="008F7E62">
      <w:pPr>
        <w:pStyle w:val="QuotationJCB"/>
        <w:spacing w:before="120"/>
      </w:pPr>
      <w:r w:rsidRPr="003A4B00">
        <w:t>I was told when I did call up…because you’re not receiving any type of payment, even if it is like rental ass</w:t>
      </w:r>
      <w:r>
        <w:t xml:space="preserve">istance or anything like that. </w:t>
      </w:r>
      <w:r w:rsidR="00F0650D">
        <w:t>…</w:t>
      </w:r>
      <w:r w:rsidRPr="003A4B00">
        <w:t xml:space="preserve"> they had to explain that to me a little bit like that but I didn’t receive any of it.</w:t>
      </w:r>
    </w:p>
    <w:p w:rsidR="00455298" w:rsidRPr="003A4B00" w:rsidRDefault="002361DB" w:rsidP="004968D9">
      <w:pPr>
        <w:pStyle w:val="quopteJCB-source"/>
        <w:spacing w:before="0"/>
      </w:pPr>
      <w:r>
        <w:t>November 2015 (Round 2),</w:t>
      </w:r>
      <w:r w:rsidR="007D5865" w:rsidRPr="004A774E">
        <w:rPr>
          <w:rFonts w:eastAsia="Times New Roman"/>
          <w:lang w:eastAsia="en-AU"/>
        </w:rPr>
        <w:t xml:space="preserve"> </w:t>
      </w:r>
      <w:r w:rsidR="007D5865">
        <w:rPr>
          <w:rFonts w:eastAsia="Times New Roman"/>
          <w:lang w:eastAsia="en-AU"/>
        </w:rPr>
        <w:t xml:space="preserve">received JCB, </w:t>
      </w:r>
      <w:r w:rsidR="00CD678A">
        <w:t>f</w:t>
      </w:r>
      <w:r w:rsidR="00455298" w:rsidRPr="003A4B00">
        <w:t>emale, under 25 years, metropolitan</w:t>
      </w:r>
    </w:p>
    <w:p w:rsidR="00455298" w:rsidRPr="00C34FDE" w:rsidRDefault="00455298" w:rsidP="008F7E62">
      <w:pPr>
        <w:pStyle w:val="ListParagraph"/>
        <w:keepNext/>
        <w:numPr>
          <w:ilvl w:val="0"/>
          <w:numId w:val="36"/>
        </w:numPr>
        <w:spacing w:before="120" w:after="0"/>
        <w:ind w:left="714" w:hanging="357"/>
        <w:contextualSpacing w:val="0"/>
        <w:rPr>
          <w:szCs w:val="20"/>
        </w:rPr>
      </w:pPr>
      <w:r w:rsidRPr="00C34FDE">
        <w:rPr>
          <w:szCs w:val="20"/>
        </w:rPr>
        <w:lastRenderedPageBreak/>
        <w:t>regul</w:t>
      </w:r>
      <w:r>
        <w:rPr>
          <w:szCs w:val="20"/>
        </w:rPr>
        <w:t>ations surrounding unpaid leave, sickness or injury</w:t>
      </w:r>
    </w:p>
    <w:p w:rsidR="00455298" w:rsidRDefault="00455298" w:rsidP="008F7E62">
      <w:pPr>
        <w:pStyle w:val="QuotationJCB"/>
        <w:spacing w:before="120"/>
      </w:pPr>
      <w:r w:rsidRPr="00404D6C">
        <w:t>Yes it said that you weren’t allowed to have more than two weeks unpaid. In a row, I believe, or in the entire time. But at the point where I go</w:t>
      </w:r>
      <w:r w:rsidR="00F824A5">
        <w:t>t</w:t>
      </w:r>
      <w:r w:rsidRPr="00404D6C">
        <w:t xml:space="preserve"> the first one, I did understand that the second one would be under the condition that I did have to stay in work. Luckily at the time I was pretty </w:t>
      </w:r>
      <w:r w:rsidRPr="00934B23">
        <w:t>happy</w:t>
      </w:r>
      <w:r w:rsidRPr="00404D6C">
        <w:t xml:space="preserve"> with the job I had so, i</w:t>
      </w:r>
      <w:r w:rsidR="00F1247B">
        <w:t>t didn’t end up being a factor.</w:t>
      </w:r>
    </w:p>
    <w:p w:rsidR="00455298" w:rsidRPr="00404D6C" w:rsidRDefault="002361DB" w:rsidP="004968D9">
      <w:pPr>
        <w:pStyle w:val="quopteJCB-source"/>
        <w:spacing w:before="0"/>
      </w:pPr>
      <w:r>
        <w:t>October 2016 (Round 3),</w:t>
      </w:r>
      <w:r w:rsidR="00AD60DE">
        <w:t xml:space="preserve"> received JCB</w:t>
      </w:r>
      <w:r w:rsidR="003318FB">
        <w:t>,</w:t>
      </w:r>
      <w:r w:rsidR="00455298" w:rsidRPr="00404D6C">
        <w:t xml:space="preserve"> </w:t>
      </w:r>
      <w:r w:rsidR="00C00195">
        <w:t>interview,</w:t>
      </w:r>
      <w:r w:rsidR="00455298" w:rsidRPr="00404D6C">
        <w:t xml:space="preserve"> </w:t>
      </w:r>
      <w:r w:rsidR="003318FB">
        <w:t>regional NSW</w:t>
      </w:r>
    </w:p>
    <w:p w:rsidR="00455298" w:rsidRDefault="00455298" w:rsidP="00CD44C4">
      <w:pPr>
        <w:pStyle w:val="QuotationJCB"/>
      </w:pPr>
      <w:r w:rsidRPr="00404D6C">
        <w:t>Maybe if you have a medical certificate or something like that it should be all right, right?</w:t>
      </w:r>
    </w:p>
    <w:p w:rsidR="00455298" w:rsidRPr="00404D6C" w:rsidRDefault="002361DB" w:rsidP="004968D9">
      <w:pPr>
        <w:pStyle w:val="quopteJCB-source"/>
        <w:spacing w:before="0"/>
      </w:pPr>
      <w:r>
        <w:t>October 2016 (Round 3),</w:t>
      </w:r>
      <w:r w:rsidR="00AD60DE">
        <w:t xml:space="preserve"> received JCB</w:t>
      </w:r>
      <w:r w:rsidR="00D330FB">
        <w:t>,</w:t>
      </w:r>
      <w:r w:rsidR="00BC469D">
        <w:t xml:space="preserve"> </w:t>
      </w:r>
      <w:r w:rsidR="00D330FB">
        <w:t>focus group, Sydney</w:t>
      </w:r>
    </w:p>
    <w:p w:rsidR="00F0650D" w:rsidRDefault="00F0650D" w:rsidP="008F7E62">
      <w:pPr>
        <w:pStyle w:val="ListParagraph"/>
        <w:keepNext/>
        <w:numPr>
          <w:ilvl w:val="0"/>
          <w:numId w:val="36"/>
        </w:numPr>
        <w:spacing w:before="120" w:after="0"/>
        <w:ind w:left="714" w:hanging="357"/>
        <w:contextualSpacing w:val="0"/>
        <w:rPr>
          <w:szCs w:val="20"/>
        </w:rPr>
      </w:pPr>
      <w:r>
        <w:rPr>
          <w:szCs w:val="20"/>
        </w:rPr>
        <w:t xml:space="preserve">the </w:t>
      </w:r>
      <w:r w:rsidRPr="00AF6A71">
        <w:rPr>
          <w:szCs w:val="20"/>
        </w:rPr>
        <w:t>number of business days break allowed between jobs</w:t>
      </w:r>
    </w:p>
    <w:p w:rsidR="00F0650D" w:rsidRDefault="00F0650D" w:rsidP="008F7E62">
      <w:pPr>
        <w:pStyle w:val="QuotationJCB"/>
        <w:spacing w:before="120"/>
      </w:pPr>
      <w:r w:rsidRPr="00404D6C">
        <w:t>Depending on the circumstances. So say as you said, say I injured myself and I physically can’t work, I didn’t want to break my leg, but I want to be at work, why should I miss out on that because of that, but then say someone wants to take five days off to take a holiday but still be entitled to the bonus.</w:t>
      </w:r>
    </w:p>
    <w:p w:rsidR="00F0650D" w:rsidRPr="006D2ACF" w:rsidRDefault="002361DB" w:rsidP="004968D9">
      <w:pPr>
        <w:pStyle w:val="quopteJCB-source"/>
        <w:spacing w:before="0"/>
      </w:pPr>
      <w:r>
        <w:t>October 2016 (Round 3),</w:t>
      </w:r>
      <w:r w:rsidR="00AD60DE">
        <w:t xml:space="preserve"> received JCB</w:t>
      </w:r>
      <w:r w:rsidR="00F0650D">
        <w:t>, focus group,</w:t>
      </w:r>
      <w:r w:rsidR="00F0650D" w:rsidRPr="006D2ACF">
        <w:t xml:space="preserve"> </w:t>
      </w:r>
      <w:r w:rsidR="00F0650D">
        <w:t>Sydney</w:t>
      </w:r>
    </w:p>
    <w:p w:rsidR="004A6D17" w:rsidRDefault="00FC3BB6" w:rsidP="00A16659">
      <w:pPr>
        <w:pStyle w:val="ListParagraph"/>
        <w:keepNext/>
        <w:numPr>
          <w:ilvl w:val="0"/>
          <w:numId w:val="36"/>
        </w:numPr>
        <w:spacing w:before="120" w:after="0"/>
        <w:ind w:left="714" w:hanging="357"/>
        <w:rPr>
          <w:szCs w:val="20"/>
        </w:rPr>
      </w:pPr>
      <w:r>
        <w:rPr>
          <w:szCs w:val="20"/>
        </w:rPr>
        <w:t>types of work eligible</w:t>
      </w:r>
    </w:p>
    <w:p w:rsidR="00FC3BB6" w:rsidRPr="00396037" w:rsidRDefault="004A6D17" w:rsidP="00A16659">
      <w:pPr>
        <w:pStyle w:val="ListParagraph"/>
        <w:keepNext/>
        <w:numPr>
          <w:ilvl w:val="0"/>
          <w:numId w:val="36"/>
        </w:numPr>
        <w:spacing w:before="120" w:after="0"/>
        <w:ind w:left="714" w:hanging="357"/>
        <w:rPr>
          <w:szCs w:val="20"/>
        </w:rPr>
      </w:pPr>
      <w:r>
        <w:rPr>
          <w:szCs w:val="20"/>
        </w:rPr>
        <w:t>why only N</w:t>
      </w:r>
      <w:r w:rsidR="002B769A">
        <w:rPr>
          <w:szCs w:val="20"/>
        </w:rPr>
        <w:t>SA</w:t>
      </w:r>
      <w:r>
        <w:rPr>
          <w:szCs w:val="20"/>
        </w:rPr>
        <w:t xml:space="preserve"> and YA(</w:t>
      </w:r>
      <w:r w:rsidR="002B769A">
        <w:rPr>
          <w:szCs w:val="20"/>
        </w:rPr>
        <w:t>O</w:t>
      </w:r>
      <w:r>
        <w:rPr>
          <w:szCs w:val="20"/>
        </w:rPr>
        <w:t>) recipients could become eligible</w:t>
      </w:r>
      <w:r w:rsidR="00FC3BB6">
        <w:rPr>
          <w:szCs w:val="20"/>
        </w:rPr>
        <w:t>.</w:t>
      </w:r>
    </w:p>
    <w:p w:rsidR="001E4AEF" w:rsidRPr="00E15D6B" w:rsidRDefault="001E4AEF" w:rsidP="001E4AEF">
      <w:pPr>
        <w:spacing w:before="240"/>
        <w:rPr>
          <w:color w:val="000000" w:themeColor="text1"/>
        </w:rPr>
      </w:pPr>
      <w:bookmarkStart w:id="166" w:name="_Toc478117583"/>
      <w:r>
        <w:rPr>
          <w:color w:val="000000" w:themeColor="text1"/>
        </w:rPr>
        <w:t>The online application system for the JCB did not capture</w:t>
      </w:r>
      <w:r w:rsidRPr="00E15D6B">
        <w:rPr>
          <w:color w:val="000000" w:themeColor="text1"/>
        </w:rPr>
        <w:t xml:space="preserve"> </w:t>
      </w:r>
      <w:r>
        <w:rPr>
          <w:color w:val="000000" w:themeColor="text1"/>
        </w:rPr>
        <w:t xml:space="preserve">type of employment. However, </w:t>
      </w:r>
      <w:r w:rsidR="00C144A5">
        <w:rPr>
          <w:color w:val="000000" w:themeColor="text1"/>
        </w:rPr>
        <w:t xml:space="preserve">from available claims data, </w:t>
      </w:r>
      <w:r>
        <w:rPr>
          <w:color w:val="000000" w:themeColor="text1"/>
        </w:rPr>
        <w:t>around two</w:t>
      </w:r>
      <w:r w:rsidR="001E2545">
        <w:rPr>
          <w:color w:val="000000" w:themeColor="text1"/>
        </w:rPr>
        <w:t>-</w:t>
      </w:r>
      <w:r>
        <w:rPr>
          <w:color w:val="000000" w:themeColor="text1"/>
        </w:rPr>
        <w:t xml:space="preserve">thirds of people (69.7 per cent) </w:t>
      </w:r>
      <w:r w:rsidR="001E2545">
        <w:rPr>
          <w:color w:val="000000" w:themeColor="text1"/>
        </w:rPr>
        <w:t>had</w:t>
      </w:r>
      <w:r>
        <w:rPr>
          <w:color w:val="000000" w:themeColor="text1"/>
        </w:rPr>
        <w:t xml:space="preserve"> a single job</w:t>
      </w:r>
      <w:r w:rsidR="004A6D17">
        <w:rPr>
          <w:color w:val="000000" w:themeColor="text1"/>
        </w:rPr>
        <w:t>. T</w:t>
      </w:r>
      <w:r>
        <w:rPr>
          <w:color w:val="000000" w:themeColor="text1"/>
        </w:rPr>
        <w:t xml:space="preserve">he remaining third (30.3 per cent) </w:t>
      </w:r>
      <w:r w:rsidR="001E2545">
        <w:rPr>
          <w:color w:val="000000" w:themeColor="text1"/>
        </w:rPr>
        <w:t>had</w:t>
      </w:r>
      <w:r>
        <w:rPr>
          <w:color w:val="000000" w:themeColor="text1"/>
        </w:rPr>
        <w:t xml:space="preserve"> multiple jobs </w:t>
      </w:r>
      <w:r w:rsidR="004A6D17">
        <w:rPr>
          <w:color w:val="000000" w:themeColor="text1"/>
        </w:rPr>
        <w:t xml:space="preserve">which </w:t>
      </w:r>
      <w:r>
        <w:rPr>
          <w:color w:val="000000" w:themeColor="text1"/>
        </w:rPr>
        <w:t>may have been held concurrently or consecutively.</w:t>
      </w:r>
      <w:r>
        <w:rPr>
          <w:rStyle w:val="FootnoteReference"/>
          <w:color w:val="000000" w:themeColor="text1"/>
        </w:rPr>
        <w:footnoteReference w:id="54"/>
      </w:r>
      <w:r>
        <w:rPr>
          <w:color w:val="000000" w:themeColor="text1"/>
        </w:rPr>
        <w:t xml:space="preserve"> </w:t>
      </w:r>
      <w:r w:rsidR="005F72BB">
        <w:rPr>
          <w:color w:val="000000" w:themeColor="text1"/>
        </w:rPr>
        <w:t xml:space="preserve">Of the people who claimed after being in more than one job </w:t>
      </w:r>
      <w:r>
        <w:rPr>
          <w:color w:val="000000" w:themeColor="text1"/>
        </w:rPr>
        <w:t>around three</w:t>
      </w:r>
      <w:r w:rsidR="001E2545">
        <w:rPr>
          <w:color w:val="000000" w:themeColor="text1"/>
        </w:rPr>
        <w:t>-</w:t>
      </w:r>
      <w:r>
        <w:rPr>
          <w:color w:val="000000" w:themeColor="text1"/>
        </w:rPr>
        <w:t xml:space="preserve">quarters claimed </w:t>
      </w:r>
      <w:r w:rsidR="005F72BB">
        <w:rPr>
          <w:color w:val="000000" w:themeColor="text1"/>
        </w:rPr>
        <w:t>after</w:t>
      </w:r>
      <w:r>
        <w:rPr>
          <w:color w:val="000000" w:themeColor="text1"/>
        </w:rPr>
        <w:t xml:space="preserve"> two jobs (78.7 per cent), and a furthe</w:t>
      </w:r>
      <w:r w:rsidR="00F1247B">
        <w:rPr>
          <w:color w:val="000000" w:themeColor="text1"/>
        </w:rPr>
        <w:t>r 12.1 per cent for three jobs.</w:t>
      </w:r>
    </w:p>
    <w:p w:rsidR="002B4CC9" w:rsidRDefault="002B4CC9" w:rsidP="002B4CC9">
      <w:pPr>
        <w:spacing w:before="120"/>
      </w:pPr>
      <w:r>
        <w:t xml:space="preserve">Of those </w:t>
      </w:r>
      <w:r w:rsidR="00DC64C6">
        <w:t>PPM JCB</w:t>
      </w:r>
      <w:r>
        <w:t xml:space="preserve"> survey respondents who were employed 12 months after exiting income support (91.3 per cent of respondents), around two</w:t>
      </w:r>
      <w:r w:rsidR="001E2545">
        <w:t>-</w:t>
      </w:r>
      <w:r>
        <w:t>thirds were in permanent work or self-employed (60.</w:t>
      </w:r>
      <w:r w:rsidR="006234C1">
        <w:t>0 </w:t>
      </w:r>
      <w:r>
        <w:t>per cent and 5.9 per cent respectively), with the remaining third (34.1 per cent) in casual employment.</w:t>
      </w:r>
    </w:p>
    <w:p w:rsidR="001E4AEF" w:rsidRDefault="001E4AEF" w:rsidP="001E4AEF">
      <w:pPr>
        <w:spacing w:before="240"/>
        <w:rPr>
          <w:color w:val="000000" w:themeColor="text1"/>
        </w:rPr>
      </w:pPr>
      <w:r>
        <w:rPr>
          <w:color w:val="000000" w:themeColor="text1"/>
        </w:rPr>
        <w:t xml:space="preserve">These results </w:t>
      </w:r>
      <w:r w:rsidR="004153D4">
        <w:rPr>
          <w:color w:val="000000" w:themeColor="text1"/>
        </w:rPr>
        <w:t xml:space="preserve">would be expected based on </w:t>
      </w:r>
      <w:r>
        <w:rPr>
          <w:color w:val="000000" w:themeColor="text1"/>
        </w:rPr>
        <w:t>ABS Australian labour force data for this age cohort. That survey finds that around two</w:t>
      </w:r>
      <w:r w:rsidR="001E2545">
        <w:rPr>
          <w:color w:val="000000" w:themeColor="text1"/>
        </w:rPr>
        <w:t>-</w:t>
      </w:r>
      <w:r>
        <w:rPr>
          <w:color w:val="000000" w:themeColor="text1"/>
        </w:rPr>
        <w:t xml:space="preserve">thirds of 18 to 30 year olds are in full and/or part-time work as employees </w:t>
      </w:r>
      <w:r w:rsidR="002B4CC9">
        <w:rPr>
          <w:color w:val="000000" w:themeColor="text1"/>
        </w:rPr>
        <w:t>with</w:t>
      </w:r>
      <w:r>
        <w:rPr>
          <w:color w:val="000000" w:themeColor="text1"/>
        </w:rPr>
        <w:t xml:space="preserve"> paid leave entitlements (66.1 per cent) </w:t>
      </w:r>
      <w:r w:rsidR="005F72BB">
        <w:rPr>
          <w:color w:val="000000" w:themeColor="text1"/>
        </w:rPr>
        <w:t xml:space="preserve">and </w:t>
      </w:r>
      <w:r>
        <w:rPr>
          <w:color w:val="000000" w:themeColor="text1"/>
        </w:rPr>
        <w:t>33.9 per cent are e</w:t>
      </w:r>
      <w:r w:rsidR="00395094">
        <w:rPr>
          <w:color w:val="000000" w:themeColor="text1"/>
        </w:rPr>
        <w:t>mployed on a casual basis. ABS L</w:t>
      </w:r>
      <w:r>
        <w:rPr>
          <w:color w:val="000000" w:themeColor="text1"/>
        </w:rPr>
        <w:t xml:space="preserve">abour </w:t>
      </w:r>
      <w:r w:rsidR="00395094">
        <w:rPr>
          <w:color w:val="000000" w:themeColor="text1"/>
        </w:rPr>
        <w:t>Force S</w:t>
      </w:r>
      <w:r>
        <w:rPr>
          <w:color w:val="000000" w:themeColor="text1"/>
        </w:rPr>
        <w:t xml:space="preserve">urvey data also shows that for </w:t>
      </w:r>
      <w:r w:rsidR="005F72BB">
        <w:rPr>
          <w:color w:val="000000" w:themeColor="text1"/>
        </w:rPr>
        <w:t xml:space="preserve">18 to 30 year olds, people in the younger half of the age group </w:t>
      </w:r>
      <w:r w:rsidR="001E2545">
        <w:rPr>
          <w:color w:val="000000" w:themeColor="text1"/>
        </w:rPr>
        <w:t xml:space="preserve">are </w:t>
      </w:r>
      <w:r w:rsidR="005F72BB">
        <w:rPr>
          <w:color w:val="000000" w:themeColor="text1"/>
        </w:rPr>
        <w:t xml:space="preserve">more likely to be </w:t>
      </w:r>
      <w:r>
        <w:rPr>
          <w:color w:val="000000" w:themeColor="text1"/>
        </w:rPr>
        <w:t xml:space="preserve">in casual employment than those in the higher half of the age range (Figure </w:t>
      </w:r>
      <w:r w:rsidR="005E4C07">
        <w:rPr>
          <w:color w:val="000000" w:themeColor="text1"/>
        </w:rPr>
        <w:t>3.</w:t>
      </w:r>
      <w:r w:rsidR="00FB4E23">
        <w:rPr>
          <w:color w:val="000000" w:themeColor="text1"/>
        </w:rPr>
        <w:t>5</w:t>
      </w:r>
      <w:r>
        <w:rPr>
          <w:color w:val="000000" w:themeColor="text1"/>
        </w:rPr>
        <w:t xml:space="preserve">). Females are also more likely to be in casual employment than males in the </w:t>
      </w:r>
      <w:r w:rsidR="00E0013D">
        <w:rPr>
          <w:color w:val="000000" w:themeColor="text1"/>
        </w:rPr>
        <w:t>18 </w:t>
      </w:r>
      <w:r>
        <w:rPr>
          <w:color w:val="000000" w:themeColor="text1"/>
        </w:rPr>
        <w:t>to 24 year age group, but this differential is not present in the 25 to 30 age group.</w:t>
      </w:r>
    </w:p>
    <w:p w:rsidR="001E4AEF" w:rsidRPr="00D83A7E" w:rsidRDefault="001E4AEF" w:rsidP="005314B7">
      <w:pPr>
        <w:pStyle w:val="FigureCaption"/>
      </w:pPr>
      <w:bookmarkStart w:id="167" w:name="_Toc507600281"/>
      <w:r w:rsidRPr="00D83A7E">
        <w:lastRenderedPageBreak/>
        <w:t xml:space="preserve">Figure </w:t>
      </w:r>
      <w:r w:rsidR="005E4C07" w:rsidRPr="00D83A7E">
        <w:t>3.</w:t>
      </w:r>
      <w:r w:rsidR="00FB4E23">
        <w:t>5</w:t>
      </w:r>
      <w:r w:rsidRPr="00D83A7E">
        <w:t>: Proportion of employees with paid leave entitlements, 18 to 30 year olds</w:t>
      </w:r>
      <w:bookmarkEnd w:id="167"/>
    </w:p>
    <w:p w:rsidR="001E4AEF" w:rsidRPr="00ED57AA" w:rsidRDefault="001E4AEF" w:rsidP="001E4AEF">
      <w:r w:rsidRPr="00ED57AA">
        <w:rPr>
          <w:noProof/>
          <w:lang w:eastAsia="en-AU"/>
        </w:rPr>
        <w:drawing>
          <wp:inline distT="0" distB="0" distL="0" distR="0" wp14:anchorId="557593EC" wp14:editId="1AB8A445">
            <wp:extent cx="5731510" cy="3811833"/>
            <wp:effectExtent l="0" t="0" r="2540" b="0"/>
            <wp:docPr id="28" name="Picture 28" descr="Bar chart showing the proportion of employees with paid leave entitlements by gender and age group. For those aged 18 to 24 years old a greater proportion of males than females have paid leave entitlements. In the older age group (25 to 30 years) males and females have very similar rates, both of which are much higher than the rates for those in the 18 to 24 year age group. There is a hyperlink to the data for this figure in the notes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1510" cy="3811833"/>
                    </a:xfrm>
                    <a:prstGeom prst="rect">
                      <a:avLst/>
                    </a:prstGeom>
                    <a:noFill/>
                    <a:ln>
                      <a:noFill/>
                    </a:ln>
                  </pic:spPr>
                </pic:pic>
              </a:graphicData>
            </a:graphic>
          </wp:inline>
        </w:drawing>
      </w:r>
    </w:p>
    <w:p w:rsidR="00EF2C60" w:rsidRDefault="001E4AEF" w:rsidP="00841FD8">
      <w:pPr>
        <w:pStyle w:val="Source"/>
      </w:pPr>
      <w:r>
        <w:t>Note</w:t>
      </w:r>
      <w:r w:rsidR="00EF2C60">
        <w:t>s</w:t>
      </w:r>
      <w:r>
        <w:t>:</w:t>
      </w:r>
      <w:r>
        <w:tab/>
      </w:r>
    </w:p>
    <w:p w:rsidR="001E4AEF" w:rsidRDefault="001E4AEF" w:rsidP="00E3205B">
      <w:pPr>
        <w:pStyle w:val="Source"/>
        <w:numPr>
          <w:ilvl w:val="0"/>
          <w:numId w:val="99"/>
        </w:numPr>
        <w:rPr>
          <w:b w:val="0"/>
        </w:rPr>
      </w:pPr>
      <w:r w:rsidRPr="00841FD8">
        <w:rPr>
          <w:b w:val="0"/>
        </w:rPr>
        <w:t>As the data series was quite volatile at this level by age and gender, the average rates between November 2014 and December 2016 are provided.</w:t>
      </w:r>
    </w:p>
    <w:p w:rsidR="00EF2C60" w:rsidRPr="00935604" w:rsidRDefault="00EF2C60" w:rsidP="00E3205B">
      <w:pPr>
        <w:pStyle w:val="Source"/>
        <w:numPr>
          <w:ilvl w:val="0"/>
          <w:numId w:val="99"/>
        </w:numPr>
        <w:rPr>
          <w:rStyle w:val="Hyperlink"/>
          <w:b w:val="0"/>
          <w:color w:val="auto"/>
          <w:u w:val="none"/>
        </w:rPr>
      </w:pPr>
      <w:r w:rsidRPr="00935604">
        <w:rPr>
          <w:b w:val="0"/>
        </w:rPr>
        <w:t xml:space="preserve">Refer to Attachment F, </w:t>
      </w:r>
      <w:hyperlink w:anchor="Title_F9" w:history="1">
        <w:r w:rsidRPr="004B625A">
          <w:rPr>
            <w:rStyle w:val="Hyperlink"/>
            <w:b w:val="0"/>
          </w:rPr>
          <w:t>Table F.9</w:t>
        </w:r>
      </w:hyperlink>
      <w:r>
        <w:rPr>
          <w:b w:val="0"/>
        </w:rPr>
        <w:t>.</w:t>
      </w:r>
      <w:bookmarkStart w:id="168" w:name="Place_F9"/>
      <w:bookmarkEnd w:id="168"/>
    </w:p>
    <w:p w:rsidR="001E4AEF" w:rsidRPr="001D6B4A" w:rsidRDefault="001E4AEF" w:rsidP="00841FD8">
      <w:pPr>
        <w:pStyle w:val="Source"/>
      </w:pPr>
      <w:r>
        <w:t xml:space="preserve">Source: </w:t>
      </w:r>
      <w:r w:rsidR="00395094" w:rsidRPr="00395094">
        <w:rPr>
          <w:b w:val="0"/>
        </w:rPr>
        <w:t>Customised data extract</w:t>
      </w:r>
      <w:r w:rsidRPr="00395094">
        <w:rPr>
          <w:b w:val="0"/>
        </w:rPr>
        <w:t xml:space="preserve"> provided</w:t>
      </w:r>
      <w:r w:rsidRPr="00841FD8">
        <w:rPr>
          <w:b w:val="0"/>
        </w:rPr>
        <w:t xml:space="preserve"> by the ABS from the </w:t>
      </w:r>
      <w:r w:rsidR="00395094">
        <w:rPr>
          <w:b w:val="0"/>
        </w:rPr>
        <w:t>Labour Force S</w:t>
      </w:r>
      <w:r w:rsidRPr="00395094">
        <w:rPr>
          <w:b w:val="0"/>
        </w:rPr>
        <w:t>urvey, Australia. Calculations</w:t>
      </w:r>
      <w:r w:rsidRPr="00841FD8">
        <w:rPr>
          <w:b w:val="0"/>
        </w:rPr>
        <w:t xml:space="preserve"> by the D</w:t>
      </w:r>
      <w:r w:rsidR="00544713">
        <w:rPr>
          <w:b w:val="0"/>
        </w:rPr>
        <w:t xml:space="preserve">epartment </w:t>
      </w:r>
      <w:r w:rsidRPr="00841FD8">
        <w:rPr>
          <w:b w:val="0"/>
        </w:rPr>
        <w:t>o</w:t>
      </w:r>
      <w:r w:rsidR="00544713">
        <w:rPr>
          <w:b w:val="0"/>
        </w:rPr>
        <w:t xml:space="preserve">f </w:t>
      </w:r>
      <w:r w:rsidRPr="00841FD8">
        <w:rPr>
          <w:b w:val="0"/>
        </w:rPr>
        <w:t>E</w:t>
      </w:r>
      <w:r w:rsidR="00544713">
        <w:rPr>
          <w:b w:val="0"/>
        </w:rPr>
        <w:t>mployment</w:t>
      </w:r>
      <w:r w:rsidR="001E2545">
        <w:rPr>
          <w:b w:val="0"/>
        </w:rPr>
        <w:t>.</w:t>
      </w:r>
    </w:p>
    <w:p w:rsidR="001A0AF3" w:rsidRDefault="001A0AF3" w:rsidP="00EC7064">
      <w:pPr>
        <w:spacing w:before="120"/>
      </w:pPr>
      <w:r>
        <w:t>These patterns of employment mean that it was problematic for a significant proportion of the target cohort to readily meet the employment criteria</w:t>
      </w:r>
      <w:r w:rsidR="00E0013D">
        <w:rPr>
          <w:rStyle w:val="FootnoteReference"/>
        </w:rPr>
        <w:footnoteReference w:id="55"/>
      </w:r>
      <w:r>
        <w:t xml:space="preserve"> for the bonus, even when they did remain off income support</w:t>
      </w:r>
      <w:r w:rsidR="004153D4">
        <w:t>. This was because</w:t>
      </w:r>
      <w:r>
        <w:t xml:space="preserve"> a significant proportion were in casual work, </w:t>
      </w:r>
      <w:r w:rsidR="00F55A55">
        <w:t>working to</w:t>
      </w:r>
      <w:r>
        <w:t xml:space="preserve"> multiple employers </w:t>
      </w:r>
      <w:r w:rsidR="00F55A55">
        <w:t xml:space="preserve">over the qualifying period </w:t>
      </w:r>
      <w:r>
        <w:t>and not in continuous work</w:t>
      </w:r>
      <w:r w:rsidR="002B4CC9">
        <w:t xml:space="preserve"> </w:t>
      </w:r>
      <w:r>
        <w:t>(with paid leave).</w:t>
      </w:r>
    </w:p>
    <w:p w:rsidR="008F7E62" w:rsidRPr="008F7E62" w:rsidRDefault="008F7E62" w:rsidP="008F7E62">
      <w:pPr>
        <w:pStyle w:val="QuotationJCB"/>
      </w:pPr>
      <w:r w:rsidRPr="008F7E62">
        <w:t xml:space="preserve">Yeah I don’t actually really know anyone in terms of </w:t>
      </w:r>
      <w:r w:rsidR="00F1247B">
        <w:t>like friends that have done it.</w:t>
      </w:r>
      <w:r w:rsidRPr="008F7E62">
        <w:t xml:space="preserve"> I know a lot</w:t>
      </w:r>
      <w:r w:rsidR="00544713">
        <w:t xml:space="preserve"> </w:t>
      </w:r>
      <w:r w:rsidRPr="008F7E62">
        <w:t>of people who were eligible but then lost</w:t>
      </w:r>
      <w:r w:rsidR="00F1247B">
        <w:t xml:space="preserve"> jobs for one reason or other. </w:t>
      </w:r>
      <w:r w:rsidRPr="008F7E62">
        <w:t xml:space="preserve">And I know one of my good friends tried really hard to stay employed but her café ended up going out of business so she lost her job. I know people who have had situations where they’ve tried to stay eligible for it over a twelve month period </w:t>
      </w:r>
      <w:r w:rsidR="00F1247B">
        <w:t xml:space="preserve">but it just hasn’t eventuated. </w:t>
      </w:r>
      <w:r w:rsidRPr="008F7E62">
        <w:t>Or even that thing where one friend of mine had to change job because her job wasn’t offering her enough hours, so in that time where she was looking for another job, that she was unemployed and back on Centreli</w:t>
      </w:r>
      <w:r w:rsidR="00F1247B">
        <w:t xml:space="preserve">nk for a short period of time. </w:t>
      </w:r>
      <w:r w:rsidRPr="008F7E62">
        <w:t>And t</w:t>
      </w:r>
      <w:r w:rsidR="00C962FC">
        <w:t>hen she wasn’t eligible for it.</w:t>
      </w:r>
      <w:r w:rsidRPr="008F7E62">
        <w:t xml:space="preserve"> And even people that fall under that category where they are not working en</w:t>
      </w:r>
      <w:r w:rsidR="00F1247B">
        <w:t>ough because they are studying.</w:t>
      </w:r>
      <w:r w:rsidRPr="008F7E62">
        <w:t xml:space="preserve"> And they are </w:t>
      </w:r>
      <w:r w:rsidRPr="008F7E62">
        <w:lastRenderedPageBreak/>
        <w:t>only working a certain amount of hour</w:t>
      </w:r>
      <w:r w:rsidR="00F1247B">
        <w:t xml:space="preserve">s like one or two days a week. </w:t>
      </w:r>
      <w:r w:rsidRPr="008F7E62">
        <w:t>That kind of situation as well I think.</w:t>
      </w:r>
    </w:p>
    <w:p w:rsidR="008F7E62" w:rsidRDefault="002361DB" w:rsidP="004968D9">
      <w:pPr>
        <w:pStyle w:val="quopteJCB-source"/>
        <w:spacing w:before="0"/>
      </w:pPr>
      <w:r>
        <w:t>October 2016 (Round 3),</w:t>
      </w:r>
      <w:r w:rsidR="00AD60DE">
        <w:t xml:space="preserve"> received JCB</w:t>
      </w:r>
      <w:r w:rsidR="008F7E62">
        <w:t>, interview,</w:t>
      </w:r>
      <w:r w:rsidR="008F7E62" w:rsidRPr="006D2ACF">
        <w:t xml:space="preserve"> </w:t>
      </w:r>
      <w:r w:rsidR="008F7E62">
        <w:t>Melbourne</w:t>
      </w:r>
    </w:p>
    <w:p w:rsidR="002B4CC9" w:rsidRDefault="005F72BB" w:rsidP="002B4CC9">
      <w:pPr>
        <w:spacing w:before="240"/>
        <w:rPr>
          <w:color w:val="000000" w:themeColor="text1"/>
        </w:rPr>
      </w:pPr>
      <w:r>
        <w:rPr>
          <w:color w:val="000000" w:themeColor="text1"/>
        </w:rPr>
        <w:t>Based on t</w:t>
      </w:r>
      <w:r w:rsidR="002B4CC9">
        <w:rPr>
          <w:color w:val="000000" w:themeColor="text1"/>
        </w:rPr>
        <w:t xml:space="preserve">he above data </w:t>
      </w:r>
      <w:r>
        <w:rPr>
          <w:color w:val="000000" w:themeColor="text1"/>
        </w:rPr>
        <w:t xml:space="preserve">it is likely that </w:t>
      </w:r>
      <w:r w:rsidR="002B4CC9">
        <w:rPr>
          <w:color w:val="000000" w:themeColor="text1"/>
        </w:rPr>
        <w:t xml:space="preserve">younger females would have had greater difficulty qualifying than others </w:t>
      </w:r>
      <w:r>
        <w:rPr>
          <w:color w:val="000000" w:themeColor="text1"/>
        </w:rPr>
        <w:t xml:space="preserve">as </w:t>
      </w:r>
      <w:r w:rsidR="002B4CC9">
        <w:rPr>
          <w:color w:val="000000" w:themeColor="text1"/>
        </w:rPr>
        <w:t xml:space="preserve">they are more likely to be </w:t>
      </w:r>
      <w:r>
        <w:rPr>
          <w:color w:val="000000" w:themeColor="text1"/>
        </w:rPr>
        <w:t>employed as casuals</w:t>
      </w:r>
      <w:r w:rsidR="002B4CC9">
        <w:rPr>
          <w:color w:val="000000" w:themeColor="text1"/>
        </w:rPr>
        <w:t>.</w:t>
      </w:r>
    </w:p>
    <w:p w:rsidR="00EC7064" w:rsidRDefault="00EC7064" w:rsidP="00EC7064">
      <w:pPr>
        <w:spacing w:before="120"/>
      </w:pPr>
      <w:r>
        <w:t>The</w:t>
      </w:r>
      <w:r w:rsidRPr="00EC7064">
        <w:t xml:space="preserve"> </w:t>
      </w:r>
      <w:r w:rsidR="001A0AF3">
        <w:t xml:space="preserve">JCB </w:t>
      </w:r>
      <w:r w:rsidRPr="001004DA">
        <w:t xml:space="preserve">five business-day break allowed between jobs potentially disqualified some people </w:t>
      </w:r>
      <w:r w:rsidR="002B769A" w:rsidRPr="001004DA">
        <w:t>for the bonus</w:t>
      </w:r>
      <w:r w:rsidR="002B769A" w:rsidRPr="00F55A55">
        <w:t xml:space="preserve"> </w:t>
      </w:r>
      <w:r w:rsidR="00F55A55" w:rsidRPr="001004DA">
        <w:t>because of matters outside of their control</w:t>
      </w:r>
      <w:r w:rsidR="00F55A55">
        <w:t>, such as type of employment available</w:t>
      </w:r>
      <w:r w:rsidR="001E2545">
        <w:t>,</w:t>
      </w:r>
      <w:r w:rsidR="00F55A55">
        <w:t xml:space="preserve"> </w:t>
      </w:r>
      <w:r w:rsidR="002B769A">
        <w:t xml:space="preserve">or </w:t>
      </w:r>
      <w:r w:rsidR="00C45984">
        <w:t>being medically unfit for work</w:t>
      </w:r>
      <w:r w:rsidR="00F55A55">
        <w:t xml:space="preserve">. </w:t>
      </w:r>
      <w:r w:rsidR="006234C1">
        <w:t xml:space="preserve">Some </w:t>
      </w:r>
      <w:r w:rsidR="00C45984">
        <w:t>research participants</w:t>
      </w:r>
      <w:r w:rsidRPr="001004DA">
        <w:t xml:space="preserve"> did not understand the requirement</w:t>
      </w:r>
      <w:r w:rsidR="00F55A55">
        <w:t xml:space="preserve"> or</w:t>
      </w:r>
      <w:r w:rsidRPr="001004DA">
        <w:t xml:space="preserve"> were not aware of this complexity.</w:t>
      </w:r>
    </w:p>
    <w:p w:rsidR="00BF6229" w:rsidRPr="00D83A7E" w:rsidRDefault="00BF6229" w:rsidP="00D83A7E">
      <w:pPr>
        <w:pStyle w:val="Heading3"/>
        <w:spacing w:after="120"/>
      </w:pPr>
      <w:r w:rsidRPr="00D83A7E">
        <w:t>3.7.4</w:t>
      </w:r>
      <w:r w:rsidRPr="00D83A7E">
        <w:tab/>
        <w:t>Weak</w:t>
      </w:r>
      <w:r w:rsidR="0044689A" w:rsidRPr="00D83A7E">
        <w:t>ened</w:t>
      </w:r>
      <w:r w:rsidRPr="00D83A7E">
        <w:t xml:space="preserve"> labour market</w:t>
      </w:r>
      <w:bookmarkEnd w:id="166"/>
    </w:p>
    <w:p w:rsidR="007823CD" w:rsidRPr="007823CD" w:rsidRDefault="007823CD" w:rsidP="00C144A5">
      <w:pPr>
        <w:spacing w:before="120"/>
      </w:pPr>
      <w:r w:rsidRPr="007823CD">
        <w:t xml:space="preserve">The JCB program commenced </w:t>
      </w:r>
      <w:r w:rsidR="00BD17FF">
        <w:t xml:space="preserve">in </w:t>
      </w:r>
      <w:r w:rsidRPr="007823CD">
        <w:t>weakened labour market conditions,</w:t>
      </w:r>
      <w:r w:rsidR="00251619">
        <w:t xml:space="preserve"> which</w:t>
      </w:r>
      <w:r w:rsidRPr="007823CD">
        <w:t xml:space="preserve"> </w:t>
      </w:r>
      <w:r w:rsidR="00190786">
        <w:t xml:space="preserve">had </w:t>
      </w:r>
      <w:r w:rsidR="00251619">
        <w:t xml:space="preserve">deteriorated </w:t>
      </w:r>
      <w:r w:rsidR="00BD17FF" w:rsidRPr="007823CD">
        <w:t>particular</w:t>
      </w:r>
      <w:r w:rsidR="00BD17FF">
        <w:t>ly</w:t>
      </w:r>
      <w:r w:rsidR="00BD17FF" w:rsidRPr="007823CD">
        <w:t xml:space="preserve"> for young adults</w:t>
      </w:r>
      <w:r w:rsidRPr="007823CD">
        <w:t xml:space="preserve"> </w:t>
      </w:r>
      <w:r w:rsidR="00251619">
        <w:t>after</w:t>
      </w:r>
      <w:r w:rsidR="00C144A5">
        <w:t xml:space="preserve"> the onset of the</w:t>
      </w:r>
      <w:r w:rsidR="00F97451">
        <w:t xml:space="preserve"> Global Financial Crisis (</w:t>
      </w:r>
      <w:r w:rsidR="00C144A5">
        <w:t>GFC</w:t>
      </w:r>
      <w:r w:rsidR="00F97451">
        <w:t>)</w:t>
      </w:r>
      <w:r w:rsidR="00C144A5">
        <w:t xml:space="preserve"> </w:t>
      </w:r>
      <w:r>
        <w:t>(</w:t>
      </w:r>
      <w:r w:rsidRPr="007823CD">
        <w:t>Section</w:t>
      </w:r>
      <w:r w:rsidR="00211BF7">
        <w:t> </w:t>
      </w:r>
      <w:r w:rsidRPr="007823CD">
        <w:t>1.2</w:t>
      </w:r>
      <w:r>
        <w:t>)</w:t>
      </w:r>
      <w:r w:rsidR="006234C1">
        <w:t>.</w:t>
      </w:r>
    </w:p>
    <w:p w:rsidR="007823CD" w:rsidRDefault="0044689A" w:rsidP="0044689A">
      <w:pPr>
        <w:spacing w:before="240"/>
      </w:pPr>
      <w:r w:rsidRPr="0044689A">
        <w:t xml:space="preserve">While most fieldwork </w:t>
      </w:r>
      <w:r w:rsidR="00BD17FF">
        <w:t xml:space="preserve">participants </w:t>
      </w:r>
      <w:r w:rsidRPr="0044689A">
        <w:t xml:space="preserve">were motivated to find work the primary barrier </w:t>
      </w:r>
      <w:r w:rsidR="00515DE1">
        <w:t>report</w:t>
      </w:r>
      <w:r w:rsidR="00515DE1" w:rsidRPr="0044689A">
        <w:t xml:space="preserve">ed </w:t>
      </w:r>
      <w:r w:rsidR="00BD17FF">
        <w:t xml:space="preserve">by many </w:t>
      </w:r>
      <w:r w:rsidRPr="0044689A">
        <w:t>was the lack of available job</w:t>
      </w:r>
      <w:r w:rsidR="00DD2B7C">
        <w:t>s</w:t>
      </w:r>
      <w:r w:rsidRPr="0044689A">
        <w:t xml:space="preserve"> for which they had suitable qualifications and/or experience.</w:t>
      </w:r>
    </w:p>
    <w:p w:rsidR="0044689A" w:rsidRPr="00CD44C4" w:rsidRDefault="0044689A" w:rsidP="00CD44C4">
      <w:pPr>
        <w:pStyle w:val="QuotationJCB"/>
      </w:pPr>
      <w:r w:rsidRPr="00CD44C4">
        <w:t xml:space="preserve">It was kind of, sort of ended up applying for anything, because you needed to meet the quota, and there weren’t heaps of jobs in Adelaide. Even now there’s not much work. So you are sort of a bit limited in what you can do, and I’d never had a job before, so I didn’t have experience. And that made it extremely </w:t>
      </w:r>
      <w:r w:rsidR="00F1247B">
        <w:t>hard for me to apply for stuff.</w:t>
      </w:r>
    </w:p>
    <w:p w:rsidR="0044689A" w:rsidRPr="00F3109E" w:rsidRDefault="002361DB" w:rsidP="004968D9">
      <w:pPr>
        <w:pStyle w:val="quopteJCB-source"/>
        <w:spacing w:before="0"/>
      </w:pPr>
      <w:r>
        <w:t>October 2016 (Round 3),</w:t>
      </w:r>
      <w:r w:rsidR="00AD60DE">
        <w:t xml:space="preserve"> claim</w:t>
      </w:r>
      <w:r w:rsidR="002C7D6A">
        <w:t xml:space="preserve"> rejected</w:t>
      </w:r>
      <w:r w:rsidR="003318FB">
        <w:t>,</w:t>
      </w:r>
      <w:r w:rsidR="0044689A">
        <w:t xml:space="preserve"> </w:t>
      </w:r>
      <w:r w:rsidR="00C00195">
        <w:t>interview, Melbourne</w:t>
      </w:r>
    </w:p>
    <w:p w:rsidR="0044689A" w:rsidRDefault="0044689A" w:rsidP="00CD44C4">
      <w:pPr>
        <w:pStyle w:val="QuotationJCB"/>
      </w:pPr>
      <w:r>
        <w:t>It’s like Dubbo, Dubbo is where I used to live before I moved here, but before I moved to Queensland again. It’s a really, really small town. T</w:t>
      </w:r>
      <w:r w:rsidR="00F1247B">
        <w:t>here’s no hope for a job there.</w:t>
      </w:r>
    </w:p>
    <w:p w:rsidR="0044689A" w:rsidRPr="000702DA" w:rsidRDefault="002361DB" w:rsidP="004968D9">
      <w:pPr>
        <w:pStyle w:val="quopteJCB-source"/>
        <w:spacing w:before="0"/>
      </w:pPr>
      <w:r>
        <w:t>October 2016 (Round 3),</w:t>
      </w:r>
      <w:r w:rsidR="00AD60DE">
        <w:t xml:space="preserve"> received JCB</w:t>
      </w:r>
      <w:r w:rsidR="003318FB">
        <w:t>,</w:t>
      </w:r>
      <w:r w:rsidR="0044689A">
        <w:t xml:space="preserve"> </w:t>
      </w:r>
      <w:r w:rsidR="00C00195">
        <w:t>focus group, Sydney</w:t>
      </w:r>
    </w:p>
    <w:p w:rsidR="00DD2B7C" w:rsidRDefault="00DD2B7C" w:rsidP="00DD2B7C">
      <w:pPr>
        <w:pStyle w:val="QuotationJCB"/>
      </w:pPr>
      <w:r w:rsidRPr="00DD2B7C">
        <w:t xml:space="preserve">Yeah I think underemployment is a problem. A lot of people are only working casual or temporary or contract. …. And they want to be working full time, but there’s just </w:t>
      </w:r>
      <w:r w:rsidR="00F1247B">
        <w:t>not enough positions out there.</w:t>
      </w:r>
    </w:p>
    <w:p w:rsidR="00DD2B7C" w:rsidRDefault="002361DB" w:rsidP="004968D9">
      <w:pPr>
        <w:pStyle w:val="quopteJCB-source"/>
        <w:spacing w:before="0"/>
      </w:pPr>
      <w:r>
        <w:t>October 2016 (Round 3),</w:t>
      </w:r>
      <w:r w:rsidR="00AD60DE">
        <w:t xml:space="preserve"> received JCB</w:t>
      </w:r>
      <w:r w:rsidR="003318FB">
        <w:t>,</w:t>
      </w:r>
      <w:r w:rsidR="00DD2B7C" w:rsidRPr="00DD2B7C">
        <w:t xml:space="preserve"> </w:t>
      </w:r>
      <w:r w:rsidR="00C00195">
        <w:t>focus group, Melbourne</w:t>
      </w:r>
    </w:p>
    <w:p w:rsidR="0036160D" w:rsidRPr="0036160D" w:rsidRDefault="0036160D" w:rsidP="0036160D">
      <w:pPr>
        <w:spacing w:before="120"/>
        <w:rPr>
          <w:color w:val="000000" w:themeColor="text1"/>
        </w:rPr>
      </w:pPr>
      <w:r w:rsidRPr="0036160D">
        <w:rPr>
          <w:color w:val="000000" w:themeColor="text1"/>
        </w:rPr>
        <w:t xml:space="preserve">Departmental analysis of ABS labour force data </w:t>
      </w:r>
      <w:r w:rsidR="00962F25">
        <w:rPr>
          <w:color w:val="000000" w:themeColor="text1"/>
        </w:rPr>
        <w:t>show</w:t>
      </w:r>
      <w:r w:rsidR="00F97451">
        <w:rPr>
          <w:color w:val="000000" w:themeColor="text1"/>
        </w:rPr>
        <w:t>s</w:t>
      </w:r>
      <w:r w:rsidR="00962F25">
        <w:rPr>
          <w:color w:val="000000" w:themeColor="text1"/>
        </w:rPr>
        <w:t xml:space="preserve"> </w:t>
      </w:r>
      <w:r w:rsidRPr="0036160D">
        <w:rPr>
          <w:color w:val="000000" w:themeColor="text1"/>
        </w:rPr>
        <w:t xml:space="preserve">that for the period July 2013 to June 2014 the monthly average probability that 15-24 year olds who were unemployed would transition to employment was 19.3 per cent, much lower than the 25.2 per cent transitional probability for the </w:t>
      </w:r>
      <w:r w:rsidR="006234C1" w:rsidRPr="0036160D">
        <w:rPr>
          <w:color w:val="000000" w:themeColor="text1"/>
        </w:rPr>
        <w:t>12</w:t>
      </w:r>
      <w:r w:rsidR="006234C1">
        <w:rPr>
          <w:color w:val="000000" w:themeColor="text1"/>
        </w:rPr>
        <w:t> </w:t>
      </w:r>
      <w:r w:rsidRPr="0036160D">
        <w:rPr>
          <w:color w:val="000000" w:themeColor="text1"/>
        </w:rPr>
        <w:t>months period preceding the onset of the GFC. This reflects the softer labour market conditions in 2014 compared with 2008, with fewer job opportunities</w:t>
      </w:r>
      <w:r w:rsidR="00962F25">
        <w:rPr>
          <w:color w:val="000000" w:themeColor="text1"/>
        </w:rPr>
        <w:t xml:space="preserve"> </w:t>
      </w:r>
      <w:r w:rsidRPr="0036160D">
        <w:rPr>
          <w:color w:val="000000" w:themeColor="text1"/>
        </w:rPr>
        <w:t>(Table 3.</w:t>
      </w:r>
      <w:r w:rsidR="00544713">
        <w:rPr>
          <w:color w:val="000000" w:themeColor="text1"/>
        </w:rPr>
        <w:t>11</w:t>
      </w:r>
      <w:r w:rsidR="00F1247B">
        <w:rPr>
          <w:color w:val="000000" w:themeColor="text1"/>
        </w:rPr>
        <w:t>).</w:t>
      </w:r>
    </w:p>
    <w:p w:rsidR="0036160D" w:rsidRPr="00D83A7E" w:rsidRDefault="0036160D" w:rsidP="00D83A7E">
      <w:pPr>
        <w:pStyle w:val="TableCaption"/>
      </w:pPr>
      <w:bookmarkStart w:id="169" w:name="_Toc475459012"/>
      <w:bookmarkStart w:id="170" w:name="_Toc507600315"/>
      <w:r w:rsidRPr="00D83A7E">
        <w:lastRenderedPageBreak/>
        <w:t>Table 3.</w:t>
      </w:r>
      <w:r w:rsidR="00544713">
        <w:t>11</w:t>
      </w:r>
      <w:r w:rsidRPr="00D83A7E">
        <w:t>: Monthly transition probabilities for 15-24 year olds, July 2013 to June 2014</w:t>
      </w:r>
      <w:bookmarkEnd w:id="169"/>
      <w:bookmarkEnd w:id="170"/>
    </w:p>
    <w:tbl>
      <w:tblPr>
        <w:tblW w:w="9322" w:type="dxa"/>
        <w:tblLook w:val="04A0" w:firstRow="1" w:lastRow="0" w:firstColumn="1" w:lastColumn="0" w:noHBand="0" w:noVBand="1"/>
      </w:tblPr>
      <w:tblGrid>
        <w:gridCol w:w="4644"/>
        <w:gridCol w:w="2410"/>
        <w:gridCol w:w="2268"/>
      </w:tblGrid>
      <w:tr w:rsidR="0036160D" w:rsidRPr="0036160D" w:rsidTr="00BF5799">
        <w:trPr>
          <w:trHeight w:val="580"/>
          <w:tblHeader/>
        </w:trPr>
        <w:tc>
          <w:tcPr>
            <w:tcW w:w="4644" w:type="dxa"/>
            <w:shd w:val="clear" w:color="000000" w:fill="1E3D6B"/>
            <w:noWrap/>
            <w:vAlign w:val="center"/>
            <w:hideMark/>
          </w:tcPr>
          <w:p w:rsidR="0036160D" w:rsidRPr="00544713" w:rsidRDefault="0036160D" w:rsidP="00BF5799">
            <w:pPr>
              <w:keepNext/>
              <w:spacing w:after="0" w:line="240" w:lineRule="auto"/>
              <w:rPr>
                <w:rFonts w:ascii="Calibri" w:eastAsia="Times New Roman" w:hAnsi="Calibri" w:cs="Calibri"/>
                <w:b/>
                <w:bCs/>
                <w:color w:val="FFFFFF" w:themeColor="background2"/>
                <w:sz w:val="20"/>
                <w:szCs w:val="20"/>
                <w:lang w:eastAsia="en-AU"/>
              </w:rPr>
            </w:pPr>
            <w:bookmarkStart w:id="171" w:name="Title_311"/>
            <w:bookmarkEnd w:id="171"/>
            <w:r w:rsidRPr="00544713">
              <w:rPr>
                <w:rFonts w:ascii="Calibri" w:eastAsia="Times New Roman" w:hAnsi="Calibri" w:cs="Calibri"/>
                <w:b/>
                <w:bCs/>
                <w:color w:val="FFFFFF" w:themeColor="background2"/>
                <w:sz w:val="20"/>
                <w:szCs w:val="20"/>
                <w:lang w:eastAsia="en-AU"/>
              </w:rPr>
              <w:t>Transition from</w:t>
            </w:r>
          </w:p>
        </w:tc>
        <w:tc>
          <w:tcPr>
            <w:tcW w:w="2410" w:type="dxa"/>
            <w:shd w:val="clear" w:color="000000" w:fill="1E3D6B"/>
            <w:vAlign w:val="center"/>
          </w:tcPr>
          <w:p w:rsidR="0036160D" w:rsidRPr="00544713" w:rsidRDefault="0036160D" w:rsidP="00BF5799">
            <w:pPr>
              <w:keepNext/>
              <w:spacing w:after="0" w:line="240" w:lineRule="auto"/>
              <w:ind w:right="110"/>
              <w:jc w:val="center"/>
              <w:rPr>
                <w:rFonts w:ascii="Calibri" w:eastAsia="Times New Roman" w:hAnsi="Calibri" w:cs="Calibri"/>
                <w:b/>
                <w:bCs/>
                <w:color w:val="FFFFFF" w:themeColor="background2"/>
                <w:sz w:val="20"/>
                <w:szCs w:val="20"/>
                <w:lang w:eastAsia="en-AU"/>
              </w:rPr>
            </w:pPr>
            <w:r w:rsidRPr="00544713">
              <w:rPr>
                <w:rFonts w:ascii="Calibri" w:eastAsia="Times New Roman" w:hAnsi="Calibri" w:cs="Calibri"/>
                <w:b/>
                <w:bCs/>
                <w:color w:val="FFFFFF" w:themeColor="background2"/>
                <w:sz w:val="20"/>
                <w:szCs w:val="20"/>
                <w:lang w:eastAsia="en-AU"/>
              </w:rPr>
              <w:t>Oct 2007 to Sep 2008</w:t>
            </w:r>
            <w:r w:rsidRPr="00544713">
              <w:rPr>
                <w:rFonts w:ascii="Calibri" w:eastAsia="Times New Roman" w:hAnsi="Calibri" w:cs="Calibri"/>
                <w:b/>
                <w:bCs/>
                <w:color w:val="FFFFFF" w:themeColor="background2"/>
                <w:sz w:val="20"/>
                <w:szCs w:val="20"/>
                <w:lang w:eastAsia="en-AU"/>
              </w:rPr>
              <w:br/>
              <w:t>(%)</w:t>
            </w:r>
          </w:p>
        </w:tc>
        <w:tc>
          <w:tcPr>
            <w:tcW w:w="2268" w:type="dxa"/>
            <w:shd w:val="clear" w:color="000000" w:fill="1E3D6B"/>
            <w:vAlign w:val="center"/>
          </w:tcPr>
          <w:p w:rsidR="0036160D" w:rsidRPr="00544713" w:rsidRDefault="0036160D" w:rsidP="00BF5799">
            <w:pPr>
              <w:keepNext/>
              <w:spacing w:after="0" w:line="240" w:lineRule="auto"/>
              <w:ind w:right="110"/>
              <w:jc w:val="center"/>
              <w:rPr>
                <w:rFonts w:ascii="Calibri" w:eastAsia="Times New Roman" w:hAnsi="Calibri" w:cs="Calibri"/>
                <w:b/>
                <w:bCs/>
                <w:color w:val="FFFFFF" w:themeColor="background2"/>
                <w:sz w:val="20"/>
                <w:szCs w:val="20"/>
                <w:lang w:eastAsia="en-AU"/>
              </w:rPr>
            </w:pPr>
            <w:r w:rsidRPr="00544713">
              <w:rPr>
                <w:rFonts w:ascii="Calibri" w:eastAsia="Times New Roman" w:hAnsi="Calibri" w:cs="Calibri"/>
                <w:b/>
                <w:bCs/>
                <w:color w:val="FFFFFF" w:themeColor="background2"/>
                <w:sz w:val="20"/>
                <w:szCs w:val="20"/>
                <w:lang w:eastAsia="en-AU"/>
              </w:rPr>
              <w:t>Jul 2013 to Jun 2014</w:t>
            </w:r>
            <w:r w:rsidRPr="00544713">
              <w:rPr>
                <w:rFonts w:ascii="Calibri" w:eastAsia="Times New Roman" w:hAnsi="Calibri" w:cs="Calibri"/>
                <w:b/>
                <w:bCs/>
                <w:color w:val="FFFFFF" w:themeColor="background2"/>
                <w:sz w:val="20"/>
                <w:szCs w:val="20"/>
                <w:lang w:eastAsia="en-AU"/>
              </w:rPr>
              <w:br/>
              <w:t>(%)</w:t>
            </w:r>
          </w:p>
        </w:tc>
      </w:tr>
      <w:tr w:rsidR="0036160D" w:rsidRPr="0036160D" w:rsidTr="00BF5799">
        <w:trPr>
          <w:trHeight w:val="397"/>
        </w:trPr>
        <w:tc>
          <w:tcPr>
            <w:tcW w:w="4644" w:type="dxa"/>
            <w:shd w:val="clear" w:color="auto" w:fill="auto"/>
            <w:noWrap/>
            <w:vAlign w:val="center"/>
            <w:hideMark/>
          </w:tcPr>
          <w:p w:rsidR="0036160D" w:rsidRPr="00544713" w:rsidRDefault="0036160D" w:rsidP="00BF5799">
            <w:pPr>
              <w:keepNext/>
              <w:spacing w:after="0" w:line="240" w:lineRule="auto"/>
              <w:rPr>
                <w:rFonts w:ascii="Calibri" w:eastAsia="Times New Roman" w:hAnsi="Calibri" w:cs="Calibri"/>
                <w:color w:val="000000" w:themeColor="text1"/>
                <w:sz w:val="20"/>
                <w:szCs w:val="20"/>
                <w:lang w:eastAsia="en-AU"/>
              </w:rPr>
            </w:pPr>
            <w:r w:rsidRPr="00544713">
              <w:rPr>
                <w:rFonts w:ascii="Calibri" w:eastAsia="Times New Roman" w:hAnsi="Calibri" w:cs="Calibri"/>
                <w:color w:val="000000" w:themeColor="text1"/>
                <w:sz w:val="20"/>
                <w:szCs w:val="20"/>
                <w:lang w:eastAsia="en-AU"/>
              </w:rPr>
              <w:t>Outside the labour force to employment</w:t>
            </w:r>
          </w:p>
        </w:tc>
        <w:tc>
          <w:tcPr>
            <w:tcW w:w="2410" w:type="dxa"/>
            <w:vAlign w:val="center"/>
          </w:tcPr>
          <w:p w:rsidR="0036160D" w:rsidRPr="00544713" w:rsidRDefault="0036160D" w:rsidP="00BF5799">
            <w:pPr>
              <w:keepNext/>
              <w:tabs>
                <w:tab w:val="left" w:pos="1073"/>
              </w:tabs>
              <w:spacing w:after="0" w:line="240" w:lineRule="auto"/>
              <w:ind w:right="1026"/>
              <w:jc w:val="right"/>
              <w:rPr>
                <w:rFonts w:ascii="Calibri" w:eastAsia="Times New Roman" w:hAnsi="Calibri" w:cs="Calibri"/>
                <w:color w:val="000000" w:themeColor="text1"/>
                <w:sz w:val="20"/>
                <w:szCs w:val="20"/>
                <w:lang w:eastAsia="en-AU"/>
              </w:rPr>
            </w:pPr>
            <w:r w:rsidRPr="00544713">
              <w:rPr>
                <w:rFonts w:ascii="Calibri" w:eastAsia="Times New Roman" w:hAnsi="Calibri" w:cs="Calibri"/>
                <w:color w:val="000000" w:themeColor="text1"/>
                <w:sz w:val="20"/>
                <w:szCs w:val="20"/>
                <w:lang w:eastAsia="en-AU"/>
              </w:rPr>
              <w:t>10.6</w:t>
            </w:r>
          </w:p>
        </w:tc>
        <w:tc>
          <w:tcPr>
            <w:tcW w:w="2268" w:type="dxa"/>
            <w:vAlign w:val="center"/>
          </w:tcPr>
          <w:p w:rsidR="0036160D" w:rsidRPr="00544713" w:rsidRDefault="0036160D" w:rsidP="00BF5799">
            <w:pPr>
              <w:keepNext/>
              <w:tabs>
                <w:tab w:val="left" w:pos="1073"/>
              </w:tabs>
              <w:spacing w:after="0" w:line="240" w:lineRule="auto"/>
              <w:ind w:right="884"/>
              <w:jc w:val="right"/>
              <w:rPr>
                <w:rFonts w:ascii="Calibri" w:eastAsia="Times New Roman" w:hAnsi="Calibri" w:cs="Calibri"/>
                <w:color w:val="000000" w:themeColor="text1"/>
                <w:sz w:val="20"/>
                <w:szCs w:val="20"/>
                <w:lang w:eastAsia="en-AU"/>
              </w:rPr>
            </w:pPr>
            <w:r w:rsidRPr="00544713">
              <w:rPr>
                <w:rFonts w:ascii="Calibri" w:eastAsia="Times New Roman" w:hAnsi="Calibri" w:cs="Calibri"/>
                <w:color w:val="000000" w:themeColor="text1"/>
                <w:sz w:val="20"/>
                <w:szCs w:val="20"/>
                <w:lang w:eastAsia="en-AU"/>
              </w:rPr>
              <w:t>8.1</w:t>
            </w:r>
          </w:p>
        </w:tc>
      </w:tr>
      <w:tr w:rsidR="0036160D" w:rsidRPr="0036160D" w:rsidTr="00BF5799">
        <w:trPr>
          <w:trHeight w:val="397"/>
        </w:trPr>
        <w:tc>
          <w:tcPr>
            <w:tcW w:w="4644" w:type="dxa"/>
            <w:shd w:val="clear" w:color="auto" w:fill="E5E5E5" w:themeFill="background1" w:themeFillTint="33"/>
            <w:noWrap/>
            <w:vAlign w:val="center"/>
          </w:tcPr>
          <w:p w:rsidR="0036160D" w:rsidRPr="00544713" w:rsidRDefault="0036160D" w:rsidP="00BF5799">
            <w:pPr>
              <w:keepNext/>
              <w:spacing w:after="0" w:line="240" w:lineRule="auto"/>
              <w:rPr>
                <w:rFonts w:ascii="Calibri" w:eastAsia="Times New Roman" w:hAnsi="Calibri" w:cs="Calibri"/>
                <w:color w:val="000000" w:themeColor="text1"/>
                <w:sz w:val="20"/>
                <w:szCs w:val="20"/>
                <w:lang w:eastAsia="en-AU"/>
              </w:rPr>
            </w:pPr>
            <w:r w:rsidRPr="00544713">
              <w:rPr>
                <w:rFonts w:ascii="Calibri" w:eastAsia="Times New Roman" w:hAnsi="Calibri" w:cs="Calibri"/>
                <w:color w:val="000000" w:themeColor="text1"/>
                <w:sz w:val="20"/>
                <w:szCs w:val="20"/>
                <w:lang w:eastAsia="en-AU"/>
              </w:rPr>
              <w:t>Outside the labour force to unemployment</w:t>
            </w:r>
          </w:p>
        </w:tc>
        <w:tc>
          <w:tcPr>
            <w:tcW w:w="2410" w:type="dxa"/>
            <w:shd w:val="clear" w:color="auto" w:fill="E5E5E5" w:themeFill="background1" w:themeFillTint="33"/>
            <w:vAlign w:val="center"/>
          </w:tcPr>
          <w:p w:rsidR="0036160D" w:rsidRPr="00544713" w:rsidRDefault="0036160D" w:rsidP="00BF5799">
            <w:pPr>
              <w:keepNext/>
              <w:tabs>
                <w:tab w:val="left" w:pos="1073"/>
              </w:tabs>
              <w:spacing w:after="0" w:line="240" w:lineRule="auto"/>
              <w:ind w:right="1026"/>
              <w:jc w:val="right"/>
              <w:rPr>
                <w:rFonts w:ascii="Calibri" w:eastAsia="Times New Roman" w:hAnsi="Calibri" w:cs="Calibri"/>
                <w:color w:val="000000" w:themeColor="text1"/>
                <w:sz w:val="20"/>
                <w:szCs w:val="20"/>
                <w:lang w:eastAsia="en-AU"/>
              </w:rPr>
            </w:pPr>
            <w:r w:rsidRPr="00544713">
              <w:rPr>
                <w:rFonts w:ascii="Calibri" w:eastAsia="Times New Roman" w:hAnsi="Calibri" w:cs="Calibri"/>
                <w:color w:val="000000" w:themeColor="text1"/>
                <w:sz w:val="20"/>
                <w:szCs w:val="20"/>
                <w:lang w:eastAsia="en-AU"/>
              </w:rPr>
              <w:t>7.6</w:t>
            </w:r>
          </w:p>
        </w:tc>
        <w:tc>
          <w:tcPr>
            <w:tcW w:w="2268" w:type="dxa"/>
            <w:shd w:val="clear" w:color="auto" w:fill="E5E5E5" w:themeFill="background1" w:themeFillTint="33"/>
            <w:vAlign w:val="center"/>
          </w:tcPr>
          <w:p w:rsidR="0036160D" w:rsidRPr="00544713" w:rsidRDefault="0036160D" w:rsidP="00BF5799">
            <w:pPr>
              <w:keepNext/>
              <w:tabs>
                <w:tab w:val="left" w:pos="1073"/>
              </w:tabs>
              <w:spacing w:after="0" w:line="240" w:lineRule="auto"/>
              <w:ind w:right="884"/>
              <w:jc w:val="right"/>
              <w:rPr>
                <w:rFonts w:ascii="Calibri" w:eastAsia="Times New Roman" w:hAnsi="Calibri" w:cs="Calibri"/>
                <w:color w:val="000000" w:themeColor="text1"/>
                <w:sz w:val="20"/>
                <w:szCs w:val="20"/>
                <w:lang w:eastAsia="en-AU"/>
              </w:rPr>
            </w:pPr>
            <w:r w:rsidRPr="00544713">
              <w:rPr>
                <w:rFonts w:ascii="Calibri" w:eastAsia="Times New Roman" w:hAnsi="Calibri" w:cs="Calibri"/>
                <w:color w:val="000000" w:themeColor="text1"/>
                <w:sz w:val="20"/>
                <w:szCs w:val="20"/>
                <w:lang w:eastAsia="en-AU"/>
              </w:rPr>
              <w:t>8.0</w:t>
            </w:r>
          </w:p>
        </w:tc>
      </w:tr>
      <w:tr w:rsidR="0036160D" w:rsidRPr="0036160D" w:rsidTr="00BF5799">
        <w:trPr>
          <w:trHeight w:val="397"/>
        </w:trPr>
        <w:tc>
          <w:tcPr>
            <w:tcW w:w="4644" w:type="dxa"/>
            <w:shd w:val="clear" w:color="auto" w:fill="auto"/>
            <w:noWrap/>
            <w:vAlign w:val="center"/>
          </w:tcPr>
          <w:p w:rsidR="0036160D" w:rsidRPr="00544713" w:rsidRDefault="0036160D" w:rsidP="00BF5799">
            <w:pPr>
              <w:keepNext/>
              <w:spacing w:after="0" w:line="240" w:lineRule="auto"/>
              <w:rPr>
                <w:rFonts w:ascii="Calibri" w:eastAsia="Times New Roman" w:hAnsi="Calibri" w:cs="Calibri"/>
                <w:color w:val="000000" w:themeColor="text1"/>
                <w:sz w:val="20"/>
                <w:szCs w:val="20"/>
                <w:lang w:eastAsia="en-AU"/>
              </w:rPr>
            </w:pPr>
            <w:r w:rsidRPr="00544713">
              <w:rPr>
                <w:rFonts w:ascii="Calibri" w:eastAsia="Times New Roman" w:hAnsi="Calibri" w:cs="Calibri"/>
                <w:color w:val="000000" w:themeColor="text1"/>
                <w:sz w:val="20"/>
                <w:szCs w:val="20"/>
                <w:lang w:eastAsia="en-AU"/>
              </w:rPr>
              <w:t>Unemployment to employment</w:t>
            </w:r>
          </w:p>
        </w:tc>
        <w:tc>
          <w:tcPr>
            <w:tcW w:w="2410" w:type="dxa"/>
            <w:vAlign w:val="center"/>
          </w:tcPr>
          <w:p w:rsidR="0036160D" w:rsidRPr="00544713" w:rsidRDefault="0036160D" w:rsidP="00BF5799">
            <w:pPr>
              <w:keepNext/>
              <w:tabs>
                <w:tab w:val="left" w:pos="1073"/>
              </w:tabs>
              <w:spacing w:after="0" w:line="240" w:lineRule="auto"/>
              <w:ind w:right="1026"/>
              <w:jc w:val="right"/>
              <w:rPr>
                <w:rFonts w:ascii="Calibri" w:eastAsia="Times New Roman" w:hAnsi="Calibri" w:cs="Calibri"/>
                <w:color w:val="000000" w:themeColor="text1"/>
                <w:sz w:val="20"/>
                <w:szCs w:val="20"/>
                <w:lang w:eastAsia="en-AU"/>
              </w:rPr>
            </w:pPr>
            <w:r w:rsidRPr="00544713">
              <w:rPr>
                <w:rFonts w:ascii="Calibri" w:eastAsia="Times New Roman" w:hAnsi="Calibri" w:cs="Calibri"/>
                <w:color w:val="000000" w:themeColor="text1"/>
                <w:sz w:val="20"/>
                <w:szCs w:val="20"/>
                <w:lang w:eastAsia="en-AU"/>
              </w:rPr>
              <w:t>25.2</w:t>
            </w:r>
          </w:p>
        </w:tc>
        <w:tc>
          <w:tcPr>
            <w:tcW w:w="2268" w:type="dxa"/>
            <w:vAlign w:val="center"/>
          </w:tcPr>
          <w:p w:rsidR="0036160D" w:rsidRPr="00544713" w:rsidRDefault="0036160D" w:rsidP="00BF5799">
            <w:pPr>
              <w:keepNext/>
              <w:tabs>
                <w:tab w:val="left" w:pos="1073"/>
              </w:tabs>
              <w:spacing w:after="0" w:line="240" w:lineRule="auto"/>
              <w:ind w:right="884"/>
              <w:jc w:val="right"/>
              <w:rPr>
                <w:rFonts w:ascii="Calibri" w:eastAsia="Times New Roman" w:hAnsi="Calibri" w:cs="Calibri"/>
                <w:color w:val="000000" w:themeColor="text1"/>
                <w:sz w:val="20"/>
                <w:szCs w:val="20"/>
                <w:lang w:eastAsia="en-AU"/>
              </w:rPr>
            </w:pPr>
            <w:r w:rsidRPr="00544713">
              <w:rPr>
                <w:rFonts w:ascii="Calibri" w:eastAsia="Times New Roman" w:hAnsi="Calibri" w:cs="Calibri"/>
                <w:color w:val="000000" w:themeColor="text1"/>
                <w:sz w:val="20"/>
                <w:szCs w:val="20"/>
                <w:lang w:eastAsia="en-AU"/>
              </w:rPr>
              <w:t>19.3</w:t>
            </w:r>
          </w:p>
        </w:tc>
      </w:tr>
      <w:tr w:rsidR="0036160D" w:rsidRPr="0036160D" w:rsidTr="00BF5799">
        <w:trPr>
          <w:trHeight w:val="397"/>
        </w:trPr>
        <w:tc>
          <w:tcPr>
            <w:tcW w:w="4644" w:type="dxa"/>
            <w:shd w:val="clear" w:color="auto" w:fill="E5E5E5" w:themeFill="background1" w:themeFillTint="33"/>
            <w:noWrap/>
            <w:vAlign w:val="center"/>
          </w:tcPr>
          <w:p w:rsidR="0036160D" w:rsidRPr="00544713" w:rsidRDefault="0036160D" w:rsidP="00BF5799">
            <w:pPr>
              <w:keepNext/>
              <w:spacing w:after="0" w:line="240" w:lineRule="auto"/>
              <w:rPr>
                <w:rFonts w:ascii="Calibri" w:eastAsia="Times New Roman" w:hAnsi="Calibri" w:cs="Calibri"/>
                <w:color w:val="000000" w:themeColor="text1"/>
                <w:sz w:val="20"/>
                <w:szCs w:val="20"/>
                <w:lang w:eastAsia="en-AU"/>
              </w:rPr>
            </w:pPr>
            <w:r w:rsidRPr="00544713">
              <w:rPr>
                <w:rFonts w:ascii="Calibri" w:eastAsia="Times New Roman" w:hAnsi="Calibri" w:cs="Calibri"/>
                <w:color w:val="000000" w:themeColor="text1"/>
                <w:sz w:val="20"/>
                <w:szCs w:val="20"/>
                <w:lang w:eastAsia="en-AU"/>
              </w:rPr>
              <w:t>Unemployment to outside the labour force</w:t>
            </w:r>
          </w:p>
        </w:tc>
        <w:tc>
          <w:tcPr>
            <w:tcW w:w="2410" w:type="dxa"/>
            <w:shd w:val="clear" w:color="auto" w:fill="E5E5E5" w:themeFill="background1" w:themeFillTint="33"/>
            <w:vAlign w:val="center"/>
          </w:tcPr>
          <w:p w:rsidR="0036160D" w:rsidRPr="00544713" w:rsidRDefault="0036160D" w:rsidP="00BF5799">
            <w:pPr>
              <w:keepNext/>
              <w:tabs>
                <w:tab w:val="left" w:pos="1073"/>
              </w:tabs>
              <w:spacing w:after="0" w:line="240" w:lineRule="auto"/>
              <w:ind w:right="1026"/>
              <w:jc w:val="right"/>
              <w:rPr>
                <w:rFonts w:ascii="Calibri" w:eastAsia="Times New Roman" w:hAnsi="Calibri" w:cs="Calibri"/>
                <w:color w:val="000000" w:themeColor="text1"/>
                <w:sz w:val="20"/>
                <w:szCs w:val="20"/>
                <w:lang w:eastAsia="en-AU"/>
              </w:rPr>
            </w:pPr>
            <w:r w:rsidRPr="00544713">
              <w:rPr>
                <w:rFonts w:ascii="Calibri" w:eastAsia="Times New Roman" w:hAnsi="Calibri" w:cs="Calibri"/>
                <w:color w:val="000000" w:themeColor="text1"/>
                <w:sz w:val="20"/>
                <w:szCs w:val="20"/>
                <w:lang w:eastAsia="en-AU"/>
              </w:rPr>
              <w:t>28.2</w:t>
            </w:r>
          </w:p>
        </w:tc>
        <w:tc>
          <w:tcPr>
            <w:tcW w:w="2268" w:type="dxa"/>
            <w:shd w:val="clear" w:color="auto" w:fill="E5E5E5" w:themeFill="background1" w:themeFillTint="33"/>
            <w:vAlign w:val="center"/>
          </w:tcPr>
          <w:p w:rsidR="0036160D" w:rsidRPr="00544713" w:rsidRDefault="0036160D" w:rsidP="00BF5799">
            <w:pPr>
              <w:keepNext/>
              <w:tabs>
                <w:tab w:val="left" w:pos="1073"/>
              </w:tabs>
              <w:spacing w:after="0" w:line="240" w:lineRule="auto"/>
              <w:ind w:right="884"/>
              <w:jc w:val="right"/>
              <w:rPr>
                <w:rFonts w:ascii="Calibri" w:eastAsia="Times New Roman" w:hAnsi="Calibri" w:cs="Calibri"/>
                <w:color w:val="000000" w:themeColor="text1"/>
                <w:sz w:val="20"/>
                <w:szCs w:val="20"/>
                <w:lang w:eastAsia="en-AU"/>
              </w:rPr>
            </w:pPr>
            <w:r w:rsidRPr="00544713">
              <w:rPr>
                <w:rFonts w:ascii="Calibri" w:eastAsia="Times New Roman" w:hAnsi="Calibri" w:cs="Calibri"/>
                <w:color w:val="000000" w:themeColor="text1"/>
                <w:sz w:val="20"/>
                <w:szCs w:val="20"/>
                <w:lang w:eastAsia="en-AU"/>
              </w:rPr>
              <w:t>26.8</w:t>
            </w:r>
          </w:p>
        </w:tc>
      </w:tr>
      <w:tr w:rsidR="0036160D" w:rsidRPr="0036160D" w:rsidTr="00BF5799">
        <w:trPr>
          <w:trHeight w:val="397"/>
        </w:trPr>
        <w:tc>
          <w:tcPr>
            <w:tcW w:w="4644" w:type="dxa"/>
            <w:shd w:val="clear" w:color="auto" w:fill="FFFFFF" w:themeFill="background2"/>
            <w:noWrap/>
            <w:vAlign w:val="center"/>
          </w:tcPr>
          <w:p w:rsidR="0036160D" w:rsidRPr="00544713" w:rsidRDefault="0036160D" w:rsidP="00BF5799">
            <w:pPr>
              <w:keepNext/>
              <w:spacing w:after="0" w:line="240" w:lineRule="auto"/>
              <w:rPr>
                <w:rFonts w:ascii="Calibri" w:eastAsia="Times New Roman" w:hAnsi="Calibri" w:cs="Calibri"/>
                <w:color w:val="000000" w:themeColor="text1"/>
                <w:sz w:val="20"/>
                <w:szCs w:val="20"/>
                <w:lang w:eastAsia="en-AU"/>
              </w:rPr>
            </w:pPr>
            <w:r w:rsidRPr="00544713">
              <w:rPr>
                <w:rFonts w:ascii="Calibri" w:eastAsia="Times New Roman" w:hAnsi="Calibri" w:cs="Calibri"/>
                <w:color w:val="000000" w:themeColor="text1"/>
                <w:sz w:val="20"/>
                <w:szCs w:val="20"/>
                <w:lang w:eastAsia="en-AU"/>
              </w:rPr>
              <w:t>LTU unemployment to employment</w:t>
            </w:r>
          </w:p>
        </w:tc>
        <w:tc>
          <w:tcPr>
            <w:tcW w:w="2410" w:type="dxa"/>
            <w:shd w:val="clear" w:color="auto" w:fill="FFFFFF" w:themeFill="background2"/>
            <w:vAlign w:val="center"/>
          </w:tcPr>
          <w:p w:rsidR="0036160D" w:rsidRPr="00544713" w:rsidRDefault="0036160D" w:rsidP="00BF5799">
            <w:pPr>
              <w:keepNext/>
              <w:tabs>
                <w:tab w:val="left" w:pos="1073"/>
              </w:tabs>
              <w:spacing w:after="0" w:line="240" w:lineRule="auto"/>
              <w:ind w:right="1026"/>
              <w:jc w:val="right"/>
              <w:rPr>
                <w:rFonts w:ascii="Calibri" w:eastAsia="Times New Roman" w:hAnsi="Calibri" w:cs="Calibri"/>
                <w:color w:val="000000" w:themeColor="text1"/>
                <w:sz w:val="20"/>
                <w:szCs w:val="20"/>
                <w:lang w:eastAsia="en-AU"/>
              </w:rPr>
            </w:pPr>
            <w:r w:rsidRPr="00544713">
              <w:rPr>
                <w:rFonts w:ascii="Calibri" w:eastAsia="Times New Roman" w:hAnsi="Calibri" w:cs="Calibri"/>
                <w:color w:val="000000" w:themeColor="text1"/>
                <w:sz w:val="20"/>
                <w:szCs w:val="20"/>
                <w:lang w:eastAsia="en-AU"/>
              </w:rPr>
              <w:t>14.6</w:t>
            </w:r>
          </w:p>
        </w:tc>
        <w:tc>
          <w:tcPr>
            <w:tcW w:w="2268" w:type="dxa"/>
            <w:shd w:val="clear" w:color="auto" w:fill="FFFFFF" w:themeFill="background2"/>
            <w:vAlign w:val="center"/>
          </w:tcPr>
          <w:p w:rsidR="0036160D" w:rsidRPr="00544713" w:rsidRDefault="0036160D" w:rsidP="00BF5799">
            <w:pPr>
              <w:keepNext/>
              <w:tabs>
                <w:tab w:val="left" w:pos="1073"/>
              </w:tabs>
              <w:spacing w:after="0" w:line="240" w:lineRule="auto"/>
              <w:ind w:right="884"/>
              <w:jc w:val="right"/>
              <w:rPr>
                <w:rFonts w:ascii="Calibri" w:eastAsia="Times New Roman" w:hAnsi="Calibri" w:cs="Calibri"/>
                <w:color w:val="000000" w:themeColor="text1"/>
                <w:sz w:val="20"/>
                <w:szCs w:val="20"/>
                <w:lang w:eastAsia="en-AU"/>
              </w:rPr>
            </w:pPr>
            <w:r w:rsidRPr="00544713">
              <w:rPr>
                <w:rFonts w:ascii="Calibri" w:eastAsia="Times New Roman" w:hAnsi="Calibri" w:cs="Calibri"/>
                <w:color w:val="000000" w:themeColor="text1"/>
                <w:sz w:val="20"/>
                <w:szCs w:val="20"/>
                <w:lang w:eastAsia="en-AU"/>
              </w:rPr>
              <w:t>9.8</w:t>
            </w:r>
          </w:p>
        </w:tc>
      </w:tr>
      <w:tr w:rsidR="0036160D" w:rsidRPr="0036160D" w:rsidTr="00BF5799">
        <w:trPr>
          <w:trHeight w:val="397"/>
        </w:trPr>
        <w:tc>
          <w:tcPr>
            <w:tcW w:w="4644" w:type="dxa"/>
            <w:shd w:val="clear" w:color="auto" w:fill="E5E5E5" w:themeFill="background1" w:themeFillTint="33"/>
            <w:noWrap/>
            <w:vAlign w:val="center"/>
          </w:tcPr>
          <w:p w:rsidR="0036160D" w:rsidRPr="00544713" w:rsidRDefault="0036160D" w:rsidP="00BF5799">
            <w:pPr>
              <w:keepNext/>
              <w:spacing w:after="0" w:line="240" w:lineRule="auto"/>
              <w:rPr>
                <w:rFonts w:ascii="Calibri" w:eastAsia="Times New Roman" w:hAnsi="Calibri" w:cs="Calibri"/>
                <w:color w:val="000000" w:themeColor="text1"/>
                <w:sz w:val="20"/>
                <w:szCs w:val="20"/>
                <w:lang w:eastAsia="en-AU"/>
              </w:rPr>
            </w:pPr>
            <w:r w:rsidRPr="00544713">
              <w:rPr>
                <w:rFonts w:ascii="Calibri" w:eastAsia="Times New Roman" w:hAnsi="Calibri" w:cs="Calibri"/>
                <w:color w:val="000000" w:themeColor="text1"/>
                <w:sz w:val="20"/>
                <w:szCs w:val="20"/>
                <w:lang w:eastAsia="en-AU"/>
              </w:rPr>
              <w:t>LTU unemployment to outside the labour force</w:t>
            </w:r>
          </w:p>
        </w:tc>
        <w:tc>
          <w:tcPr>
            <w:tcW w:w="2410" w:type="dxa"/>
            <w:shd w:val="clear" w:color="auto" w:fill="E5E5E5" w:themeFill="background1" w:themeFillTint="33"/>
            <w:vAlign w:val="center"/>
          </w:tcPr>
          <w:p w:rsidR="0036160D" w:rsidRPr="00544713" w:rsidRDefault="0036160D" w:rsidP="00BF5799">
            <w:pPr>
              <w:keepNext/>
              <w:tabs>
                <w:tab w:val="left" w:pos="1073"/>
              </w:tabs>
              <w:spacing w:after="0" w:line="240" w:lineRule="auto"/>
              <w:ind w:right="1026"/>
              <w:jc w:val="right"/>
              <w:rPr>
                <w:rFonts w:ascii="Calibri" w:eastAsia="Times New Roman" w:hAnsi="Calibri" w:cs="Calibri"/>
                <w:color w:val="000000" w:themeColor="text1"/>
                <w:sz w:val="20"/>
                <w:szCs w:val="20"/>
                <w:lang w:eastAsia="en-AU"/>
              </w:rPr>
            </w:pPr>
            <w:r w:rsidRPr="00544713">
              <w:rPr>
                <w:rFonts w:ascii="Calibri" w:eastAsia="Times New Roman" w:hAnsi="Calibri" w:cs="Calibri"/>
                <w:color w:val="000000" w:themeColor="text1"/>
                <w:sz w:val="20"/>
                <w:szCs w:val="20"/>
                <w:lang w:eastAsia="en-AU"/>
              </w:rPr>
              <w:t>25.5</w:t>
            </w:r>
          </w:p>
        </w:tc>
        <w:tc>
          <w:tcPr>
            <w:tcW w:w="2268" w:type="dxa"/>
            <w:shd w:val="clear" w:color="auto" w:fill="E5E5E5" w:themeFill="background1" w:themeFillTint="33"/>
            <w:vAlign w:val="center"/>
          </w:tcPr>
          <w:p w:rsidR="0036160D" w:rsidRPr="00544713" w:rsidRDefault="0036160D" w:rsidP="00BF5799">
            <w:pPr>
              <w:keepNext/>
              <w:tabs>
                <w:tab w:val="left" w:pos="1073"/>
              </w:tabs>
              <w:spacing w:after="0" w:line="240" w:lineRule="auto"/>
              <w:ind w:right="884"/>
              <w:jc w:val="right"/>
              <w:rPr>
                <w:rFonts w:ascii="Calibri" w:eastAsia="Times New Roman" w:hAnsi="Calibri" w:cs="Calibri"/>
                <w:color w:val="000000" w:themeColor="text1"/>
                <w:sz w:val="20"/>
                <w:szCs w:val="20"/>
                <w:lang w:eastAsia="en-AU"/>
              </w:rPr>
            </w:pPr>
            <w:r w:rsidRPr="00544713">
              <w:rPr>
                <w:rFonts w:ascii="Calibri" w:eastAsia="Times New Roman" w:hAnsi="Calibri" w:cs="Calibri"/>
                <w:color w:val="000000" w:themeColor="text1"/>
                <w:sz w:val="20"/>
                <w:szCs w:val="20"/>
                <w:lang w:eastAsia="en-AU"/>
              </w:rPr>
              <w:t>24.2</w:t>
            </w:r>
          </w:p>
        </w:tc>
      </w:tr>
      <w:tr w:rsidR="0036160D" w:rsidRPr="0036160D" w:rsidTr="00BF5799">
        <w:trPr>
          <w:trHeight w:val="397"/>
        </w:trPr>
        <w:tc>
          <w:tcPr>
            <w:tcW w:w="4644" w:type="dxa"/>
            <w:shd w:val="clear" w:color="auto" w:fill="auto"/>
            <w:noWrap/>
            <w:vAlign w:val="center"/>
          </w:tcPr>
          <w:p w:rsidR="0036160D" w:rsidRPr="00544713" w:rsidRDefault="0036160D" w:rsidP="00BF5799">
            <w:pPr>
              <w:keepNext/>
              <w:spacing w:after="0" w:line="240" w:lineRule="auto"/>
              <w:rPr>
                <w:rFonts w:ascii="Calibri" w:eastAsia="Times New Roman" w:hAnsi="Calibri" w:cs="Calibri"/>
                <w:color w:val="000000" w:themeColor="text1"/>
                <w:sz w:val="20"/>
                <w:szCs w:val="20"/>
                <w:lang w:eastAsia="en-AU"/>
              </w:rPr>
            </w:pPr>
            <w:r w:rsidRPr="00544713">
              <w:rPr>
                <w:rFonts w:ascii="Calibri" w:eastAsia="Times New Roman" w:hAnsi="Calibri" w:cs="Calibri"/>
                <w:color w:val="000000" w:themeColor="text1"/>
                <w:sz w:val="20"/>
                <w:szCs w:val="20"/>
                <w:lang w:eastAsia="en-AU"/>
              </w:rPr>
              <w:t>Employment to unemployment</w:t>
            </w:r>
          </w:p>
        </w:tc>
        <w:tc>
          <w:tcPr>
            <w:tcW w:w="2410" w:type="dxa"/>
            <w:vAlign w:val="center"/>
          </w:tcPr>
          <w:p w:rsidR="0036160D" w:rsidRPr="00544713" w:rsidRDefault="0036160D" w:rsidP="00BF5799">
            <w:pPr>
              <w:keepNext/>
              <w:tabs>
                <w:tab w:val="left" w:pos="1073"/>
              </w:tabs>
              <w:spacing w:after="0" w:line="240" w:lineRule="auto"/>
              <w:ind w:right="1026"/>
              <w:jc w:val="right"/>
              <w:rPr>
                <w:rFonts w:ascii="Calibri" w:eastAsia="Times New Roman" w:hAnsi="Calibri" w:cs="Calibri"/>
                <w:color w:val="000000" w:themeColor="text1"/>
                <w:sz w:val="20"/>
                <w:szCs w:val="20"/>
                <w:lang w:eastAsia="en-AU"/>
              </w:rPr>
            </w:pPr>
            <w:r w:rsidRPr="00544713">
              <w:rPr>
                <w:rFonts w:ascii="Calibri" w:eastAsia="Times New Roman" w:hAnsi="Calibri" w:cs="Calibri"/>
                <w:color w:val="000000" w:themeColor="text1"/>
                <w:sz w:val="20"/>
                <w:szCs w:val="20"/>
                <w:lang w:eastAsia="en-AU"/>
              </w:rPr>
              <w:t>1.6</w:t>
            </w:r>
          </w:p>
        </w:tc>
        <w:tc>
          <w:tcPr>
            <w:tcW w:w="2268" w:type="dxa"/>
            <w:vAlign w:val="center"/>
          </w:tcPr>
          <w:p w:rsidR="0036160D" w:rsidRPr="00544713" w:rsidRDefault="0036160D" w:rsidP="00BF5799">
            <w:pPr>
              <w:keepNext/>
              <w:tabs>
                <w:tab w:val="left" w:pos="1073"/>
              </w:tabs>
              <w:spacing w:after="0" w:line="240" w:lineRule="auto"/>
              <w:ind w:right="884"/>
              <w:jc w:val="right"/>
              <w:rPr>
                <w:rFonts w:ascii="Calibri" w:eastAsia="Times New Roman" w:hAnsi="Calibri" w:cs="Calibri"/>
                <w:color w:val="000000" w:themeColor="text1"/>
                <w:sz w:val="20"/>
                <w:szCs w:val="20"/>
                <w:lang w:eastAsia="en-AU"/>
              </w:rPr>
            </w:pPr>
            <w:r w:rsidRPr="00544713">
              <w:rPr>
                <w:rFonts w:ascii="Calibri" w:eastAsia="Times New Roman" w:hAnsi="Calibri" w:cs="Calibri"/>
                <w:color w:val="000000" w:themeColor="text1"/>
                <w:sz w:val="20"/>
                <w:szCs w:val="20"/>
                <w:lang w:eastAsia="en-AU"/>
              </w:rPr>
              <w:t>1.8</w:t>
            </w:r>
          </w:p>
        </w:tc>
      </w:tr>
      <w:tr w:rsidR="0036160D" w:rsidRPr="0036160D" w:rsidTr="00BF5799">
        <w:trPr>
          <w:trHeight w:val="397"/>
        </w:trPr>
        <w:tc>
          <w:tcPr>
            <w:tcW w:w="4644" w:type="dxa"/>
            <w:tcBorders>
              <w:bottom w:val="single" w:sz="4" w:space="0" w:color="auto"/>
            </w:tcBorders>
            <w:shd w:val="clear" w:color="auto" w:fill="E5E5E5" w:themeFill="background1" w:themeFillTint="33"/>
            <w:noWrap/>
            <w:vAlign w:val="center"/>
          </w:tcPr>
          <w:p w:rsidR="0036160D" w:rsidRPr="00544713" w:rsidRDefault="0036160D" w:rsidP="00BF5799">
            <w:pPr>
              <w:keepNext/>
              <w:spacing w:after="0" w:line="240" w:lineRule="auto"/>
              <w:rPr>
                <w:rFonts w:ascii="Calibri" w:eastAsia="Times New Roman" w:hAnsi="Calibri" w:cs="Calibri"/>
                <w:color w:val="000000" w:themeColor="text1"/>
                <w:sz w:val="20"/>
                <w:szCs w:val="20"/>
                <w:lang w:eastAsia="en-AU"/>
              </w:rPr>
            </w:pPr>
            <w:r w:rsidRPr="00544713">
              <w:rPr>
                <w:rFonts w:ascii="Calibri" w:eastAsia="Times New Roman" w:hAnsi="Calibri" w:cs="Calibri"/>
                <w:color w:val="000000" w:themeColor="text1"/>
                <w:sz w:val="20"/>
                <w:szCs w:val="20"/>
                <w:lang w:eastAsia="en-AU"/>
              </w:rPr>
              <w:t>Employment to outside the labour force</w:t>
            </w:r>
          </w:p>
        </w:tc>
        <w:tc>
          <w:tcPr>
            <w:tcW w:w="2410" w:type="dxa"/>
            <w:tcBorders>
              <w:bottom w:val="single" w:sz="4" w:space="0" w:color="auto"/>
            </w:tcBorders>
            <w:shd w:val="clear" w:color="auto" w:fill="E5E5E5" w:themeFill="background1" w:themeFillTint="33"/>
            <w:vAlign w:val="center"/>
          </w:tcPr>
          <w:p w:rsidR="0036160D" w:rsidRPr="00544713" w:rsidRDefault="0036160D" w:rsidP="00BF5799">
            <w:pPr>
              <w:keepNext/>
              <w:tabs>
                <w:tab w:val="left" w:pos="1073"/>
              </w:tabs>
              <w:spacing w:after="0" w:line="240" w:lineRule="auto"/>
              <w:ind w:right="1026"/>
              <w:jc w:val="right"/>
              <w:rPr>
                <w:rFonts w:ascii="Calibri" w:eastAsia="Times New Roman" w:hAnsi="Calibri" w:cs="Calibri"/>
                <w:color w:val="000000" w:themeColor="text1"/>
                <w:sz w:val="20"/>
                <w:szCs w:val="20"/>
                <w:lang w:eastAsia="en-AU"/>
              </w:rPr>
            </w:pPr>
            <w:r w:rsidRPr="00544713">
              <w:rPr>
                <w:rFonts w:ascii="Calibri" w:eastAsia="Times New Roman" w:hAnsi="Calibri" w:cs="Calibri"/>
                <w:color w:val="000000" w:themeColor="text1"/>
                <w:sz w:val="20"/>
                <w:szCs w:val="20"/>
                <w:lang w:eastAsia="en-AU"/>
              </w:rPr>
              <w:t>4.5</w:t>
            </w:r>
          </w:p>
        </w:tc>
        <w:tc>
          <w:tcPr>
            <w:tcW w:w="2268" w:type="dxa"/>
            <w:tcBorders>
              <w:bottom w:val="single" w:sz="4" w:space="0" w:color="auto"/>
            </w:tcBorders>
            <w:shd w:val="clear" w:color="auto" w:fill="E5E5E5" w:themeFill="background1" w:themeFillTint="33"/>
            <w:vAlign w:val="center"/>
          </w:tcPr>
          <w:p w:rsidR="0036160D" w:rsidRPr="00544713" w:rsidRDefault="0036160D" w:rsidP="00BF5799">
            <w:pPr>
              <w:keepNext/>
              <w:tabs>
                <w:tab w:val="left" w:pos="1073"/>
              </w:tabs>
              <w:spacing w:after="0" w:line="240" w:lineRule="auto"/>
              <w:ind w:right="884"/>
              <w:jc w:val="right"/>
              <w:rPr>
                <w:rFonts w:ascii="Calibri" w:eastAsia="Times New Roman" w:hAnsi="Calibri" w:cs="Calibri"/>
                <w:color w:val="000000" w:themeColor="text1"/>
                <w:sz w:val="20"/>
                <w:szCs w:val="20"/>
                <w:lang w:eastAsia="en-AU"/>
              </w:rPr>
            </w:pPr>
            <w:r w:rsidRPr="00544713">
              <w:rPr>
                <w:rFonts w:ascii="Calibri" w:eastAsia="Times New Roman" w:hAnsi="Calibri" w:cs="Calibri"/>
                <w:color w:val="000000" w:themeColor="text1"/>
                <w:sz w:val="20"/>
                <w:szCs w:val="20"/>
                <w:lang w:eastAsia="en-AU"/>
              </w:rPr>
              <w:t>4.6</w:t>
            </w:r>
          </w:p>
        </w:tc>
      </w:tr>
    </w:tbl>
    <w:p w:rsidR="0036160D" w:rsidRPr="00841FD8" w:rsidRDefault="0036160D" w:rsidP="00841FD8">
      <w:pPr>
        <w:pStyle w:val="Source"/>
        <w:rPr>
          <w:b w:val="0"/>
        </w:rPr>
      </w:pPr>
      <w:r w:rsidRPr="00841FD8">
        <w:t>Note:</w:t>
      </w:r>
      <w:r w:rsidRPr="00841FD8">
        <w:rPr>
          <w:b w:val="0"/>
        </w:rPr>
        <w:t xml:space="preserve"> These figures are monthly averages, seasonally adjusted and smoothed over the 12 month period. </w:t>
      </w:r>
    </w:p>
    <w:p w:rsidR="0036160D" w:rsidRPr="00841FD8" w:rsidRDefault="0036160D" w:rsidP="00841FD8">
      <w:pPr>
        <w:pStyle w:val="Source"/>
        <w:rPr>
          <w:b w:val="0"/>
        </w:rPr>
      </w:pPr>
      <w:r w:rsidRPr="00841FD8">
        <w:t>Source:</w:t>
      </w:r>
      <w:r w:rsidRPr="00841FD8">
        <w:rPr>
          <w:b w:val="0"/>
        </w:rPr>
        <w:t xml:space="preserve"> </w:t>
      </w:r>
      <w:r w:rsidR="00F779FC" w:rsidRPr="00F779FC">
        <w:rPr>
          <w:b w:val="0"/>
        </w:rPr>
        <w:t>ABS Labour Force Survey, unpublished data, seasonally adjusted and smoothed by the Department of Employment</w:t>
      </w:r>
      <w:r w:rsidRPr="00F779FC">
        <w:rPr>
          <w:b w:val="0"/>
        </w:rPr>
        <w:t>.</w:t>
      </w:r>
    </w:p>
    <w:p w:rsidR="0036160D" w:rsidRPr="0036160D" w:rsidRDefault="0036160D" w:rsidP="0036160D">
      <w:pPr>
        <w:spacing w:before="120"/>
        <w:rPr>
          <w:color w:val="000000" w:themeColor="text1"/>
        </w:rPr>
      </w:pPr>
      <w:r w:rsidRPr="0036160D">
        <w:rPr>
          <w:color w:val="000000" w:themeColor="text1"/>
        </w:rPr>
        <w:t>In 2013</w:t>
      </w:r>
      <w:r w:rsidRPr="0036160D">
        <w:rPr>
          <w:rFonts w:cstheme="minorHAnsi"/>
          <w:color w:val="000000" w:themeColor="text1"/>
        </w:rPr>
        <w:t>─</w:t>
      </w:r>
      <w:r w:rsidRPr="0036160D">
        <w:rPr>
          <w:color w:val="000000" w:themeColor="text1"/>
        </w:rPr>
        <w:t xml:space="preserve">14, </w:t>
      </w:r>
      <w:r w:rsidR="00F97451">
        <w:rPr>
          <w:color w:val="000000" w:themeColor="text1"/>
        </w:rPr>
        <w:t>young adults</w:t>
      </w:r>
      <w:r w:rsidRPr="0036160D">
        <w:rPr>
          <w:color w:val="000000" w:themeColor="text1"/>
        </w:rPr>
        <w:t xml:space="preserve"> aged 15-24 who were LTU were half as likely to move from unemployment to employment than the average unemployed 15-24 year old (9.8 per cent compared with 19.3 per cent), and less likely than in 2007</w:t>
      </w:r>
      <w:r w:rsidRPr="0036160D">
        <w:rPr>
          <w:rFonts w:cstheme="minorHAnsi"/>
          <w:color w:val="000000" w:themeColor="text1"/>
        </w:rPr>
        <w:t>─</w:t>
      </w:r>
      <w:r w:rsidRPr="0036160D">
        <w:rPr>
          <w:color w:val="000000" w:themeColor="text1"/>
        </w:rPr>
        <w:t>08 (9.2 per cent in 2013-14 compared with 14.6 per cent in 2007</w:t>
      </w:r>
      <w:r w:rsidRPr="0036160D">
        <w:rPr>
          <w:rFonts w:cstheme="minorHAnsi"/>
          <w:color w:val="000000" w:themeColor="text1"/>
        </w:rPr>
        <w:t>─</w:t>
      </w:r>
      <w:r w:rsidRPr="0036160D">
        <w:rPr>
          <w:color w:val="000000" w:themeColor="text1"/>
        </w:rPr>
        <w:t>08).</w:t>
      </w:r>
    </w:p>
    <w:p w:rsidR="0036160D" w:rsidRPr="0036160D" w:rsidRDefault="0036160D" w:rsidP="0036160D">
      <w:pPr>
        <w:spacing w:before="120"/>
        <w:rPr>
          <w:color w:val="000000" w:themeColor="text1"/>
        </w:rPr>
      </w:pPr>
      <w:r w:rsidRPr="0036160D">
        <w:rPr>
          <w:color w:val="000000" w:themeColor="text1"/>
        </w:rPr>
        <w:t>The probability that 15-24 year olds would transition from outside the labour force to employment also fell compared to 2007</w:t>
      </w:r>
      <w:r w:rsidRPr="0036160D">
        <w:rPr>
          <w:rFonts w:cstheme="minorHAnsi"/>
          <w:color w:val="000000" w:themeColor="text1"/>
        </w:rPr>
        <w:t>─</w:t>
      </w:r>
      <w:r w:rsidRPr="0036160D">
        <w:rPr>
          <w:color w:val="000000" w:themeColor="text1"/>
        </w:rPr>
        <w:t>2008 (10.6 per cent in 2007</w:t>
      </w:r>
      <w:r w:rsidRPr="0036160D">
        <w:rPr>
          <w:rFonts w:cstheme="minorHAnsi"/>
          <w:color w:val="000000" w:themeColor="text1"/>
        </w:rPr>
        <w:t>─20</w:t>
      </w:r>
      <w:r w:rsidRPr="0036160D">
        <w:rPr>
          <w:color w:val="000000" w:themeColor="text1"/>
        </w:rPr>
        <w:t>08 compared with 8.1 per cent in 2013</w:t>
      </w:r>
      <w:r w:rsidRPr="0036160D">
        <w:rPr>
          <w:rFonts w:cstheme="minorHAnsi"/>
          <w:color w:val="000000" w:themeColor="text1"/>
        </w:rPr>
        <w:t>─20</w:t>
      </w:r>
      <w:r w:rsidRPr="0036160D">
        <w:rPr>
          <w:color w:val="000000" w:themeColor="text1"/>
        </w:rPr>
        <w:t xml:space="preserve">14). This </w:t>
      </w:r>
      <w:r w:rsidR="006234C1" w:rsidRPr="0036160D">
        <w:rPr>
          <w:color w:val="000000" w:themeColor="text1"/>
        </w:rPr>
        <w:t>ha</w:t>
      </w:r>
      <w:r w:rsidR="006234C1">
        <w:rPr>
          <w:color w:val="000000" w:themeColor="text1"/>
        </w:rPr>
        <w:t>d</w:t>
      </w:r>
      <w:r w:rsidR="006234C1" w:rsidRPr="0036160D">
        <w:rPr>
          <w:color w:val="000000" w:themeColor="text1"/>
        </w:rPr>
        <w:t xml:space="preserve"> </w:t>
      </w:r>
      <w:r w:rsidRPr="0036160D">
        <w:rPr>
          <w:color w:val="000000" w:themeColor="text1"/>
        </w:rPr>
        <w:t xml:space="preserve">implications for young </w:t>
      </w:r>
      <w:r w:rsidR="00F97451">
        <w:rPr>
          <w:color w:val="000000" w:themeColor="text1"/>
        </w:rPr>
        <w:t>adults</w:t>
      </w:r>
      <w:r w:rsidR="00F97451" w:rsidRPr="0036160D">
        <w:rPr>
          <w:color w:val="000000" w:themeColor="text1"/>
        </w:rPr>
        <w:t xml:space="preserve"> </w:t>
      </w:r>
      <w:r w:rsidRPr="0036160D">
        <w:rPr>
          <w:color w:val="000000" w:themeColor="text1"/>
        </w:rPr>
        <w:t xml:space="preserve">who left study </w:t>
      </w:r>
      <w:r w:rsidR="00F97451">
        <w:rPr>
          <w:color w:val="000000" w:themeColor="text1"/>
        </w:rPr>
        <w:t>to look</w:t>
      </w:r>
      <w:r w:rsidRPr="0036160D">
        <w:rPr>
          <w:color w:val="000000" w:themeColor="text1"/>
        </w:rPr>
        <w:t xml:space="preserve"> for their first job. It also </w:t>
      </w:r>
      <w:r w:rsidR="006234C1" w:rsidRPr="0036160D">
        <w:rPr>
          <w:color w:val="000000" w:themeColor="text1"/>
        </w:rPr>
        <w:t>affect</w:t>
      </w:r>
      <w:r w:rsidR="006234C1">
        <w:rPr>
          <w:color w:val="000000" w:themeColor="text1"/>
        </w:rPr>
        <w:t>ed</w:t>
      </w:r>
      <w:r w:rsidR="006234C1" w:rsidRPr="0036160D">
        <w:rPr>
          <w:color w:val="000000" w:themeColor="text1"/>
        </w:rPr>
        <w:t xml:space="preserve"> </w:t>
      </w:r>
      <w:r w:rsidRPr="0036160D">
        <w:rPr>
          <w:color w:val="000000" w:themeColor="text1"/>
        </w:rPr>
        <w:t xml:space="preserve">young mothers re-entering the workforce when their youngest child </w:t>
      </w:r>
      <w:r w:rsidR="006234C1" w:rsidRPr="0036160D">
        <w:rPr>
          <w:color w:val="000000" w:themeColor="text1"/>
        </w:rPr>
        <w:t>reache</w:t>
      </w:r>
      <w:r w:rsidR="006234C1">
        <w:rPr>
          <w:color w:val="000000" w:themeColor="text1"/>
        </w:rPr>
        <w:t>d</w:t>
      </w:r>
      <w:r w:rsidR="006234C1" w:rsidRPr="0036160D">
        <w:rPr>
          <w:color w:val="000000" w:themeColor="text1"/>
        </w:rPr>
        <w:t xml:space="preserve"> </w:t>
      </w:r>
      <w:r w:rsidRPr="0036160D">
        <w:rPr>
          <w:color w:val="000000" w:themeColor="text1"/>
        </w:rPr>
        <w:t>school age.</w:t>
      </w:r>
    </w:p>
    <w:p w:rsidR="0036160D" w:rsidRPr="0036160D" w:rsidRDefault="0036160D" w:rsidP="0036160D">
      <w:pPr>
        <w:spacing w:before="120"/>
        <w:rPr>
          <w:color w:val="000000" w:themeColor="text1"/>
        </w:rPr>
      </w:pPr>
      <w:r w:rsidRPr="0036160D">
        <w:rPr>
          <w:color w:val="000000" w:themeColor="text1"/>
        </w:rPr>
        <w:t xml:space="preserve">Historically, when labour market conditions are weak, young </w:t>
      </w:r>
      <w:r w:rsidR="000661D9">
        <w:rPr>
          <w:color w:val="000000" w:themeColor="text1"/>
        </w:rPr>
        <w:t>adults</w:t>
      </w:r>
      <w:r w:rsidR="000661D9" w:rsidRPr="0036160D">
        <w:rPr>
          <w:color w:val="000000" w:themeColor="text1"/>
        </w:rPr>
        <w:t xml:space="preserve"> </w:t>
      </w:r>
      <w:r w:rsidRPr="0036160D">
        <w:rPr>
          <w:color w:val="000000" w:themeColor="text1"/>
        </w:rPr>
        <w:t>tend to increase their participation in education (or stay in education longer)</w:t>
      </w:r>
      <w:r w:rsidR="000661D9">
        <w:rPr>
          <w:color w:val="000000" w:themeColor="text1"/>
        </w:rPr>
        <w:t xml:space="preserve"> </w:t>
      </w:r>
      <w:r w:rsidRPr="0036160D">
        <w:rPr>
          <w:color w:val="000000" w:themeColor="text1"/>
        </w:rPr>
        <w:t>in an attempt to improve their job prospects when labour market conditions improve. In line with deteriorating labour market conditions since the GFC, employment outcomes for domestic graduates have weakened considerably across all tertiary education sectors over the last five years. Skill shortages are not a feature of the subdued labour market</w:t>
      </w:r>
      <w:r w:rsidR="002B3C06">
        <w:rPr>
          <w:color w:val="000000" w:themeColor="text1"/>
        </w:rPr>
        <w:t xml:space="preserve"> under which the JCB operated</w:t>
      </w:r>
      <w:r w:rsidRPr="0036160D">
        <w:rPr>
          <w:color w:val="000000" w:themeColor="text1"/>
        </w:rPr>
        <w:t>, and there are few shortages in those skilled occupat</w:t>
      </w:r>
      <w:r w:rsidR="00C144A5">
        <w:rPr>
          <w:color w:val="000000" w:themeColor="text1"/>
        </w:rPr>
        <w:t>ions in which young adults work (section 1.2).</w:t>
      </w:r>
    </w:p>
    <w:p w:rsidR="0036160D" w:rsidRPr="0036160D" w:rsidRDefault="0036160D" w:rsidP="0036160D">
      <w:pPr>
        <w:spacing w:before="120" w:after="0"/>
        <w:rPr>
          <w:color w:val="000000" w:themeColor="text1"/>
        </w:rPr>
      </w:pPr>
      <w:r w:rsidRPr="0036160D">
        <w:rPr>
          <w:color w:val="000000" w:themeColor="text1"/>
        </w:rPr>
        <w:t xml:space="preserve">The proportion of young adults citing reasons related </w:t>
      </w:r>
      <w:r w:rsidR="00C45984">
        <w:rPr>
          <w:color w:val="000000" w:themeColor="text1"/>
        </w:rPr>
        <w:t xml:space="preserve">to </w:t>
      </w:r>
      <w:r w:rsidR="00AB7916" w:rsidRPr="0036160D">
        <w:rPr>
          <w:color w:val="000000" w:themeColor="text1"/>
        </w:rPr>
        <w:t>job</w:t>
      </w:r>
      <w:r w:rsidRPr="0036160D">
        <w:rPr>
          <w:color w:val="000000" w:themeColor="text1"/>
        </w:rPr>
        <w:t xml:space="preserve"> supply as the main difficulty in finding </w:t>
      </w:r>
      <w:r w:rsidR="00AB7916">
        <w:rPr>
          <w:color w:val="000000" w:themeColor="text1"/>
        </w:rPr>
        <w:t>employment</w:t>
      </w:r>
      <w:r w:rsidRPr="0036160D">
        <w:rPr>
          <w:color w:val="000000" w:themeColor="text1"/>
        </w:rPr>
        <w:t xml:space="preserve"> rose from 19.5 per cent in July 2008 to 29.4 per cent in July 2013:</w:t>
      </w:r>
    </w:p>
    <w:p w:rsidR="0036160D" w:rsidRPr="00544713" w:rsidRDefault="0036160D" w:rsidP="00E3205B">
      <w:pPr>
        <w:pStyle w:val="ListParagraph"/>
        <w:numPr>
          <w:ilvl w:val="0"/>
          <w:numId w:val="91"/>
        </w:numPr>
        <w:spacing w:before="120" w:after="120"/>
        <w:rPr>
          <w:color w:val="000000" w:themeColor="text1"/>
        </w:rPr>
      </w:pPr>
      <w:r w:rsidRPr="00544713">
        <w:rPr>
          <w:color w:val="000000" w:themeColor="text1"/>
        </w:rPr>
        <w:t>labour demand reasons, for example too many applicants for available jobs</w:t>
      </w:r>
    </w:p>
    <w:p w:rsidR="0036160D" w:rsidRPr="00544713" w:rsidRDefault="0036160D" w:rsidP="00E3205B">
      <w:pPr>
        <w:pStyle w:val="ListParagraph"/>
        <w:numPr>
          <w:ilvl w:val="0"/>
          <w:numId w:val="91"/>
        </w:numPr>
        <w:spacing w:before="120" w:after="120"/>
        <w:rPr>
          <w:color w:val="000000" w:themeColor="text1"/>
        </w:rPr>
      </w:pPr>
      <w:r w:rsidRPr="00544713">
        <w:rPr>
          <w:color w:val="000000" w:themeColor="text1"/>
        </w:rPr>
        <w:t>no vacancies in line of work</w:t>
      </w:r>
    </w:p>
    <w:p w:rsidR="0036160D" w:rsidRPr="00544713" w:rsidRDefault="0036160D" w:rsidP="00E3205B">
      <w:pPr>
        <w:pStyle w:val="ListParagraph"/>
        <w:numPr>
          <w:ilvl w:val="0"/>
          <w:numId w:val="91"/>
        </w:numPr>
        <w:spacing w:before="120" w:after="120"/>
        <w:rPr>
          <w:color w:val="000000" w:themeColor="text1"/>
        </w:rPr>
      </w:pPr>
      <w:r w:rsidRPr="00544713">
        <w:rPr>
          <w:color w:val="000000" w:themeColor="text1"/>
        </w:rPr>
        <w:t>no vacancies at all. (</w:t>
      </w:r>
      <w:r w:rsidR="00F779FC">
        <w:rPr>
          <w:color w:val="000000" w:themeColor="text1"/>
        </w:rPr>
        <w:t xml:space="preserve">ABS, </w:t>
      </w:r>
      <w:r w:rsidR="00F779FC" w:rsidRPr="00A20F2E">
        <w:rPr>
          <w:i/>
        </w:rPr>
        <w:t xml:space="preserve">Job Search Experience, Australia, </w:t>
      </w:r>
      <w:r w:rsidR="00F779FC" w:rsidRPr="00A20F2E">
        <w:t>July 2013 (Cat No. 6222.0)</w:t>
      </w:r>
      <w:r w:rsidRPr="00544713">
        <w:rPr>
          <w:color w:val="000000" w:themeColor="text1"/>
        </w:rPr>
        <w:t>)</w:t>
      </w:r>
    </w:p>
    <w:p w:rsidR="0036160D" w:rsidRPr="0036160D" w:rsidRDefault="0036160D" w:rsidP="0036160D">
      <w:pPr>
        <w:spacing w:before="120"/>
        <w:rPr>
          <w:color w:val="000000" w:themeColor="text1"/>
        </w:rPr>
      </w:pPr>
      <w:r w:rsidRPr="0036160D">
        <w:rPr>
          <w:color w:val="000000" w:themeColor="text1"/>
        </w:rPr>
        <w:t xml:space="preserve">This suggests insufficient job opportunities for young </w:t>
      </w:r>
      <w:r w:rsidR="00AB7916">
        <w:rPr>
          <w:color w:val="000000" w:themeColor="text1"/>
        </w:rPr>
        <w:t xml:space="preserve">adults </w:t>
      </w:r>
      <w:r w:rsidR="00962F25">
        <w:rPr>
          <w:color w:val="000000" w:themeColor="text1"/>
        </w:rPr>
        <w:t xml:space="preserve">in </w:t>
      </w:r>
      <w:r w:rsidRPr="0036160D">
        <w:rPr>
          <w:color w:val="000000" w:themeColor="text1"/>
        </w:rPr>
        <w:t>a relatively weak labour market</w:t>
      </w:r>
      <w:r w:rsidR="0037196A">
        <w:rPr>
          <w:color w:val="000000" w:themeColor="text1"/>
        </w:rPr>
        <w:t>, which would have negatively impacted the likelihood of young adults being eligible for the bonus</w:t>
      </w:r>
      <w:r w:rsidRPr="0036160D">
        <w:rPr>
          <w:color w:val="000000" w:themeColor="text1"/>
        </w:rPr>
        <w:t>.</w:t>
      </w:r>
    </w:p>
    <w:p w:rsidR="001004DA" w:rsidRPr="001004DA" w:rsidRDefault="001004DA" w:rsidP="00D83A7E">
      <w:pPr>
        <w:pStyle w:val="Heading3"/>
        <w:spacing w:after="120"/>
      </w:pPr>
      <w:r w:rsidRPr="001004DA">
        <w:t>3.7.</w:t>
      </w:r>
      <w:r w:rsidR="00661135">
        <w:t>5</w:t>
      </w:r>
      <w:r w:rsidRPr="001004DA">
        <w:tab/>
      </w:r>
      <w:r>
        <w:t>Negative reaction</w:t>
      </w:r>
      <w:r w:rsidR="008E2FE9">
        <w:t>s</w:t>
      </w:r>
      <w:r>
        <w:t xml:space="preserve"> to the</w:t>
      </w:r>
      <w:r w:rsidRPr="001004DA">
        <w:t xml:space="preserve"> </w:t>
      </w:r>
      <w:r w:rsidR="00AB3BA3">
        <w:t xml:space="preserve">concept of the </w:t>
      </w:r>
      <w:r w:rsidRPr="001004DA">
        <w:t>bonus</w:t>
      </w:r>
    </w:p>
    <w:p w:rsidR="003318FB" w:rsidRDefault="0041338C" w:rsidP="00626C70">
      <w:pPr>
        <w:spacing w:before="120"/>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t xml:space="preserve">Some young adults reacted </w:t>
      </w:r>
      <w:r w:rsidR="003318FB">
        <w:rPr>
          <w:rFonts w:ascii="Calibri" w:eastAsia="Times New Roman" w:hAnsi="Calibri" w:cs="Calibri"/>
          <w:color w:val="000000" w:themeColor="text1"/>
          <w:lang w:eastAsia="en-AU"/>
        </w:rPr>
        <w:t>negativ</w:t>
      </w:r>
      <w:r>
        <w:rPr>
          <w:rFonts w:ascii="Calibri" w:eastAsia="Times New Roman" w:hAnsi="Calibri" w:cs="Calibri"/>
          <w:color w:val="000000" w:themeColor="text1"/>
          <w:lang w:eastAsia="en-AU"/>
        </w:rPr>
        <w:t>ely</w:t>
      </w:r>
      <w:r w:rsidR="003318FB">
        <w:rPr>
          <w:rFonts w:ascii="Calibri" w:eastAsia="Times New Roman" w:hAnsi="Calibri" w:cs="Calibri"/>
          <w:color w:val="000000" w:themeColor="text1"/>
          <w:lang w:eastAsia="en-AU"/>
        </w:rPr>
        <w:t xml:space="preserve"> to the </w:t>
      </w:r>
      <w:r>
        <w:rPr>
          <w:rFonts w:ascii="Calibri" w:eastAsia="Times New Roman" w:hAnsi="Calibri" w:cs="Calibri"/>
          <w:color w:val="000000" w:themeColor="text1"/>
          <w:lang w:eastAsia="en-AU"/>
        </w:rPr>
        <w:t xml:space="preserve">idea of the </w:t>
      </w:r>
      <w:r w:rsidR="003318FB">
        <w:rPr>
          <w:rFonts w:ascii="Calibri" w:eastAsia="Times New Roman" w:hAnsi="Calibri" w:cs="Calibri"/>
          <w:color w:val="000000" w:themeColor="text1"/>
          <w:lang w:eastAsia="en-AU"/>
        </w:rPr>
        <w:t>bonus.</w:t>
      </w:r>
    </w:p>
    <w:p w:rsidR="003318FB" w:rsidRPr="00354833" w:rsidRDefault="00FF3434" w:rsidP="00BC64A3">
      <w:pPr>
        <w:pStyle w:val="Heading4"/>
      </w:pPr>
      <w:r>
        <w:lastRenderedPageBreak/>
        <w:t>Genuine desire to leave income support without the need for a financial incentive</w:t>
      </w:r>
    </w:p>
    <w:p w:rsidR="00FF3434" w:rsidRDefault="00354833" w:rsidP="00FF3434">
      <w:pPr>
        <w:spacing w:before="120"/>
        <w:rPr>
          <w:color w:val="000000" w:themeColor="text1"/>
        </w:rPr>
      </w:pPr>
      <w:r>
        <w:rPr>
          <w:rFonts w:ascii="Calibri" w:eastAsia="Times New Roman" w:hAnsi="Calibri" w:cs="Calibri"/>
          <w:color w:val="000000" w:themeColor="text1"/>
          <w:lang w:eastAsia="en-AU"/>
        </w:rPr>
        <w:t>Some</w:t>
      </w:r>
      <w:r w:rsidR="00626C70" w:rsidRPr="003318FB">
        <w:rPr>
          <w:rFonts w:ascii="Calibri" w:eastAsia="Times New Roman" w:hAnsi="Calibri" w:cs="Calibri"/>
          <w:color w:val="000000" w:themeColor="text1"/>
          <w:lang w:eastAsia="en-AU"/>
        </w:rPr>
        <w:t xml:space="preserve"> participants </w:t>
      </w:r>
      <w:r w:rsidR="00C45984">
        <w:rPr>
          <w:rFonts w:ascii="Calibri" w:eastAsia="Times New Roman" w:hAnsi="Calibri" w:cs="Calibri"/>
          <w:color w:val="000000" w:themeColor="text1"/>
          <w:lang w:eastAsia="en-AU"/>
        </w:rPr>
        <w:t>felt</w:t>
      </w:r>
      <w:r w:rsidR="00626C70" w:rsidRPr="003318FB">
        <w:rPr>
          <w:rFonts w:ascii="Calibri" w:eastAsia="Times New Roman" w:hAnsi="Calibri" w:cs="Calibri"/>
          <w:color w:val="000000" w:themeColor="text1"/>
          <w:lang w:eastAsia="en-AU"/>
        </w:rPr>
        <w:t xml:space="preserve"> that </w:t>
      </w:r>
      <w:r>
        <w:rPr>
          <w:rFonts w:ascii="Calibri" w:eastAsia="Times New Roman" w:hAnsi="Calibri" w:cs="Calibri"/>
          <w:color w:val="000000" w:themeColor="text1"/>
          <w:lang w:eastAsia="en-AU"/>
        </w:rPr>
        <w:t>the bonus</w:t>
      </w:r>
      <w:r w:rsidR="00626C70" w:rsidRPr="003318FB">
        <w:rPr>
          <w:rFonts w:ascii="Calibri" w:eastAsia="Times New Roman" w:hAnsi="Calibri" w:cs="Calibri"/>
          <w:color w:val="000000" w:themeColor="text1"/>
          <w:lang w:eastAsia="en-AU"/>
        </w:rPr>
        <w:t xml:space="preserve"> was unnecessary, as the</w:t>
      </w:r>
      <w:r w:rsidR="00251619">
        <w:rPr>
          <w:rFonts w:ascii="Calibri" w:eastAsia="Times New Roman" w:hAnsi="Calibri" w:cs="Calibri"/>
          <w:color w:val="000000" w:themeColor="text1"/>
          <w:lang w:eastAsia="en-AU"/>
        </w:rPr>
        <w:t>ir</w:t>
      </w:r>
      <w:r w:rsidR="00626C70" w:rsidRPr="003318FB">
        <w:rPr>
          <w:rFonts w:ascii="Calibri" w:eastAsia="Times New Roman" w:hAnsi="Calibri" w:cs="Calibri"/>
          <w:color w:val="000000" w:themeColor="text1"/>
          <w:lang w:eastAsia="en-AU"/>
        </w:rPr>
        <w:t xml:space="preserve"> main </w:t>
      </w:r>
      <w:r w:rsidR="00251619">
        <w:rPr>
          <w:rFonts w:ascii="Calibri" w:eastAsia="Times New Roman" w:hAnsi="Calibri" w:cs="Calibri"/>
          <w:color w:val="000000" w:themeColor="text1"/>
          <w:lang w:eastAsia="en-AU"/>
        </w:rPr>
        <w:t>incentive</w:t>
      </w:r>
      <w:r w:rsidR="00251619" w:rsidRPr="003318FB">
        <w:rPr>
          <w:rFonts w:ascii="Calibri" w:eastAsia="Times New Roman" w:hAnsi="Calibri" w:cs="Calibri"/>
          <w:color w:val="000000" w:themeColor="text1"/>
          <w:lang w:eastAsia="en-AU"/>
        </w:rPr>
        <w:t xml:space="preserve"> </w:t>
      </w:r>
      <w:r w:rsidR="00626C70" w:rsidRPr="003318FB">
        <w:rPr>
          <w:rFonts w:ascii="Calibri" w:eastAsia="Times New Roman" w:hAnsi="Calibri" w:cs="Calibri"/>
          <w:color w:val="000000" w:themeColor="text1"/>
          <w:lang w:eastAsia="en-AU"/>
        </w:rPr>
        <w:t xml:space="preserve">was getting and keeping a job, not getting a financial bonus. </w:t>
      </w:r>
      <w:r w:rsidR="00FF3434">
        <w:rPr>
          <w:color w:val="000000" w:themeColor="text1"/>
        </w:rPr>
        <w:t xml:space="preserve">A consistent message across the various rounds of qualitative research was that there are positive benefits from working such as the </w:t>
      </w:r>
      <w:r w:rsidR="00FF3434" w:rsidRPr="009A03EC">
        <w:rPr>
          <w:color w:val="000000" w:themeColor="text1"/>
        </w:rPr>
        <w:t xml:space="preserve">regular routine, receiving a higher income </w:t>
      </w:r>
      <w:r w:rsidR="00FF3434">
        <w:rPr>
          <w:color w:val="000000" w:themeColor="text1"/>
        </w:rPr>
        <w:t>than when on income support</w:t>
      </w:r>
      <w:r w:rsidR="00FF3434" w:rsidRPr="009A03EC">
        <w:rPr>
          <w:color w:val="000000" w:themeColor="text1"/>
        </w:rPr>
        <w:t xml:space="preserve">, and no longer </w:t>
      </w:r>
      <w:r w:rsidR="00251619">
        <w:rPr>
          <w:color w:val="000000" w:themeColor="text1"/>
        </w:rPr>
        <w:t>needing to meet</w:t>
      </w:r>
      <w:r w:rsidR="00FF3434" w:rsidRPr="009A03EC">
        <w:rPr>
          <w:color w:val="000000" w:themeColor="text1"/>
        </w:rPr>
        <w:t xml:space="preserve"> Mutual Obligation or Annual Activity Requirements</w:t>
      </w:r>
      <w:r w:rsidR="00FF3434">
        <w:rPr>
          <w:color w:val="000000" w:themeColor="text1"/>
        </w:rPr>
        <w:t xml:space="preserve">. These benefits are seen as sufficient incentive to obtain employment </w:t>
      </w:r>
      <w:r w:rsidR="00FF3434" w:rsidRPr="009A03EC">
        <w:rPr>
          <w:color w:val="000000" w:themeColor="text1"/>
        </w:rPr>
        <w:t>without the additi</w:t>
      </w:r>
      <w:r w:rsidR="00F1247B">
        <w:rPr>
          <w:color w:val="000000" w:themeColor="text1"/>
        </w:rPr>
        <w:t>onal need for a cash incentive.</w:t>
      </w:r>
    </w:p>
    <w:p w:rsidR="00FF3434" w:rsidRDefault="00FF3434" w:rsidP="007D2ECC">
      <w:pPr>
        <w:pStyle w:val="Quote"/>
        <w:spacing w:before="240" w:after="0"/>
        <w:rPr>
          <w:color w:val="000000" w:themeColor="text1"/>
        </w:rPr>
      </w:pPr>
      <w:r w:rsidRPr="00051C40">
        <w:rPr>
          <w:color w:val="000000" w:themeColor="text1"/>
        </w:rPr>
        <w:t>A job should be reward enough…</w:t>
      </w:r>
      <w:r>
        <w:rPr>
          <w:color w:val="000000" w:themeColor="text1"/>
        </w:rPr>
        <w:t xml:space="preserve"> </w:t>
      </w:r>
      <w:r w:rsidRPr="00051C40">
        <w:rPr>
          <w:color w:val="000000" w:themeColor="text1"/>
        </w:rPr>
        <w:t>Instead of just sitting around at home all day doing nothing, having a job, going and earning money, should be reward enough.</w:t>
      </w:r>
    </w:p>
    <w:p w:rsidR="00FF3434" w:rsidRPr="009A03EC" w:rsidRDefault="00FF3434" w:rsidP="00FF3434">
      <w:pPr>
        <w:pStyle w:val="quopteJCB-source"/>
        <w:spacing w:before="0"/>
      </w:pPr>
      <w:r>
        <w:t xml:space="preserve">July 2017 (Round 4), on </w:t>
      </w:r>
      <w:r w:rsidRPr="009A03EC">
        <w:t>W</w:t>
      </w:r>
      <w:r>
        <w:t xml:space="preserve">ork </w:t>
      </w:r>
      <w:r w:rsidRPr="009A03EC">
        <w:t>f</w:t>
      </w:r>
      <w:r>
        <w:t xml:space="preserve">or the </w:t>
      </w:r>
      <w:r w:rsidRPr="009A03EC">
        <w:t>D</w:t>
      </w:r>
      <w:r>
        <w:t>ole</w:t>
      </w:r>
      <w:r w:rsidRPr="009A03EC">
        <w:t xml:space="preserve">, under 25, </w:t>
      </w:r>
      <w:r>
        <w:t>m</w:t>
      </w:r>
      <w:r w:rsidRPr="009A03EC">
        <w:t>ale</w:t>
      </w:r>
      <w:r>
        <w:t>, Melbourne</w:t>
      </w:r>
    </w:p>
    <w:p w:rsidR="00FF3434" w:rsidRDefault="00FF3434" w:rsidP="007D2ECC">
      <w:pPr>
        <w:pStyle w:val="Quote"/>
        <w:spacing w:before="240" w:after="0"/>
        <w:rPr>
          <w:color w:val="000000" w:themeColor="text1"/>
        </w:rPr>
      </w:pPr>
      <w:r w:rsidRPr="00051C40">
        <w:rPr>
          <w:color w:val="000000" w:themeColor="text1"/>
        </w:rPr>
        <w:t>It is a job opportunity, once you get it. It’s better than going to Work for the Dole. You’re going to Work for the Dole and you still get your average $400 a fortnight. Some people have bills to pay…</w:t>
      </w:r>
      <w:r>
        <w:rPr>
          <w:color w:val="000000" w:themeColor="text1"/>
        </w:rPr>
        <w:t xml:space="preserve"> </w:t>
      </w:r>
      <w:r w:rsidRPr="00051C40">
        <w:rPr>
          <w:color w:val="000000" w:themeColor="text1"/>
        </w:rPr>
        <w:t xml:space="preserve">I think a job is a job and, at the end of the day, even if there wasn’t a free grant bonus I would take </w:t>
      </w:r>
      <w:r w:rsidR="00F1247B">
        <w:rPr>
          <w:color w:val="000000" w:themeColor="text1"/>
        </w:rPr>
        <w:t>the job because a job is a job.</w:t>
      </w:r>
    </w:p>
    <w:p w:rsidR="00FF3434" w:rsidRPr="009A03EC" w:rsidRDefault="00FF3434" w:rsidP="007D2ECC">
      <w:pPr>
        <w:pStyle w:val="quopteJCB-source"/>
        <w:spacing w:before="0"/>
      </w:pPr>
      <w:r>
        <w:t xml:space="preserve">July 2017 (Round 4), on </w:t>
      </w:r>
      <w:r w:rsidRPr="009A03EC">
        <w:t>W</w:t>
      </w:r>
      <w:r>
        <w:t xml:space="preserve">ork </w:t>
      </w:r>
      <w:r w:rsidRPr="009A03EC">
        <w:t>f</w:t>
      </w:r>
      <w:r>
        <w:t xml:space="preserve">or the </w:t>
      </w:r>
      <w:r w:rsidRPr="009A03EC">
        <w:t>D</w:t>
      </w:r>
      <w:r>
        <w:t>ole</w:t>
      </w:r>
      <w:r w:rsidRPr="009A03EC">
        <w:t xml:space="preserve">, under 25, </w:t>
      </w:r>
      <w:r>
        <w:t>fem</w:t>
      </w:r>
      <w:r w:rsidRPr="009A03EC">
        <w:t>ale</w:t>
      </w:r>
      <w:r>
        <w:t>, Perth</w:t>
      </w:r>
    </w:p>
    <w:p w:rsidR="00E338D1" w:rsidRDefault="00E338D1" w:rsidP="007D2ECC">
      <w:pPr>
        <w:spacing w:before="120"/>
        <w:rPr>
          <w:color w:val="000000" w:themeColor="text1"/>
        </w:rPr>
      </w:pPr>
      <w:r>
        <w:rPr>
          <w:color w:val="000000" w:themeColor="text1"/>
        </w:rPr>
        <w:t xml:space="preserve">Many stated that the opportunity of receiving a bonus would not influence their decision on whether to </w:t>
      </w:r>
      <w:r w:rsidR="00C7532D">
        <w:rPr>
          <w:color w:val="000000" w:themeColor="text1"/>
        </w:rPr>
        <w:t>accept a</w:t>
      </w:r>
      <w:r>
        <w:rPr>
          <w:color w:val="000000" w:themeColor="text1"/>
        </w:rPr>
        <w:t xml:space="preserve"> job, preferring to find employment relevant to their experience, education or interests.</w:t>
      </w:r>
      <w:r w:rsidRPr="00E338D1">
        <w:rPr>
          <w:color w:val="000000" w:themeColor="text1"/>
        </w:rPr>
        <w:t xml:space="preserve"> </w:t>
      </w:r>
      <w:r>
        <w:rPr>
          <w:color w:val="000000" w:themeColor="text1"/>
        </w:rPr>
        <w:t xml:space="preserve">This </w:t>
      </w:r>
      <w:r w:rsidR="0009564E">
        <w:rPr>
          <w:color w:val="000000" w:themeColor="text1"/>
        </w:rPr>
        <w:t>sentiment was</w:t>
      </w:r>
      <w:r>
        <w:rPr>
          <w:color w:val="000000" w:themeColor="text1"/>
        </w:rPr>
        <w:t xml:space="preserve"> </w:t>
      </w:r>
      <w:r w:rsidR="0009564E">
        <w:rPr>
          <w:color w:val="000000" w:themeColor="text1"/>
        </w:rPr>
        <w:t>particularly evident</w:t>
      </w:r>
      <w:r>
        <w:rPr>
          <w:color w:val="000000" w:themeColor="text1"/>
        </w:rPr>
        <w:t xml:space="preserve"> for those with tertiary education or with qualifications in specif</w:t>
      </w:r>
      <w:r w:rsidR="00957A07">
        <w:rPr>
          <w:color w:val="000000" w:themeColor="text1"/>
        </w:rPr>
        <w:t xml:space="preserve">ic fields, </w:t>
      </w:r>
      <w:r w:rsidR="00C7532D">
        <w:rPr>
          <w:color w:val="000000" w:themeColor="text1"/>
        </w:rPr>
        <w:t>who</w:t>
      </w:r>
      <w:r w:rsidR="00957A07">
        <w:rPr>
          <w:color w:val="000000" w:themeColor="text1"/>
        </w:rPr>
        <w:t xml:space="preserve"> did not want</w:t>
      </w:r>
      <w:r>
        <w:rPr>
          <w:color w:val="000000" w:themeColor="text1"/>
        </w:rPr>
        <w:t xml:space="preserve"> to compromise career plans.</w:t>
      </w:r>
    </w:p>
    <w:p w:rsidR="00957A07" w:rsidRDefault="00957A07" w:rsidP="007D2ECC">
      <w:pPr>
        <w:pStyle w:val="Quote"/>
        <w:spacing w:before="240" w:after="0"/>
        <w:rPr>
          <w:color w:val="000000" w:themeColor="text1"/>
        </w:rPr>
      </w:pPr>
      <w:r w:rsidRPr="002C4DBB">
        <w:rPr>
          <w:color w:val="000000" w:themeColor="text1"/>
        </w:rPr>
        <w:t xml:space="preserve">I would like it if they found a job that I needed so if they could find a job in the aviation industry and they provided for me and I got three grand like I’d stick to that job, for sure. But if it was just a random here’s a job…Yeah, I wouldn’t look down other avenues just for the sake of $3,000. </w:t>
      </w:r>
    </w:p>
    <w:p w:rsidR="00957A07" w:rsidRPr="009A03EC" w:rsidRDefault="00957A07" w:rsidP="00957A07">
      <w:pPr>
        <w:pStyle w:val="quopteJCB-source"/>
        <w:spacing w:before="0"/>
      </w:pPr>
      <w:r>
        <w:t xml:space="preserve">July 2017 (Round 4), </w:t>
      </w:r>
      <w:r w:rsidR="00F1110C">
        <w:t>jobactive self service</w:t>
      </w:r>
      <w:r w:rsidRPr="009A03EC">
        <w:t>, 25</w:t>
      </w:r>
      <w:r>
        <w:t>-49</w:t>
      </w:r>
      <w:r w:rsidRPr="009A03EC">
        <w:t xml:space="preserve">, </w:t>
      </w:r>
      <w:r>
        <w:t>m</w:t>
      </w:r>
      <w:r w:rsidRPr="009A03EC">
        <w:t>ale</w:t>
      </w:r>
      <w:r>
        <w:t>, NSW Central Coast</w:t>
      </w:r>
    </w:p>
    <w:p w:rsidR="007C355D" w:rsidRPr="007D2ECC" w:rsidRDefault="00E338D1" w:rsidP="007D2ECC">
      <w:pPr>
        <w:spacing w:before="120"/>
        <w:rPr>
          <w:color w:val="000000" w:themeColor="text1"/>
        </w:rPr>
      </w:pPr>
      <w:r>
        <w:rPr>
          <w:color w:val="000000" w:themeColor="text1"/>
        </w:rPr>
        <w:t xml:space="preserve">Additionally, </w:t>
      </w:r>
      <w:r w:rsidRPr="003318FB">
        <w:rPr>
          <w:rFonts w:ascii="Calibri" w:eastAsia="Times New Roman" w:hAnsi="Calibri" w:cs="Calibri"/>
          <w:color w:val="000000" w:themeColor="text1"/>
          <w:lang w:eastAsia="en-AU"/>
        </w:rPr>
        <w:t xml:space="preserve">participants </w:t>
      </w:r>
      <w:r>
        <w:rPr>
          <w:rFonts w:ascii="Calibri" w:eastAsia="Times New Roman" w:hAnsi="Calibri" w:cs="Calibri"/>
          <w:color w:val="000000" w:themeColor="text1"/>
          <w:lang w:eastAsia="en-AU"/>
        </w:rPr>
        <w:t>felt</w:t>
      </w:r>
      <w:r>
        <w:rPr>
          <w:color w:val="000000" w:themeColor="text1"/>
        </w:rPr>
        <w:t xml:space="preserve"> that having a job they enjoyed was far greater motivation to remain employed than the promise of a financial payment.</w:t>
      </w:r>
    </w:p>
    <w:p w:rsidR="00FF3434" w:rsidRPr="00354833" w:rsidRDefault="00FF3434" w:rsidP="00FF3434">
      <w:pPr>
        <w:pStyle w:val="Heading4"/>
      </w:pPr>
      <w:r w:rsidRPr="00354833">
        <w:t>Insulted by offer</w:t>
      </w:r>
    </w:p>
    <w:p w:rsidR="00626C70" w:rsidRPr="003318FB" w:rsidRDefault="00626C70" w:rsidP="003318FB">
      <w:pPr>
        <w:spacing w:before="120"/>
        <w:rPr>
          <w:rFonts w:ascii="Calibri" w:eastAsia="Times New Roman" w:hAnsi="Calibri" w:cs="Calibri"/>
          <w:color w:val="000000" w:themeColor="text1"/>
          <w:lang w:eastAsia="en-AU"/>
        </w:rPr>
      </w:pPr>
      <w:r w:rsidRPr="003318FB">
        <w:rPr>
          <w:rFonts w:ascii="Calibri" w:eastAsia="Times New Roman" w:hAnsi="Calibri" w:cs="Calibri"/>
          <w:color w:val="000000" w:themeColor="text1"/>
          <w:lang w:eastAsia="en-AU"/>
        </w:rPr>
        <w:t xml:space="preserve">There was a small group of </w:t>
      </w:r>
      <w:r w:rsidR="00C45984">
        <w:rPr>
          <w:rFonts w:ascii="Calibri" w:eastAsia="Times New Roman" w:hAnsi="Calibri" w:cs="Calibri"/>
          <w:color w:val="000000" w:themeColor="text1"/>
          <w:lang w:eastAsia="en-AU"/>
        </w:rPr>
        <w:t xml:space="preserve">research </w:t>
      </w:r>
      <w:r w:rsidRPr="003318FB">
        <w:rPr>
          <w:rFonts w:ascii="Calibri" w:eastAsia="Times New Roman" w:hAnsi="Calibri" w:cs="Calibri"/>
          <w:color w:val="000000" w:themeColor="text1"/>
          <w:lang w:eastAsia="en-AU"/>
        </w:rPr>
        <w:t>participants, mostly those who were already employed, who were insulted by the idea of being given money for something they considered a normal part of being a contributing member of society. Some stated that they would not seek to apply for th</w:t>
      </w:r>
      <w:r w:rsidR="00F1247B">
        <w:rPr>
          <w:rFonts w:ascii="Calibri" w:eastAsia="Times New Roman" w:hAnsi="Calibri" w:cs="Calibri"/>
          <w:color w:val="000000" w:themeColor="text1"/>
          <w:lang w:eastAsia="en-AU"/>
        </w:rPr>
        <w:t>e bonus even if they qualified.</w:t>
      </w:r>
    </w:p>
    <w:p w:rsidR="003318FB" w:rsidRDefault="003318FB" w:rsidP="003318FB">
      <w:pPr>
        <w:pStyle w:val="QuotationJCB"/>
      </w:pPr>
      <w:r w:rsidRPr="008E2FE9">
        <w:t>I’m not going to lie it actually kind of tickles my humour bone. It’s like congratulations you can hold a job and here’s some money. It’s like we are functioning adults, we should be able to hold</w:t>
      </w:r>
      <w:r w:rsidR="006573FA">
        <w:t xml:space="preserve"> </w:t>
      </w:r>
      <w:r w:rsidR="00F1247B">
        <w:t xml:space="preserve"> jobs anyway.</w:t>
      </w:r>
    </w:p>
    <w:p w:rsidR="003318FB" w:rsidRPr="008E2FE9" w:rsidRDefault="002361DB" w:rsidP="004968D9">
      <w:pPr>
        <w:pStyle w:val="quopteJCB-source"/>
        <w:spacing w:before="0"/>
      </w:pPr>
      <w:r>
        <w:t>October 2016 (Round 3),</w:t>
      </w:r>
      <w:r w:rsidR="00AD60DE">
        <w:t xml:space="preserve"> </w:t>
      </w:r>
      <w:r w:rsidR="006B5D6A">
        <w:t>not yet claimed</w:t>
      </w:r>
      <w:r w:rsidR="003318FB">
        <w:t>,</w:t>
      </w:r>
      <w:r w:rsidR="003318FB" w:rsidRPr="008E2FE9">
        <w:t xml:space="preserve"> </w:t>
      </w:r>
      <w:r w:rsidR="00C00195">
        <w:t>focus group, Brisbane</w:t>
      </w:r>
    </w:p>
    <w:p w:rsidR="003318FB" w:rsidRDefault="003318FB" w:rsidP="008944BA">
      <w:pPr>
        <w:pStyle w:val="QuotationJCB"/>
      </w:pPr>
      <w:r w:rsidRPr="008E2FE9">
        <w:t>That’s almost saying that you weren’</w:t>
      </w:r>
      <w:r w:rsidR="00F1247B">
        <w:t>t motivated in the first place.</w:t>
      </w:r>
    </w:p>
    <w:p w:rsidR="003318FB" w:rsidRPr="008E2FE9" w:rsidRDefault="002361DB" w:rsidP="004968D9">
      <w:pPr>
        <w:pStyle w:val="quopteJCB-source"/>
        <w:spacing w:before="0"/>
      </w:pPr>
      <w:r>
        <w:t>October 2016 (Round 3),</w:t>
      </w:r>
      <w:r w:rsidR="00AD60DE">
        <w:t xml:space="preserve"> received JCB</w:t>
      </w:r>
      <w:r w:rsidR="003318FB">
        <w:t>,</w:t>
      </w:r>
      <w:r w:rsidR="003318FB" w:rsidRPr="008E2FE9">
        <w:t xml:space="preserve"> </w:t>
      </w:r>
      <w:r w:rsidR="00C00195">
        <w:t>focus group, Melbourne</w:t>
      </w:r>
    </w:p>
    <w:p w:rsidR="00626C70" w:rsidRPr="001004DA" w:rsidRDefault="00626C70" w:rsidP="00626C70">
      <w:pPr>
        <w:spacing w:before="120"/>
        <w:rPr>
          <w:rFonts w:ascii="Calibri" w:eastAsia="Times New Roman" w:hAnsi="Calibri" w:cs="Calibri"/>
          <w:color w:val="000000" w:themeColor="text1"/>
          <w:lang w:eastAsia="en-AU"/>
        </w:rPr>
      </w:pPr>
      <w:r w:rsidRPr="001004DA">
        <w:rPr>
          <w:rFonts w:ascii="Calibri" w:eastAsia="Times New Roman" w:hAnsi="Calibri" w:cs="Calibri"/>
          <w:color w:val="000000" w:themeColor="text1"/>
          <w:lang w:eastAsia="en-AU"/>
        </w:rPr>
        <w:t xml:space="preserve">Interestingly, </w:t>
      </w:r>
      <w:r w:rsidR="00C45984">
        <w:rPr>
          <w:rFonts w:ascii="Calibri" w:eastAsia="Times New Roman" w:hAnsi="Calibri" w:cs="Calibri"/>
          <w:color w:val="000000" w:themeColor="text1"/>
          <w:lang w:eastAsia="en-AU"/>
        </w:rPr>
        <w:t>a few research</w:t>
      </w:r>
      <w:r w:rsidRPr="001004DA">
        <w:rPr>
          <w:rFonts w:ascii="Calibri" w:eastAsia="Times New Roman" w:hAnsi="Calibri" w:cs="Calibri"/>
          <w:color w:val="000000" w:themeColor="text1"/>
          <w:lang w:eastAsia="en-AU"/>
        </w:rPr>
        <w:t xml:space="preserve"> participants who had received JCB1 stated that they were not sure that they would apply for the second bonus because of their personal objection to unnecessarily tak</w:t>
      </w:r>
      <w:r w:rsidR="00F1247B">
        <w:rPr>
          <w:rFonts w:ascii="Calibri" w:eastAsia="Times New Roman" w:hAnsi="Calibri" w:cs="Calibri"/>
          <w:color w:val="000000" w:themeColor="text1"/>
          <w:lang w:eastAsia="en-AU"/>
        </w:rPr>
        <w:t>ing something they do not need.</w:t>
      </w:r>
    </w:p>
    <w:p w:rsidR="00626C70" w:rsidRPr="001004DA" w:rsidRDefault="00626C70" w:rsidP="00626C70">
      <w:pPr>
        <w:pStyle w:val="QuotationJCB"/>
        <w:rPr>
          <w:rFonts w:eastAsia="Times New Roman"/>
          <w:lang w:eastAsia="en-AU"/>
        </w:rPr>
      </w:pPr>
      <w:r w:rsidRPr="001004DA">
        <w:rPr>
          <w:rFonts w:eastAsia="Times New Roman"/>
          <w:lang w:eastAsia="en-AU"/>
        </w:rPr>
        <w:lastRenderedPageBreak/>
        <w:t>Personally for me I don’t like claiming these sorts of things if I feel that I’m perfectly fine without it. It’s a personal choice of mine because…I feel that I am in a financial situation I probably won’t, yeah, I won’t claim it.</w:t>
      </w:r>
    </w:p>
    <w:p w:rsidR="00626C70" w:rsidRPr="001004DA" w:rsidRDefault="002361DB" w:rsidP="004968D9">
      <w:pPr>
        <w:pStyle w:val="quopteJCB-source"/>
        <w:spacing w:before="0"/>
        <w:rPr>
          <w:rFonts w:eastAsia="Times New Roman"/>
          <w:color w:val="000000" w:themeColor="text1"/>
          <w:lang w:eastAsia="en-AU"/>
        </w:rPr>
      </w:pPr>
      <w:r>
        <w:rPr>
          <w:rFonts w:eastAsia="Times New Roman"/>
          <w:color w:val="000000" w:themeColor="text1"/>
          <w:lang w:eastAsia="en-AU"/>
        </w:rPr>
        <w:t>November 2015 (Round 2),</w:t>
      </w:r>
      <w:r w:rsidR="007D5865" w:rsidRPr="004A774E">
        <w:rPr>
          <w:rFonts w:eastAsia="Times New Roman"/>
          <w:lang w:eastAsia="en-AU"/>
        </w:rPr>
        <w:t xml:space="preserve"> </w:t>
      </w:r>
      <w:r w:rsidR="007D5865">
        <w:rPr>
          <w:rFonts w:eastAsia="Times New Roman"/>
          <w:lang w:eastAsia="en-AU"/>
        </w:rPr>
        <w:t xml:space="preserve">received JCB, </w:t>
      </w:r>
      <w:r w:rsidR="00AD60DE">
        <w:rPr>
          <w:rFonts w:eastAsia="Times New Roman"/>
          <w:color w:val="000000" w:themeColor="text1"/>
          <w:lang w:eastAsia="en-AU"/>
        </w:rPr>
        <w:t>f</w:t>
      </w:r>
      <w:r w:rsidR="00626C70" w:rsidRPr="001004DA">
        <w:rPr>
          <w:rFonts w:eastAsia="Times New Roman"/>
          <w:color w:val="000000" w:themeColor="text1"/>
          <w:lang w:eastAsia="en-AU"/>
        </w:rPr>
        <w:t>emale, under 25 years, metropolitan</w:t>
      </w:r>
    </w:p>
    <w:p w:rsidR="00626C70" w:rsidRPr="001004DA" w:rsidRDefault="00626C70" w:rsidP="00626C70">
      <w:pPr>
        <w:pStyle w:val="QuotationJCB"/>
        <w:rPr>
          <w:rFonts w:eastAsia="Times New Roman"/>
          <w:lang w:eastAsia="en-AU"/>
        </w:rPr>
      </w:pPr>
      <w:r w:rsidRPr="001004DA">
        <w:rPr>
          <w:rFonts w:eastAsia="Times New Roman"/>
          <w:lang w:eastAsia="en-AU"/>
        </w:rPr>
        <w:t>Yeah, I mean definitely I could see it as being an incentive [to stay in the job for another 12</w:t>
      </w:r>
      <w:r w:rsidR="00354833">
        <w:rPr>
          <w:rFonts w:eastAsia="Times New Roman"/>
          <w:lang w:eastAsia="en-AU"/>
        </w:rPr>
        <w:t> </w:t>
      </w:r>
      <w:r w:rsidRPr="001004DA">
        <w:rPr>
          <w:rFonts w:eastAsia="Times New Roman"/>
          <w:lang w:eastAsia="en-AU"/>
        </w:rPr>
        <w:t>months], but I guess there’s the sort of people out there that might need it a little bit more than what I do.</w:t>
      </w:r>
    </w:p>
    <w:p w:rsidR="008E2FE9" w:rsidRDefault="00D64575" w:rsidP="004968D9">
      <w:pPr>
        <w:pStyle w:val="quopteJCB-source"/>
        <w:spacing w:before="0"/>
        <w:rPr>
          <w:rFonts w:eastAsia="Times New Roman"/>
          <w:color w:val="000000" w:themeColor="text1"/>
          <w:lang w:eastAsia="en-AU"/>
        </w:rPr>
      </w:pPr>
      <w:r>
        <w:rPr>
          <w:rFonts w:eastAsia="Times New Roman"/>
          <w:color w:val="000000" w:themeColor="text1"/>
          <w:lang w:eastAsia="en-AU"/>
        </w:rPr>
        <w:t>November 2015</w:t>
      </w:r>
      <w:r w:rsidR="007D5865" w:rsidRPr="004A774E">
        <w:rPr>
          <w:rFonts w:eastAsia="Times New Roman"/>
          <w:lang w:eastAsia="en-AU"/>
        </w:rPr>
        <w:t xml:space="preserve">, </w:t>
      </w:r>
      <w:r w:rsidR="007D5865">
        <w:rPr>
          <w:rFonts w:eastAsia="Times New Roman"/>
          <w:lang w:eastAsia="en-AU"/>
        </w:rPr>
        <w:t xml:space="preserve">received JCB, </w:t>
      </w:r>
      <w:r w:rsidR="00AD60DE">
        <w:rPr>
          <w:rFonts w:eastAsia="Times New Roman"/>
          <w:color w:val="000000" w:themeColor="text1"/>
          <w:lang w:eastAsia="en-AU"/>
        </w:rPr>
        <w:t>m</w:t>
      </w:r>
      <w:r w:rsidR="00626C70" w:rsidRPr="001004DA">
        <w:rPr>
          <w:rFonts w:eastAsia="Times New Roman"/>
          <w:color w:val="000000" w:themeColor="text1"/>
          <w:lang w:eastAsia="en-AU"/>
        </w:rPr>
        <w:t>ale, 25 years or more, non-metropolitan</w:t>
      </w:r>
    </w:p>
    <w:p w:rsidR="003318FB" w:rsidRPr="003318FB" w:rsidRDefault="003318FB" w:rsidP="00BC64A3">
      <w:pPr>
        <w:pStyle w:val="Heading4"/>
      </w:pPr>
      <w:r>
        <w:t xml:space="preserve">Feelings of guilt accepting the </w:t>
      </w:r>
      <w:r w:rsidR="00EA4D79">
        <w:t>money</w:t>
      </w:r>
    </w:p>
    <w:p w:rsidR="008E2FE9" w:rsidRPr="003318FB" w:rsidRDefault="008E2FE9" w:rsidP="008E2FE9">
      <w:pPr>
        <w:rPr>
          <w:color w:val="000000" w:themeColor="text1"/>
        </w:rPr>
      </w:pPr>
      <w:r w:rsidRPr="003318FB">
        <w:rPr>
          <w:color w:val="000000" w:themeColor="text1"/>
        </w:rPr>
        <w:t>There was some guilt associated with accepting money that participants felt might be more needed by those who were still looking for work and / or those whose circumstances were more challenging.</w:t>
      </w:r>
    </w:p>
    <w:p w:rsidR="003318FB" w:rsidRDefault="008E2FE9" w:rsidP="003318FB">
      <w:pPr>
        <w:pStyle w:val="QuotationJCB"/>
      </w:pPr>
      <w:r w:rsidRPr="003318FB">
        <w:t>I would feel, I don’t know, I guess because now that I do have stable employment, I don’t know if I’d feel a bit guilty, like I don’t know, that’s just me, like because where I am at the moment is really good and I don’t know if I’d feel guilty for taking that away from someone else, maybe depends. Think a</w:t>
      </w:r>
      <w:r w:rsidR="00F1247B">
        <w:t>bout all the shoes I could buy.</w:t>
      </w:r>
    </w:p>
    <w:p w:rsidR="008E2FE9" w:rsidRPr="003318FB" w:rsidRDefault="002361DB" w:rsidP="004968D9">
      <w:pPr>
        <w:pStyle w:val="quopteJCB-source"/>
        <w:spacing w:before="0"/>
      </w:pPr>
      <w:r>
        <w:t>October 2016 (Round 3),</w:t>
      </w:r>
      <w:r w:rsidR="00AD60DE">
        <w:t xml:space="preserve"> not yet claimed</w:t>
      </w:r>
      <w:r w:rsidR="00C00195">
        <w:t>,</w:t>
      </w:r>
      <w:r w:rsidR="008E2FE9" w:rsidRPr="003318FB">
        <w:t xml:space="preserve"> </w:t>
      </w:r>
      <w:r w:rsidR="00C00195">
        <w:t>focus group, Gold Coast</w:t>
      </w:r>
    </w:p>
    <w:p w:rsidR="003318FB" w:rsidRDefault="008E2FE9" w:rsidP="003318FB">
      <w:pPr>
        <w:pStyle w:val="QuotationJCB"/>
      </w:pPr>
      <w:r w:rsidRPr="003318FB">
        <w:t xml:space="preserve">Yes. Well you think about the amount of kids that haven’t got jobs and or how </w:t>
      </w:r>
      <w:r w:rsidR="00CD18D7">
        <w:t xml:space="preserve">I </w:t>
      </w:r>
      <w:r w:rsidRPr="003318FB">
        <w:t>have recently just got a job, and are pushing for the 12 months to get the bonus, that’s a lot of money, that could</w:t>
      </w:r>
      <w:r w:rsidR="00F1247B">
        <w:t xml:space="preserve"> be put towards something else.</w:t>
      </w:r>
    </w:p>
    <w:p w:rsidR="008E2FE9" w:rsidRPr="003318FB" w:rsidRDefault="002361DB" w:rsidP="004968D9">
      <w:pPr>
        <w:pStyle w:val="quopteJCB-source"/>
        <w:spacing w:before="0"/>
      </w:pPr>
      <w:r>
        <w:t>October 2016 (Round 3),</w:t>
      </w:r>
      <w:r w:rsidR="00AD60DE">
        <w:t xml:space="preserve"> received JCB</w:t>
      </w:r>
      <w:r w:rsidR="00C00195">
        <w:t xml:space="preserve">, interview, </w:t>
      </w:r>
      <w:r w:rsidR="003318FB">
        <w:t>regional NSW</w:t>
      </w:r>
    </w:p>
    <w:p w:rsidR="003318FB" w:rsidRPr="003318FB" w:rsidRDefault="003318FB" w:rsidP="00BC64A3">
      <w:pPr>
        <w:pStyle w:val="Heading4"/>
      </w:pPr>
      <w:r w:rsidRPr="003318FB">
        <w:t>Not best use of taxpayer money</w:t>
      </w:r>
    </w:p>
    <w:p w:rsidR="008E2FE9" w:rsidRPr="003318FB" w:rsidRDefault="008E2FE9" w:rsidP="008E2FE9">
      <w:pPr>
        <w:rPr>
          <w:color w:val="000000" w:themeColor="text1"/>
        </w:rPr>
      </w:pPr>
      <w:r w:rsidRPr="003318FB">
        <w:rPr>
          <w:color w:val="000000" w:themeColor="text1"/>
        </w:rPr>
        <w:t xml:space="preserve">A few participants considered the potential impact and </w:t>
      </w:r>
      <w:r w:rsidR="00B07341">
        <w:rPr>
          <w:color w:val="000000" w:themeColor="text1"/>
        </w:rPr>
        <w:t xml:space="preserve">questioned </w:t>
      </w:r>
      <w:r w:rsidRPr="003318FB">
        <w:rPr>
          <w:color w:val="000000" w:themeColor="text1"/>
        </w:rPr>
        <w:t xml:space="preserve">whether </w:t>
      </w:r>
      <w:r w:rsidR="00B07341">
        <w:rPr>
          <w:color w:val="000000" w:themeColor="text1"/>
        </w:rPr>
        <w:t>it</w:t>
      </w:r>
      <w:r w:rsidRPr="003318FB">
        <w:rPr>
          <w:color w:val="000000" w:themeColor="text1"/>
        </w:rPr>
        <w:t xml:space="preserve"> was the best use of taxpayer money.</w:t>
      </w:r>
    </w:p>
    <w:p w:rsidR="003318FB" w:rsidRDefault="008E2FE9" w:rsidP="003318FB">
      <w:pPr>
        <w:pStyle w:val="QuotationJCB"/>
      </w:pPr>
      <w:r w:rsidRPr="003318FB">
        <w:t xml:space="preserve">It makes you think where is that money coming from, are they cutting it off like helping the health system, because where are they getting that money from, because the government is always talking about we want to get to a surplus, but you are giving money away, so where </w:t>
      </w:r>
      <w:r w:rsidR="00F1247B">
        <w:t>is that coming from?</w:t>
      </w:r>
    </w:p>
    <w:p w:rsidR="008E2FE9" w:rsidRPr="003318FB" w:rsidRDefault="002361DB" w:rsidP="004968D9">
      <w:pPr>
        <w:pStyle w:val="quopteJCB-source"/>
        <w:spacing w:before="0"/>
      </w:pPr>
      <w:r>
        <w:t>October 2016 (Round 3),</w:t>
      </w:r>
      <w:r w:rsidR="00AD60DE">
        <w:t xml:space="preserve"> not yet claimed</w:t>
      </w:r>
      <w:r w:rsidR="00C00195">
        <w:t>,</w:t>
      </w:r>
      <w:r w:rsidR="008E2FE9" w:rsidRPr="003318FB">
        <w:t xml:space="preserve"> </w:t>
      </w:r>
      <w:r w:rsidR="00C00195">
        <w:t>focus group, Gold Coast</w:t>
      </w:r>
    </w:p>
    <w:p w:rsidR="003318FB" w:rsidRDefault="008E2FE9" w:rsidP="003318FB">
      <w:pPr>
        <w:pStyle w:val="QuotationJCB"/>
      </w:pPr>
      <w:r w:rsidRPr="008E2FE9">
        <w:t>It kind of makes me feel bad too, because I know that th</w:t>
      </w:r>
      <w:r w:rsidR="00B07341">
        <w:t>at’s coming out of like the tax</w:t>
      </w:r>
      <w:r w:rsidR="00C962FC">
        <w:t xml:space="preserve">payers and stuff. </w:t>
      </w:r>
      <w:r w:rsidRPr="008E2FE9">
        <w:t xml:space="preserve">And I mean like I was paying tax when I was working, but like it makes me, although it is an incentive for, like it was going to be an incentive if I had have known, to stay in work, but like the amount is great, but </w:t>
      </w:r>
      <w:r w:rsidR="00F1247B">
        <w:t>I think that might be too much.</w:t>
      </w:r>
    </w:p>
    <w:p w:rsidR="008E2FE9" w:rsidRPr="008E2FE9" w:rsidRDefault="002361DB" w:rsidP="003318FB">
      <w:pPr>
        <w:pStyle w:val="quopteJCB-source"/>
      </w:pPr>
      <w:r>
        <w:t>October 2016 (Round 3),</w:t>
      </w:r>
      <w:r w:rsidR="00AD60DE">
        <w:t xml:space="preserve"> received JCB</w:t>
      </w:r>
      <w:r w:rsidR="00C00195">
        <w:t>, interview,</w:t>
      </w:r>
      <w:r w:rsidR="008E2FE9" w:rsidRPr="008E2FE9">
        <w:t xml:space="preserve"> </w:t>
      </w:r>
      <w:r w:rsidR="003318FB">
        <w:t>regional NSW</w:t>
      </w:r>
    </w:p>
    <w:p w:rsidR="007C355D" w:rsidRDefault="007C355D" w:rsidP="007D2ECC">
      <w:pPr>
        <w:pStyle w:val="QuotationJCB"/>
      </w:pPr>
      <w:r w:rsidRPr="002C4DBB">
        <w:t>Just a waste of g</w:t>
      </w:r>
      <w:r w:rsidR="00C962FC">
        <w:t xml:space="preserve">overnment money sort of thing. </w:t>
      </w:r>
      <w:r w:rsidRPr="002C4DBB">
        <w:t xml:space="preserve">It could be </w:t>
      </w:r>
      <w:r w:rsidR="00C962FC">
        <w:t>going to more important things.</w:t>
      </w:r>
      <w:r w:rsidRPr="002C4DBB">
        <w:t xml:space="preserve"> People in jobs they’re getting money they don’t n</w:t>
      </w:r>
      <w:r w:rsidR="00F1247B">
        <w:t>eed more money from government.</w:t>
      </w:r>
    </w:p>
    <w:p w:rsidR="007C355D" w:rsidRPr="00F1247B" w:rsidRDefault="007C355D" w:rsidP="00F1247B">
      <w:pPr>
        <w:pStyle w:val="quopteJCB-source"/>
        <w:spacing w:before="0"/>
      </w:pPr>
      <w:r>
        <w:t xml:space="preserve">July 2017 (Round 4), </w:t>
      </w:r>
      <w:r w:rsidR="00F1110C">
        <w:t>jobactive case management</w:t>
      </w:r>
      <w:r w:rsidRPr="009A03EC">
        <w:t xml:space="preserve">, under 25, </w:t>
      </w:r>
      <w:r>
        <w:t>fem</w:t>
      </w:r>
      <w:r w:rsidRPr="009A03EC">
        <w:t>ale</w:t>
      </w:r>
      <w:r>
        <w:t>, Geelong</w:t>
      </w:r>
      <w:r>
        <w:br w:type="page"/>
      </w:r>
    </w:p>
    <w:p w:rsidR="00825624" w:rsidRPr="00246925" w:rsidRDefault="008926B3" w:rsidP="00270C05">
      <w:pPr>
        <w:pStyle w:val="Heading1"/>
      </w:pPr>
      <w:bookmarkStart w:id="172" w:name="_Toc478117585"/>
      <w:bookmarkStart w:id="173" w:name="_Toc507600246"/>
      <w:r>
        <w:lastRenderedPageBreak/>
        <w:t>4</w:t>
      </w:r>
      <w:r w:rsidR="00825624" w:rsidRPr="00246925">
        <w:tab/>
        <w:t>Impact of the JCB</w:t>
      </w:r>
      <w:bookmarkEnd w:id="172"/>
      <w:bookmarkEnd w:id="173"/>
    </w:p>
    <w:p w:rsidR="00785A1A" w:rsidRPr="007A2A83" w:rsidRDefault="00EA4D79" w:rsidP="009958DB">
      <w:pPr>
        <w:spacing w:before="120"/>
        <w:rPr>
          <w:color w:val="000000" w:themeColor="text1"/>
        </w:rPr>
      </w:pPr>
      <w:r>
        <w:rPr>
          <w:color w:val="000000" w:themeColor="text1"/>
        </w:rPr>
        <w:t>T</w:t>
      </w:r>
      <w:r w:rsidR="00F639D3" w:rsidRPr="007A2A83">
        <w:rPr>
          <w:color w:val="000000" w:themeColor="text1"/>
        </w:rPr>
        <w:t>he</w:t>
      </w:r>
      <w:r w:rsidR="00F40F32">
        <w:rPr>
          <w:color w:val="000000" w:themeColor="text1"/>
        </w:rPr>
        <w:t xml:space="preserve">re </w:t>
      </w:r>
      <w:r w:rsidR="00503C12">
        <w:rPr>
          <w:color w:val="000000" w:themeColor="text1"/>
        </w:rPr>
        <w:t xml:space="preserve">were </w:t>
      </w:r>
      <w:r w:rsidR="00F40F32">
        <w:rPr>
          <w:color w:val="000000" w:themeColor="text1"/>
        </w:rPr>
        <w:t xml:space="preserve">two </w:t>
      </w:r>
      <w:r w:rsidR="00503C12">
        <w:rPr>
          <w:color w:val="000000" w:themeColor="text1"/>
        </w:rPr>
        <w:t xml:space="preserve">main opportunities for </w:t>
      </w:r>
      <w:r w:rsidR="00F40F32">
        <w:rPr>
          <w:color w:val="000000" w:themeColor="text1"/>
        </w:rPr>
        <w:t xml:space="preserve">the </w:t>
      </w:r>
      <w:r w:rsidR="00F639D3" w:rsidRPr="007A2A83">
        <w:rPr>
          <w:color w:val="000000" w:themeColor="text1"/>
        </w:rPr>
        <w:t xml:space="preserve">JCB </w:t>
      </w:r>
      <w:r w:rsidR="00503C12">
        <w:rPr>
          <w:color w:val="000000" w:themeColor="text1"/>
        </w:rPr>
        <w:t xml:space="preserve">to </w:t>
      </w:r>
      <w:r w:rsidR="00F639D3" w:rsidRPr="007A2A83">
        <w:rPr>
          <w:color w:val="000000" w:themeColor="text1"/>
        </w:rPr>
        <w:t>influence</w:t>
      </w:r>
      <w:r w:rsidR="00FC3BB6">
        <w:rPr>
          <w:color w:val="000000" w:themeColor="text1"/>
        </w:rPr>
        <w:t xml:space="preserve"> </w:t>
      </w:r>
      <w:r w:rsidR="00F639D3" w:rsidRPr="007A2A83">
        <w:rPr>
          <w:color w:val="000000" w:themeColor="text1"/>
        </w:rPr>
        <w:t>behaviour</w:t>
      </w:r>
      <w:r w:rsidR="003B4183" w:rsidRPr="007A2A83">
        <w:rPr>
          <w:color w:val="000000" w:themeColor="text1"/>
        </w:rPr>
        <w:t xml:space="preserve"> to achieve</w:t>
      </w:r>
      <w:r w:rsidR="00D22A17">
        <w:rPr>
          <w:color w:val="000000" w:themeColor="text1"/>
        </w:rPr>
        <w:t xml:space="preserve"> </w:t>
      </w:r>
      <w:r w:rsidR="003B4183" w:rsidRPr="007A2A83">
        <w:rPr>
          <w:color w:val="000000" w:themeColor="text1"/>
        </w:rPr>
        <w:t>its objectives</w:t>
      </w:r>
      <w:r w:rsidR="00F639D3" w:rsidRPr="007A2A83">
        <w:rPr>
          <w:color w:val="000000" w:themeColor="text1"/>
        </w:rPr>
        <w:t>:</w:t>
      </w:r>
    </w:p>
    <w:p w:rsidR="00F639D3" w:rsidRPr="005D31A8" w:rsidRDefault="00F639D3" w:rsidP="00A16659">
      <w:pPr>
        <w:pStyle w:val="ListParagraph"/>
        <w:numPr>
          <w:ilvl w:val="0"/>
          <w:numId w:val="27"/>
        </w:numPr>
        <w:spacing w:before="120" w:after="120"/>
      </w:pPr>
      <w:r w:rsidRPr="005D31A8">
        <w:t>while looking for work, the promi</w:t>
      </w:r>
      <w:r w:rsidR="003B4183" w:rsidRPr="005D31A8">
        <w:t xml:space="preserve">se of the JCB </w:t>
      </w:r>
      <w:r w:rsidR="00940090">
        <w:t>may</w:t>
      </w:r>
      <w:r w:rsidR="00940090" w:rsidRPr="005D31A8">
        <w:t xml:space="preserve"> </w:t>
      </w:r>
      <w:r w:rsidR="0055504B">
        <w:t xml:space="preserve">have </w:t>
      </w:r>
      <w:r w:rsidR="00C34E3F">
        <w:t>motivated</w:t>
      </w:r>
      <w:r w:rsidR="00C34E3F" w:rsidRPr="005D31A8">
        <w:t xml:space="preserve"> </w:t>
      </w:r>
      <w:r w:rsidRPr="005D31A8">
        <w:t>job seekers to increase their job search efforts, accept employment and leave income support</w:t>
      </w:r>
    </w:p>
    <w:p w:rsidR="00F639D3" w:rsidRPr="007A2A83" w:rsidRDefault="00F639D3" w:rsidP="00A16659">
      <w:pPr>
        <w:pStyle w:val="ListParagraph"/>
        <w:numPr>
          <w:ilvl w:val="0"/>
          <w:numId w:val="27"/>
        </w:numPr>
        <w:spacing w:before="120" w:after="120"/>
        <w:rPr>
          <w:color w:val="000000" w:themeColor="text1"/>
        </w:rPr>
      </w:pPr>
      <w:r w:rsidRPr="005D31A8">
        <w:t xml:space="preserve">once employed, the promise of the first and second bonus </w:t>
      </w:r>
      <w:r w:rsidR="00940090">
        <w:t>may</w:t>
      </w:r>
      <w:r w:rsidR="00940090" w:rsidRPr="005D31A8">
        <w:t xml:space="preserve"> </w:t>
      </w:r>
      <w:r w:rsidR="0055504B">
        <w:t xml:space="preserve">have </w:t>
      </w:r>
      <w:r w:rsidRPr="005D31A8">
        <w:t>encourage</w:t>
      </w:r>
      <w:r w:rsidR="0055504B">
        <w:t>d</w:t>
      </w:r>
      <w:r w:rsidRPr="005D31A8">
        <w:t xml:space="preserve"> sustained employment (not necessarily in the same job, but avoiding </w:t>
      </w:r>
      <w:r w:rsidR="00F40F32">
        <w:t xml:space="preserve">a </w:t>
      </w:r>
      <w:r w:rsidRPr="005D31A8">
        <w:t>return to income support</w:t>
      </w:r>
      <w:r w:rsidR="0055504B">
        <w:t>)</w:t>
      </w:r>
      <w:r w:rsidRPr="007A2A83">
        <w:rPr>
          <w:color w:val="000000" w:themeColor="text1"/>
        </w:rPr>
        <w:t>.</w:t>
      </w:r>
    </w:p>
    <w:p w:rsidR="002B18CB" w:rsidRDefault="00514F15" w:rsidP="002B18CB">
      <w:pPr>
        <w:spacing w:before="120"/>
        <w:rPr>
          <w:color w:val="000000" w:themeColor="text1"/>
        </w:rPr>
      </w:pPr>
      <w:bookmarkStart w:id="174" w:name="_Toc478117586"/>
      <w:r>
        <w:rPr>
          <w:color w:val="000000" w:themeColor="text1"/>
        </w:rPr>
        <w:t>The</w:t>
      </w:r>
      <w:r w:rsidRPr="002B18CB">
        <w:rPr>
          <w:color w:val="000000" w:themeColor="text1"/>
        </w:rPr>
        <w:t xml:space="preserve"> </w:t>
      </w:r>
      <w:r w:rsidR="00EA4D79">
        <w:rPr>
          <w:color w:val="000000" w:themeColor="text1"/>
        </w:rPr>
        <w:t xml:space="preserve">following </w:t>
      </w:r>
      <w:r w:rsidR="007E67B7">
        <w:rPr>
          <w:color w:val="000000" w:themeColor="text1"/>
        </w:rPr>
        <w:t xml:space="preserve">two </w:t>
      </w:r>
      <w:r w:rsidR="002B18CB" w:rsidRPr="002B18CB">
        <w:rPr>
          <w:color w:val="000000" w:themeColor="text1"/>
        </w:rPr>
        <w:t>section</w:t>
      </w:r>
      <w:r w:rsidR="007E67B7">
        <w:rPr>
          <w:color w:val="000000" w:themeColor="text1"/>
        </w:rPr>
        <w:t>s</w:t>
      </w:r>
      <w:r w:rsidR="005E204B">
        <w:rPr>
          <w:color w:val="000000" w:themeColor="text1"/>
        </w:rPr>
        <w:t xml:space="preserve"> use</w:t>
      </w:r>
      <w:r w:rsidR="002B18CB">
        <w:rPr>
          <w:color w:val="000000" w:themeColor="text1"/>
        </w:rPr>
        <w:t xml:space="preserve"> qualitative and quantitative data to assess </w:t>
      </w:r>
      <w:r w:rsidR="00C144A5">
        <w:rPr>
          <w:color w:val="000000" w:themeColor="text1"/>
        </w:rPr>
        <w:t>impact</w:t>
      </w:r>
      <w:r w:rsidR="002B18CB">
        <w:rPr>
          <w:color w:val="000000" w:themeColor="text1"/>
        </w:rPr>
        <w:t xml:space="preserve"> </w:t>
      </w:r>
      <w:r w:rsidR="005C122D">
        <w:rPr>
          <w:color w:val="000000" w:themeColor="text1"/>
        </w:rPr>
        <w:t xml:space="preserve">of the JCB </w:t>
      </w:r>
      <w:r w:rsidR="005E204B">
        <w:rPr>
          <w:color w:val="000000" w:themeColor="text1"/>
        </w:rPr>
        <w:t>on job search behaviour</w:t>
      </w:r>
      <w:r w:rsidR="00FC3BB6">
        <w:rPr>
          <w:color w:val="000000" w:themeColor="text1"/>
        </w:rPr>
        <w:t>.</w:t>
      </w:r>
      <w:r w:rsidR="007E67B7">
        <w:rPr>
          <w:color w:val="000000" w:themeColor="text1"/>
        </w:rPr>
        <w:t xml:space="preserve"> </w:t>
      </w:r>
      <w:r w:rsidR="00DC0F45">
        <w:rPr>
          <w:color w:val="000000" w:themeColor="text1"/>
        </w:rPr>
        <w:t xml:space="preserve">The </w:t>
      </w:r>
      <w:r w:rsidR="007E67B7">
        <w:rPr>
          <w:color w:val="000000" w:themeColor="text1"/>
        </w:rPr>
        <w:t>sections</w:t>
      </w:r>
      <w:r w:rsidR="00BB71FA">
        <w:rPr>
          <w:color w:val="000000" w:themeColor="text1"/>
        </w:rPr>
        <w:t xml:space="preserve"> which follow them</w:t>
      </w:r>
      <w:r w:rsidR="007E67B7">
        <w:rPr>
          <w:color w:val="000000" w:themeColor="text1"/>
        </w:rPr>
        <w:t xml:space="preserve"> explore if there was any discernible impact of the JCB on the type of employment obtained or how long employment was sustained. The final section considers other program effectiveness and efficiency measures.</w:t>
      </w:r>
    </w:p>
    <w:p w:rsidR="00C32B73" w:rsidRDefault="00C32B73" w:rsidP="004968D9">
      <w:pPr>
        <w:pStyle w:val="Heading2"/>
      </w:pPr>
      <w:bookmarkStart w:id="175" w:name="_Toc507600247"/>
      <w:r>
        <w:t>4.1</w:t>
      </w:r>
      <w:r w:rsidR="00EF2C60">
        <w:tab/>
      </w:r>
      <w:r>
        <w:t xml:space="preserve">Impact on </w:t>
      </w:r>
      <w:r w:rsidR="00EF2C60">
        <w:t xml:space="preserve">motivation </w:t>
      </w:r>
      <w:r w:rsidR="007E67B7">
        <w:t>and job search behaviour</w:t>
      </w:r>
      <w:bookmarkEnd w:id="175"/>
      <w:r w:rsidR="007E67B7">
        <w:t xml:space="preserve"> </w:t>
      </w:r>
    </w:p>
    <w:p w:rsidR="00C14DAC" w:rsidRPr="0018315C" w:rsidRDefault="00C14DAC" w:rsidP="00C14DAC">
      <w:pPr>
        <w:keepNext/>
        <w:pBdr>
          <w:top w:val="single" w:sz="4" w:space="1" w:color="auto"/>
          <w:left w:val="single" w:sz="4" w:space="4" w:color="auto"/>
          <w:bottom w:val="single" w:sz="4" w:space="1" w:color="auto"/>
          <w:right w:val="single" w:sz="4" w:space="4" w:color="auto"/>
        </w:pBdr>
        <w:shd w:val="clear" w:color="auto" w:fill="FDCBA0"/>
        <w:spacing w:after="120"/>
        <w:rPr>
          <w:rStyle w:val="Strong"/>
        </w:rPr>
      </w:pPr>
      <w:r w:rsidRPr="0018315C">
        <w:rPr>
          <w:rStyle w:val="Strong"/>
        </w:rPr>
        <w:t>Highlights</w:t>
      </w:r>
    </w:p>
    <w:p w:rsidR="007E67B7" w:rsidRDefault="007E67B7" w:rsidP="007E67B7">
      <w:pPr>
        <w:keepNext/>
        <w:pBdr>
          <w:top w:val="single" w:sz="4" w:space="1" w:color="auto"/>
          <w:left w:val="single" w:sz="4" w:space="4" w:color="auto"/>
          <w:bottom w:val="single" w:sz="4" w:space="1" w:color="auto"/>
          <w:right w:val="single" w:sz="4" w:space="4" w:color="auto"/>
        </w:pBdr>
        <w:shd w:val="clear" w:color="auto" w:fill="FDCBA0"/>
        <w:spacing w:before="120" w:after="0"/>
      </w:pPr>
      <w:r>
        <w:t>Qualitative research suggests the JCB was unlikely to have had an effect on motivating participants to find employment, with most finding out about the bonus after they became employed.</w:t>
      </w:r>
    </w:p>
    <w:p w:rsidR="00D66F68" w:rsidRDefault="003E5FAE" w:rsidP="007E67B7">
      <w:pPr>
        <w:keepNext/>
        <w:pBdr>
          <w:top w:val="single" w:sz="4" w:space="1" w:color="auto"/>
          <w:left w:val="single" w:sz="4" w:space="4" w:color="auto"/>
          <w:bottom w:val="single" w:sz="4" w:space="1" w:color="auto"/>
          <w:right w:val="single" w:sz="4" w:space="4" w:color="auto"/>
        </w:pBdr>
        <w:shd w:val="clear" w:color="auto" w:fill="FDCBA0"/>
        <w:spacing w:before="120" w:after="0"/>
      </w:pPr>
      <w:r>
        <w:t>W</w:t>
      </w:r>
      <w:r w:rsidR="00993AFF">
        <w:t>hile</w:t>
      </w:r>
      <w:r w:rsidR="00D66F68">
        <w:t xml:space="preserve"> job seekers </w:t>
      </w:r>
      <w:r w:rsidR="00993AFF">
        <w:t>state that the offer of a</w:t>
      </w:r>
      <w:r w:rsidR="00D66F68">
        <w:t xml:space="preserve"> bonus may </w:t>
      </w:r>
      <w:r w:rsidR="00993AFF">
        <w:t>affect</w:t>
      </w:r>
      <w:r w:rsidR="00D66F68">
        <w:t xml:space="preserve"> their job search behaviour, </w:t>
      </w:r>
      <w:r>
        <w:t xml:space="preserve">other factors significantly affect their likely response to the offer of a financial incentive. These include </w:t>
      </w:r>
      <w:r w:rsidR="00D66F68">
        <w:t>their attitude to work</w:t>
      </w:r>
      <w:r w:rsidR="00500DB7">
        <w:t xml:space="preserve">, </w:t>
      </w:r>
      <w:r w:rsidR="00D66F68">
        <w:t>their perceived likelihood of achieving employment in the near future</w:t>
      </w:r>
      <w:r w:rsidR="00500DB7">
        <w:t>, attitudes and motivation.</w:t>
      </w:r>
    </w:p>
    <w:p w:rsidR="00452544" w:rsidRDefault="00500DB7" w:rsidP="00452544">
      <w:pPr>
        <w:keepNext/>
        <w:pBdr>
          <w:top w:val="single" w:sz="4" w:space="1" w:color="auto"/>
          <w:left w:val="single" w:sz="4" w:space="4" w:color="auto"/>
          <w:bottom w:val="single" w:sz="4" w:space="1" w:color="auto"/>
          <w:right w:val="single" w:sz="4" w:space="4" w:color="auto"/>
        </w:pBdr>
        <w:shd w:val="clear" w:color="auto" w:fill="FDCBA0"/>
        <w:spacing w:before="120" w:after="0"/>
      </w:pPr>
      <w:r>
        <w:t>Designing an effective financial incentive program to appeal to a required target group</w:t>
      </w:r>
      <w:r>
        <w:rPr>
          <w:color w:val="000000" w:themeColor="text1"/>
        </w:rPr>
        <w:t xml:space="preserve"> is a complex task</w:t>
      </w:r>
      <w:r w:rsidR="00452544">
        <w:rPr>
          <w:color w:val="000000" w:themeColor="text1"/>
        </w:rPr>
        <w:t>.</w:t>
      </w:r>
    </w:p>
    <w:p w:rsidR="00C32B73" w:rsidRPr="00D83A7E" w:rsidRDefault="00C32B73" w:rsidP="00C32B73">
      <w:pPr>
        <w:pStyle w:val="Heading3"/>
        <w:spacing w:after="120"/>
      </w:pPr>
      <w:r>
        <w:t>4</w:t>
      </w:r>
      <w:r w:rsidRPr="00D83A7E">
        <w:t>.</w:t>
      </w:r>
      <w:r>
        <w:t>1.1</w:t>
      </w:r>
      <w:r w:rsidRPr="00D83A7E">
        <w:tab/>
      </w:r>
      <w:r w:rsidR="00C71497">
        <w:t xml:space="preserve">Provider </w:t>
      </w:r>
      <w:r w:rsidR="00EF2C60">
        <w:t>perceptions</w:t>
      </w:r>
    </w:p>
    <w:p w:rsidR="00C32B73" w:rsidRPr="004029F8" w:rsidRDefault="00C32B73" w:rsidP="00C32B73">
      <w:pPr>
        <w:spacing w:before="120"/>
        <w:rPr>
          <w:rFonts w:ascii="Calibri" w:eastAsia="Times New Roman" w:hAnsi="Calibri" w:cs="Calibri"/>
          <w:color w:val="000000"/>
          <w:lang w:eastAsia="en-AU"/>
        </w:rPr>
      </w:pPr>
      <w:r>
        <w:rPr>
          <w:rFonts w:ascii="Calibri" w:eastAsia="Times New Roman" w:hAnsi="Calibri" w:cs="Calibri"/>
          <w:color w:val="000000"/>
          <w:lang w:eastAsia="en-AU"/>
        </w:rPr>
        <w:t>Providers i</w:t>
      </w:r>
      <w:r w:rsidRPr="004029F8">
        <w:rPr>
          <w:rFonts w:ascii="Calibri" w:eastAsia="Times New Roman" w:hAnsi="Calibri" w:cs="Calibri"/>
          <w:color w:val="000000"/>
          <w:lang w:eastAsia="en-AU"/>
        </w:rPr>
        <w:t xml:space="preserve">n the 2015 </w:t>
      </w:r>
      <w:r>
        <w:rPr>
          <w:rFonts w:ascii="Calibri" w:eastAsia="Times New Roman" w:hAnsi="Calibri" w:cs="Calibri"/>
          <w:color w:val="000000"/>
          <w:lang w:eastAsia="en-AU"/>
        </w:rPr>
        <w:t>Employment Service Provider survey</w:t>
      </w:r>
      <w:r w:rsidRPr="004029F8">
        <w:rPr>
          <w:rFonts w:ascii="Calibri" w:eastAsia="Times New Roman" w:hAnsi="Calibri" w:cs="Calibri"/>
          <w:color w:val="000000"/>
          <w:lang w:eastAsia="en-AU"/>
        </w:rPr>
        <w:t xml:space="preserve"> reported that while the JCB was an additional tool to motivate job seekers, it was insufficient motivation for job seekers who had been unemployed for an extended period of time. Providers felt a major barrier to program take-up was the 12 month qualifying period which they felt was too difficult for young people to comprehend.</w:t>
      </w:r>
    </w:p>
    <w:p w:rsidR="00C32B73" w:rsidRPr="00D40F09" w:rsidRDefault="00C32B73" w:rsidP="00C32B73">
      <w:pPr>
        <w:pStyle w:val="QuotationJCB"/>
      </w:pPr>
      <w:r w:rsidRPr="00D40F09">
        <w:t>I think for young people, it is just too long. I think they generally, that generation, doesn’t really think 12/24 months ahead. Maybe instead of giving the money to the job seeker, maybe it’s something that’s given to the employer, so the job seeker can have paid days off work, you know, three months or six months. “Now you have worked for three months. Now we are going to pay the employer to give you two days off with full pay.”</w:t>
      </w:r>
    </w:p>
    <w:p w:rsidR="00C32B73" w:rsidRPr="00D40F09" w:rsidRDefault="00C32B73" w:rsidP="00C32B73">
      <w:pPr>
        <w:pStyle w:val="quopteJCB-source"/>
        <w:spacing w:before="0"/>
        <w:rPr>
          <w:rFonts w:eastAsia="Times New Roman"/>
          <w:lang w:eastAsia="en-AU"/>
        </w:rPr>
      </w:pPr>
      <w:r w:rsidRPr="00D40F09">
        <w:rPr>
          <w:rFonts w:eastAsia="Times New Roman"/>
          <w:lang w:eastAsia="en-AU"/>
        </w:rPr>
        <w:t>Site manager, large provider site, inner regional, Tasmania</w:t>
      </w:r>
    </w:p>
    <w:p w:rsidR="00C32B73" w:rsidRDefault="00C32B73" w:rsidP="00C32B73">
      <w:pPr>
        <w:spacing w:before="120"/>
        <w:rPr>
          <w:rFonts w:ascii="Calibri" w:eastAsia="Times New Roman" w:hAnsi="Calibri" w:cs="Calibri"/>
          <w:color w:val="000000"/>
          <w:lang w:eastAsia="en-AU"/>
        </w:rPr>
      </w:pPr>
      <w:r w:rsidRPr="004029F8">
        <w:rPr>
          <w:rFonts w:ascii="Calibri" w:eastAsia="Times New Roman" w:hAnsi="Calibri" w:cs="Calibri"/>
          <w:color w:val="000000"/>
          <w:lang w:eastAsia="en-AU"/>
        </w:rPr>
        <w:t xml:space="preserve">Providers had differing views about the extent to which the JCB would encourage and motivate job seekers, with around a quarter believing it would not motivate job seekers to look for, or accept, employment (27 per cent and 25 per cent respectively). Around one in five providers believed the JCB would not be a good incentive for sustained employment (18 per cent). (Figure </w:t>
      </w:r>
      <w:r w:rsidR="00FB4E23">
        <w:rPr>
          <w:rFonts w:ascii="Calibri" w:eastAsia="Times New Roman" w:hAnsi="Calibri" w:cs="Calibri"/>
          <w:color w:val="000000"/>
          <w:lang w:eastAsia="en-AU"/>
        </w:rPr>
        <w:t>4</w:t>
      </w:r>
      <w:r w:rsidRPr="004029F8">
        <w:rPr>
          <w:rFonts w:ascii="Calibri" w:eastAsia="Times New Roman" w:hAnsi="Calibri" w:cs="Calibri"/>
          <w:color w:val="000000"/>
          <w:lang w:eastAsia="en-AU"/>
        </w:rPr>
        <w:t>.</w:t>
      </w:r>
      <w:r w:rsidR="00FB4E23">
        <w:rPr>
          <w:rFonts w:ascii="Calibri" w:eastAsia="Times New Roman" w:hAnsi="Calibri" w:cs="Calibri"/>
          <w:color w:val="000000"/>
          <w:lang w:eastAsia="en-AU"/>
        </w:rPr>
        <w:t>1</w:t>
      </w:r>
      <w:r w:rsidRPr="004029F8">
        <w:rPr>
          <w:rFonts w:ascii="Calibri" w:eastAsia="Times New Roman" w:hAnsi="Calibri" w:cs="Calibri"/>
          <w:color w:val="000000"/>
          <w:lang w:eastAsia="en-AU"/>
        </w:rPr>
        <w:t>)</w:t>
      </w:r>
    </w:p>
    <w:p w:rsidR="00C32B73" w:rsidRPr="00D83A7E" w:rsidRDefault="00C32B73" w:rsidP="00C32B73">
      <w:pPr>
        <w:pStyle w:val="FigureCaption"/>
      </w:pPr>
      <w:bookmarkStart w:id="176" w:name="_Toc507600282"/>
      <w:r w:rsidRPr="00D83A7E">
        <w:lastRenderedPageBreak/>
        <w:t xml:space="preserve">Figure </w:t>
      </w:r>
      <w:r w:rsidR="00FB4E23">
        <w:t>4</w:t>
      </w:r>
      <w:r w:rsidRPr="00D83A7E">
        <w:t>.</w:t>
      </w:r>
      <w:r w:rsidR="00FB4E23">
        <w:t>1</w:t>
      </w:r>
      <w:r w:rsidRPr="00D83A7E">
        <w:t>: Extent to which providers thought the Job Commitment Bonus motivated job seekers</w:t>
      </w:r>
      <w:bookmarkEnd w:id="176"/>
    </w:p>
    <w:tbl>
      <w:tblPr>
        <w:tblW w:w="7427" w:type="dxa"/>
        <w:tblInd w:w="534" w:type="dxa"/>
        <w:tblLook w:val="04A0" w:firstRow="1" w:lastRow="0" w:firstColumn="1" w:lastColumn="0" w:noHBand="0" w:noVBand="1"/>
      </w:tblPr>
      <w:tblGrid>
        <w:gridCol w:w="2060"/>
        <w:gridCol w:w="1580"/>
        <w:gridCol w:w="1580"/>
        <w:gridCol w:w="1300"/>
        <w:gridCol w:w="280"/>
        <w:gridCol w:w="347"/>
        <w:gridCol w:w="280"/>
      </w:tblGrid>
      <w:tr w:rsidR="000E2030" w:rsidRPr="000E2030" w:rsidTr="000E2030">
        <w:trPr>
          <w:trHeight w:val="288"/>
          <w:tblHeader/>
        </w:trPr>
        <w:tc>
          <w:tcPr>
            <w:tcW w:w="2060" w:type="dxa"/>
            <w:tcBorders>
              <w:bottom w:val="single" w:sz="4" w:space="0" w:color="auto"/>
            </w:tcBorders>
            <w:shd w:val="clear" w:color="auto" w:fill="FFFFFF" w:themeFill="background2"/>
            <w:noWrap/>
            <w:vAlign w:val="bottom"/>
            <w:hideMark/>
          </w:tcPr>
          <w:p w:rsidR="000E2030" w:rsidRPr="000E2030" w:rsidRDefault="00864E02" w:rsidP="000E2030">
            <w:pPr>
              <w:keepNext/>
              <w:spacing w:before="240" w:after="0" w:line="240" w:lineRule="auto"/>
              <w:rPr>
                <w:rFonts w:ascii="Calibri" w:eastAsia="Times New Roman" w:hAnsi="Calibri" w:cs="Calibri"/>
                <w:b/>
                <w:bCs/>
                <w:color w:val="000000" w:themeColor="text1"/>
                <w:sz w:val="18"/>
                <w:szCs w:val="18"/>
                <w:lang w:eastAsia="en-AU"/>
              </w:rPr>
            </w:pPr>
            <w:r w:rsidRPr="000E2030">
              <w:rPr>
                <w:noProof/>
                <w:color w:val="000000" w:themeColor="text1"/>
                <w:lang w:eastAsia="en-AU"/>
              </w:rPr>
              <w:drawing>
                <wp:anchor distT="0" distB="0" distL="114300" distR="114300" simplePos="0" relativeHeight="251658248" behindDoc="0" locked="0" layoutInCell="1" allowOverlap="1" wp14:anchorId="3882B53F" wp14:editId="097004FC">
                  <wp:simplePos x="0" y="0"/>
                  <wp:positionH relativeFrom="column">
                    <wp:posOffset>-350520</wp:posOffset>
                  </wp:positionH>
                  <wp:positionV relativeFrom="paragraph">
                    <wp:posOffset>20955</wp:posOffset>
                  </wp:positionV>
                  <wp:extent cx="5731510" cy="2317115"/>
                  <wp:effectExtent l="0" t="0" r="2540" b="6985"/>
                  <wp:wrapNone/>
                  <wp:docPr id="23" name="Picture 23" descr="Data in graph as described in the following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2317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2030" w:rsidRPr="000E2030">
              <w:rPr>
                <w:rFonts w:ascii="Calibri" w:eastAsia="Times New Roman" w:hAnsi="Calibri" w:cs="Calibri"/>
                <w:b/>
                <w:bCs/>
                <w:color w:val="000000" w:themeColor="text1"/>
                <w:sz w:val="18"/>
                <w:szCs w:val="18"/>
                <w:lang w:eastAsia="en-AU"/>
              </w:rPr>
              <w:t> </w:t>
            </w:r>
            <w:bookmarkStart w:id="177" w:name="Title_41hidden"/>
            <w:bookmarkEnd w:id="177"/>
          </w:p>
        </w:tc>
        <w:tc>
          <w:tcPr>
            <w:tcW w:w="1580" w:type="dxa"/>
            <w:tcBorders>
              <w:bottom w:val="single" w:sz="4" w:space="0" w:color="auto"/>
            </w:tcBorders>
            <w:shd w:val="clear" w:color="auto" w:fill="FFFFFF" w:themeFill="background2"/>
            <w:noWrap/>
            <w:vAlign w:val="bottom"/>
            <w:hideMark/>
          </w:tcPr>
          <w:p w:rsidR="000E2030" w:rsidRPr="000E2030" w:rsidRDefault="000E2030" w:rsidP="000E2030">
            <w:pPr>
              <w:keepNext/>
              <w:spacing w:after="0" w:line="240" w:lineRule="auto"/>
              <w:rPr>
                <w:rFonts w:ascii="Calibri" w:eastAsia="Times New Roman" w:hAnsi="Calibri" w:cs="Calibri"/>
                <w:b/>
                <w:bCs/>
                <w:color w:val="000000" w:themeColor="text1"/>
                <w:sz w:val="18"/>
                <w:szCs w:val="18"/>
                <w:lang w:eastAsia="en-AU"/>
              </w:rPr>
            </w:pPr>
            <w:r w:rsidRPr="000E2030">
              <w:rPr>
                <w:rFonts w:ascii="Calibri" w:eastAsia="Times New Roman" w:hAnsi="Calibri" w:cs="Calibri"/>
                <w:b/>
                <w:bCs/>
                <w:color w:val="000000" w:themeColor="text1"/>
                <w:sz w:val="18"/>
                <w:szCs w:val="18"/>
                <w:lang w:eastAsia="en-AU"/>
              </w:rPr>
              <w:t>To a great extent</w:t>
            </w:r>
          </w:p>
        </w:tc>
        <w:tc>
          <w:tcPr>
            <w:tcW w:w="1580" w:type="dxa"/>
            <w:tcBorders>
              <w:bottom w:val="single" w:sz="4" w:space="0" w:color="auto"/>
            </w:tcBorders>
            <w:shd w:val="clear" w:color="auto" w:fill="FFFFFF" w:themeFill="background2"/>
            <w:noWrap/>
            <w:vAlign w:val="bottom"/>
            <w:hideMark/>
          </w:tcPr>
          <w:p w:rsidR="000E2030" w:rsidRPr="000E2030" w:rsidRDefault="000E2030" w:rsidP="000E2030">
            <w:pPr>
              <w:keepNext/>
              <w:spacing w:after="0" w:line="240" w:lineRule="auto"/>
              <w:rPr>
                <w:rFonts w:ascii="Calibri" w:eastAsia="Times New Roman" w:hAnsi="Calibri" w:cs="Calibri"/>
                <w:b/>
                <w:bCs/>
                <w:color w:val="000000" w:themeColor="text1"/>
                <w:sz w:val="18"/>
                <w:szCs w:val="18"/>
                <w:lang w:eastAsia="en-AU"/>
              </w:rPr>
            </w:pPr>
            <w:r w:rsidRPr="000E2030">
              <w:rPr>
                <w:rFonts w:ascii="Calibri" w:eastAsia="Times New Roman" w:hAnsi="Calibri" w:cs="Calibri"/>
                <w:b/>
                <w:bCs/>
                <w:color w:val="000000" w:themeColor="text1"/>
                <w:sz w:val="18"/>
                <w:szCs w:val="18"/>
                <w:lang w:eastAsia="en-AU"/>
              </w:rPr>
              <w:t>To some extent</w:t>
            </w:r>
          </w:p>
        </w:tc>
        <w:tc>
          <w:tcPr>
            <w:tcW w:w="1580" w:type="dxa"/>
            <w:gridSpan w:val="2"/>
            <w:tcBorders>
              <w:bottom w:val="single" w:sz="4" w:space="0" w:color="auto"/>
            </w:tcBorders>
            <w:shd w:val="clear" w:color="auto" w:fill="FFFFFF" w:themeFill="background2"/>
            <w:noWrap/>
            <w:vAlign w:val="bottom"/>
            <w:hideMark/>
          </w:tcPr>
          <w:p w:rsidR="000E2030" w:rsidRPr="000E2030" w:rsidRDefault="000E2030" w:rsidP="000E2030">
            <w:pPr>
              <w:keepNext/>
              <w:spacing w:after="0" w:line="240" w:lineRule="auto"/>
              <w:rPr>
                <w:rFonts w:ascii="Calibri" w:eastAsia="Times New Roman" w:hAnsi="Calibri" w:cs="Calibri"/>
                <w:b/>
                <w:bCs/>
                <w:color w:val="000000" w:themeColor="text1"/>
                <w:sz w:val="18"/>
                <w:szCs w:val="18"/>
                <w:lang w:eastAsia="en-AU"/>
              </w:rPr>
            </w:pPr>
            <w:r w:rsidRPr="000E2030">
              <w:rPr>
                <w:rFonts w:ascii="Calibri" w:eastAsia="Times New Roman" w:hAnsi="Calibri" w:cs="Calibri"/>
                <w:b/>
                <w:bCs/>
                <w:color w:val="000000" w:themeColor="text1"/>
                <w:sz w:val="18"/>
                <w:szCs w:val="18"/>
                <w:lang w:eastAsia="en-AU"/>
              </w:rPr>
              <w:t>Not at all</w:t>
            </w:r>
          </w:p>
        </w:tc>
        <w:tc>
          <w:tcPr>
            <w:tcW w:w="627" w:type="dxa"/>
            <w:gridSpan w:val="2"/>
            <w:tcBorders>
              <w:bottom w:val="single" w:sz="4" w:space="0" w:color="auto"/>
            </w:tcBorders>
            <w:shd w:val="clear" w:color="auto" w:fill="FFFFFF" w:themeFill="background2"/>
            <w:noWrap/>
            <w:vAlign w:val="bottom"/>
            <w:hideMark/>
          </w:tcPr>
          <w:p w:rsidR="000E2030" w:rsidRPr="000E2030" w:rsidRDefault="000E2030" w:rsidP="000E2030">
            <w:pPr>
              <w:keepNext/>
              <w:spacing w:after="0" w:line="240" w:lineRule="auto"/>
              <w:rPr>
                <w:rFonts w:ascii="Calibri" w:eastAsia="Times New Roman" w:hAnsi="Calibri" w:cs="Calibri"/>
                <w:b/>
                <w:bCs/>
                <w:color w:val="000000" w:themeColor="text1"/>
                <w:sz w:val="18"/>
                <w:szCs w:val="18"/>
                <w:lang w:eastAsia="en-AU"/>
              </w:rPr>
            </w:pPr>
            <w:r w:rsidRPr="000E2030">
              <w:rPr>
                <w:rFonts w:ascii="Calibri" w:eastAsia="Times New Roman" w:hAnsi="Calibri" w:cs="Calibri"/>
                <w:b/>
                <w:bCs/>
                <w:color w:val="000000" w:themeColor="text1"/>
                <w:sz w:val="18"/>
                <w:szCs w:val="18"/>
                <w:lang w:eastAsia="en-AU"/>
              </w:rPr>
              <w:t>Total</w:t>
            </w:r>
          </w:p>
        </w:tc>
      </w:tr>
      <w:tr w:rsidR="000E2030" w:rsidRPr="00D1454C" w:rsidTr="000E2030">
        <w:trPr>
          <w:gridAfter w:val="1"/>
          <w:wAfter w:w="280" w:type="dxa"/>
          <w:trHeight w:val="288"/>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030" w:rsidRPr="00D1454C" w:rsidRDefault="000E2030" w:rsidP="000E2030">
            <w:pPr>
              <w:keepNext/>
              <w:spacing w:after="0" w:line="240" w:lineRule="auto"/>
              <w:rPr>
                <w:rFonts w:ascii="Calibri" w:eastAsia="Times New Roman" w:hAnsi="Calibri" w:cs="Calibri"/>
                <w:color w:val="000000"/>
                <w:sz w:val="18"/>
                <w:szCs w:val="18"/>
                <w:lang w:eastAsia="en-AU"/>
              </w:rPr>
            </w:pPr>
            <w:r w:rsidRPr="00D1454C">
              <w:rPr>
                <w:rFonts w:ascii="Calibri" w:eastAsia="Times New Roman" w:hAnsi="Calibri" w:cs="Calibri"/>
                <w:color w:val="000000"/>
                <w:sz w:val="18"/>
                <w:szCs w:val="18"/>
                <w:lang w:eastAsia="en-AU"/>
              </w:rPr>
              <w:t>Look for employment</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0E2030" w:rsidRPr="00D1454C" w:rsidRDefault="000E2030" w:rsidP="000E2030">
            <w:pPr>
              <w:keepNext/>
              <w:spacing w:after="0" w:line="240" w:lineRule="auto"/>
              <w:jc w:val="center"/>
              <w:rPr>
                <w:rFonts w:ascii="Calibri" w:eastAsia="Times New Roman" w:hAnsi="Calibri" w:cs="Calibri"/>
                <w:color w:val="000000"/>
                <w:sz w:val="18"/>
                <w:szCs w:val="18"/>
                <w:lang w:eastAsia="en-AU"/>
              </w:rPr>
            </w:pPr>
            <w:r w:rsidRPr="00D1454C">
              <w:rPr>
                <w:rFonts w:ascii="Calibri" w:eastAsia="Times New Roman" w:hAnsi="Calibri" w:cs="Calibri"/>
                <w:color w:val="000000"/>
                <w:sz w:val="18"/>
                <w:szCs w:val="18"/>
                <w:lang w:eastAsia="en-AU"/>
              </w:rPr>
              <w:t>10.6</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0E2030" w:rsidRPr="00D1454C" w:rsidRDefault="000E2030" w:rsidP="000E2030">
            <w:pPr>
              <w:keepNext/>
              <w:spacing w:after="0" w:line="240" w:lineRule="auto"/>
              <w:jc w:val="center"/>
              <w:rPr>
                <w:rFonts w:ascii="Calibri" w:eastAsia="Times New Roman" w:hAnsi="Calibri" w:cs="Calibri"/>
                <w:color w:val="000000"/>
                <w:sz w:val="18"/>
                <w:szCs w:val="18"/>
                <w:lang w:eastAsia="en-AU"/>
              </w:rPr>
            </w:pPr>
            <w:r w:rsidRPr="00D1454C">
              <w:rPr>
                <w:rFonts w:ascii="Calibri" w:eastAsia="Times New Roman" w:hAnsi="Calibri" w:cs="Calibri"/>
                <w:color w:val="000000"/>
                <w:sz w:val="18"/>
                <w:szCs w:val="18"/>
                <w:lang w:eastAsia="en-AU"/>
              </w:rPr>
              <w:t>62.4</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0E2030" w:rsidRPr="00D1454C" w:rsidRDefault="000E2030" w:rsidP="000E2030">
            <w:pPr>
              <w:keepNext/>
              <w:spacing w:after="0" w:line="240" w:lineRule="auto"/>
              <w:jc w:val="center"/>
              <w:rPr>
                <w:rFonts w:ascii="Calibri" w:eastAsia="Times New Roman" w:hAnsi="Calibri" w:cs="Calibri"/>
                <w:color w:val="000000"/>
                <w:sz w:val="18"/>
                <w:szCs w:val="18"/>
                <w:lang w:eastAsia="en-AU"/>
              </w:rPr>
            </w:pPr>
            <w:r w:rsidRPr="00D1454C">
              <w:rPr>
                <w:rFonts w:ascii="Calibri" w:eastAsia="Times New Roman" w:hAnsi="Calibri" w:cs="Calibri"/>
                <w:color w:val="000000"/>
                <w:sz w:val="18"/>
                <w:szCs w:val="18"/>
                <w:lang w:eastAsia="en-AU"/>
              </w:rPr>
              <w:t>26.9</w:t>
            </w:r>
          </w:p>
        </w:tc>
        <w:tc>
          <w:tcPr>
            <w:tcW w:w="627" w:type="dxa"/>
            <w:gridSpan w:val="2"/>
            <w:tcBorders>
              <w:top w:val="single" w:sz="4" w:space="0" w:color="auto"/>
              <w:left w:val="nil"/>
              <w:bottom w:val="single" w:sz="4" w:space="0" w:color="auto"/>
              <w:right w:val="single" w:sz="4" w:space="0" w:color="auto"/>
            </w:tcBorders>
            <w:shd w:val="clear" w:color="auto" w:fill="auto"/>
            <w:noWrap/>
            <w:vAlign w:val="bottom"/>
            <w:hideMark/>
          </w:tcPr>
          <w:p w:rsidR="000E2030" w:rsidRPr="00D1454C" w:rsidRDefault="000E2030" w:rsidP="000E2030">
            <w:pPr>
              <w:keepNext/>
              <w:spacing w:after="0" w:line="240" w:lineRule="auto"/>
              <w:jc w:val="center"/>
              <w:rPr>
                <w:rFonts w:ascii="Calibri" w:eastAsia="Times New Roman" w:hAnsi="Calibri" w:cs="Calibri"/>
                <w:color w:val="000000"/>
                <w:sz w:val="18"/>
                <w:szCs w:val="18"/>
                <w:lang w:eastAsia="en-AU"/>
              </w:rPr>
            </w:pPr>
            <w:r w:rsidRPr="00D1454C">
              <w:rPr>
                <w:rFonts w:ascii="Calibri" w:eastAsia="Times New Roman" w:hAnsi="Calibri" w:cs="Calibri"/>
                <w:color w:val="000000"/>
                <w:sz w:val="18"/>
                <w:szCs w:val="18"/>
                <w:lang w:eastAsia="en-AU"/>
              </w:rPr>
              <w:t>100.0</w:t>
            </w:r>
          </w:p>
        </w:tc>
      </w:tr>
      <w:tr w:rsidR="000E2030" w:rsidRPr="00D1454C" w:rsidTr="000E2030">
        <w:trPr>
          <w:gridAfter w:val="1"/>
          <w:wAfter w:w="280" w:type="dxa"/>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E2030" w:rsidRPr="00D1454C" w:rsidRDefault="000E2030" w:rsidP="000E2030">
            <w:pPr>
              <w:keepNext/>
              <w:spacing w:after="0" w:line="240" w:lineRule="auto"/>
              <w:rPr>
                <w:rFonts w:ascii="Calibri" w:eastAsia="Times New Roman" w:hAnsi="Calibri" w:cs="Calibri"/>
                <w:color w:val="000000"/>
                <w:sz w:val="18"/>
                <w:szCs w:val="18"/>
                <w:lang w:eastAsia="en-AU"/>
              </w:rPr>
            </w:pPr>
            <w:r w:rsidRPr="00D1454C">
              <w:rPr>
                <w:rFonts w:ascii="Calibri" w:eastAsia="Times New Roman" w:hAnsi="Calibri" w:cs="Calibri"/>
                <w:color w:val="000000"/>
                <w:sz w:val="18"/>
                <w:szCs w:val="18"/>
                <w:lang w:eastAsia="en-AU"/>
              </w:rPr>
              <w:t>Take up employment</w:t>
            </w:r>
          </w:p>
        </w:tc>
        <w:tc>
          <w:tcPr>
            <w:tcW w:w="1580" w:type="dxa"/>
            <w:tcBorders>
              <w:top w:val="nil"/>
              <w:left w:val="nil"/>
              <w:bottom w:val="single" w:sz="4" w:space="0" w:color="auto"/>
              <w:right w:val="single" w:sz="4" w:space="0" w:color="auto"/>
            </w:tcBorders>
            <w:shd w:val="clear" w:color="auto" w:fill="auto"/>
            <w:noWrap/>
            <w:vAlign w:val="bottom"/>
            <w:hideMark/>
          </w:tcPr>
          <w:p w:rsidR="000E2030" w:rsidRPr="00D1454C" w:rsidRDefault="000E2030" w:rsidP="000E2030">
            <w:pPr>
              <w:keepNext/>
              <w:spacing w:after="0" w:line="240" w:lineRule="auto"/>
              <w:jc w:val="center"/>
              <w:rPr>
                <w:rFonts w:ascii="Calibri" w:eastAsia="Times New Roman" w:hAnsi="Calibri" w:cs="Calibri"/>
                <w:color w:val="000000"/>
                <w:sz w:val="18"/>
                <w:szCs w:val="18"/>
                <w:lang w:eastAsia="en-AU"/>
              </w:rPr>
            </w:pPr>
            <w:r w:rsidRPr="00D1454C">
              <w:rPr>
                <w:rFonts w:ascii="Calibri" w:eastAsia="Times New Roman" w:hAnsi="Calibri" w:cs="Calibri"/>
                <w:color w:val="000000"/>
                <w:sz w:val="18"/>
                <w:szCs w:val="18"/>
                <w:lang w:eastAsia="en-AU"/>
              </w:rPr>
              <w:t>12.2</w:t>
            </w:r>
          </w:p>
        </w:tc>
        <w:tc>
          <w:tcPr>
            <w:tcW w:w="1580" w:type="dxa"/>
            <w:tcBorders>
              <w:top w:val="nil"/>
              <w:left w:val="nil"/>
              <w:bottom w:val="single" w:sz="4" w:space="0" w:color="auto"/>
              <w:right w:val="single" w:sz="4" w:space="0" w:color="auto"/>
            </w:tcBorders>
            <w:shd w:val="clear" w:color="auto" w:fill="auto"/>
            <w:noWrap/>
            <w:vAlign w:val="bottom"/>
            <w:hideMark/>
          </w:tcPr>
          <w:p w:rsidR="000E2030" w:rsidRPr="00D1454C" w:rsidRDefault="000E2030" w:rsidP="000E2030">
            <w:pPr>
              <w:keepNext/>
              <w:spacing w:after="0" w:line="240" w:lineRule="auto"/>
              <w:jc w:val="center"/>
              <w:rPr>
                <w:rFonts w:ascii="Calibri" w:eastAsia="Times New Roman" w:hAnsi="Calibri" w:cs="Calibri"/>
                <w:color w:val="000000"/>
                <w:sz w:val="18"/>
                <w:szCs w:val="18"/>
                <w:lang w:eastAsia="en-AU"/>
              </w:rPr>
            </w:pPr>
            <w:r w:rsidRPr="00D1454C">
              <w:rPr>
                <w:rFonts w:ascii="Calibri" w:eastAsia="Times New Roman" w:hAnsi="Calibri" w:cs="Calibri"/>
                <w:color w:val="000000"/>
                <w:sz w:val="18"/>
                <w:szCs w:val="18"/>
                <w:lang w:eastAsia="en-AU"/>
              </w:rPr>
              <w:t>63.1</w:t>
            </w:r>
          </w:p>
        </w:tc>
        <w:tc>
          <w:tcPr>
            <w:tcW w:w="1300" w:type="dxa"/>
            <w:tcBorders>
              <w:top w:val="nil"/>
              <w:left w:val="nil"/>
              <w:bottom w:val="single" w:sz="4" w:space="0" w:color="auto"/>
              <w:right w:val="single" w:sz="4" w:space="0" w:color="auto"/>
            </w:tcBorders>
            <w:shd w:val="clear" w:color="auto" w:fill="auto"/>
            <w:noWrap/>
            <w:vAlign w:val="bottom"/>
            <w:hideMark/>
          </w:tcPr>
          <w:p w:rsidR="000E2030" w:rsidRPr="00D1454C" w:rsidRDefault="000E2030" w:rsidP="000E2030">
            <w:pPr>
              <w:keepNext/>
              <w:spacing w:after="0" w:line="240" w:lineRule="auto"/>
              <w:jc w:val="center"/>
              <w:rPr>
                <w:rFonts w:ascii="Calibri" w:eastAsia="Times New Roman" w:hAnsi="Calibri" w:cs="Calibri"/>
                <w:color w:val="000000"/>
                <w:sz w:val="18"/>
                <w:szCs w:val="18"/>
                <w:lang w:eastAsia="en-AU"/>
              </w:rPr>
            </w:pPr>
            <w:r w:rsidRPr="00D1454C">
              <w:rPr>
                <w:rFonts w:ascii="Calibri" w:eastAsia="Times New Roman" w:hAnsi="Calibri" w:cs="Calibri"/>
                <w:color w:val="000000"/>
                <w:sz w:val="18"/>
                <w:szCs w:val="18"/>
                <w:lang w:eastAsia="en-AU"/>
              </w:rPr>
              <w:t>24.7</w:t>
            </w:r>
          </w:p>
        </w:tc>
        <w:tc>
          <w:tcPr>
            <w:tcW w:w="627" w:type="dxa"/>
            <w:gridSpan w:val="2"/>
            <w:tcBorders>
              <w:top w:val="nil"/>
              <w:left w:val="nil"/>
              <w:bottom w:val="single" w:sz="4" w:space="0" w:color="auto"/>
              <w:right w:val="single" w:sz="4" w:space="0" w:color="auto"/>
            </w:tcBorders>
            <w:shd w:val="clear" w:color="auto" w:fill="auto"/>
            <w:noWrap/>
            <w:vAlign w:val="bottom"/>
            <w:hideMark/>
          </w:tcPr>
          <w:p w:rsidR="000E2030" w:rsidRPr="00D1454C" w:rsidRDefault="000E2030" w:rsidP="000E2030">
            <w:pPr>
              <w:keepNext/>
              <w:spacing w:after="0" w:line="240" w:lineRule="auto"/>
              <w:jc w:val="center"/>
              <w:rPr>
                <w:rFonts w:ascii="Calibri" w:eastAsia="Times New Roman" w:hAnsi="Calibri" w:cs="Calibri"/>
                <w:color w:val="000000"/>
                <w:sz w:val="18"/>
                <w:szCs w:val="18"/>
                <w:lang w:eastAsia="en-AU"/>
              </w:rPr>
            </w:pPr>
            <w:r w:rsidRPr="00D1454C">
              <w:rPr>
                <w:rFonts w:ascii="Calibri" w:eastAsia="Times New Roman" w:hAnsi="Calibri" w:cs="Calibri"/>
                <w:color w:val="000000"/>
                <w:sz w:val="18"/>
                <w:szCs w:val="18"/>
                <w:lang w:eastAsia="en-AU"/>
              </w:rPr>
              <w:t>100.0</w:t>
            </w:r>
          </w:p>
        </w:tc>
      </w:tr>
      <w:tr w:rsidR="000E2030" w:rsidRPr="00D1454C" w:rsidTr="000E2030">
        <w:trPr>
          <w:gridAfter w:val="1"/>
          <w:wAfter w:w="280" w:type="dxa"/>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0E2030" w:rsidRPr="00D1454C" w:rsidRDefault="000E2030" w:rsidP="000E2030">
            <w:pPr>
              <w:keepNext/>
              <w:spacing w:after="0" w:line="240" w:lineRule="auto"/>
              <w:rPr>
                <w:rFonts w:ascii="Calibri" w:eastAsia="Times New Roman" w:hAnsi="Calibri" w:cs="Calibri"/>
                <w:color w:val="000000"/>
                <w:sz w:val="18"/>
                <w:szCs w:val="18"/>
                <w:lang w:eastAsia="en-AU"/>
              </w:rPr>
            </w:pPr>
            <w:r w:rsidRPr="00D1454C">
              <w:rPr>
                <w:rFonts w:ascii="Calibri" w:eastAsia="Times New Roman" w:hAnsi="Calibri" w:cs="Calibri"/>
                <w:color w:val="000000"/>
                <w:sz w:val="18"/>
                <w:szCs w:val="18"/>
                <w:lang w:eastAsia="en-AU"/>
              </w:rPr>
              <w:t>Stay in employment</w:t>
            </w:r>
          </w:p>
        </w:tc>
        <w:tc>
          <w:tcPr>
            <w:tcW w:w="1580" w:type="dxa"/>
            <w:tcBorders>
              <w:top w:val="nil"/>
              <w:left w:val="nil"/>
              <w:bottom w:val="single" w:sz="4" w:space="0" w:color="auto"/>
              <w:right w:val="single" w:sz="4" w:space="0" w:color="auto"/>
            </w:tcBorders>
            <w:shd w:val="clear" w:color="auto" w:fill="auto"/>
            <w:noWrap/>
            <w:vAlign w:val="bottom"/>
            <w:hideMark/>
          </w:tcPr>
          <w:p w:rsidR="000E2030" w:rsidRPr="00D1454C" w:rsidRDefault="000E2030" w:rsidP="000E2030">
            <w:pPr>
              <w:keepNext/>
              <w:spacing w:after="0" w:line="240" w:lineRule="auto"/>
              <w:jc w:val="center"/>
              <w:rPr>
                <w:rFonts w:ascii="Calibri" w:eastAsia="Times New Roman" w:hAnsi="Calibri" w:cs="Calibri"/>
                <w:color w:val="000000"/>
                <w:sz w:val="18"/>
                <w:szCs w:val="18"/>
                <w:lang w:eastAsia="en-AU"/>
              </w:rPr>
            </w:pPr>
            <w:r w:rsidRPr="00D1454C">
              <w:rPr>
                <w:rFonts w:ascii="Calibri" w:eastAsia="Times New Roman" w:hAnsi="Calibri" w:cs="Calibri"/>
                <w:color w:val="000000"/>
                <w:sz w:val="18"/>
                <w:szCs w:val="18"/>
                <w:lang w:eastAsia="en-AU"/>
              </w:rPr>
              <w:t>21.2</w:t>
            </w:r>
          </w:p>
        </w:tc>
        <w:tc>
          <w:tcPr>
            <w:tcW w:w="1580" w:type="dxa"/>
            <w:tcBorders>
              <w:top w:val="nil"/>
              <w:left w:val="nil"/>
              <w:bottom w:val="single" w:sz="4" w:space="0" w:color="auto"/>
              <w:right w:val="single" w:sz="4" w:space="0" w:color="auto"/>
            </w:tcBorders>
            <w:shd w:val="clear" w:color="auto" w:fill="auto"/>
            <w:noWrap/>
            <w:vAlign w:val="bottom"/>
            <w:hideMark/>
          </w:tcPr>
          <w:p w:rsidR="000E2030" w:rsidRPr="00D1454C" w:rsidRDefault="000E2030" w:rsidP="000E2030">
            <w:pPr>
              <w:keepNext/>
              <w:spacing w:after="0" w:line="240" w:lineRule="auto"/>
              <w:jc w:val="center"/>
              <w:rPr>
                <w:rFonts w:ascii="Calibri" w:eastAsia="Times New Roman" w:hAnsi="Calibri" w:cs="Calibri"/>
                <w:color w:val="000000"/>
                <w:sz w:val="18"/>
                <w:szCs w:val="18"/>
                <w:lang w:eastAsia="en-AU"/>
              </w:rPr>
            </w:pPr>
            <w:r w:rsidRPr="00D1454C">
              <w:rPr>
                <w:rFonts w:ascii="Calibri" w:eastAsia="Times New Roman" w:hAnsi="Calibri" w:cs="Calibri"/>
                <w:color w:val="000000"/>
                <w:sz w:val="18"/>
                <w:szCs w:val="18"/>
                <w:lang w:eastAsia="en-AU"/>
              </w:rPr>
              <w:t>60.8</w:t>
            </w:r>
          </w:p>
        </w:tc>
        <w:tc>
          <w:tcPr>
            <w:tcW w:w="1300" w:type="dxa"/>
            <w:tcBorders>
              <w:top w:val="nil"/>
              <w:left w:val="nil"/>
              <w:bottom w:val="single" w:sz="4" w:space="0" w:color="auto"/>
              <w:right w:val="single" w:sz="4" w:space="0" w:color="auto"/>
            </w:tcBorders>
            <w:shd w:val="clear" w:color="auto" w:fill="auto"/>
            <w:noWrap/>
            <w:vAlign w:val="bottom"/>
            <w:hideMark/>
          </w:tcPr>
          <w:p w:rsidR="000E2030" w:rsidRPr="00D1454C" w:rsidRDefault="000E2030" w:rsidP="000E2030">
            <w:pPr>
              <w:keepNext/>
              <w:spacing w:after="0" w:line="240" w:lineRule="auto"/>
              <w:jc w:val="center"/>
              <w:rPr>
                <w:rFonts w:ascii="Calibri" w:eastAsia="Times New Roman" w:hAnsi="Calibri" w:cs="Calibri"/>
                <w:color w:val="000000"/>
                <w:sz w:val="18"/>
                <w:szCs w:val="18"/>
                <w:lang w:eastAsia="en-AU"/>
              </w:rPr>
            </w:pPr>
            <w:r w:rsidRPr="00D1454C">
              <w:rPr>
                <w:rFonts w:ascii="Calibri" w:eastAsia="Times New Roman" w:hAnsi="Calibri" w:cs="Calibri"/>
                <w:color w:val="000000"/>
                <w:sz w:val="18"/>
                <w:szCs w:val="18"/>
                <w:lang w:eastAsia="en-AU"/>
              </w:rPr>
              <w:t>18.0</w:t>
            </w:r>
          </w:p>
        </w:tc>
        <w:tc>
          <w:tcPr>
            <w:tcW w:w="627" w:type="dxa"/>
            <w:gridSpan w:val="2"/>
            <w:tcBorders>
              <w:top w:val="nil"/>
              <w:left w:val="nil"/>
              <w:bottom w:val="single" w:sz="4" w:space="0" w:color="auto"/>
              <w:right w:val="single" w:sz="4" w:space="0" w:color="auto"/>
            </w:tcBorders>
            <w:shd w:val="clear" w:color="auto" w:fill="auto"/>
            <w:noWrap/>
            <w:vAlign w:val="bottom"/>
            <w:hideMark/>
          </w:tcPr>
          <w:p w:rsidR="000E2030" w:rsidRPr="00D1454C" w:rsidRDefault="000E2030" w:rsidP="000E2030">
            <w:pPr>
              <w:keepNext/>
              <w:spacing w:after="0" w:line="240" w:lineRule="auto"/>
              <w:jc w:val="center"/>
              <w:rPr>
                <w:rFonts w:ascii="Calibri" w:eastAsia="Times New Roman" w:hAnsi="Calibri" w:cs="Calibri"/>
                <w:color w:val="000000"/>
                <w:sz w:val="18"/>
                <w:szCs w:val="18"/>
                <w:lang w:eastAsia="en-AU"/>
              </w:rPr>
            </w:pPr>
            <w:r w:rsidRPr="00D1454C">
              <w:rPr>
                <w:rFonts w:ascii="Calibri" w:eastAsia="Times New Roman" w:hAnsi="Calibri" w:cs="Calibri"/>
                <w:color w:val="000000"/>
                <w:sz w:val="18"/>
                <w:szCs w:val="18"/>
                <w:lang w:eastAsia="en-AU"/>
              </w:rPr>
              <w:t>100.0</w:t>
            </w:r>
          </w:p>
        </w:tc>
      </w:tr>
    </w:tbl>
    <w:p w:rsidR="00C32B73" w:rsidRPr="004C5B83" w:rsidRDefault="00C32B73" w:rsidP="000E2030">
      <w:pPr>
        <w:pStyle w:val="Source"/>
        <w:spacing w:before="2400"/>
        <w:rPr>
          <w:b w:val="0"/>
        </w:rPr>
      </w:pPr>
      <w:r w:rsidRPr="004C5B83">
        <w:t>Source:</w:t>
      </w:r>
      <w:r w:rsidRPr="004C5B83">
        <w:rPr>
          <w:b w:val="0"/>
        </w:rPr>
        <w:t xml:space="preserve"> D</w:t>
      </w:r>
      <w:r w:rsidR="00C34E3F">
        <w:rPr>
          <w:b w:val="0"/>
        </w:rPr>
        <w:t xml:space="preserve">epartment </w:t>
      </w:r>
      <w:r w:rsidRPr="004C5B83">
        <w:rPr>
          <w:b w:val="0"/>
        </w:rPr>
        <w:t>o</w:t>
      </w:r>
      <w:r w:rsidR="00C34E3F">
        <w:rPr>
          <w:b w:val="0"/>
        </w:rPr>
        <w:t xml:space="preserve">f </w:t>
      </w:r>
      <w:r w:rsidRPr="004C5B83">
        <w:rPr>
          <w:b w:val="0"/>
        </w:rPr>
        <w:t>E</w:t>
      </w:r>
      <w:r w:rsidR="00C34E3F">
        <w:rPr>
          <w:b w:val="0"/>
        </w:rPr>
        <w:t>mployment</w:t>
      </w:r>
      <w:r w:rsidRPr="004C5B83">
        <w:rPr>
          <w:b w:val="0"/>
        </w:rPr>
        <w:t xml:space="preserve"> 2016 Employment Service Provider survey.</w:t>
      </w:r>
    </w:p>
    <w:p w:rsidR="00C32B73" w:rsidRDefault="00D92C4B" w:rsidP="004968D9">
      <w:pPr>
        <w:pStyle w:val="Heading3"/>
      </w:pPr>
      <w:r>
        <w:t>4.1.2</w:t>
      </w:r>
      <w:r>
        <w:tab/>
      </w:r>
      <w:r w:rsidR="00AC7EE1">
        <w:t xml:space="preserve">Job seeker </w:t>
      </w:r>
      <w:r w:rsidR="005375BB">
        <w:t xml:space="preserve">perceptions </w:t>
      </w:r>
    </w:p>
    <w:p w:rsidR="00AC7EE1" w:rsidRDefault="00336EC9" w:rsidP="00C32B73">
      <w:pPr>
        <w:spacing w:before="120"/>
        <w:rPr>
          <w:color w:val="000000" w:themeColor="text1"/>
        </w:rPr>
      </w:pPr>
      <w:r>
        <w:rPr>
          <w:color w:val="000000" w:themeColor="text1"/>
        </w:rPr>
        <w:t>The views of j</w:t>
      </w:r>
      <w:r w:rsidR="00AC7EE1">
        <w:rPr>
          <w:color w:val="000000" w:themeColor="text1"/>
        </w:rPr>
        <w:t>ob seeker</w:t>
      </w:r>
      <w:r>
        <w:rPr>
          <w:color w:val="000000" w:themeColor="text1"/>
        </w:rPr>
        <w:t>s</w:t>
      </w:r>
      <w:r w:rsidR="00BD4F18">
        <w:rPr>
          <w:color w:val="000000" w:themeColor="text1"/>
        </w:rPr>
        <w:t>,</w:t>
      </w:r>
      <w:r>
        <w:rPr>
          <w:color w:val="000000" w:themeColor="text1"/>
        </w:rPr>
        <w:t xml:space="preserve"> as to </w:t>
      </w:r>
      <w:r w:rsidR="00AC7EE1">
        <w:rPr>
          <w:color w:val="000000" w:themeColor="text1"/>
        </w:rPr>
        <w:t>how a ‘theoretical’ bonus might influence job search behaviour</w:t>
      </w:r>
      <w:r w:rsidR="00BD4F18">
        <w:rPr>
          <w:color w:val="000000" w:themeColor="text1"/>
        </w:rPr>
        <w:t>,</w:t>
      </w:r>
      <w:r w:rsidR="00AC7EE1">
        <w:rPr>
          <w:color w:val="000000" w:themeColor="text1"/>
        </w:rPr>
        <w:t xml:space="preserve"> were sought in the Job Seeker Experiences of Employment Services survey</w:t>
      </w:r>
      <w:r>
        <w:rPr>
          <w:color w:val="000000" w:themeColor="text1"/>
        </w:rPr>
        <w:t xml:space="preserve"> (</w:t>
      </w:r>
      <w:r w:rsidR="00251619">
        <w:rPr>
          <w:color w:val="000000" w:themeColor="text1"/>
        </w:rPr>
        <w:t xml:space="preserve">conducted in </w:t>
      </w:r>
      <w:r>
        <w:rPr>
          <w:color w:val="000000" w:themeColor="text1"/>
        </w:rPr>
        <w:t>2017)</w:t>
      </w:r>
      <w:r w:rsidR="00AC7EE1">
        <w:rPr>
          <w:color w:val="000000" w:themeColor="text1"/>
        </w:rPr>
        <w:t xml:space="preserve">. This survey was not restricted to the </w:t>
      </w:r>
      <w:r>
        <w:rPr>
          <w:color w:val="000000" w:themeColor="text1"/>
        </w:rPr>
        <w:t xml:space="preserve">types of job seekers for which the </w:t>
      </w:r>
      <w:r w:rsidR="00AC7EE1">
        <w:rPr>
          <w:color w:val="000000" w:themeColor="text1"/>
        </w:rPr>
        <w:t xml:space="preserve">JCB </w:t>
      </w:r>
      <w:r>
        <w:rPr>
          <w:color w:val="000000" w:themeColor="text1"/>
        </w:rPr>
        <w:t>was available</w:t>
      </w:r>
      <w:r w:rsidR="00AC7EE1">
        <w:rPr>
          <w:color w:val="000000" w:themeColor="text1"/>
        </w:rPr>
        <w:t>.</w:t>
      </w:r>
    </w:p>
    <w:p w:rsidR="0027260D" w:rsidRDefault="00E64E71" w:rsidP="00C32B73">
      <w:pPr>
        <w:spacing w:before="120"/>
        <w:rPr>
          <w:color w:val="000000" w:themeColor="text1"/>
        </w:rPr>
      </w:pPr>
      <w:r>
        <w:rPr>
          <w:color w:val="000000" w:themeColor="text1"/>
        </w:rPr>
        <w:t xml:space="preserve">Job seekers’ age and gender affect how a person </w:t>
      </w:r>
      <w:r w:rsidR="00336EC9">
        <w:rPr>
          <w:color w:val="000000" w:themeColor="text1"/>
        </w:rPr>
        <w:t>is likely to</w:t>
      </w:r>
      <w:r>
        <w:rPr>
          <w:color w:val="000000" w:themeColor="text1"/>
        </w:rPr>
        <w:t xml:space="preserve"> respond to an offer of a financial bonus. </w:t>
      </w:r>
      <w:r w:rsidR="0027260D">
        <w:rPr>
          <w:color w:val="000000" w:themeColor="text1"/>
        </w:rPr>
        <w:t>A larger proportion of females than males stated that the offer of a financial bonus would make them try a lot harder to find a job (53.8 per cent of females compared to 50.5 per cent of males)</w:t>
      </w:r>
      <w:r w:rsidRPr="00E64E71">
        <w:rPr>
          <w:rStyle w:val="FootnoteReference"/>
          <w:color w:val="000000" w:themeColor="text1"/>
        </w:rPr>
        <w:t xml:space="preserve"> </w:t>
      </w:r>
      <w:r>
        <w:rPr>
          <w:rStyle w:val="FootnoteReference"/>
          <w:color w:val="000000" w:themeColor="text1"/>
        </w:rPr>
        <w:footnoteReference w:id="56"/>
      </w:r>
      <w:r w:rsidR="0027260D">
        <w:rPr>
          <w:color w:val="000000" w:themeColor="text1"/>
        </w:rPr>
        <w:t>, a</w:t>
      </w:r>
      <w:r w:rsidR="000E2BBF">
        <w:rPr>
          <w:color w:val="000000" w:themeColor="text1"/>
        </w:rPr>
        <w:t>nd</w:t>
      </w:r>
      <w:r w:rsidR="0027260D">
        <w:rPr>
          <w:color w:val="000000" w:themeColor="text1"/>
        </w:rPr>
        <w:t xml:space="preserve"> </w:t>
      </w:r>
      <w:r w:rsidR="00336EC9">
        <w:rPr>
          <w:color w:val="000000" w:themeColor="text1"/>
        </w:rPr>
        <w:t xml:space="preserve">people </w:t>
      </w:r>
      <w:r w:rsidR="0027260D">
        <w:rPr>
          <w:color w:val="000000" w:themeColor="text1"/>
        </w:rPr>
        <w:t xml:space="preserve">in the JCB age cohort indicated that they were much more likely to be influenced </w:t>
      </w:r>
      <w:r w:rsidR="000E2BBF">
        <w:rPr>
          <w:color w:val="000000" w:themeColor="text1"/>
        </w:rPr>
        <w:t xml:space="preserve">by a bonus offer </w:t>
      </w:r>
      <w:r w:rsidR="0027260D">
        <w:rPr>
          <w:color w:val="000000" w:themeColor="text1"/>
        </w:rPr>
        <w:t>than older</w:t>
      </w:r>
      <w:r w:rsidR="00336EC9">
        <w:rPr>
          <w:color w:val="000000" w:themeColor="text1"/>
        </w:rPr>
        <w:t xml:space="preserve"> job seekers</w:t>
      </w:r>
      <w:r w:rsidR="0027260D">
        <w:rPr>
          <w:color w:val="000000" w:themeColor="text1"/>
        </w:rPr>
        <w:t xml:space="preserve"> (57.7 per cent of those aged 18 to 30 years compared with 48.6</w:t>
      </w:r>
      <w:r w:rsidR="0037196A">
        <w:rPr>
          <w:color w:val="000000" w:themeColor="text1"/>
        </w:rPr>
        <w:t> </w:t>
      </w:r>
      <w:r w:rsidR="0027260D">
        <w:rPr>
          <w:color w:val="000000" w:themeColor="text1"/>
        </w:rPr>
        <w:t>per cent of those aged 31 years or older</w:t>
      </w:r>
      <w:r w:rsidR="000E2BBF">
        <w:rPr>
          <w:color w:val="000000" w:themeColor="text1"/>
        </w:rPr>
        <w:t xml:space="preserve"> said they would try a lot harder to find a job</w:t>
      </w:r>
      <w:r w:rsidR="0027260D">
        <w:rPr>
          <w:color w:val="000000" w:themeColor="text1"/>
        </w:rPr>
        <w:t>)</w:t>
      </w:r>
      <w:r w:rsidR="00A451F1">
        <w:rPr>
          <w:color w:val="000000" w:themeColor="text1"/>
        </w:rPr>
        <w:t>.</w:t>
      </w:r>
      <w:r w:rsidRPr="00E64E71">
        <w:rPr>
          <w:rStyle w:val="FootnoteReference"/>
          <w:color w:val="000000" w:themeColor="text1"/>
        </w:rPr>
        <w:t xml:space="preserve"> </w:t>
      </w:r>
      <w:r w:rsidR="0037196A">
        <w:rPr>
          <w:color w:val="000000" w:themeColor="text1"/>
        </w:rPr>
        <w:t xml:space="preserve">(Figure 4.2). </w:t>
      </w:r>
      <w:r>
        <w:rPr>
          <w:rStyle w:val="FootnoteReference"/>
          <w:color w:val="000000" w:themeColor="text1"/>
        </w:rPr>
        <w:footnoteReference w:id="57"/>
      </w:r>
      <w:r w:rsidR="00A451F1">
        <w:rPr>
          <w:color w:val="000000" w:themeColor="text1"/>
        </w:rPr>
        <w:t xml:space="preserve"> </w:t>
      </w:r>
    </w:p>
    <w:p w:rsidR="00855D80" w:rsidRDefault="000E2BBF" w:rsidP="00586DB2">
      <w:pPr>
        <w:pStyle w:val="FigureCaption"/>
      </w:pPr>
      <w:bookmarkStart w:id="178" w:name="_Toc507600283"/>
      <w:r>
        <w:lastRenderedPageBreak/>
        <w:t>Figure</w:t>
      </w:r>
      <w:r w:rsidR="00855D80" w:rsidRPr="00D83A7E">
        <w:t xml:space="preserve"> </w:t>
      </w:r>
      <w:r w:rsidR="00855D80">
        <w:t>4.</w:t>
      </w:r>
      <w:r>
        <w:t>2</w:t>
      </w:r>
      <w:r w:rsidR="00855D80" w:rsidRPr="00D83A7E">
        <w:t xml:space="preserve">: </w:t>
      </w:r>
      <w:r w:rsidR="0027260D">
        <w:t>Job seeker views of the potential effect of a bonus on job search behaviour</w:t>
      </w:r>
      <w:r w:rsidR="00D91D5C">
        <w:t xml:space="preserve"> (per cent)</w:t>
      </w:r>
      <w:bookmarkEnd w:id="178"/>
    </w:p>
    <w:tbl>
      <w:tblPr>
        <w:tblW w:w="7960" w:type="dxa"/>
        <w:tblInd w:w="113" w:type="dxa"/>
        <w:tblLook w:val="04A0" w:firstRow="1" w:lastRow="0" w:firstColumn="1" w:lastColumn="0" w:noHBand="0" w:noVBand="1"/>
      </w:tblPr>
      <w:tblGrid>
        <w:gridCol w:w="2340"/>
        <w:gridCol w:w="1420"/>
        <w:gridCol w:w="1600"/>
        <w:gridCol w:w="1640"/>
        <w:gridCol w:w="960"/>
      </w:tblGrid>
      <w:tr w:rsidR="001066E6" w:rsidRPr="001066E6" w:rsidTr="001066E6">
        <w:trPr>
          <w:trHeight w:val="300"/>
          <w:tblHeader/>
        </w:trPr>
        <w:tc>
          <w:tcPr>
            <w:tcW w:w="2340" w:type="dxa"/>
            <w:shd w:val="clear" w:color="auto" w:fill="FFFFFF" w:themeFill="background2"/>
            <w:noWrap/>
            <w:vAlign w:val="bottom"/>
            <w:hideMark/>
          </w:tcPr>
          <w:p w:rsidR="001066E6" w:rsidRPr="00586DB2" w:rsidRDefault="00864E02" w:rsidP="00586DB2">
            <w:pPr>
              <w:keepNext/>
              <w:spacing w:before="360" w:after="0" w:line="240" w:lineRule="auto"/>
              <w:rPr>
                <w:rFonts w:ascii="Calibri" w:eastAsia="Times New Roman" w:hAnsi="Calibri" w:cs="Calibri"/>
                <w:b/>
                <w:bCs/>
                <w:color w:val="FFFFFF" w:themeColor="background2"/>
                <w:lang w:eastAsia="en-AU"/>
              </w:rPr>
            </w:pPr>
            <w:r w:rsidRPr="003A29E8">
              <w:rPr>
                <w:rFonts w:ascii="Calibri" w:eastAsia="Times New Roman" w:hAnsi="Calibri" w:cs="Calibri"/>
                <w:b/>
                <w:bCs/>
                <w:noProof/>
                <w:color w:val="FFFFFF" w:themeColor="background2"/>
                <w:lang w:eastAsia="en-AU"/>
              </w:rPr>
              <w:drawing>
                <wp:anchor distT="0" distB="0" distL="114300" distR="114300" simplePos="0" relativeHeight="251658251" behindDoc="0" locked="0" layoutInCell="1" allowOverlap="1" wp14:anchorId="297BFBE2" wp14:editId="147AD9C2">
                  <wp:simplePos x="0" y="0"/>
                  <wp:positionH relativeFrom="column">
                    <wp:posOffset>-69850</wp:posOffset>
                  </wp:positionH>
                  <wp:positionV relativeFrom="paragraph">
                    <wp:posOffset>61595</wp:posOffset>
                  </wp:positionV>
                  <wp:extent cx="5486400" cy="3752850"/>
                  <wp:effectExtent l="0" t="0" r="0" b="0"/>
                  <wp:wrapNone/>
                  <wp:docPr id="50" name="Picture 50" descr="Data in graph as described in the following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3752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66E6" w:rsidRPr="00586DB2">
              <w:rPr>
                <w:rFonts w:ascii="Calibri" w:eastAsia="Times New Roman" w:hAnsi="Calibri" w:cs="Calibri"/>
                <w:b/>
                <w:bCs/>
                <w:color w:val="FFFFFF" w:themeColor="background2"/>
                <w:lang w:eastAsia="en-AU"/>
              </w:rPr>
              <w:t> </w:t>
            </w:r>
            <w:bookmarkStart w:id="179" w:name="Title_f42"/>
            <w:bookmarkEnd w:id="179"/>
          </w:p>
        </w:tc>
        <w:tc>
          <w:tcPr>
            <w:tcW w:w="1420" w:type="dxa"/>
            <w:shd w:val="clear" w:color="auto" w:fill="FFFFFF" w:themeFill="background2"/>
            <w:noWrap/>
            <w:vAlign w:val="center"/>
            <w:hideMark/>
          </w:tcPr>
          <w:p w:rsidR="001066E6" w:rsidRPr="00586DB2" w:rsidRDefault="001066E6" w:rsidP="00586DB2">
            <w:pPr>
              <w:keepNext/>
              <w:spacing w:after="0" w:line="240" w:lineRule="auto"/>
              <w:jc w:val="center"/>
              <w:rPr>
                <w:rFonts w:ascii="Calibri" w:eastAsia="Times New Roman" w:hAnsi="Calibri" w:cs="Calibri"/>
                <w:b/>
                <w:bCs/>
                <w:color w:val="000000" w:themeColor="text1"/>
                <w:lang w:eastAsia="en-AU"/>
              </w:rPr>
            </w:pPr>
            <w:r w:rsidRPr="00586DB2">
              <w:rPr>
                <w:rFonts w:ascii="Calibri" w:eastAsia="Times New Roman" w:hAnsi="Calibri" w:cs="Calibri"/>
                <w:b/>
                <w:bCs/>
                <w:color w:val="000000" w:themeColor="text1"/>
                <w:lang w:eastAsia="en-AU"/>
              </w:rPr>
              <w:t>A lot</w:t>
            </w:r>
          </w:p>
        </w:tc>
        <w:tc>
          <w:tcPr>
            <w:tcW w:w="1600" w:type="dxa"/>
            <w:shd w:val="clear" w:color="auto" w:fill="FFFFFF" w:themeFill="background2"/>
            <w:noWrap/>
            <w:vAlign w:val="center"/>
            <w:hideMark/>
          </w:tcPr>
          <w:p w:rsidR="001066E6" w:rsidRPr="00586DB2" w:rsidRDefault="001066E6" w:rsidP="00586DB2">
            <w:pPr>
              <w:keepNext/>
              <w:spacing w:after="0" w:line="240" w:lineRule="auto"/>
              <w:jc w:val="center"/>
              <w:rPr>
                <w:rFonts w:ascii="Calibri" w:eastAsia="Times New Roman" w:hAnsi="Calibri" w:cs="Calibri"/>
                <w:b/>
                <w:bCs/>
                <w:color w:val="000000" w:themeColor="text1"/>
                <w:lang w:eastAsia="en-AU"/>
              </w:rPr>
            </w:pPr>
            <w:r w:rsidRPr="00586DB2">
              <w:rPr>
                <w:rFonts w:ascii="Calibri" w:eastAsia="Times New Roman" w:hAnsi="Calibri" w:cs="Calibri"/>
                <w:b/>
                <w:bCs/>
                <w:color w:val="000000" w:themeColor="text1"/>
                <w:lang w:eastAsia="en-AU"/>
              </w:rPr>
              <w:t>A little</w:t>
            </w:r>
          </w:p>
        </w:tc>
        <w:tc>
          <w:tcPr>
            <w:tcW w:w="1640" w:type="dxa"/>
            <w:shd w:val="clear" w:color="auto" w:fill="FFFFFF" w:themeFill="background2"/>
            <w:noWrap/>
            <w:vAlign w:val="center"/>
            <w:hideMark/>
          </w:tcPr>
          <w:p w:rsidR="001066E6" w:rsidRPr="00586DB2" w:rsidRDefault="001066E6" w:rsidP="00586DB2">
            <w:pPr>
              <w:keepNext/>
              <w:spacing w:after="0" w:line="240" w:lineRule="auto"/>
              <w:jc w:val="center"/>
              <w:rPr>
                <w:rFonts w:ascii="Calibri" w:eastAsia="Times New Roman" w:hAnsi="Calibri" w:cs="Calibri"/>
                <w:b/>
                <w:bCs/>
                <w:color w:val="000000" w:themeColor="text1"/>
                <w:lang w:eastAsia="en-AU"/>
              </w:rPr>
            </w:pPr>
            <w:r w:rsidRPr="00586DB2">
              <w:rPr>
                <w:rFonts w:ascii="Calibri" w:eastAsia="Times New Roman" w:hAnsi="Calibri" w:cs="Calibri"/>
                <w:b/>
                <w:bCs/>
                <w:color w:val="000000" w:themeColor="text1"/>
                <w:lang w:eastAsia="en-AU"/>
              </w:rPr>
              <w:t>Not at all</w:t>
            </w:r>
          </w:p>
        </w:tc>
        <w:tc>
          <w:tcPr>
            <w:tcW w:w="960" w:type="dxa"/>
            <w:shd w:val="clear" w:color="auto" w:fill="FFFFFF" w:themeFill="background2"/>
            <w:noWrap/>
            <w:vAlign w:val="center"/>
            <w:hideMark/>
          </w:tcPr>
          <w:p w:rsidR="001066E6" w:rsidRPr="00586DB2" w:rsidRDefault="001066E6" w:rsidP="00586DB2">
            <w:pPr>
              <w:keepNext/>
              <w:spacing w:after="0" w:line="240" w:lineRule="auto"/>
              <w:rPr>
                <w:rFonts w:ascii="Calibri" w:eastAsia="Times New Roman" w:hAnsi="Calibri" w:cs="Calibri"/>
                <w:b/>
                <w:bCs/>
                <w:color w:val="000000" w:themeColor="text1"/>
                <w:lang w:eastAsia="en-AU"/>
              </w:rPr>
            </w:pPr>
            <w:r w:rsidRPr="00586DB2">
              <w:rPr>
                <w:rFonts w:ascii="Calibri" w:eastAsia="Times New Roman" w:hAnsi="Calibri" w:cs="Calibri"/>
                <w:b/>
                <w:bCs/>
                <w:color w:val="000000" w:themeColor="text1"/>
                <w:lang w:eastAsia="en-AU"/>
              </w:rPr>
              <w:t>Total</w:t>
            </w:r>
          </w:p>
        </w:tc>
      </w:tr>
      <w:tr w:rsidR="001066E6" w:rsidRPr="001066E6" w:rsidTr="00586DB2">
        <w:trPr>
          <w:trHeight w:val="300"/>
        </w:trPr>
        <w:tc>
          <w:tcPr>
            <w:tcW w:w="2340" w:type="dxa"/>
            <w:shd w:val="clear" w:color="auto" w:fill="auto"/>
            <w:noWrap/>
            <w:hideMark/>
          </w:tcPr>
          <w:p w:rsidR="001066E6" w:rsidRPr="001066E6" w:rsidRDefault="001066E6" w:rsidP="00586DB2">
            <w:pPr>
              <w:keepNext/>
              <w:spacing w:after="0" w:line="240" w:lineRule="auto"/>
              <w:rPr>
                <w:rFonts w:ascii="Calibri" w:eastAsia="Times New Roman" w:hAnsi="Calibri" w:cs="Calibri"/>
                <w:color w:val="000000"/>
                <w:lang w:eastAsia="en-AU"/>
              </w:rPr>
            </w:pPr>
            <w:r w:rsidRPr="001066E6">
              <w:rPr>
                <w:rFonts w:ascii="Calibri" w:eastAsia="Times New Roman" w:hAnsi="Calibri" w:cs="Calibri"/>
                <w:color w:val="000000"/>
                <w:lang w:eastAsia="en-AU"/>
              </w:rPr>
              <w:t>Female</w:t>
            </w:r>
          </w:p>
        </w:tc>
        <w:tc>
          <w:tcPr>
            <w:tcW w:w="1420" w:type="dxa"/>
            <w:shd w:val="clear" w:color="auto" w:fill="auto"/>
            <w:noWrap/>
            <w:vAlign w:val="bottom"/>
            <w:hideMark/>
          </w:tcPr>
          <w:p w:rsidR="001066E6" w:rsidRPr="001066E6" w:rsidRDefault="001066E6" w:rsidP="00586DB2">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53.8</w:t>
            </w:r>
          </w:p>
        </w:tc>
        <w:tc>
          <w:tcPr>
            <w:tcW w:w="1600" w:type="dxa"/>
            <w:shd w:val="clear" w:color="auto" w:fill="auto"/>
            <w:noWrap/>
            <w:vAlign w:val="bottom"/>
            <w:hideMark/>
          </w:tcPr>
          <w:p w:rsidR="001066E6" w:rsidRPr="001066E6" w:rsidRDefault="001066E6" w:rsidP="00586DB2">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15.1</w:t>
            </w:r>
          </w:p>
        </w:tc>
        <w:tc>
          <w:tcPr>
            <w:tcW w:w="1640" w:type="dxa"/>
            <w:shd w:val="clear" w:color="auto" w:fill="auto"/>
            <w:noWrap/>
            <w:vAlign w:val="bottom"/>
            <w:hideMark/>
          </w:tcPr>
          <w:p w:rsidR="001066E6" w:rsidRPr="001066E6" w:rsidRDefault="001066E6" w:rsidP="00586DB2">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31.1</w:t>
            </w:r>
          </w:p>
        </w:tc>
        <w:tc>
          <w:tcPr>
            <w:tcW w:w="960" w:type="dxa"/>
            <w:shd w:val="clear" w:color="auto" w:fill="auto"/>
            <w:noWrap/>
            <w:vAlign w:val="bottom"/>
            <w:hideMark/>
          </w:tcPr>
          <w:p w:rsidR="001066E6" w:rsidRPr="001066E6" w:rsidRDefault="001066E6" w:rsidP="00586DB2">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100.0</w:t>
            </w:r>
          </w:p>
        </w:tc>
      </w:tr>
      <w:tr w:rsidR="001066E6" w:rsidRPr="001066E6" w:rsidTr="00586DB2">
        <w:trPr>
          <w:trHeight w:val="300"/>
        </w:trPr>
        <w:tc>
          <w:tcPr>
            <w:tcW w:w="2340" w:type="dxa"/>
            <w:shd w:val="clear" w:color="auto" w:fill="auto"/>
            <w:noWrap/>
            <w:hideMark/>
          </w:tcPr>
          <w:p w:rsidR="001066E6" w:rsidRPr="001066E6" w:rsidRDefault="001066E6" w:rsidP="00586DB2">
            <w:pPr>
              <w:keepNext/>
              <w:spacing w:after="0" w:line="240" w:lineRule="auto"/>
              <w:rPr>
                <w:rFonts w:ascii="Calibri" w:eastAsia="Times New Roman" w:hAnsi="Calibri" w:cs="Calibri"/>
                <w:color w:val="000000"/>
                <w:lang w:eastAsia="en-AU"/>
              </w:rPr>
            </w:pPr>
            <w:r w:rsidRPr="001066E6">
              <w:rPr>
                <w:rFonts w:ascii="Calibri" w:eastAsia="Times New Roman" w:hAnsi="Calibri" w:cs="Calibri"/>
                <w:color w:val="000000"/>
                <w:lang w:eastAsia="en-AU"/>
              </w:rPr>
              <w:t>Male</w:t>
            </w:r>
          </w:p>
        </w:tc>
        <w:tc>
          <w:tcPr>
            <w:tcW w:w="1420" w:type="dxa"/>
            <w:shd w:val="clear" w:color="auto" w:fill="auto"/>
            <w:noWrap/>
            <w:vAlign w:val="bottom"/>
            <w:hideMark/>
          </w:tcPr>
          <w:p w:rsidR="001066E6" w:rsidRPr="001066E6" w:rsidRDefault="001066E6" w:rsidP="00586DB2">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50.5</w:t>
            </w:r>
          </w:p>
        </w:tc>
        <w:tc>
          <w:tcPr>
            <w:tcW w:w="1600" w:type="dxa"/>
            <w:shd w:val="clear" w:color="auto" w:fill="auto"/>
            <w:noWrap/>
            <w:vAlign w:val="bottom"/>
            <w:hideMark/>
          </w:tcPr>
          <w:p w:rsidR="001066E6" w:rsidRPr="001066E6" w:rsidRDefault="001066E6" w:rsidP="00586DB2">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19.0</w:t>
            </w:r>
          </w:p>
        </w:tc>
        <w:tc>
          <w:tcPr>
            <w:tcW w:w="1640" w:type="dxa"/>
            <w:shd w:val="clear" w:color="auto" w:fill="auto"/>
            <w:noWrap/>
            <w:vAlign w:val="bottom"/>
            <w:hideMark/>
          </w:tcPr>
          <w:p w:rsidR="001066E6" w:rsidRPr="001066E6" w:rsidRDefault="001066E6" w:rsidP="00586DB2">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30.5</w:t>
            </w:r>
          </w:p>
        </w:tc>
        <w:tc>
          <w:tcPr>
            <w:tcW w:w="960" w:type="dxa"/>
            <w:shd w:val="clear" w:color="auto" w:fill="auto"/>
            <w:noWrap/>
            <w:vAlign w:val="bottom"/>
            <w:hideMark/>
          </w:tcPr>
          <w:p w:rsidR="001066E6" w:rsidRPr="001066E6" w:rsidRDefault="001066E6" w:rsidP="00586DB2">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100.0</w:t>
            </w:r>
          </w:p>
        </w:tc>
      </w:tr>
      <w:tr w:rsidR="001066E6" w:rsidRPr="001066E6" w:rsidTr="00586DB2">
        <w:trPr>
          <w:trHeight w:val="300"/>
        </w:trPr>
        <w:tc>
          <w:tcPr>
            <w:tcW w:w="2340" w:type="dxa"/>
            <w:shd w:val="clear" w:color="auto" w:fill="auto"/>
            <w:hideMark/>
          </w:tcPr>
          <w:p w:rsidR="001066E6" w:rsidRPr="001066E6" w:rsidRDefault="001066E6" w:rsidP="00586DB2">
            <w:pPr>
              <w:keepNext/>
              <w:spacing w:after="0" w:line="240" w:lineRule="auto"/>
              <w:rPr>
                <w:rFonts w:ascii="Calibri" w:eastAsia="Times New Roman" w:hAnsi="Calibri" w:cs="Calibri"/>
                <w:color w:val="000000"/>
                <w:lang w:eastAsia="en-AU"/>
              </w:rPr>
            </w:pPr>
            <w:r w:rsidRPr="001066E6">
              <w:rPr>
                <w:rFonts w:ascii="Calibri" w:eastAsia="Times New Roman" w:hAnsi="Calibri" w:cs="Calibri"/>
                <w:color w:val="000000"/>
                <w:lang w:eastAsia="en-AU"/>
              </w:rPr>
              <w:t>JCB age cohort</w:t>
            </w:r>
          </w:p>
        </w:tc>
        <w:tc>
          <w:tcPr>
            <w:tcW w:w="1420" w:type="dxa"/>
            <w:shd w:val="clear" w:color="auto" w:fill="auto"/>
            <w:noWrap/>
            <w:vAlign w:val="bottom"/>
            <w:hideMark/>
          </w:tcPr>
          <w:p w:rsidR="001066E6" w:rsidRPr="001066E6" w:rsidRDefault="001066E6" w:rsidP="00586DB2">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57.7</w:t>
            </w:r>
          </w:p>
        </w:tc>
        <w:tc>
          <w:tcPr>
            <w:tcW w:w="1600" w:type="dxa"/>
            <w:shd w:val="clear" w:color="auto" w:fill="auto"/>
            <w:noWrap/>
            <w:vAlign w:val="bottom"/>
            <w:hideMark/>
          </w:tcPr>
          <w:p w:rsidR="001066E6" w:rsidRPr="001066E6" w:rsidRDefault="001066E6" w:rsidP="00586DB2">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23.9</w:t>
            </w:r>
          </w:p>
        </w:tc>
        <w:tc>
          <w:tcPr>
            <w:tcW w:w="1640" w:type="dxa"/>
            <w:shd w:val="clear" w:color="auto" w:fill="auto"/>
            <w:noWrap/>
            <w:vAlign w:val="bottom"/>
            <w:hideMark/>
          </w:tcPr>
          <w:p w:rsidR="001066E6" w:rsidRPr="001066E6" w:rsidRDefault="001066E6" w:rsidP="00586DB2">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18.4</w:t>
            </w:r>
          </w:p>
        </w:tc>
        <w:tc>
          <w:tcPr>
            <w:tcW w:w="960" w:type="dxa"/>
            <w:shd w:val="clear" w:color="auto" w:fill="auto"/>
            <w:noWrap/>
            <w:vAlign w:val="bottom"/>
            <w:hideMark/>
          </w:tcPr>
          <w:p w:rsidR="001066E6" w:rsidRPr="001066E6" w:rsidRDefault="001066E6" w:rsidP="00586DB2">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100.0</w:t>
            </w:r>
          </w:p>
        </w:tc>
      </w:tr>
      <w:tr w:rsidR="001066E6" w:rsidRPr="001066E6" w:rsidTr="00586DB2">
        <w:trPr>
          <w:trHeight w:val="300"/>
        </w:trPr>
        <w:tc>
          <w:tcPr>
            <w:tcW w:w="2340" w:type="dxa"/>
            <w:shd w:val="clear" w:color="auto" w:fill="auto"/>
            <w:hideMark/>
          </w:tcPr>
          <w:p w:rsidR="001066E6" w:rsidRPr="001066E6" w:rsidRDefault="001066E6" w:rsidP="00586DB2">
            <w:pPr>
              <w:keepNext/>
              <w:spacing w:after="0" w:line="240" w:lineRule="auto"/>
              <w:rPr>
                <w:rFonts w:ascii="Calibri" w:eastAsia="Times New Roman" w:hAnsi="Calibri" w:cs="Calibri"/>
                <w:color w:val="000000"/>
                <w:lang w:eastAsia="en-AU"/>
              </w:rPr>
            </w:pPr>
            <w:r w:rsidRPr="001066E6">
              <w:rPr>
                <w:rFonts w:ascii="Calibri" w:eastAsia="Times New Roman" w:hAnsi="Calibri" w:cs="Calibri"/>
                <w:color w:val="000000"/>
                <w:lang w:eastAsia="en-AU"/>
              </w:rPr>
              <w:t>Older than JCB cohort</w:t>
            </w:r>
          </w:p>
        </w:tc>
        <w:tc>
          <w:tcPr>
            <w:tcW w:w="1420" w:type="dxa"/>
            <w:shd w:val="clear" w:color="auto" w:fill="auto"/>
            <w:noWrap/>
            <w:vAlign w:val="bottom"/>
            <w:hideMark/>
          </w:tcPr>
          <w:p w:rsidR="001066E6" w:rsidRPr="001066E6" w:rsidRDefault="001066E6" w:rsidP="00586DB2">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48.6</w:t>
            </w:r>
          </w:p>
        </w:tc>
        <w:tc>
          <w:tcPr>
            <w:tcW w:w="1600" w:type="dxa"/>
            <w:shd w:val="clear" w:color="auto" w:fill="auto"/>
            <w:noWrap/>
            <w:vAlign w:val="bottom"/>
            <w:hideMark/>
          </w:tcPr>
          <w:p w:rsidR="001066E6" w:rsidRPr="001066E6" w:rsidRDefault="001066E6" w:rsidP="00586DB2">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13.5</w:t>
            </w:r>
          </w:p>
        </w:tc>
        <w:tc>
          <w:tcPr>
            <w:tcW w:w="1640" w:type="dxa"/>
            <w:shd w:val="clear" w:color="auto" w:fill="auto"/>
            <w:noWrap/>
            <w:vAlign w:val="bottom"/>
            <w:hideMark/>
          </w:tcPr>
          <w:p w:rsidR="001066E6" w:rsidRPr="001066E6" w:rsidRDefault="001066E6" w:rsidP="00586DB2">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38.0</w:t>
            </w:r>
          </w:p>
        </w:tc>
        <w:tc>
          <w:tcPr>
            <w:tcW w:w="960" w:type="dxa"/>
            <w:shd w:val="clear" w:color="auto" w:fill="auto"/>
            <w:noWrap/>
            <w:vAlign w:val="bottom"/>
            <w:hideMark/>
          </w:tcPr>
          <w:p w:rsidR="001066E6" w:rsidRPr="001066E6" w:rsidRDefault="001066E6" w:rsidP="00586DB2">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100.0</w:t>
            </w:r>
          </w:p>
        </w:tc>
      </w:tr>
    </w:tbl>
    <w:p w:rsidR="00855D80" w:rsidRDefault="00855D80" w:rsidP="00586DB2">
      <w:pPr>
        <w:spacing w:before="4200"/>
        <w:rPr>
          <w:rFonts w:cstheme="minorHAnsi"/>
          <w:sz w:val="20"/>
          <w:szCs w:val="20"/>
        </w:rPr>
      </w:pPr>
      <w:r w:rsidRPr="00586DB2">
        <w:rPr>
          <w:rFonts w:cstheme="minorHAnsi"/>
          <w:b/>
          <w:sz w:val="20"/>
          <w:szCs w:val="20"/>
        </w:rPr>
        <w:t>Source:</w:t>
      </w:r>
      <w:r w:rsidRPr="004C5B83">
        <w:rPr>
          <w:b/>
        </w:rPr>
        <w:t xml:space="preserve"> </w:t>
      </w:r>
      <w:r w:rsidRPr="00586DB2">
        <w:rPr>
          <w:rFonts w:cstheme="minorHAnsi"/>
          <w:sz w:val="20"/>
          <w:szCs w:val="20"/>
        </w:rPr>
        <w:t xml:space="preserve">Department of Employment </w:t>
      </w:r>
      <w:r>
        <w:rPr>
          <w:rFonts w:cstheme="minorHAnsi"/>
          <w:sz w:val="20"/>
          <w:szCs w:val="20"/>
        </w:rPr>
        <w:t>2017 Job Seeker Experiences of Employment Services</w:t>
      </w:r>
      <w:r w:rsidRPr="00586DB2">
        <w:rPr>
          <w:rFonts w:cstheme="minorHAnsi"/>
          <w:sz w:val="20"/>
          <w:szCs w:val="20"/>
        </w:rPr>
        <w:t xml:space="preserve"> survey</w:t>
      </w:r>
      <w:r>
        <w:rPr>
          <w:rFonts w:cstheme="minorHAnsi"/>
          <w:sz w:val="20"/>
          <w:szCs w:val="20"/>
        </w:rPr>
        <w:t>.</w:t>
      </w:r>
    </w:p>
    <w:p w:rsidR="001E7B45" w:rsidRDefault="000E35B6" w:rsidP="001E7B45">
      <w:pPr>
        <w:spacing w:before="120"/>
        <w:rPr>
          <w:color w:val="000000" w:themeColor="text1"/>
        </w:rPr>
      </w:pPr>
      <w:r w:rsidRPr="00586DB2">
        <w:rPr>
          <w:color w:val="000000" w:themeColor="text1"/>
        </w:rPr>
        <w:t>Job seekers’ attitude</w:t>
      </w:r>
      <w:r w:rsidR="00851DCE">
        <w:rPr>
          <w:color w:val="000000" w:themeColor="text1"/>
        </w:rPr>
        <w:t>s</w:t>
      </w:r>
      <w:r w:rsidRPr="00586DB2">
        <w:rPr>
          <w:color w:val="000000" w:themeColor="text1"/>
        </w:rPr>
        <w:t xml:space="preserve"> to work </w:t>
      </w:r>
      <w:r w:rsidR="00A451F1">
        <w:rPr>
          <w:color w:val="000000" w:themeColor="text1"/>
        </w:rPr>
        <w:t>also significantly affect</w:t>
      </w:r>
      <w:r w:rsidRPr="00586DB2">
        <w:rPr>
          <w:color w:val="000000" w:themeColor="text1"/>
        </w:rPr>
        <w:t xml:space="preserve"> their </w:t>
      </w:r>
      <w:r w:rsidR="00851DCE" w:rsidRPr="00586DB2">
        <w:rPr>
          <w:color w:val="000000" w:themeColor="text1"/>
        </w:rPr>
        <w:t>likely response to a bonus</w:t>
      </w:r>
      <w:r w:rsidR="00851DCE">
        <w:rPr>
          <w:color w:val="000000" w:themeColor="text1"/>
        </w:rPr>
        <w:t>. (Figure 4.3)</w:t>
      </w:r>
      <w:r w:rsidR="001E7B45" w:rsidRPr="001E7B45">
        <w:rPr>
          <w:color w:val="000000" w:themeColor="text1"/>
        </w:rPr>
        <w:t xml:space="preserve"> </w:t>
      </w:r>
      <w:r w:rsidR="001E7B45">
        <w:rPr>
          <w:color w:val="000000" w:themeColor="text1"/>
        </w:rPr>
        <w:t xml:space="preserve">Generally, those who demonstrated a more optimistic outlook about the labour market and a desire to be employed were more likely to agree that a financial bonus would impact their job search behaviour. </w:t>
      </w:r>
    </w:p>
    <w:p w:rsidR="00851DCE" w:rsidRDefault="00851DCE" w:rsidP="00C32B73">
      <w:pPr>
        <w:spacing w:before="120"/>
        <w:rPr>
          <w:color w:val="000000" w:themeColor="text1"/>
        </w:rPr>
      </w:pPr>
      <w:r>
        <w:rPr>
          <w:color w:val="000000" w:themeColor="text1"/>
        </w:rPr>
        <w:t xml:space="preserve">In addition to their attitude, </w:t>
      </w:r>
      <w:r w:rsidR="001E7B45">
        <w:rPr>
          <w:color w:val="000000" w:themeColor="text1"/>
        </w:rPr>
        <w:t>a</w:t>
      </w:r>
      <w:r>
        <w:rPr>
          <w:color w:val="000000" w:themeColor="text1"/>
        </w:rPr>
        <w:t xml:space="preserve"> job seeker’s perceived likelihood that they would gain employment in the next 12 months </w:t>
      </w:r>
      <w:r w:rsidR="00A451F1">
        <w:rPr>
          <w:color w:val="000000" w:themeColor="text1"/>
        </w:rPr>
        <w:t>i</w:t>
      </w:r>
      <w:r>
        <w:rPr>
          <w:color w:val="000000" w:themeColor="text1"/>
        </w:rPr>
        <w:t xml:space="preserve">s also </w:t>
      </w:r>
      <w:r w:rsidR="00A451F1">
        <w:rPr>
          <w:color w:val="000000" w:themeColor="text1"/>
        </w:rPr>
        <w:t xml:space="preserve">found to be </w:t>
      </w:r>
      <w:r>
        <w:rPr>
          <w:color w:val="000000" w:themeColor="text1"/>
        </w:rPr>
        <w:t>important</w:t>
      </w:r>
      <w:r w:rsidRPr="00586DB2">
        <w:rPr>
          <w:color w:val="000000" w:themeColor="text1"/>
        </w:rPr>
        <w:t>.</w:t>
      </w:r>
      <w:r>
        <w:rPr>
          <w:color w:val="000000" w:themeColor="text1"/>
        </w:rPr>
        <w:t xml:space="preserve"> Those who thought they were likely or very likely to find a job in the next 12 months were more likely to state that a bonus would make them try harder to find work (59.2 per cent said it would make them look a lot harder compared with 46.2 per cent who thought it unlikely/very unlikely they would find work)</w:t>
      </w:r>
      <w:r w:rsidR="00A451F1">
        <w:rPr>
          <w:color w:val="000000" w:themeColor="text1"/>
        </w:rPr>
        <w:t>.</w:t>
      </w:r>
      <w:r w:rsidR="00A451F1" w:rsidRPr="00A451F1">
        <w:rPr>
          <w:rStyle w:val="FootnoteReference"/>
          <w:color w:val="000000" w:themeColor="text1"/>
        </w:rPr>
        <w:t xml:space="preserve"> </w:t>
      </w:r>
      <w:r w:rsidR="00A451F1">
        <w:rPr>
          <w:rStyle w:val="FootnoteReference"/>
          <w:color w:val="000000" w:themeColor="text1"/>
        </w:rPr>
        <w:footnoteReference w:id="58"/>
      </w:r>
    </w:p>
    <w:p w:rsidR="0091254C" w:rsidRPr="00851DCE" w:rsidRDefault="0091254C" w:rsidP="00C32B73">
      <w:pPr>
        <w:spacing w:before="120"/>
        <w:rPr>
          <w:color w:val="000000" w:themeColor="text1"/>
        </w:rPr>
      </w:pPr>
      <w:r>
        <w:rPr>
          <w:color w:val="000000" w:themeColor="text1"/>
        </w:rPr>
        <w:t>These findings suggest that while a well promoted program has the potential to influence job seeker job search behaviour, people’s likely response to a bonus is complex with many factors influencing behaviour.</w:t>
      </w:r>
    </w:p>
    <w:p w:rsidR="000E2BBF" w:rsidRDefault="000E2BBF" w:rsidP="000E2BBF">
      <w:pPr>
        <w:pStyle w:val="FigureCaption"/>
      </w:pPr>
      <w:bookmarkStart w:id="180" w:name="_Toc507600284"/>
      <w:r>
        <w:lastRenderedPageBreak/>
        <w:t>Figure</w:t>
      </w:r>
      <w:r w:rsidRPr="00D83A7E">
        <w:t xml:space="preserve"> </w:t>
      </w:r>
      <w:r>
        <w:t>4.3</w:t>
      </w:r>
      <w:r w:rsidR="006D1C88">
        <w:t>: Attitudes to work of those who state</w:t>
      </w:r>
      <w:r w:rsidR="00796C00">
        <w:t>d</w:t>
      </w:r>
      <w:r w:rsidR="006D1C88">
        <w:t xml:space="preserve"> a</w:t>
      </w:r>
      <w:r w:rsidR="000E35B6">
        <w:t xml:space="preserve"> bonus would affect their</w:t>
      </w:r>
      <w:r>
        <w:t xml:space="preserve"> job search behaviour </w:t>
      </w:r>
      <w:r w:rsidR="00D91D5C">
        <w:t>(per cent)</w:t>
      </w:r>
      <w:bookmarkEnd w:id="180"/>
    </w:p>
    <w:tbl>
      <w:tblPr>
        <w:tblW w:w="8647" w:type="dxa"/>
        <w:tblInd w:w="108" w:type="dxa"/>
        <w:tblLook w:val="04A0" w:firstRow="1" w:lastRow="0" w:firstColumn="1" w:lastColumn="0" w:noHBand="0" w:noVBand="1"/>
      </w:tblPr>
      <w:tblGrid>
        <w:gridCol w:w="5670"/>
        <w:gridCol w:w="1669"/>
        <w:gridCol w:w="1308"/>
      </w:tblGrid>
      <w:tr w:rsidR="006D1C88" w:rsidRPr="003210C5" w:rsidTr="00873695">
        <w:trPr>
          <w:trHeight w:val="900"/>
          <w:tblHeader/>
        </w:trPr>
        <w:tc>
          <w:tcPr>
            <w:tcW w:w="5670" w:type="dxa"/>
            <w:shd w:val="clear" w:color="auto" w:fill="auto"/>
            <w:noWrap/>
            <w:vAlign w:val="bottom"/>
            <w:hideMark/>
          </w:tcPr>
          <w:p w:rsidR="006D1C88" w:rsidRPr="00586DB2" w:rsidRDefault="006D1C88" w:rsidP="006D1C88">
            <w:pPr>
              <w:spacing w:after="0" w:line="240" w:lineRule="auto"/>
              <w:rPr>
                <w:rFonts w:eastAsia="Times New Roman" w:cstheme="minorHAnsi"/>
                <w:sz w:val="20"/>
                <w:szCs w:val="20"/>
                <w:lang w:eastAsia="en-AU"/>
              </w:rPr>
            </w:pPr>
            <w:bookmarkStart w:id="181" w:name="Title_f43"/>
            <w:bookmarkEnd w:id="181"/>
            <w:r w:rsidRPr="00586DB2">
              <w:rPr>
                <w:rFonts w:eastAsia="Times New Roman" w:cstheme="minorHAnsi"/>
                <w:sz w:val="20"/>
                <w:szCs w:val="20"/>
                <w:lang w:eastAsia="en-AU"/>
              </w:rPr>
              <w:t>Statement</w:t>
            </w:r>
          </w:p>
        </w:tc>
        <w:tc>
          <w:tcPr>
            <w:tcW w:w="1669" w:type="dxa"/>
            <w:shd w:val="clear" w:color="auto" w:fill="auto"/>
            <w:vAlign w:val="bottom"/>
            <w:hideMark/>
          </w:tcPr>
          <w:p w:rsidR="006D1C88" w:rsidRPr="00586DB2" w:rsidRDefault="00864E02" w:rsidP="006D1C88">
            <w:pPr>
              <w:spacing w:after="0" w:line="240" w:lineRule="auto"/>
              <w:rPr>
                <w:rFonts w:eastAsia="Times New Roman" w:cstheme="minorHAnsi"/>
                <w:color w:val="000000"/>
                <w:sz w:val="20"/>
                <w:szCs w:val="20"/>
                <w:lang w:eastAsia="en-AU"/>
              </w:rPr>
            </w:pPr>
            <w:r w:rsidRPr="007412C6">
              <w:rPr>
                <w:noProof/>
                <w:lang w:eastAsia="en-AU"/>
              </w:rPr>
              <w:drawing>
                <wp:anchor distT="0" distB="0" distL="114300" distR="114300" simplePos="0" relativeHeight="251658250" behindDoc="0" locked="0" layoutInCell="1" allowOverlap="1" wp14:anchorId="480093FC" wp14:editId="593A0057">
                  <wp:simplePos x="0" y="0"/>
                  <wp:positionH relativeFrom="column">
                    <wp:posOffset>-3661410</wp:posOffset>
                  </wp:positionH>
                  <wp:positionV relativeFrom="paragraph">
                    <wp:posOffset>-27305</wp:posOffset>
                  </wp:positionV>
                  <wp:extent cx="5731510" cy="3588385"/>
                  <wp:effectExtent l="0" t="0" r="2540" b="0"/>
                  <wp:wrapNone/>
                  <wp:docPr id="44" name="Picture 44" descr="Data in graph as described in the following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588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1C88" w:rsidRPr="00586DB2">
              <w:rPr>
                <w:rFonts w:eastAsia="Times New Roman" w:cstheme="minorHAnsi"/>
                <w:color w:val="000000"/>
                <w:sz w:val="20"/>
                <w:szCs w:val="20"/>
                <w:lang w:eastAsia="en-AU"/>
              </w:rPr>
              <w:t>Disagree/Strongly disagree</w:t>
            </w:r>
          </w:p>
        </w:tc>
        <w:tc>
          <w:tcPr>
            <w:tcW w:w="1308" w:type="dxa"/>
            <w:shd w:val="clear" w:color="auto" w:fill="auto"/>
            <w:vAlign w:val="bottom"/>
            <w:hideMark/>
          </w:tcPr>
          <w:p w:rsidR="006D1C88" w:rsidRPr="00586DB2" w:rsidRDefault="006D1C88" w:rsidP="006D1C88">
            <w:pPr>
              <w:spacing w:after="0" w:line="240" w:lineRule="auto"/>
              <w:rPr>
                <w:rFonts w:eastAsia="Times New Roman" w:cstheme="minorHAnsi"/>
                <w:color w:val="000000"/>
                <w:sz w:val="20"/>
                <w:szCs w:val="20"/>
                <w:lang w:eastAsia="en-AU"/>
              </w:rPr>
            </w:pPr>
            <w:r w:rsidRPr="00586DB2">
              <w:rPr>
                <w:rFonts w:eastAsia="Times New Roman" w:cstheme="minorHAnsi"/>
                <w:color w:val="000000"/>
                <w:sz w:val="20"/>
                <w:szCs w:val="20"/>
                <w:lang w:eastAsia="en-AU"/>
              </w:rPr>
              <w:t>Strongly agree/agree</w:t>
            </w:r>
          </w:p>
        </w:tc>
      </w:tr>
      <w:tr w:rsidR="006D1C88" w:rsidRPr="006D1C88" w:rsidTr="00586DB2">
        <w:trPr>
          <w:trHeight w:val="300"/>
        </w:trPr>
        <w:tc>
          <w:tcPr>
            <w:tcW w:w="5670" w:type="dxa"/>
            <w:shd w:val="clear" w:color="auto" w:fill="auto"/>
            <w:noWrap/>
            <w:vAlign w:val="bottom"/>
            <w:hideMark/>
          </w:tcPr>
          <w:p w:rsidR="006D1C88" w:rsidRPr="00586DB2" w:rsidRDefault="006D1C88" w:rsidP="006D1C88">
            <w:pPr>
              <w:spacing w:after="0" w:line="240" w:lineRule="auto"/>
              <w:rPr>
                <w:rFonts w:eastAsia="Times New Roman" w:cstheme="minorHAnsi"/>
                <w:color w:val="000000"/>
                <w:sz w:val="20"/>
                <w:szCs w:val="20"/>
                <w:lang w:eastAsia="en-AU"/>
              </w:rPr>
            </w:pPr>
            <w:r w:rsidRPr="00586DB2">
              <w:rPr>
                <w:rFonts w:eastAsia="Times New Roman" w:cstheme="minorHAnsi"/>
                <w:color w:val="000000"/>
                <w:sz w:val="20"/>
                <w:szCs w:val="20"/>
                <w:lang w:eastAsia="en-AU"/>
              </w:rPr>
              <w:t xml:space="preserve">Having almost any job is better than being unemployed. </w:t>
            </w:r>
          </w:p>
        </w:tc>
        <w:tc>
          <w:tcPr>
            <w:tcW w:w="1669" w:type="dxa"/>
            <w:shd w:val="clear" w:color="auto" w:fill="auto"/>
            <w:noWrap/>
            <w:vAlign w:val="bottom"/>
            <w:hideMark/>
          </w:tcPr>
          <w:p w:rsidR="006D1C88" w:rsidRPr="00586DB2" w:rsidRDefault="006D1C88" w:rsidP="006D1C88">
            <w:pPr>
              <w:spacing w:after="0" w:line="240" w:lineRule="auto"/>
              <w:jc w:val="right"/>
              <w:rPr>
                <w:rFonts w:eastAsia="Times New Roman" w:cstheme="minorHAnsi"/>
                <w:color w:val="000000"/>
                <w:sz w:val="20"/>
                <w:szCs w:val="20"/>
                <w:lang w:eastAsia="en-AU"/>
              </w:rPr>
            </w:pPr>
            <w:r w:rsidRPr="00586DB2">
              <w:rPr>
                <w:rFonts w:eastAsia="Times New Roman" w:cstheme="minorHAnsi"/>
                <w:color w:val="000000"/>
                <w:sz w:val="20"/>
                <w:szCs w:val="20"/>
                <w:lang w:eastAsia="en-AU"/>
              </w:rPr>
              <w:t>58.6</w:t>
            </w:r>
          </w:p>
        </w:tc>
        <w:tc>
          <w:tcPr>
            <w:tcW w:w="1308" w:type="dxa"/>
            <w:shd w:val="clear" w:color="auto" w:fill="auto"/>
            <w:noWrap/>
            <w:vAlign w:val="bottom"/>
            <w:hideMark/>
          </w:tcPr>
          <w:p w:rsidR="006D1C88" w:rsidRPr="00586DB2" w:rsidRDefault="006D1C88" w:rsidP="006D1C88">
            <w:pPr>
              <w:spacing w:after="0" w:line="240" w:lineRule="auto"/>
              <w:rPr>
                <w:rFonts w:eastAsia="Times New Roman" w:cstheme="minorHAnsi"/>
                <w:color w:val="000000"/>
                <w:sz w:val="20"/>
                <w:szCs w:val="20"/>
                <w:lang w:eastAsia="en-AU"/>
              </w:rPr>
            </w:pPr>
            <w:r w:rsidRPr="00586DB2">
              <w:rPr>
                <w:rFonts w:eastAsia="Times New Roman" w:cstheme="minorHAnsi"/>
                <w:color w:val="000000"/>
                <w:sz w:val="20"/>
                <w:szCs w:val="20"/>
                <w:lang w:eastAsia="en-AU"/>
              </w:rPr>
              <w:t xml:space="preserve">72.0 </w:t>
            </w:r>
          </w:p>
        </w:tc>
      </w:tr>
      <w:tr w:rsidR="006D1C88" w:rsidRPr="003210C5" w:rsidTr="00586DB2">
        <w:trPr>
          <w:trHeight w:val="600"/>
        </w:trPr>
        <w:tc>
          <w:tcPr>
            <w:tcW w:w="5670" w:type="dxa"/>
            <w:shd w:val="clear" w:color="auto" w:fill="auto"/>
            <w:noWrap/>
            <w:vAlign w:val="bottom"/>
            <w:hideMark/>
          </w:tcPr>
          <w:p w:rsidR="006D1C88" w:rsidRPr="00586DB2" w:rsidRDefault="006D1C88" w:rsidP="006D1C88">
            <w:pPr>
              <w:spacing w:after="0" w:line="240" w:lineRule="auto"/>
              <w:rPr>
                <w:rFonts w:eastAsia="Times New Roman" w:cstheme="minorHAnsi"/>
                <w:color w:val="000000"/>
                <w:sz w:val="20"/>
                <w:szCs w:val="20"/>
                <w:lang w:eastAsia="en-AU"/>
              </w:rPr>
            </w:pPr>
            <w:r w:rsidRPr="00586DB2">
              <w:rPr>
                <w:rFonts w:eastAsia="Times New Roman" w:cstheme="minorHAnsi"/>
                <w:color w:val="000000"/>
                <w:sz w:val="20"/>
                <w:szCs w:val="20"/>
                <w:lang w:eastAsia="en-AU"/>
              </w:rPr>
              <w:t>I have other things in my life that mean finding a job isn't a priority for me now.</w:t>
            </w:r>
          </w:p>
        </w:tc>
        <w:tc>
          <w:tcPr>
            <w:tcW w:w="1669" w:type="dxa"/>
            <w:shd w:val="clear" w:color="auto" w:fill="auto"/>
            <w:noWrap/>
            <w:vAlign w:val="bottom"/>
            <w:hideMark/>
          </w:tcPr>
          <w:p w:rsidR="006D1C88" w:rsidRPr="00586DB2" w:rsidRDefault="006D1C88" w:rsidP="006D1C88">
            <w:pPr>
              <w:spacing w:after="0" w:line="240" w:lineRule="auto"/>
              <w:jc w:val="right"/>
              <w:rPr>
                <w:rFonts w:eastAsia="Times New Roman" w:cstheme="minorHAnsi"/>
                <w:color w:val="000000"/>
                <w:sz w:val="20"/>
                <w:szCs w:val="20"/>
                <w:lang w:eastAsia="en-AU"/>
              </w:rPr>
            </w:pPr>
            <w:r w:rsidRPr="00586DB2">
              <w:rPr>
                <w:rFonts w:eastAsia="Times New Roman" w:cstheme="minorHAnsi"/>
                <w:color w:val="000000"/>
                <w:sz w:val="20"/>
                <w:szCs w:val="20"/>
                <w:lang w:eastAsia="en-AU"/>
              </w:rPr>
              <w:t>71.5</w:t>
            </w:r>
          </w:p>
        </w:tc>
        <w:tc>
          <w:tcPr>
            <w:tcW w:w="1308" w:type="dxa"/>
            <w:shd w:val="clear" w:color="auto" w:fill="auto"/>
            <w:noWrap/>
            <w:vAlign w:val="bottom"/>
            <w:hideMark/>
          </w:tcPr>
          <w:p w:rsidR="006D1C88" w:rsidRPr="00586DB2" w:rsidRDefault="006D1C88" w:rsidP="006D1C88">
            <w:pPr>
              <w:spacing w:after="0" w:line="240" w:lineRule="auto"/>
              <w:rPr>
                <w:rFonts w:eastAsia="Times New Roman" w:cstheme="minorHAnsi"/>
                <w:color w:val="000000"/>
                <w:sz w:val="20"/>
                <w:szCs w:val="20"/>
                <w:lang w:eastAsia="en-AU"/>
              </w:rPr>
            </w:pPr>
            <w:r w:rsidRPr="00586DB2">
              <w:rPr>
                <w:rFonts w:eastAsia="Times New Roman" w:cstheme="minorHAnsi"/>
                <w:color w:val="000000"/>
                <w:sz w:val="20"/>
                <w:szCs w:val="20"/>
                <w:lang w:eastAsia="en-AU"/>
              </w:rPr>
              <w:t xml:space="preserve">63.9 </w:t>
            </w:r>
          </w:p>
        </w:tc>
      </w:tr>
      <w:tr w:rsidR="006D1C88" w:rsidRPr="003210C5" w:rsidTr="00586DB2">
        <w:trPr>
          <w:trHeight w:val="600"/>
        </w:trPr>
        <w:tc>
          <w:tcPr>
            <w:tcW w:w="5670" w:type="dxa"/>
            <w:shd w:val="clear" w:color="auto" w:fill="auto"/>
            <w:noWrap/>
            <w:vAlign w:val="bottom"/>
            <w:hideMark/>
          </w:tcPr>
          <w:p w:rsidR="006D1C88" w:rsidRPr="00586DB2" w:rsidRDefault="006D1C88" w:rsidP="006D1C88">
            <w:pPr>
              <w:spacing w:after="0" w:line="240" w:lineRule="auto"/>
              <w:rPr>
                <w:rFonts w:eastAsia="Times New Roman" w:cstheme="minorHAnsi"/>
                <w:color w:val="000000"/>
                <w:sz w:val="20"/>
                <w:szCs w:val="20"/>
                <w:lang w:eastAsia="en-AU"/>
              </w:rPr>
            </w:pPr>
            <w:r w:rsidRPr="00586DB2">
              <w:rPr>
                <w:rFonts w:eastAsia="Times New Roman" w:cstheme="minorHAnsi"/>
                <w:color w:val="000000"/>
                <w:sz w:val="20"/>
                <w:szCs w:val="20"/>
                <w:lang w:eastAsia="en-AU"/>
              </w:rPr>
              <w:t>I am doing everything I can but it's hard to get a job.</w:t>
            </w:r>
          </w:p>
        </w:tc>
        <w:tc>
          <w:tcPr>
            <w:tcW w:w="1669" w:type="dxa"/>
            <w:shd w:val="clear" w:color="auto" w:fill="auto"/>
            <w:noWrap/>
            <w:vAlign w:val="bottom"/>
            <w:hideMark/>
          </w:tcPr>
          <w:p w:rsidR="006D1C88" w:rsidRPr="00586DB2" w:rsidRDefault="006D1C88" w:rsidP="006D1C88">
            <w:pPr>
              <w:spacing w:after="0" w:line="240" w:lineRule="auto"/>
              <w:jc w:val="right"/>
              <w:rPr>
                <w:rFonts w:eastAsia="Times New Roman" w:cstheme="minorHAnsi"/>
                <w:color w:val="000000"/>
                <w:sz w:val="20"/>
                <w:szCs w:val="20"/>
                <w:lang w:eastAsia="en-AU"/>
              </w:rPr>
            </w:pPr>
            <w:r w:rsidRPr="00586DB2">
              <w:rPr>
                <w:rFonts w:eastAsia="Times New Roman" w:cstheme="minorHAnsi"/>
                <w:color w:val="000000"/>
                <w:sz w:val="20"/>
                <w:szCs w:val="20"/>
                <w:lang w:eastAsia="en-AU"/>
              </w:rPr>
              <w:t>71.1</w:t>
            </w:r>
          </w:p>
        </w:tc>
        <w:tc>
          <w:tcPr>
            <w:tcW w:w="1308" w:type="dxa"/>
            <w:shd w:val="clear" w:color="auto" w:fill="auto"/>
            <w:noWrap/>
            <w:vAlign w:val="bottom"/>
            <w:hideMark/>
          </w:tcPr>
          <w:p w:rsidR="006D1C88" w:rsidRPr="00586DB2" w:rsidRDefault="006D1C88" w:rsidP="006D1C88">
            <w:pPr>
              <w:spacing w:after="0" w:line="240" w:lineRule="auto"/>
              <w:rPr>
                <w:rFonts w:eastAsia="Times New Roman" w:cstheme="minorHAnsi"/>
                <w:color w:val="000000"/>
                <w:sz w:val="20"/>
                <w:szCs w:val="20"/>
                <w:lang w:eastAsia="en-AU"/>
              </w:rPr>
            </w:pPr>
            <w:r w:rsidRPr="00586DB2">
              <w:rPr>
                <w:rFonts w:eastAsia="Times New Roman" w:cstheme="minorHAnsi"/>
                <w:color w:val="000000"/>
                <w:sz w:val="20"/>
                <w:szCs w:val="20"/>
                <w:lang w:eastAsia="en-AU"/>
              </w:rPr>
              <w:t xml:space="preserve">68.7 </w:t>
            </w:r>
          </w:p>
        </w:tc>
      </w:tr>
      <w:tr w:rsidR="006D1C88" w:rsidRPr="006D1C88" w:rsidTr="00586DB2">
        <w:trPr>
          <w:trHeight w:val="600"/>
        </w:trPr>
        <w:tc>
          <w:tcPr>
            <w:tcW w:w="5670" w:type="dxa"/>
            <w:shd w:val="clear" w:color="auto" w:fill="auto"/>
            <w:noWrap/>
            <w:vAlign w:val="bottom"/>
            <w:hideMark/>
          </w:tcPr>
          <w:p w:rsidR="006D1C88" w:rsidRPr="00586DB2" w:rsidRDefault="006D1C88" w:rsidP="006D1C88">
            <w:pPr>
              <w:spacing w:after="0" w:line="240" w:lineRule="auto"/>
              <w:rPr>
                <w:rFonts w:eastAsia="Times New Roman" w:cstheme="minorHAnsi"/>
                <w:color w:val="000000"/>
                <w:sz w:val="20"/>
                <w:szCs w:val="20"/>
                <w:lang w:eastAsia="en-AU"/>
              </w:rPr>
            </w:pPr>
            <w:r w:rsidRPr="00586DB2">
              <w:rPr>
                <w:rFonts w:eastAsia="Times New Roman" w:cstheme="minorHAnsi"/>
                <w:color w:val="000000"/>
                <w:sz w:val="20"/>
                <w:szCs w:val="20"/>
                <w:lang w:eastAsia="en-AU"/>
              </w:rPr>
              <w:t>I have a lot of confidence in myself, my skills and abilities.</w:t>
            </w:r>
          </w:p>
        </w:tc>
        <w:tc>
          <w:tcPr>
            <w:tcW w:w="1669" w:type="dxa"/>
            <w:shd w:val="clear" w:color="auto" w:fill="auto"/>
            <w:noWrap/>
            <w:vAlign w:val="bottom"/>
            <w:hideMark/>
          </w:tcPr>
          <w:p w:rsidR="006D1C88" w:rsidRPr="00586DB2" w:rsidRDefault="006D1C88" w:rsidP="006D1C88">
            <w:pPr>
              <w:spacing w:after="0" w:line="240" w:lineRule="auto"/>
              <w:jc w:val="right"/>
              <w:rPr>
                <w:rFonts w:eastAsia="Times New Roman" w:cstheme="minorHAnsi"/>
                <w:color w:val="000000"/>
                <w:sz w:val="20"/>
                <w:szCs w:val="20"/>
                <w:lang w:eastAsia="en-AU"/>
              </w:rPr>
            </w:pPr>
            <w:r w:rsidRPr="00586DB2">
              <w:rPr>
                <w:rFonts w:eastAsia="Times New Roman" w:cstheme="minorHAnsi"/>
                <w:color w:val="000000"/>
                <w:sz w:val="20"/>
                <w:szCs w:val="20"/>
                <w:lang w:eastAsia="en-AU"/>
              </w:rPr>
              <w:t>75</w:t>
            </w:r>
          </w:p>
        </w:tc>
        <w:tc>
          <w:tcPr>
            <w:tcW w:w="1308" w:type="dxa"/>
            <w:shd w:val="clear" w:color="auto" w:fill="auto"/>
            <w:noWrap/>
            <w:vAlign w:val="bottom"/>
            <w:hideMark/>
          </w:tcPr>
          <w:p w:rsidR="006D1C88" w:rsidRPr="00586DB2" w:rsidRDefault="006D1C88" w:rsidP="004D3411">
            <w:pPr>
              <w:spacing w:after="0" w:line="240" w:lineRule="auto"/>
              <w:rPr>
                <w:rFonts w:eastAsia="Times New Roman" w:cstheme="minorHAnsi"/>
                <w:color w:val="000000"/>
                <w:sz w:val="20"/>
                <w:szCs w:val="20"/>
                <w:lang w:eastAsia="en-AU"/>
              </w:rPr>
            </w:pPr>
            <w:r w:rsidRPr="00586DB2">
              <w:rPr>
                <w:rFonts w:eastAsia="Times New Roman" w:cstheme="minorHAnsi"/>
                <w:color w:val="000000"/>
                <w:sz w:val="20"/>
                <w:szCs w:val="20"/>
                <w:lang w:eastAsia="en-AU"/>
              </w:rPr>
              <w:t xml:space="preserve">68.6 </w:t>
            </w:r>
          </w:p>
        </w:tc>
      </w:tr>
      <w:tr w:rsidR="006D1C88" w:rsidRPr="006D1C88" w:rsidTr="00586DB2">
        <w:trPr>
          <w:trHeight w:val="600"/>
        </w:trPr>
        <w:tc>
          <w:tcPr>
            <w:tcW w:w="5670" w:type="dxa"/>
            <w:shd w:val="clear" w:color="auto" w:fill="auto"/>
            <w:noWrap/>
            <w:vAlign w:val="bottom"/>
            <w:hideMark/>
          </w:tcPr>
          <w:p w:rsidR="006D1C88" w:rsidRPr="00586DB2" w:rsidRDefault="006D1C88" w:rsidP="006D1C88">
            <w:pPr>
              <w:spacing w:after="0" w:line="240" w:lineRule="auto"/>
              <w:rPr>
                <w:rFonts w:eastAsia="Times New Roman" w:cstheme="minorHAnsi"/>
                <w:color w:val="000000"/>
                <w:sz w:val="20"/>
                <w:szCs w:val="20"/>
                <w:lang w:eastAsia="en-AU"/>
              </w:rPr>
            </w:pPr>
            <w:r w:rsidRPr="00586DB2">
              <w:rPr>
                <w:rFonts w:eastAsia="Times New Roman" w:cstheme="minorHAnsi"/>
                <w:color w:val="000000"/>
                <w:sz w:val="20"/>
                <w:szCs w:val="20"/>
                <w:lang w:eastAsia="en-AU"/>
              </w:rPr>
              <w:t xml:space="preserve">I know that I will find the right job eventually. </w:t>
            </w:r>
          </w:p>
        </w:tc>
        <w:tc>
          <w:tcPr>
            <w:tcW w:w="1669" w:type="dxa"/>
            <w:shd w:val="clear" w:color="auto" w:fill="auto"/>
            <w:noWrap/>
            <w:vAlign w:val="bottom"/>
            <w:hideMark/>
          </w:tcPr>
          <w:p w:rsidR="006D1C88" w:rsidRPr="00586DB2" w:rsidRDefault="006D1C88" w:rsidP="006D1C88">
            <w:pPr>
              <w:spacing w:after="0" w:line="240" w:lineRule="auto"/>
              <w:jc w:val="right"/>
              <w:rPr>
                <w:rFonts w:eastAsia="Times New Roman" w:cstheme="minorHAnsi"/>
                <w:color w:val="000000"/>
                <w:sz w:val="20"/>
                <w:szCs w:val="20"/>
                <w:lang w:eastAsia="en-AU"/>
              </w:rPr>
            </w:pPr>
            <w:r w:rsidRPr="00586DB2">
              <w:rPr>
                <w:rFonts w:eastAsia="Times New Roman" w:cstheme="minorHAnsi"/>
                <w:color w:val="000000"/>
                <w:sz w:val="20"/>
                <w:szCs w:val="20"/>
                <w:lang w:eastAsia="en-AU"/>
              </w:rPr>
              <w:t>45.4</w:t>
            </w:r>
          </w:p>
        </w:tc>
        <w:tc>
          <w:tcPr>
            <w:tcW w:w="1308" w:type="dxa"/>
            <w:shd w:val="clear" w:color="auto" w:fill="auto"/>
            <w:noWrap/>
            <w:vAlign w:val="bottom"/>
            <w:hideMark/>
          </w:tcPr>
          <w:p w:rsidR="006D1C88" w:rsidRPr="00586DB2" w:rsidRDefault="006D1C88" w:rsidP="006D1C88">
            <w:pPr>
              <w:spacing w:after="0" w:line="240" w:lineRule="auto"/>
              <w:rPr>
                <w:rFonts w:eastAsia="Times New Roman" w:cstheme="minorHAnsi"/>
                <w:color w:val="000000"/>
                <w:sz w:val="20"/>
                <w:szCs w:val="20"/>
                <w:lang w:eastAsia="en-AU"/>
              </w:rPr>
            </w:pPr>
            <w:r w:rsidRPr="00586DB2">
              <w:rPr>
                <w:rFonts w:eastAsia="Times New Roman" w:cstheme="minorHAnsi"/>
                <w:color w:val="000000"/>
                <w:sz w:val="20"/>
                <w:szCs w:val="20"/>
                <w:lang w:eastAsia="en-AU"/>
              </w:rPr>
              <w:t xml:space="preserve">73.1 </w:t>
            </w:r>
          </w:p>
        </w:tc>
      </w:tr>
      <w:tr w:rsidR="006D1C88" w:rsidRPr="00586DB2" w:rsidTr="00586DB2">
        <w:trPr>
          <w:trHeight w:val="600"/>
        </w:trPr>
        <w:tc>
          <w:tcPr>
            <w:tcW w:w="5670" w:type="dxa"/>
            <w:shd w:val="clear" w:color="auto" w:fill="auto"/>
            <w:noWrap/>
            <w:vAlign w:val="bottom"/>
            <w:hideMark/>
          </w:tcPr>
          <w:p w:rsidR="006D1C88" w:rsidRPr="00586DB2" w:rsidRDefault="006D1C88" w:rsidP="006D1C88">
            <w:pPr>
              <w:spacing w:after="0" w:line="240" w:lineRule="auto"/>
              <w:rPr>
                <w:rFonts w:eastAsia="Times New Roman" w:cstheme="minorHAnsi"/>
                <w:color w:val="000000"/>
                <w:sz w:val="20"/>
                <w:szCs w:val="20"/>
                <w:lang w:eastAsia="en-AU"/>
              </w:rPr>
            </w:pPr>
            <w:r w:rsidRPr="00586DB2">
              <w:rPr>
                <w:rFonts w:eastAsia="Times New Roman" w:cstheme="minorHAnsi"/>
                <w:color w:val="000000"/>
                <w:sz w:val="20"/>
                <w:szCs w:val="20"/>
                <w:lang w:eastAsia="en-AU"/>
              </w:rPr>
              <w:t xml:space="preserve">I don't think any employer would want to employ me. </w:t>
            </w:r>
          </w:p>
        </w:tc>
        <w:tc>
          <w:tcPr>
            <w:tcW w:w="1669" w:type="dxa"/>
            <w:shd w:val="clear" w:color="auto" w:fill="auto"/>
            <w:noWrap/>
            <w:vAlign w:val="bottom"/>
            <w:hideMark/>
          </w:tcPr>
          <w:p w:rsidR="006D1C88" w:rsidRPr="00586DB2" w:rsidRDefault="006D1C88" w:rsidP="006D1C88">
            <w:pPr>
              <w:spacing w:after="0" w:line="240" w:lineRule="auto"/>
              <w:jc w:val="right"/>
              <w:rPr>
                <w:rFonts w:eastAsia="Times New Roman" w:cstheme="minorHAnsi"/>
                <w:color w:val="000000"/>
                <w:sz w:val="20"/>
                <w:szCs w:val="20"/>
                <w:lang w:eastAsia="en-AU"/>
              </w:rPr>
            </w:pPr>
            <w:r w:rsidRPr="00586DB2">
              <w:rPr>
                <w:rFonts w:eastAsia="Times New Roman" w:cstheme="minorHAnsi"/>
                <w:color w:val="000000"/>
                <w:sz w:val="20"/>
                <w:szCs w:val="20"/>
                <w:lang w:eastAsia="en-AU"/>
              </w:rPr>
              <w:t>69.5</w:t>
            </w:r>
          </w:p>
        </w:tc>
        <w:tc>
          <w:tcPr>
            <w:tcW w:w="1308" w:type="dxa"/>
            <w:shd w:val="clear" w:color="auto" w:fill="auto"/>
            <w:noWrap/>
            <w:vAlign w:val="bottom"/>
            <w:hideMark/>
          </w:tcPr>
          <w:p w:rsidR="006D1C88" w:rsidRPr="00586DB2" w:rsidRDefault="006D1C88" w:rsidP="006D1C88">
            <w:pPr>
              <w:spacing w:after="0" w:line="240" w:lineRule="auto"/>
              <w:rPr>
                <w:rFonts w:eastAsia="Times New Roman" w:cstheme="minorHAnsi"/>
                <w:color w:val="000000"/>
                <w:sz w:val="20"/>
                <w:szCs w:val="20"/>
                <w:lang w:eastAsia="en-AU"/>
              </w:rPr>
            </w:pPr>
            <w:r w:rsidRPr="00586DB2">
              <w:rPr>
                <w:rFonts w:eastAsia="Times New Roman" w:cstheme="minorHAnsi"/>
                <w:color w:val="000000"/>
                <w:sz w:val="20"/>
                <w:szCs w:val="20"/>
                <w:lang w:eastAsia="en-AU"/>
              </w:rPr>
              <w:t xml:space="preserve">70.0 </w:t>
            </w:r>
          </w:p>
        </w:tc>
      </w:tr>
    </w:tbl>
    <w:p w:rsidR="00E00E6C" w:rsidRDefault="00110117" w:rsidP="00586DB2">
      <w:pPr>
        <w:pStyle w:val="Source"/>
        <w:spacing w:before="1400"/>
      </w:pPr>
      <w:r w:rsidRPr="00110117">
        <w:t>Note</w:t>
      </w:r>
      <w:r w:rsidR="00E00E6C">
        <w:t>s</w:t>
      </w:r>
      <w:r w:rsidRPr="00110117">
        <w:t>:</w:t>
      </w:r>
      <w:r w:rsidR="00500A98">
        <w:t xml:space="preserve"> </w:t>
      </w:r>
    </w:p>
    <w:p w:rsidR="00110117" w:rsidRDefault="002954DD" w:rsidP="00586DB2">
      <w:pPr>
        <w:pStyle w:val="Source"/>
        <w:numPr>
          <w:ilvl w:val="0"/>
          <w:numId w:val="111"/>
        </w:numPr>
        <w:spacing w:before="120"/>
        <w:ind w:left="714" w:hanging="357"/>
        <w:rPr>
          <w:b w:val="0"/>
        </w:rPr>
      </w:pPr>
      <w:r>
        <w:rPr>
          <w:b w:val="0"/>
        </w:rPr>
        <w:t>The above shows attitudes to work for those job seekers who stated that an offer of a bonus would make the</w:t>
      </w:r>
      <w:r w:rsidR="000E1BF0">
        <w:rPr>
          <w:b w:val="0"/>
        </w:rPr>
        <w:t>m</w:t>
      </w:r>
      <w:r>
        <w:rPr>
          <w:b w:val="0"/>
        </w:rPr>
        <w:t xml:space="preserve"> try harder to find a job (either</w:t>
      </w:r>
      <w:r w:rsidR="00251619" w:rsidRPr="00586DB2">
        <w:rPr>
          <w:b w:val="0"/>
        </w:rPr>
        <w:t xml:space="preserve"> ‘A lot’ or ‘A little’</w:t>
      </w:r>
      <w:r>
        <w:rPr>
          <w:b w:val="0"/>
        </w:rPr>
        <w:t>). That is, those who stated that an offer of a bonus would have no effect on how hard they tried to find a job are excluded from this analysis.</w:t>
      </w:r>
    </w:p>
    <w:p w:rsidR="00E00E6C" w:rsidRPr="00586DB2" w:rsidRDefault="00E00E6C" w:rsidP="00586DB2">
      <w:pPr>
        <w:pStyle w:val="Source"/>
        <w:numPr>
          <w:ilvl w:val="0"/>
          <w:numId w:val="111"/>
        </w:numPr>
        <w:spacing w:before="120"/>
        <w:ind w:left="714" w:hanging="357"/>
        <w:rPr>
          <w:b w:val="0"/>
        </w:rPr>
      </w:pPr>
      <w:r>
        <w:rPr>
          <w:b w:val="0"/>
        </w:rPr>
        <w:t xml:space="preserve">All differences </w:t>
      </w:r>
      <w:r w:rsidR="00796C00">
        <w:rPr>
          <w:b w:val="0"/>
        </w:rPr>
        <w:t xml:space="preserve">in agreement/disagreement with statements </w:t>
      </w:r>
      <w:r>
        <w:rPr>
          <w:b w:val="0"/>
        </w:rPr>
        <w:t xml:space="preserve">are statistically significant except </w:t>
      </w:r>
      <w:r w:rsidR="00796C00">
        <w:rPr>
          <w:b w:val="0"/>
        </w:rPr>
        <w:t>for</w:t>
      </w:r>
      <w:r>
        <w:rPr>
          <w:b w:val="0"/>
        </w:rPr>
        <w:t xml:space="preserve"> the statement ‘</w:t>
      </w:r>
      <w:r w:rsidRPr="00586DB2">
        <w:rPr>
          <w:b w:val="0"/>
          <w:i/>
        </w:rPr>
        <w:t>I don’t think any employer would want to employ me</w:t>
      </w:r>
      <w:r>
        <w:rPr>
          <w:b w:val="0"/>
        </w:rPr>
        <w:t>’.</w:t>
      </w:r>
    </w:p>
    <w:p w:rsidR="000E2BBF" w:rsidRPr="00586DB2" w:rsidRDefault="000E2BBF" w:rsidP="00586DB2">
      <w:pPr>
        <w:spacing w:after="0"/>
        <w:rPr>
          <w:rFonts w:cstheme="minorHAnsi"/>
          <w:b/>
          <w:sz w:val="20"/>
          <w:szCs w:val="20"/>
        </w:rPr>
      </w:pPr>
      <w:r w:rsidRPr="00586DB2">
        <w:rPr>
          <w:rFonts w:cstheme="minorHAnsi"/>
          <w:b/>
          <w:sz w:val="20"/>
          <w:szCs w:val="20"/>
        </w:rPr>
        <w:t>Source:</w:t>
      </w:r>
      <w:r w:rsidRPr="00586DB2">
        <w:rPr>
          <w:b/>
        </w:rPr>
        <w:t xml:space="preserve"> </w:t>
      </w:r>
      <w:r w:rsidRPr="00586DB2">
        <w:rPr>
          <w:rFonts w:cstheme="minorHAnsi"/>
          <w:sz w:val="20"/>
          <w:szCs w:val="20"/>
        </w:rPr>
        <w:t>Department of Employment 2017 Job Seeker Experiences of Employment Services survey.</w:t>
      </w:r>
    </w:p>
    <w:p w:rsidR="00C32B73" w:rsidRPr="00721989" w:rsidRDefault="00C32B73" w:rsidP="00C32B73">
      <w:pPr>
        <w:spacing w:before="120"/>
        <w:rPr>
          <w:rFonts w:ascii="Calibri" w:eastAsia="Times New Roman" w:hAnsi="Calibri" w:cs="Calibri"/>
          <w:color w:val="000000"/>
          <w:lang w:eastAsia="en-AU"/>
        </w:rPr>
      </w:pPr>
      <w:r w:rsidRPr="00E9609C">
        <w:rPr>
          <w:color w:val="000000" w:themeColor="text1"/>
        </w:rPr>
        <w:t xml:space="preserve">Behavioural </w:t>
      </w:r>
      <w:r>
        <w:rPr>
          <w:color w:val="000000" w:themeColor="text1"/>
        </w:rPr>
        <w:t xml:space="preserve">analysis indicates </w:t>
      </w:r>
      <w:r w:rsidRPr="00E9609C">
        <w:rPr>
          <w:color w:val="000000" w:themeColor="text1"/>
        </w:rPr>
        <w:t xml:space="preserve">that </w:t>
      </w:r>
      <w:r>
        <w:rPr>
          <w:color w:val="000000" w:themeColor="text1"/>
        </w:rPr>
        <w:t xml:space="preserve">the </w:t>
      </w:r>
      <w:r w:rsidRPr="00E9609C">
        <w:rPr>
          <w:color w:val="000000" w:themeColor="text1"/>
        </w:rPr>
        <w:t xml:space="preserve">effectiveness of interventions can be improved by taking in to account common patterns of how people think, respond and behave. </w:t>
      </w:r>
      <w:r>
        <w:rPr>
          <w:color w:val="000000" w:themeColor="text1"/>
        </w:rPr>
        <w:t>D</w:t>
      </w:r>
      <w:r w:rsidRPr="00E9609C">
        <w:rPr>
          <w:color w:val="000000" w:themeColor="text1"/>
        </w:rPr>
        <w:t>epartmental analysis shows that responses to incentives are complex, with most people discounting benefits that</w:t>
      </w:r>
      <w:r>
        <w:rPr>
          <w:color w:val="000000" w:themeColor="text1"/>
        </w:rPr>
        <w:t xml:space="preserve"> will take time to be realised. </w:t>
      </w:r>
      <w:r w:rsidRPr="004029F8">
        <w:rPr>
          <w:rFonts w:ascii="Calibri" w:eastAsia="Times New Roman" w:hAnsi="Calibri" w:cs="Calibri"/>
          <w:color w:val="000000"/>
          <w:lang w:eastAsia="en-AU"/>
        </w:rPr>
        <w:t xml:space="preserve">Given the long qualifying period for the </w:t>
      </w:r>
      <w:r>
        <w:rPr>
          <w:rFonts w:ascii="Calibri" w:eastAsia="Times New Roman" w:hAnsi="Calibri" w:cs="Calibri"/>
          <w:color w:val="000000"/>
          <w:lang w:eastAsia="en-AU"/>
        </w:rPr>
        <w:t>JCB (12 months)</w:t>
      </w:r>
      <w:r w:rsidRPr="004029F8">
        <w:rPr>
          <w:rFonts w:ascii="Calibri" w:eastAsia="Times New Roman" w:hAnsi="Calibri" w:cs="Calibri"/>
          <w:color w:val="000000"/>
          <w:lang w:eastAsia="en-AU"/>
        </w:rPr>
        <w:t xml:space="preserve"> job seekers tended to assign a lower value to (</w:t>
      </w:r>
      <w:r>
        <w:rPr>
          <w:rFonts w:ascii="Calibri" w:eastAsia="Times New Roman" w:hAnsi="Calibri" w:cs="Calibri"/>
          <w:color w:val="000000"/>
          <w:lang w:eastAsia="en-AU"/>
        </w:rPr>
        <w:t xml:space="preserve">or </w:t>
      </w:r>
      <w:r w:rsidRPr="004029F8">
        <w:rPr>
          <w:rFonts w:ascii="Calibri" w:eastAsia="Times New Roman" w:hAnsi="Calibri" w:cs="Calibri"/>
          <w:color w:val="000000"/>
          <w:lang w:eastAsia="en-AU"/>
        </w:rPr>
        <w:t>discount) future benefits.</w:t>
      </w:r>
      <w:r w:rsidR="00134E1C">
        <w:rPr>
          <w:rFonts w:ascii="Calibri" w:eastAsia="Times New Roman" w:hAnsi="Calibri" w:cs="Calibri"/>
          <w:color w:val="000000"/>
          <w:lang w:eastAsia="en-AU"/>
        </w:rPr>
        <w:t xml:space="preserve"> Hyperbolic discounting is a widely accepted model for describing this type of behaviour.</w:t>
      </w:r>
      <w:r w:rsidR="00134E1C">
        <w:rPr>
          <w:rStyle w:val="FootnoteReference"/>
          <w:rFonts w:ascii="Calibri" w:eastAsia="Times New Roman" w:hAnsi="Calibri" w:cs="Calibri"/>
          <w:color w:val="000000"/>
          <w:lang w:eastAsia="en-AU"/>
        </w:rPr>
        <w:footnoteReference w:id="59"/>
      </w:r>
      <w:r w:rsidRPr="004029F8">
        <w:rPr>
          <w:rFonts w:ascii="Calibri" w:eastAsia="Times New Roman" w:hAnsi="Calibri" w:cs="Calibri"/>
          <w:color w:val="000000"/>
          <w:lang w:eastAsia="en-AU"/>
        </w:rPr>
        <w:t xml:space="preserve"> The value of the bonus for </w:t>
      </w:r>
      <w:r>
        <w:rPr>
          <w:rFonts w:ascii="Calibri" w:eastAsia="Times New Roman" w:hAnsi="Calibri" w:cs="Calibri"/>
          <w:color w:val="000000"/>
          <w:lang w:eastAsia="en-AU"/>
        </w:rPr>
        <w:t xml:space="preserve">people </w:t>
      </w:r>
      <w:r w:rsidRPr="004029F8">
        <w:rPr>
          <w:rFonts w:ascii="Calibri" w:eastAsia="Times New Roman" w:hAnsi="Calibri" w:cs="Calibri"/>
          <w:color w:val="000000"/>
          <w:lang w:eastAsia="en-AU"/>
        </w:rPr>
        <w:t>who had already left income support and were closer to the qualifying 12 month deadline was more apparent</w:t>
      </w:r>
      <w:r>
        <w:rPr>
          <w:rFonts w:ascii="Calibri" w:eastAsia="Times New Roman" w:hAnsi="Calibri" w:cs="Calibri"/>
          <w:color w:val="000000"/>
          <w:lang w:eastAsia="en-AU"/>
        </w:rPr>
        <w:t>. This group considered the</w:t>
      </w:r>
      <w:r w:rsidRPr="004029F8">
        <w:rPr>
          <w:rFonts w:ascii="Calibri" w:eastAsia="Times New Roman" w:hAnsi="Calibri" w:cs="Calibri"/>
          <w:color w:val="000000"/>
          <w:lang w:eastAsia="en-AU"/>
        </w:rPr>
        <w:t xml:space="preserve"> bonus more attainable </w:t>
      </w:r>
      <w:r>
        <w:rPr>
          <w:rFonts w:ascii="Calibri" w:eastAsia="Times New Roman" w:hAnsi="Calibri" w:cs="Calibri"/>
          <w:color w:val="000000"/>
          <w:lang w:eastAsia="en-AU"/>
        </w:rPr>
        <w:t xml:space="preserve">than those still seeking work or having just commenced employment, </w:t>
      </w:r>
      <w:r w:rsidRPr="004029F8">
        <w:rPr>
          <w:rFonts w:ascii="Calibri" w:eastAsia="Times New Roman" w:hAnsi="Calibri" w:cs="Calibri"/>
          <w:color w:val="000000"/>
          <w:lang w:eastAsia="en-AU"/>
        </w:rPr>
        <w:t>and appeared to be more moti</w:t>
      </w:r>
      <w:r>
        <w:rPr>
          <w:rFonts w:ascii="Calibri" w:eastAsia="Times New Roman" w:hAnsi="Calibri" w:cs="Calibri"/>
          <w:color w:val="000000"/>
          <w:lang w:eastAsia="en-AU"/>
        </w:rPr>
        <w:t>vated by the idea of the bonus.</w:t>
      </w:r>
    </w:p>
    <w:p w:rsidR="00C32B73" w:rsidRDefault="005375BB" w:rsidP="00C32B73">
      <w:pPr>
        <w:spacing w:before="120"/>
      </w:pPr>
      <w:r>
        <w:rPr>
          <w:rFonts w:ascii="Calibri" w:eastAsia="Times New Roman" w:hAnsi="Calibri" w:cs="Calibri"/>
          <w:color w:val="000000"/>
          <w:lang w:eastAsia="en-AU"/>
        </w:rPr>
        <w:t xml:space="preserve">Research </w:t>
      </w:r>
      <w:r w:rsidR="00C32B73" w:rsidRPr="004029F8">
        <w:rPr>
          <w:rFonts w:ascii="Calibri" w:eastAsia="Times New Roman" w:hAnsi="Calibri" w:cs="Calibri"/>
          <w:color w:val="000000"/>
          <w:lang w:eastAsia="en-AU"/>
        </w:rPr>
        <w:t xml:space="preserve">participants who were still on income support did not necessarily see the amount of the bonus ($2500) as large, compared to what they would earn if working. </w:t>
      </w:r>
      <w:r w:rsidR="00C32B73">
        <w:rPr>
          <w:rFonts w:ascii="Calibri" w:eastAsia="Times New Roman" w:hAnsi="Calibri" w:cs="Calibri"/>
          <w:color w:val="000000"/>
          <w:lang w:eastAsia="en-AU"/>
        </w:rPr>
        <w:t>The perception</w:t>
      </w:r>
      <w:r w:rsidR="00C32B73" w:rsidRPr="004029F8">
        <w:rPr>
          <w:rFonts w:ascii="Calibri" w:eastAsia="Times New Roman" w:hAnsi="Calibri" w:cs="Calibri"/>
          <w:color w:val="000000"/>
          <w:lang w:eastAsia="en-AU"/>
        </w:rPr>
        <w:t xml:space="preserve"> of money in </w:t>
      </w:r>
      <w:r w:rsidR="00C32B73" w:rsidRPr="004029F8">
        <w:rPr>
          <w:rFonts w:ascii="Calibri" w:eastAsia="Times New Roman" w:hAnsi="Calibri" w:cs="Calibri"/>
          <w:color w:val="000000"/>
          <w:lang w:eastAsia="en-AU"/>
        </w:rPr>
        <w:lastRenderedPageBreak/>
        <w:t>general, of post-tax income and the value of a lump sum, was poor</w:t>
      </w:r>
      <w:r w:rsidR="00C32B73">
        <w:rPr>
          <w:rFonts w:ascii="Calibri" w:eastAsia="Times New Roman" w:hAnsi="Calibri" w:cs="Calibri"/>
          <w:color w:val="000000"/>
          <w:lang w:eastAsia="en-AU"/>
        </w:rPr>
        <w:t xml:space="preserve"> among some of this group</w:t>
      </w:r>
      <w:r w:rsidR="00C4799B">
        <w:rPr>
          <w:rFonts w:ascii="Calibri" w:eastAsia="Times New Roman" w:hAnsi="Calibri" w:cs="Calibri"/>
          <w:color w:val="000000"/>
          <w:lang w:eastAsia="en-AU"/>
        </w:rPr>
        <w:t xml:space="preserve"> and lesser than for</w:t>
      </w:r>
      <w:r w:rsidR="00C32B73" w:rsidRPr="003A4B00">
        <w:t xml:space="preserve"> </w:t>
      </w:r>
      <w:r w:rsidR="00C32B73">
        <w:t xml:space="preserve">comparable </w:t>
      </w:r>
      <w:r w:rsidR="00C32B73" w:rsidRPr="003A4B00">
        <w:t xml:space="preserve">employed </w:t>
      </w:r>
      <w:r w:rsidR="00C32B73">
        <w:t>people.</w:t>
      </w:r>
    </w:p>
    <w:p w:rsidR="00C32B73" w:rsidRDefault="00C32B73" w:rsidP="00C32B73">
      <w:r>
        <w:t>Most job seekers were unable to imagi</w:t>
      </w:r>
      <w:r w:rsidR="00F1247B">
        <w:t>ne holding a job for 12 months.</w:t>
      </w:r>
    </w:p>
    <w:p w:rsidR="00C32B73" w:rsidRPr="00CC796A" w:rsidRDefault="00C32B73" w:rsidP="00C32B73">
      <w:pPr>
        <w:pStyle w:val="QuotationJCB"/>
      </w:pPr>
      <w:r w:rsidRPr="00CC796A">
        <w:t xml:space="preserve">You can’t really even think about having the job next month let alone in 12 months because there is so much </w:t>
      </w:r>
      <w:r>
        <w:t>…</w:t>
      </w:r>
      <w:r w:rsidRPr="00CC796A">
        <w:t xml:space="preserve"> closing down or people getting made redundant and all</w:t>
      </w:r>
      <w:r>
        <w:t xml:space="preserve"> that and Holden and then like S</w:t>
      </w:r>
      <w:r w:rsidRPr="00CC796A">
        <w:t xml:space="preserve">ubcorp is </w:t>
      </w:r>
      <w:r w:rsidR="00F1247B">
        <w:t>getting rid of so many workers.</w:t>
      </w:r>
    </w:p>
    <w:p w:rsidR="00C32B73" w:rsidRDefault="002361DB" w:rsidP="00C32B73">
      <w:pPr>
        <w:pStyle w:val="quopteJCB-source"/>
        <w:spacing w:before="0"/>
      </w:pPr>
      <w:r>
        <w:t>October 2016 (Round 3),</w:t>
      </w:r>
      <w:r w:rsidR="00C32B73">
        <w:t xml:space="preserve"> not yet claimed, focus group, Adelaide</w:t>
      </w:r>
    </w:p>
    <w:p w:rsidR="00C50D3B" w:rsidRDefault="00C50D3B" w:rsidP="00C50D3B">
      <w:r>
        <w:t xml:space="preserve">Consequently, these job seekers discounted the value of the future bonus amount ($2500) on the basis of their perceived likelihood of attaining it. </w:t>
      </w:r>
    </w:p>
    <w:p w:rsidR="00C50D3B" w:rsidRDefault="002C1BE3" w:rsidP="00C50D3B">
      <w:r>
        <w:t>T</w:t>
      </w:r>
      <w:r w:rsidR="00C50D3B">
        <w:t xml:space="preserve">he theory behind this behavioural analysis can be explained </w:t>
      </w:r>
      <w:r>
        <w:t>this way</w:t>
      </w:r>
      <w:r w:rsidR="00C50D3B">
        <w:t xml:space="preserve">: A person who felt absolutely certain they would reach the 12-month qualifying period would be able to plan on receiving the money, and its value would be perceived as the full $2500. A person convinced that they would not be able to stay off income support for the required 12 months, however, would assign a discounted future value of $0 as they did not consider they could ever attain it. </w:t>
      </w:r>
    </w:p>
    <w:p w:rsidR="00C50D3B" w:rsidRDefault="00C50D3B" w:rsidP="00C50D3B">
      <w:r>
        <w:t>It was evident from the fieldwork that while participants would not consciously assign a probability to the likelihood that they would be able to achieve the bonus, they would subconsciously respond based on this type of calculation.</w:t>
      </w:r>
    </w:p>
    <w:p w:rsidR="00C32B73" w:rsidRDefault="00C32B73" w:rsidP="00C32B73">
      <w:pPr>
        <w:rPr>
          <w:color w:val="000000" w:themeColor="text1"/>
        </w:rPr>
      </w:pPr>
      <w:r w:rsidRPr="0036160D">
        <w:rPr>
          <w:color w:val="000000" w:themeColor="text1"/>
        </w:rPr>
        <w:t xml:space="preserve">Participants </w:t>
      </w:r>
      <w:r w:rsidR="004434BE">
        <w:rPr>
          <w:color w:val="000000" w:themeColor="text1"/>
        </w:rPr>
        <w:t xml:space="preserve">in </w:t>
      </w:r>
      <w:r w:rsidR="00F16460">
        <w:rPr>
          <w:color w:val="000000" w:themeColor="text1"/>
        </w:rPr>
        <w:t>Round 1 fieldwork</w:t>
      </w:r>
      <w:r w:rsidRPr="0036160D">
        <w:rPr>
          <w:color w:val="000000" w:themeColor="text1"/>
        </w:rPr>
        <w:t xml:space="preserve"> exhibited strong motivation (without the influence of the JCB financial incentive) to find work and keep their job. </w:t>
      </w:r>
      <w:r>
        <w:rPr>
          <w:color w:val="000000" w:themeColor="text1"/>
        </w:rPr>
        <w:t>They</w:t>
      </w:r>
      <w:r w:rsidRPr="0036160D">
        <w:rPr>
          <w:color w:val="000000" w:themeColor="text1"/>
        </w:rPr>
        <w:t xml:space="preserve"> want</w:t>
      </w:r>
      <w:r>
        <w:rPr>
          <w:color w:val="000000" w:themeColor="text1"/>
        </w:rPr>
        <w:t>ed</w:t>
      </w:r>
      <w:r w:rsidRPr="0036160D">
        <w:rPr>
          <w:color w:val="000000" w:themeColor="text1"/>
        </w:rPr>
        <w:t xml:space="preserve"> to participate in the community, by having money to do things they could not currently do, and </w:t>
      </w:r>
      <w:r>
        <w:rPr>
          <w:color w:val="000000" w:themeColor="text1"/>
        </w:rPr>
        <w:t>did not want to</w:t>
      </w:r>
      <w:r w:rsidRPr="0036160D">
        <w:rPr>
          <w:color w:val="000000" w:themeColor="text1"/>
        </w:rPr>
        <w:t xml:space="preserve"> be dependent on welfare. For many unemployed, and a number of employed participants, the </w:t>
      </w:r>
      <w:r>
        <w:rPr>
          <w:color w:val="000000" w:themeColor="text1"/>
        </w:rPr>
        <w:t>goal of being off welfare for a year seemed unachievable</w:t>
      </w:r>
      <w:r w:rsidR="005375BB">
        <w:rPr>
          <w:color w:val="000000" w:themeColor="text1"/>
        </w:rPr>
        <w:t>.</w:t>
      </w:r>
    </w:p>
    <w:p w:rsidR="00C32B73" w:rsidRDefault="00C32B73" w:rsidP="00C32B73">
      <w:r>
        <w:t>The income earned from employment was a more significant financial factor that would affect motivation to stay off income support for 12 months. The effect of the bonus on the person’s overall financial situation over the 12 month period was not as significant a proportion as it would be to someone on income support.</w:t>
      </w:r>
    </w:p>
    <w:p w:rsidR="00C32B73" w:rsidRDefault="00C32B73" w:rsidP="00C32B73">
      <w:r>
        <w:t xml:space="preserve">Allowing for the combination of these effects, that is the high motivation from employment earnings and the discounted future value applied to the bonus, the impact of the bonus might be much less than </w:t>
      </w:r>
      <w:r w:rsidR="00AC7CD0">
        <w:t>would otherwise be expected</w:t>
      </w:r>
      <w:r>
        <w:t>.</w:t>
      </w:r>
    </w:p>
    <w:p w:rsidR="00C32B73" w:rsidRDefault="00C32B73" w:rsidP="00C32B73">
      <w:pPr>
        <w:spacing w:before="240"/>
      </w:pPr>
      <w:r>
        <w:t xml:space="preserve">Given most </w:t>
      </w:r>
      <w:r w:rsidR="00F16460">
        <w:t xml:space="preserve">fieldwork </w:t>
      </w:r>
      <w:r>
        <w:t>participants were focused on the immediate term, often days and at best weeks, they demonstrated limited capacity to perceive themselves as employed in 12 month. It seems probable that they would have placed a low probability on their chances of attaining the 12</w:t>
      </w:r>
      <w:r w:rsidR="004C38DD">
        <w:t> </w:t>
      </w:r>
      <w:r>
        <w:t>month</w:t>
      </w:r>
      <w:r w:rsidR="004C38DD">
        <w:t>s</w:t>
      </w:r>
      <w:r>
        <w:t xml:space="preserve"> bonus and therefore the discounted future value of the b</w:t>
      </w:r>
      <w:r w:rsidR="00F1247B">
        <w:t>onus would have been quite low.</w:t>
      </w:r>
    </w:p>
    <w:p w:rsidR="00C32B73" w:rsidRPr="00B160DE" w:rsidRDefault="00C962FC" w:rsidP="00C32B73">
      <w:pPr>
        <w:pStyle w:val="QuotationJCB"/>
      </w:pPr>
      <w:r>
        <w:t>It’s not realistic at all.</w:t>
      </w:r>
      <w:r w:rsidR="00C32B73" w:rsidRPr="00B160DE">
        <w:t xml:space="preserve"> It’s 12 months down the track.</w:t>
      </w:r>
    </w:p>
    <w:p w:rsidR="00C32B73" w:rsidRDefault="002361DB" w:rsidP="00C32B73">
      <w:pPr>
        <w:pStyle w:val="quopteJCB-source"/>
        <w:spacing w:before="0"/>
      </w:pPr>
      <w:r>
        <w:t>October 2016 (Round 3),</w:t>
      </w:r>
      <w:r w:rsidR="00C32B73">
        <w:t xml:space="preserve"> received JCB,</w:t>
      </w:r>
      <w:r w:rsidR="00C32B73" w:rsidRPr="00DD2B7C">
        <w:t xml:space="preserve"> </w:t>
      </w:r>
      <w:r w:rsidR="00C32B73">
        <w:t>focus group, Melbourne</w:t>
      </w:r>
    </w:p>
    <w:p w:rsidR="00C32B73" w:rsidRPr="00B160DE" w:rsidRDefault="00C32B73" w:rsidP="007D2ECC">
      <w:pPr>
        <w:pStyle w:val="QuotationJCB"/>
      </w:pPr>
      <w:r w:rsidRPr="00B160DE">
        <w:lastRenderedPageBreak/>
        <w:t>I am motivated by money, but the time, like a year that’s a long time. Like it can be a short time but it gets to a point where you forget about it like we all did</w:t>
      </w:r>
      <w:r>
        <w:t>.</w:t>
      </w:r>
    </w:p>
    <w:p w:rsidR="00AE521E" w:rsidRDefault="002361DB" w:rsidP="007D2ECC">
      <w:pPr>
        <w:pStyle w:val="quopteJCB-source"/>
        <w:spacing w:before="0"/>
      </w:pPr>
      <w:r>
        <w:t>October 2016 (Round 3),</w:t>
      </w:r>
      <w:r w:rsidR="00C32B73">
        <w:t xml:space="preserve"> received JCB,</w:t>
      </w:r>
      <w:r w:rsidR="00C32B73" w:rsidRPr="00DD2B7C">
        <w:t xml:space="preserve"> </w:t>
      </w:r>
      <w:r w:rsidR="00C32B73">
        <w:t>focus group, Adelaide</w:t>
      </w:r>
      <w:r w:rsidR="00AE521E">
        <w:br w:type="page"/>
      </w:r>
    </w:p>
    <w:p w:rsidR="00C32B73" w:rsidRDefault="00C32B73" w:rsidP="007D2ECC">
      <w:pPr>
        <w:pStyle w:val="quopteJCB-source"/>
        <w:spacing w:before="0"/>
      </w:pPr>
    </w:p>
    <w:p w:rsidR="00452544" w:rsidRDefault="00452544" w:rsidP="00452544">
      <w:pPr>
        <w:keepNext/>
        <w:pBdr>
          <w:top w:val="single" w:sz="4" w:space="1" w:color="auto"/>
          <w:left w:val="single" w:sz="4" w:space="4" w:color="auto"/>
          <w:right w:val="single" w:sz="4" w:space="4" w:color="auto"/>
        </w:pBdr>
        <w:shd w:val="clear" w:color="auto" w:fill="DDDDDD"/>
        <w:spacing w:after="0"/>
        <w:rPr>
          <w:b/>
          <w:i/>
        </w:rPr>
      </w:pPr>
      <w:r w:rsidRPr="00452544">
        <w:rPr>
          <w:b/>
          <w:i/>
        </w:rPr>
        <w:t>Example</w:t>
      </w:r>
      <w:r>
        <w:rPr>
          <w:b/>
          <w:i/>
        </w:rPr>
        <w:t>:</w:t>
      </w:r>
    </w:p>
    <w:p w:rsidR="00C32B73" w:rsidRPr="00B270F6" w:rsidRDefault="00C32B73" w:rsidP="00452544">
      <w:pPr>
        <w:keepNext/>
        <w:pBdr>
          <w:left w:val="single" w:sz="4" w:space="4" w:color="auto"/>
          <w:bottom w:val="single" w:sz="4" w:space="1" w:color="auto"/>
          <w:right w:val="single" w:sz="4" w:space="4" w:color="auto"/>
        </w:pBdr>
        <w:shd w:val="clear" w:color="auto" w:fill="DDDDDD"/>
        <w:rPr>
          <w:sz w:val="20"/>
          <w:szCs w:val="20"/>
        </w:rPr>
      </w:pPr>
      <w:r w:rsidRPr="00B270F6">
        <w:rPr>
          <w:sz w:val="20"/>
          <w:szCs w:val="20"/>
        </w:rPr>
        <w:t>The discounted future value placed on the bonus payment depend</w:t>
      </w:r>
      <w:r w:rsidR="00F16460">
        <w:rPr>
          <w:sz w:val="20"/>
          <w:szCs w:val="20"/>
        </w:rPr>
        <w:t xml:space="preserve">ed </w:t>
      </w:r>
      <w:r w:rsidRPr="00B270F6">
        <w:rPr>
          <w:sz w:val="20"/>
          <w:szCs w:val="20"/>
        </w:rPr>
        <w:t xml:space="preserve">on </w:t>
      </w:r>
      <w:r w:rsidR="00F16460">
        <w:rPr>
          <w:sz w:val="20"/>
          <w:szCs w:val="20"/>
        </w:rPr>
        <w:t>the</w:t>
      </w:r>
      <w:r w:rsidRPr="00B270F6">
        <w:rPr>
          <w:sz w:val="20"/>
          <w:szCs w:val="20"/>
        </w:rPr>
        <w:t xml:space="preserve"> </w:t>
      </w:r>
      <w:r w:rsidR="000D0D35">
        <w:rPr>
          <w:sz w:val="20"/>
          <w:szCs w:val="20"/>
        </w:rPr>
        <w:t xml:space="preserve">belief in the </w:t>
      </w:r>
      <w:r w:rsidRPr="00B270F6">
        <w:rPr>
          <w:sz w:val="20"/>
          <w:szCs w:val="20"/>
        </w:rPr>
        <w:t>likel</w:t>
      </w:r>
      <w:r w:rsidR="00F16460">
        <w:rPr>
          <w:sz w:val="20"/>
          <w:szCs w:val="20"/>
        </w:rPr>
        <w:t>ihood</w:t>
      </w:r>
      <w:r w:rsidR="000D0D35">
        <w:rPr>
          <w:sz w:val="20"/>
          <w:szCs w:val="20"/>
        </w:rPr>
        <w:t xml:space="preserve"> of attaining </w:t>
      </w:r>
      <w:r w:rsidRPr="00B270F6">
        <w:rPr>
          <w:sz w:val="20"/>
          <w:szCs w:val="20"/>
        </w:rPr>
        <w:t xml:space="preserve">it (Figure </w:t>
      </w:r>
      <w:r w:rsidR="008E07C7">
        <w:rPr>
          <w:sz w:val="20"/>
          <w:szCs w:val="20"/>
        </w:rPr>
        <w:t>4.</w:t>
      </w:r>
      <w:r w:rsidR="00D91D5C">
        <w:rPr>
          <w:sz w:val="20"/>
          <w:szCs w:val="20"/>
        </w:rPr>
        <w:t>4</w:t>
      </w:r>
      <w:r w:rsidRPr="00B270F6">
        <w:rPr>
          <w:sz w:val="20"/>
          <w:szCs w:val="20"/>
        </w:rPr>
        <w:t>). The remaining length of time required to qualify affect</w:t>
      </w:r>
      <w:r w:rsidR="000D0D35">
        <w:rPr>
          <w:sz w:val="20"/>
          <w:szCs w:val="20"/>
        </w:rPr>
        <w:t>ed</w:t>
      </w:r>
      <w:r w:rsidRPr="00B270F6">
        <w:rPr>
          <w:sz w:val="20"/>
          <w:szCs w:val="20"/>
        </w:rPr>
        <w:t xml:space="preserve"> the perceived probability of attaining the bonus. The greater the perceived chance of getting the bonus, the greater</w:t>
      </w:r>
      <w:r w:rsidR="000D0D35">
        <w:rPr>
          <w:sz w:val="20"/>
          <w:szCs w:val="20"/>
        </w:rPr>
        <w:t xml:space="preserve"> its assigned the</w:t>
      </w:r>
      <w:r w:rsidRPr="00B270F6">
        <w:rPr>
          <w:sz w:val="20"/>
          <w:szCs w:val="20"/>
        </w:rPr>
        <w:t xml:space="preserve"> future. Assuming a linear relationship</w:t>
      </w:r>
      <w:r>
        <w:rPr>
          <w:rStyle w:val="FootnoteReference"/>
          <w:sz w:val="20"/>
          <w:szCs w:val="20"/>
        </w:rPr>
        <w:footnoteReference w:id="60"/>
      </w:r>
      <w:r w:rsidRPr="00B270F6">
        <w:rPr>
          <w:sz w:val="20"/>
          <w:szCs w:val="20"/>
        </w:rPr>
        <w:t xml:space="preserve"> between the </w:t>
      </w:r>
      <w:r>
        <w:rPr>
          <w:sz w:val="20"/>
          <w:szCs w:val="20"/>
        </w:rPr>
        <w:t xml:space="preserve">discounted </w:t>
      </w:r>
      <w:r w:rsidRPr="00B270F6">
        <w:rPr>
          <w:sz w:val="20"/>
          <w:szCs w:val="20"/>
        </w:rPr>
        <w:t xml:space="preserve">future value and perceived likelihood of attaining the bonus, the following diagram shows how the discounted future value would </w:t>
      </w:r>
      <w:r>
        <w:rPr>
          <w:sz w:val="20"/>
          <w:szCs w:val="20"/>
        </w:rPr>
        <w:t>change</w:t>
      </w:r>
      <w:r w:rsidRPr="00B270F6">
        <w:rPr>
          <w:sz w:val="20"/>
          <w:szCs w:val="20"/>
        </w:rPr>
        <w:t>.</w:t>
      </w:r>
    </w:p>
    <w:p w:rsidR="00C32B73" w:rsidRPr="0058236E" w:rsidRDefault="00FB4E23" w:rsidP="00452544">
      <w:pPr>
        <w:keepNext/>
        <w:pBdr>
          <w:left w:val="single" w:sz="4" w:space="4" w:color="auto"/>
          <w:bottom w:val="single" w:sz="4" w:space="1" w:color="auto"/>
          <w:right w:val="single" w:sz="4" w:space="4" w:color="auto"/>
        </w:pBdr>
        <w:shd w:val="clear" w:color="auto" w:fill="DDDDDD"/>
        <w:spacing w:before="240"/>
        <w:contextualSpacing/>
      </w:pPr>
      <w:bookmarkStart w:id="182" w:name="_Toc507600285"/>
      <w:r>
        <w:rPr>
          <w:rStyle w:val="FigureCaptionChar"/>
        </w:rPr>
        <w:t>Figure 4</w:t>
      </w:r>
      <w:r w:rsidR="00C32B73" w:rsidRPr="0058236E">
        <w:rPr>
          <w:rStyle w:val="FigureCaptionChar"/>
        </w:rPr>
        <w:t>.</w:t>
      </w:r>
      <w:r w:rsidR="00D91D5C">
        <w:rPr>
          <w:rStyle w:val="FigureCaptionChar"/>
        </w:rPr>
        <w:t>4</w:t>
      </w:r>
      <w:r w:rsidR="00C32B73">
        <w:rPr>
          <w:rStyle w:val="FigureCaptionChar"/>
        </w:rPr>
        <w:t>: Discounted f</w:t>
      </w:r>
      <w:r w:rsidR="00C32B73" w:rsidRPr="0058236E">
        <w:rPr>
          <w:rStyle w:val="FigureCaptionChar"/>
        </w:rPr>
        <w:t>uture value placed on the bonus</w:t>
      </w:r>
      <w:bookmarkEnd w:id="182"/>
      <w:r w:rsidR="00C32B73" w:rsidRPr="0058236E">
        <w:t xml:space="preserve"> </w:t>
      </w:r>
    </w:p>
    <w:p w:rsidR="00C32B73" w:rsidRPr="0058236E" w:rsidRDefault="00C32B73" w:rsidP="00452544">
      <w:pPr>
        <w:keepNext/>
        <w:pBdr>
          <w:left w:val="single" w:sz="4" w:space="4" w:color="auto"/>
          <w:bottom w:val="single" w:sz="4" w:space="1" w:color="auto"/>
          <w:right w:val="single" w:sz="4" w:space="4" w:color="auto"/>
        </w:pBdr>
        <w:shd w:val="clear" w:color="auto" w:fill="DDDDDD"/>
        <w:rPr>
          <w:sz w:val="20"/>
          <w:szCs w:val="20"/>
        </w:rPr>
      </w:pPr>
      <w:r w:rsidRPr="00481DC6">
        <w:rPr>
          <w:noProof/>
          <w:lang w:eastAsia="en-AU"/>
        </w:rPr>
        <w:drawing>
          <wp:inline distT="0" distB="0" distL="0" distR="0" wp14:anchorId="212BE29F" wp14:editId="2BA1BF83">
            <wp:extent cx="4053482" cy="2678573"/>
            <wp:effectExtent l="0" t="0" r="4445" b="7620"/>
            <wp:docPr id="24" name="Picture 24" descr="This provides an example of a possible relationship between the perceived likelihood of obtaining the bonus and the discounted future value placed on it, assuming a simple linear relationship. A line is drawn from the intersection of the two axes (0%, $0 discounted future value) that is, the bottom left hand corner of the graph, diagonally to the top right hand side of the graph (representing 100% certainty, $2,500 full val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053183" cy="2678375"/>
                    </a:xfrm>
                    <a:prstGeom prst="rect">
                      <a:avLst/>
                    </a:prstGeom>
                    <a:noFill/>
                    <a:ln>
                      <a:noFill/>
                    </a:ln>
                  </pic:spPr>
                </pic:pic>
              </a:graphicData>
            </a:graphic>
          </wp:inline>
        </w:drawing>
      </w:r>
    </w:p>
    <w:p w:rsidR="00C32B73" w:rsidRPr="00B270F6" w:rsidRDefault="00C32B73" w:rsidP="00452544">
      <w:pPr>
        <w:keepNext/>
        <w:pBdr>
          <w:left w:val="single" w:sz="4" w:space="4" w:color="auto"/>
          <w:bottom w:val="single" w:sz="4" w:space="1" w:color="auto"/>
          <w:right w:val="single" w:sz="4" w:space="4" w:color="auto"/>
        </w:pBdr>
        <w:shd w:val="clear" w:color="auto" w:fill="DDDDDD"/>
        <w:spacing w:after="120"/>
        <w:rPr>
          <w:sz w:val="20"/>
          <w:szCs w:val="20"/>
        </w:rPr>
      </w:pPr>
      <w:r w:rsidRPr="00B270F6">
        <w:rPr>
          <w:sz w:val="20"/>
          <w:szCs w:val="20"/>
        </w:rPr>
        <w:t>For example</w:t>
      </w:r>
      <w:r>
        <w:rPr>
          <w:sz w:val="20"/>
          <w:szCs w:val="20"/>
        </w:rPr>
        <w:t>, those who thought that they</w:t>
      </w:r>
      <w:r w:rsidRPr="00B270F6">
        <w:rPr>
          <w:sz w:val="20"/>
          <w:szCs w:val="20"/>
        </w:rPr>
        <w:t>:</w:t>
      </w:r>
    </w:p>
    <w:p w:rsidR="00C32B73" w:rsidRPr="00B270F6" w:rsidRDefault="00C32B73" w:rsidP="00452544">
      <w:pPr>
        <w:pStyle w:val="ListParagraph"/>
        <w:keepNext/>
        <w:numPr>
          <w:ilvl w:val="0"/>
          <w:numId w:val="38"/>
        </w:numPr>
        <w:pBdr>
          <w:left w:val="single" w:sz="4" w:space="4" w:color="auto"/>
          <w:bottom w:val="single" w:sz="4" w:space="1" w:color="auto"/>
          <w:right w:val="single" w:sz="4" w:space="4" w:color="auto"/>
        </w:pBdr>
        <w:shd w:val="clear" w:color="auto" w:fill="DDDDDD"/>
        <w:spacing w:after="120" w:line="240" w:lineRule="auto"/>
        <w:ind w:left="425" w:hanging="425"/>
        <w:contextualSpacing w:val="0"/>
        <w:rPr>
          <w:sz w:val="20"/>
          <w:szCs w:val="20"/>
        </w:rPr>
      </w:pPr>
      <w:r w:rsidRPr="00B270F6">
        <w:rPr>
          <w:sz w:val="20"/>
          <w:szCs w:val="20"/>
        </w:rPr>
        <w:t xml:space="preserve">had no chance of achieving the bonus would have given it a </w:t>
      </w:r>
      <w:r>
        <w:rPr>
          <w:sz w:val="20"/>
          <w:szCs w:val="20"/>
        </w:rPr>
        <w:t xml:space="preserve">discounted </w:t>
      </w:r>
      <w:r w:rsidRPr="00B270F6">
        <w:rPr>
          <w:sz w:val="20"/>
          <w:szCs w:val="20"/>
        </w:rPr>
        <w:t>future value of $0</w:t>
      </w:r>
    </w:p>
    <w:p w:rsidR="00C32B73" w:rsidRPr="00B270F6" w:rsidRDefault="00C32B73" w:rsidP="00452544">
      <w:pPr>
        <w:pStyle w:val="ListParagraph"/>
        <w:keepNext/>
        <w:numPr>
          <w:ilvl w:val="0"/>
          <w:numId w:val="38"/>
        </w:numPr>
        <w:pBdr>
          <w:left w:val="single" w:sz="4" w:space="4" w:color="auto"/>
          <w:bottom w:val="single" w:sz="4" w:space="1" w:color="auto"/>
          <w:right w:val="single" w:sz="4" w:space="4" w:color="auto"/>
        </w:pBdr>
        <w:shd w:val="clear" w:color="auto" w:fill="DDDDDD"/>
        <w:spacing w:after="120" w:line="240" w:lineRule="auto"/>
        <w:ind w:left="425" w:hanging="425"/>
        <w:contextualSpacing w:val="0"/>
        <w:rPr>
          <w:sz w:val="20"/>
          <w:szCs w:val="20"/>
        </w:rPr>
      </w:pPr>
      <w:r w:rsidRPr="00B270F6">
        <w:rPr>
          <w:sz w:val="20"/>
          <w:szCs w:val="20"/>
        </w:rPr>
        <w:t>had a 25</w:t>
      </w:r>
      <w:r w:rsidR="007D50A5">
        <w:rPr>
          <w:sz w:val="20"/>
          <w:szCs w:val="20"/>
        </w:rPr>
        <w:t xml:space="preserve"> per cent</w:t>
      </w:r>
      <w:r w:rsidR="007D50A5" w:rsidRPr="00B270F6">
        <w:rPr>
          <w:sz w:val="20"/>
          <w:szCs w:val="20"/>
        </w:rPr>
        <w:t xml:space="preserve"> </w:t>
      </w:r>
      <w:r w:rsidRPr="00B270F6">
        <w:rPr>
          <w:sz w:val="20"/>
          <w:szCs w:val="20"/>
        </w:rPr>
        <w:t xml:space="preserve">chance of achieving the bonus would have given it a </w:t>
      </w:r>
      <w:r>
        <w:rPr>
          <w:sz w:val="20"/>
          <w:szCs w:val="20"/>
        </w:rPr>
        <w:t xml:space="preserve">discounted </w:t>
      </w:r>
      <w:r w:rsidRPr="00B270F6">
        <w:rPr>
          <w:sz w:val="20"/>
          <w:szCs w:val="20"/>
        </w:rPr>
        <w:t>future value of $625</w:t>
      </w:r>
    </w:p>
    <w:p w:rsidR="00C32B73" w:rsidRPr="00B270F6" w:rsidRDefault="00C32B73" w:rsidP="00452544">
      <w:pPr>
        <w:pStyle w:val="ListParagraph"/>
        <w:keepNext/>
        <w:numPr>
          <w:ilvl w:val="0"/>
          <w:numId w:val="38"/>
        </w:numPr>
        <w:pBdr>
          <w:left w:val="single" w:sz="4" w:space="4" w:color="auto"/>
          <w:bottom w:val="single" w:sz="4" w:space="1" w:color="auto"/>
          <w:right w:val="single" w:sz="4" w:space="4" w:color="auto"/>
        </w:pBdr>
        <w:shd w:val="clear" w:color="auto" w:fill="DDDDDD"/>
        <w:spacing w:after="120" w:line="240" w:lineRule="auto"/>
        <w:ind w:left="425" w:hanging="425"/>
        <w:contextualSpacing w:val="0"/>
        <w:rPr>
          <w:sz w:val="20"/>
          <w:szCs w:val="20"/>
        </w:rPr>
      </w:pPr>
      <w:r w:rsidRPr="00B270F6">
        <w:rPr>
          <w:sz w:val="20"/>
          <w:szCs w:val="20"/>
        </w:rPr>
        <w:t xml:space="preserve">were certain they would achieve the bonus would have given it a </w:t>
      </w:r>
      <w:r>
        <w:rPr>
          <w:sz w:val="20"/>
          <w:szCs w:val="20"/>
        </w:rPr>
        <w:t xml:space="preserve">discounted </w:t>
      </w:r>
      <w:r w:rsidRPr="00B270F6">
        <w:rPr>
          <w:sz w:val="20"/>
          <w:szCs w:val="20"/>
        </w:rPr>
        <w:t>future value of $2,500.</w:t>
      </w:r>
    </w:p>
    <w:p w:rsidR="00C32B73" w:rsidRPr="00B270F6" w:rsidRDefault="00C32B73" w:rsidP="00452544">
      <w:pPr>
        <w:keepNext/>
        <w:pBdr>
          <w:left w:val="single" w:sz="4" w:space="4" w:color="auto"/>
          <w:bottom w:val="single" w:sz="4" w:space="1" w:color="auto"/>
          <w:right w:val="single" w:sz="4" w:space="4" w:color="auto"/>
        </w:pBdr>
        <w:shd w:val="clear" w:color="auto" w:fill="DDDDDD"/>
        <w:spacing w:before="240" w:after="120"/>
        <w:rPr>
          <w:sz w:val="20"/>
          <w:szCs w:val="20"/>
        </w:rPr>
      </w:pPr>
      <w:r w:rsidRPr="00B270F6">
        <w:rPr>
          <w:sz w:val="20"/>
          <w:szCs w:val="20"/>
        </w:rPr>
        <w:t xml:space="preserve">For someone who earned $31,000 in the 12-month period (after tax and Medicare levy deductions) the additional impact on their overall financial situation of adding the </w:t>
      </w:r>
      <w:r>
        <w:rPr>
          <w:sz w:val="20"/>
          <w:szCs w:val="20"/>
        </w:rPr>
        <w:t xml:space="preserve">discounted </w:t>
      </w:r>
      <w:r w:rsidRPr="00B270F6">
        <w:rPr>
          <w:sz w:val="20"/>
          <w:szCs w:val="20"/>
        </w:rPr>
        <w:t>future value of the bonus to their annual income was:</w:t>
      </w:r>
    </w:p>
    <w:p w:rsidR="00C32B73" w:rsidRPr="00B270F6" w:rsidRDefault="00C32B73" w:rsidP="00452544">
      <w:pPr>
        <w:pStyle w:val="ListParagraph"/>
        <w:keepNext/>
        <w:numPr>
          <w:ilvl w:val="0"/>
          <w:numId w:val="38"/>
        </w:numPr>
        <w:pBdr>
          <w:left w:val="single" w:sz="4" w:space="4" w:color="auto"/>
          <w:bottom w:val="single" w:sz="4" w:space="1" w:color="auto"/>
          <w:right w:val="single" w:sz="4" w:space="4" w:color="auto"/>
        </w:pBdr>
        <w:shd w:val="clear" w:color="auto" w:fill="DDDDDD"/>
        <w:spacing w:after="120" w:line="240" w:lineRule="auto"/>
        <w:ind w:left="425" w:hanging="425"/>
        <w:contextualSpacing w:val="0"/>
        <w:rPr>
          <w:sz w:val="20"/>
          <w:szCs w:val="20"/>
        </w:rPr>
      </w:pPr>
      <w:r w:rsidRPr="00B270F6">
        <w:rPr>
          <w:sz w:val="20"/>
          <w:szCs w:val="20"/>
        </w:rPr>
        <w:t>2</w:t>
      </w:r>
      <w:r w:rsidR="007D50A5">
        <w:rPr>
          <w:sz w:val="20"/>
          <w:szCs w:val="20"/>
        </w:rPr>
        <w:t xml:space="preserve"> per cent</w:t>
      </w:r>
      <w:r w:rsidRPr="00B270F6">
        <w:rPr>
          <w:sz w:val="20"/>
          <w:szCs w:val="20"/>
        </w:rPr>
        <w:t xml:space="preserve"> increase for those who thought they had a 25% chance of achieving the bonus</w:t>
      </w:r>
    </w:p>
    <w:p w:rsidR="00C32B73" w:rsidRPr="00B270F6" w:rsidRDefault="00C32B73" w:rsidP="00452544">
      <w:pPr>
        <w:pStyle w:val="ListParagraph"/>
        <w:keepNext/>
        <w:numPr>
          <w:ilvl w:val="0"/>
          <w:numId w:val="38"/>
        </w:numPr>
        <w:pBdr>
          <w:left w:val="single" w:sz="4" w:space="4" w:color="auto"/>
          <w:bottom w:val="single" w:sz="4" w:space="1" w:color="auto"/>
          <w:right w:val="single" w:sz="4" w:space="4" w:color="auto"/>
        </w:pBdr>
        <w:shd w:val="clear" w:color="auto" w:fill="DDDDDD"/>
        <w:spacing w:after="120" w:line="240" w:lineRule="auto"/>
        <w:ind w:left="425" w:hanging="425"/>
        <w:contextualSpacing w:val="0"/>
        <w:rPr>
          <w:sz w:val="20"/>
          <w:szCs w:val="20"/>
        </w:rPr>
      </w:pPr>
      <w:r w:rsidRPr="00B270F6">
        <w:rPr>
          <w:sz w:val="20"/>
          <w:szCs w:val="20"/>
        </w:rPr>
        <w:t>8</w:t>
      </w:r>
      <w:r w:rsidR="007D50A5">
        <w:rPr>
          <w:sz w:val="20"/>
          <w:szCs w:val="20"/>
        </w:rPr>
        <w:t xml:space="preserve"> per cent</w:t>
      </w:r>
      <w:r w:rsidRPr="00B270F6">
        <w:rPr>
          <w:sz w:val="20"/>
          <w:szCs w:val="20"/>
        </w:rPr>
        <w:t xml:space="preserve"> increase for those who were certain they would achieve the bonus.</w:t>
      </w:r>
    </w:p>
    <w:p w:rsidR="00C32B73" w:rsidRPr="00CC1B9F" w:rsidRDefault="00C32B73" w:rsidP="0034528E">
      <w:pPr>
        <w:spacing w:before="240"/>
        <w:rPr>
          <w:color w:val="000000" w:themeColor="text1"/>
        </w:rPr>
      </w:pPr>
      <w:r>
        <w:rPr>
          <w:color w:val="000000" w:themeColor="text1"/>
        </w:rPr>
        <w:t xml:space="preserve">Participants felt </w:t>
      </w:r>
      <w:r w:rsidRPr="00CC1B9F">
        <w:rPr>
          <w:color w:val="000000" w:themeColor="text1"/>
        </w:rPr>
        <w:t xml:space="preserve">the </w:t>
      </w:r>
      <w:r>
        <w:rPr>
          <w:color w:val="000000" w:themeColor="text1"/>
        </w:rPr>
        <w:t>bonus</w:t>
      </w:r>
      <w:r w:rsidRPr="00CC1B9F">
        <w:rPr>
          <w:color w:val="000000" w:themeColor="text1"/>
        </w:rPr>
        <w:t xml:space="preserve"> would </w:t>
      </w:r>
      <w:r>
        <w:rPr>
          <w:color w:val="000000" w:themeColor="text1"/>
        </w:rPr>
        <w:t xml:space="preserve">most likely </w:t>
      </w:r>
      <w:r w:rsidRPr="00CC1B9F">
        <w:rPr>
          <w:color w:val="000000" w:themeColor="text1"/>
        </w:rPr>
        <w:t>have only a marginal increase on job search motivation.</w:t>
      </w:r>
    </w:p>
    <w:p w:rsidR="00C32B73" w:rsidRDefault="00C32B73" w:rsidP="00E350F7">
      <w:pPr>
        <w:pStyle w:val="ListParagraph"/>
        <w:numPr>
          <w:ilvl w:val="0"/>
          <w:numId w:val="50"/>
        </w:numPr>
        <w:rPr>
          <w:color w:val="000000" w:themeColor="text1"/>
        </w:rPr>
      </w:pPr>
      <w:r>
        <w:rPr>
          <w:color w:val="000000" w:themeColor="text1"/>
        </w:rPr>
        <w:t>For those already motivated to gain employment they believed it would make only a small difference.</w:t>
      </w:r>
    </w:p>
    <w:p w:rsidR="00C32B73" w:rsidRDefault="00C32B73" w:rsidP="00C32B73">
      <w:pPr>
        <w:pStyle w:val="QuotationJCB"/>
        <w:keepNext w:val="0"/>
      </w:pPr>
      <w:r w:rsidRPr="00CC1B9F">
        <w:rPr>
          <w:rFonts w:eastAsia="Times New Roman"/>
          <w:lang w:eastAsia="en-AU"/>
        </w:rPr>
        <w:lastRenderedPageBreak/>
        <w:t>There’s the people that are already motivated, they want to get a job because of the job. So it wouldn’t really factor too much into their decision-making, but it would be something that they would be like oh yeah I can get that, that’s great…. They want to kind of be in a job for themselves, to be able to improve themselves, to be able to make money and be able to live a better life.</w:t>
      </w:r>
    </w:p>
    <w:p w:rsidR="00C32B73" w:rsidRDefault="002361DB" w:rsidP="00C32B73">
      <w:pPr>
        <w:pStyle w:val="quopteJCB-source"/>
        <w:spacing w:before="0"/>
      </w:pPr>
      <w:r>
        <w:t>October 2016 (Round 3),</w:t>
      </w:r>
      <w:r w:rsidR="00C32B73">
        <w:t xml:space="preserve"> received JCB, interview, regional NSW</w:t>
      </w:r>
    </w:p>
    <w:p w:rsidR="00C32B73" w:rsidRDefault="00C32B73" w:rsidP="00C32B73">
      <w:pPr>
        <w:pStyle w:val="quopteJCB-source"/>
        <w:spacing w:before="0"/>
      </w:pPr>
    </w:p>
    <w:p w:rsidR="00C32B73" w:rsidRPr="00A95FA3" w:rsidRDefault="00C32B73" w:rsidP="00E350F7">
      <w:pPr>
        <w:pStyle w:val="ListParagraph"/>
        <w:numPr>
          <w:ilvl w:val="0"/>
          <w:numId w:val="50"/>
        </w:numPr>
        <w:rPr>
          <w:color w:val="000000" w:themeColor="text1"/>
        </w:rPr>
      </w:pPr>
      <w:r>
        <w:rPr>
          <w:color w:val="000000" w:themeColor="text1"/>
        </w:rPr>
        <w:t>While they felt that it was</w:t>
      </w:r>
      <w:r w:rsidRPr="00A95FA3">
        <w:rPr>
          <w:color w:val="000000" w:themeColor="text1"/>
        </w:rPr>
        <w:t xml:space="preserve"> unlikely to improve motivation for someone who had </w:t>
      </w:r>
      <w:r>
        <w:rPr>
          <w:color w:val="000000" w:themeColor="text1"/>
        </w:rPr>
        <w:t>next to no</w:t>
      </w:r>
      <w:r w:rsidRPr="00A95FA3">
        <w:rPr>
          <w:color w:val="000000" w:themeColor="text1"/>
        </w:rPr>
        <w:t xml:space="preserve"> motivation to obtain </w:t>
      </w:r>
      <w:r>
        <w:rPr>
          <w:color w:val="000000" w:themeColor="text1"/>
        </w:rPr>
        <w:t>a job.</w:t>
      </w:r>
    </w:p>
    <w:p w:rsidR="00C32B73" w:rsidRPr="00A95FA3" w:rsidRDefault="00C32B73" w:rsidP="00C32B73">
      <w:pPr>
        <w:pStyle w:val="QuotationJCB"/>
        <w:keepNext w:val="0"/>
        <w:rPr>
          <w:rFonts w:eastAsia="Times New Roman"/>
          <w:lang w:eastAsia="en-AU"/>
        </w:rPr>
      </w:pPr>
      <w:r w:rsidRPr="00A95FA3">
        <w:rPr>
          <w:rFonts w:eastAsia="Times New Roman"/>
          <w:lang w:eastAsia="en-AU"/>
        </w:rPr>
        <w:t>I can’t see that being a massive motivator though. Like yeah, as someone said, you have people who want to work, they will look at that and go great, now I just want to work more, so they are in the same boat. And people who don’t want to work, still won’t want to work.</w:t>
      </w:r>
    </w:p>
    <w:p w:rsidR="00C32B73" w:rsidRPr="00A95FA3" w:rsidRDefault="002361DB" w:rsidP="00C32B73">
      <w:pPr>
        <w:pStyle w:val="quopteJCB-source"/>
        <w:spacing w:before="0"/>
      </w:pPr>
      <w:r>
        <w:t>March 2015 (Round 1),</w:t>
      </w:r>
      <w:r w:rsidR="00C32B73">
        <w:t xml:space="preserve"> </w:t>
      </w:r>
      <w:r w:rsidR="00C32B73" w:rsidRPr="00A95FA3">
        <w:t>Male, 18</w:t>
      </w:r>
      <w:r w:rsidR="00C32B73">
        <w:t xml:space="preserve"> to </w:t>
      </w:r>
      <w:r w:rsidR="00C32B73" w:rsidRPr="00A95FA3">
        <w:t>30 years, regional</w:t>
      </w:r>
      <w:r w:rsidR="00C32B73">
        <w:t xml:space="preserve"> Victoria</w:t>
      </w:r>
      <w:r w:rsidR="00C32B73" w:rsidRPr="00A95FA3">
        <w:t>, employed</w:t>
      </w:r>
    </w:p>
    <w:p w:rsidR="00C32B73" w:rsidRPr="00A95FA3" w:rsidRDefault="00C32B73" w:rsidP="007D2ECC">
      <w:pPr>
        <w:pStyle w:val="QuotationJCB"/>
        <w:keepNext w:val="0"/>
        <w:rPr>
          <w:rFonts w:eastAsia="Times New Roman"/>
          <w:lang w:eastAsia="en-AU"/>
        </w:rPr>
      </w:pPr>
      <w:r w:rsidRPr="00A95FA3">
        <w:rPr>
          <w:rFonts w:eastAsia="Times New Roman"/>
          <w:lang w:eastAsia="en-AU"/>
        </w:rPr>
        <w:t>Sounds good. But I mean we are trying to get a job anyway, the bonus, I don’t think, it would be nice to have and I’m not upset that I’d be eligible for it, but I’m still going to try and get a</w:t>
      </w:r>
      <w:r w:rsidR="00F1247B">
        <w:rPr>
          <w:rFonts w:eastAsia="Times New Roman"/>
          <w:lang w:eastAsia="en-AU"/>
        </w:rPr>
        <w:t xml:space="preserve"> job whether it’s there or not.</w:t>
      </w:r>
    </w:p>
    <w:p w:rsidR="00C32B73" w:rsidRDefault="002361DB" w:rsidP="007D2ECC">
      <w:pPr>
        <w:pStyle w:val="quopteJCB-source"/>
        <w:spacing w:before="0"/>
      </w:pPr>
      <w:r>
        <w:t>March 2015 (Round 1),</w:t>
      </w:r>
      <w:r w:rsidR="00C32B73">
        <w:t xml:space="preserve"> </w:t>
      </w:r>
      <w:r w:rsidR="00C32B73" w:rsidRPr="00A95FA3">
        <w:t xml:space="preserve">Male, </w:t>
      </w:r>
      <w:r w:rsidR="00C32B73">
        <w:t>under 25</w:t>
      </w:r>
      <w:r w:rsidR="00C32B73" w:rsidRPr="00A95FA3">
        <w:t xml:space="preserve"> years, regional</w:t>
      </w:r>
      <w:r w:rsidR="00C32B73">
        <w:t xml:space="preserve"> Queensland</w:t>
      </w:r>
      <w:r w:rsidR="00C32B73" w:rsidRPr="00A95FA3">
        <w:t>, unemployed</w:t>
      </w:r>
    </w:p>
    <w:p w:rsidR="00C32B73" w:rsidRDefault="00C32B73" w:rsidP="00C32B73">
      <w:pPr>
        <w:pStyle w:val="QuotationJCB"/>
      </w:pPr>
      <w:r>
        <w:t xml:space="preserve">There are ones that just want to bludge off the government and don’t want to get a job and I think you are not going to get those people off. But people like us that want to get out there and get a job, yeah you will definitely get them off. But I think it just comes down </w:t>
      </w:r>
      <w:r w:rsidR="00F1247B">
        <w:t>to what type of person you are.</w:t>
      </w:r>
    </w:p>
    <w:p w:rsidR="00C32B73" w:rsidRPr="00A95FA3" w:rsidRDefault="002361DB" w:rsidP="007D2ECC">
      <w:pPr>
        <w:pStyle w:val="quopteJCB-source"/>
        <w:spacing w:before="0"/>
      </w:pPr>
      <w:r>
        <w:t>October 2016 (Round 3),</w:t>
      </w:r>
      <w:r w:rsidR="00C32B73">
        <w:t xml:space="preserve"> not yet claimed, focus group, Brisbane</w:t>
      </w:r>
    </w:p>
    <w:p w:rsidR="00C32B73" w:rsidRPr="00D44E38" w:rsidRDefault="00C32B73" w:rsidP="00E350F7">
      <w:pPr>
        <w:pStyle w:val="ListParagraph"/>
        <w:numPr>
          <w:ilvl w:val="0"/>
          <w:numId w:val="49"/>
        </w:numPr>
        <w:spacing w:before="120"/>
        <w:rPr>
          <w:color w:val="000000" w:themeColor="text1"/>
        </w:rPr>
      </w:pPr>
      <w:r>
        <w:rPr>
          <w:color w:val="000000" w:themeColor="text1"/>
        </w:rPr>
        <w:t>And while they believed it had the potential to incrementally improve job search motivation f</w:t>
      </w:r>
      <w:r w:rsidRPr="00D44E38">
        <w:rPr>
          <w:color w:val="000000" w:themeColor="text1"/>
        </w:rPr>
        <w:t xml:space="preserve">or those with </w:t>
      </w:r>
      <w:r>
        <w:rPr>
          <w:color w:val="000000" w:themeColor="text1"/>
        </w:rPr>
        <w:t xml:space="preserve">low </w:t>
      </w:r>
      <w:r w:rsidRPr="00D44E38">
        <w:rPr>
          <w:color w:val="000000" w:themeColor="text1"/>
        </w:rPr>
        <w:t>motivation</w:t>
      </w:r>
      <w:r>
        <w:rPr>
          <w:color w:val="000000" w:themeColor="text1"/>
        </w:rPr>
        <w:t xml:space="preserve">, it </w:t>
      </w:r>
      <w:r w:rsidRPr="00D44E38">
        <w:rPr>
          <w:color w:val="000000" w:themeColor="text1"/>
        </w:rPr>
        <w:t>was unlikely to provide sufficient incentive to shift motivation from very negative to positive.</w:t>
      </w:r>
    </w:p>
    <w:p w:rsidR="00C32B73" w:rsidRDefault="00C32B73" w:rsidP="00C32B73">
      <w:pPr>
        <w:pStyle w:val="QuotationJCB"/>
        <w:keepNext w:val="0"/>
        <w:rPr>
          <w:rFonts w:eastAsia="Times New Roman"/>
          <w:lang w:eastAsia="en-AU"/>
        </w:rPr>
      </w:pPr>
      <w:r w:rsidRPr="00D44E38">
        <w:rPr>
          <w:rFonts w:eastAsia="Times New Roman"/>
          <w:lang w:eastAsia="en-AU"/>
        </w:rPr>
        <w:t xml:space="preserve">I think it’s mostly relevant to someone who has a job, a full-time job lined up already, you know, so they are going through the process of getting this job </w:t>
      </w:r>
      <w:r w:rsidRPr="00D44E38">
        <w:t>and</w:t>
      </w:r>
      <w:r w:rsidRPr="00D44E38">
        <w:rPr>
          <w:rFonts w:eastAsia="Times New Roman"/>
          <w:lang w:eastAsia="en-AU"/>
        </w:rPr>
        <w:t xml:space="preserve"> then they see this and think well this is great.</w:t>
      </w:r>
    </w:p>
    <w:p w:rsidR="00C32B73" w:rsidRPr="00D44E38" w:rsidRDefault="002361DB" w:rsidP="007D2ECC">
      <w:pPr>
        <w:pStyle w:val="quopteJCB-source"/>
        <w:spacing w:before="0"/>
      </w:pPr>
      <w:r>
        <w:t>March 2015 (Round 1),</w:t>
      </w:r>
      <w:r w:rsidR="00C32B73">
        <w:t xml:space="preserve"> </w:t>
      </w:r>
      <w:r w:rsidR="00C32B73" w:rsidRPr="00D44E38">
        <w:t xml:space="preserve">Male, 25 years or more, </w:t>
      </w:r>
      <w:r w:rsidR="00C32B73">
        <w:t>Brisbane</w:t>
      </w:r>
      <w:r w:rsidR="00C32B73" w:rsidRPr="00D44E38">
        <w:t>, unemployed</w:t>
      </w:r>
    </w:p>
    <w:p w:rsidR="00C32B73" w:rsidRPr="00A95FA3" w:rsidRDefault="00C32B73" w:rsidP="00C32B73">
      <w:pPr>
        <w:spacing w:before="120"/>
        <w:rPr>
          <w:color w:val="000000" w:themeColor="text1"/>
        </w:rPr>
      </w:pPr>
      <w:r>
        <w:rPr>
          <w:color w:val="000000" w:themeColor="text1"/>
        </w:rPr>
        <w:t xml:space="preserve">This is discussed further in Section 5, in the context of the </w:t>
      </w:r>
      <w:r w:rsidR="009E316B" w:rsidRPr="006A1048">
        <w:rPr>
          <w:i/>
        </w:rPr>
        <w:t>Trans-theoretical</w:t>
      </w:r>
      <w:r w:rsidR="009E316B">
        <w:t xml:space="preserve"> </w:t>
      </w:r>
      <w:r w:rsidR="009E316B" w:rsidRPr="004968D9">
        <w:rPr>
          <w:i/>
        </w:rPr>
        <w:t xml:space="preserve">Stages of </w:t>
      </w:r>
      <w:r w:rsidR="009E316B">
        <w:rPr>
          <w:i/>
        </w:rPr>
        <w:t xml:space="preserve">Change </w:t>
      </w:r>
      <w:r w:rsidR="009E316B" w:rsidRPr="00264090">
        <w:t>model</w:t>
      </w:r>
      <w:r w:rsidR="009E316B">
        <w:t xml:space="preserve"> (TTM)</w:t>
      </w:r>
      <w:r w:rsidR="00F1247B">
        <w:rPr>
          <w:color w:val="000000" w:themeColor="text1"/>
        </w:rPr>
        <w:t>.</w:t>
      </w:r>
    </w:p>
    <w:p w:rsidR="00C32B73" w:rsidRDefault="00C32B73" w:rsidP="00C32B73">
      <w:pPr>
        <w:spacing w:before="120"/>
        <w:rPr>
          <w:color w:val="000000" w:themeColor="text1"/>
        </w:rPr>
      </w:pPr>
      <w:r w:rsidRPr="00D44E38">
        <w:rPr>
          <w:color w:val="000000" w:themeColor="text1"/>
        </w:rPr>
        <w:t xml:space="preserve">Most participants in the </w:t>
      </w:r>
      <w:r w:rsidR="00160A9E">
        <w:rPr>
          <w:color w:val="000000" w:themeColor="text1"/>
        </w:rPr>
        <w:t>Round 2</w:t>
      </w:r>
      <w:r w:rsidRPr="00D44E38">
        <w:rPr>
          <w:color w:val="000000" w:themeColor="text1"/>
        </w:rPr>
        <w:t xml:space="preserve"> </w:t>
      </w:r>
      <w:r w:rsidR="000D0D35">
        <w:rPr>
          <w:color w:val="000000" w:themeColor="text1"/>
        </w:rPr>
        <w:t>fieldwork</w:t>
      </w:r>
      <w:r w:rsidRPr="00D44E38">
        <w:rPr>
          <w:color w:val="000000" w:themeColor="text1"/>
        </w:rPr>
        <w:t xml:space="preserve"> </w:t>
      </w:r>
      <w:r w:rsidR="005949E4">
        <w:rPr>
          <w:color w:val="000000" w:themeColor="text1"/>
        </w:rPr>
        <w:t>(who were employed) had been</w:t>
      </w:r>
      <w:r w:rsidR="005949E4" w:rsidRPr="00D44E38">
        <w:rPr>
          <w:color w:val="000000" w:themeColor="text1"/>
        </w:rPr>
        <w:t xml:space="preserve"> </w:t>
      </w:r>
      <w:r w:rsidRPr="00D44E38">
        <w:rPr>
          <w:color w:val="000000" w:themeColor="text1"/>
        </w:rPr>
        <w:t xml:space="preserve">unaware of the JCB </w:t>
      </w:r>
      <w:r w:rsidR="005949E4" w:rsidRPr="00D44E38">
        <w:rPr>
          <w:color w:val="000000" w:themeColor="text1"/>
        </w:rPr>
        <w:t>wh</w:t>
      </w:r>
      <w:r w:rsidR="005949E4">
        <w:rPr>
          <w:color w:val="000000" w:themeColor="text1"/>
        </w:rPr>
        <w:t xml:space="preserve">en </w:t>
      </w:r>
      <w:r w:rsidRPr="00D44E38">
        <w:rPr>
          <w:color w:val="000000" w:themeColor="text1"/>
        </w:rPr>
        <w:t>searching for work</w:t>
      </w:r>
      <w:r w:rsidR="002219CA">
        <w:rPr>
          <w:color w:val="000000" w:themeColor="text1"/>
        </w:rPr>
        <w:t>.</w:t>
      </w:r>
      <w:r w:rsidR="005949E4">
        <w:rPr>
          <w:color w:val="000000" w:themeColor="text1"/>
        </w:rPr>
        <w:t xml:space="preserve"> These p</w:t>
      </w:r>
      <w:r w:rsidRPr="009A36B6">
        <w:rPr>
          <w:color w:val="000000" w:themeColor="text1"/>
        </w:rPr>
        <w:t>articipants</w:t>
      </w:r>
      <w:r w:rsidR="000D0D35">
        <w:rPr>
          <w:color w:val="000000" w:themeColor="text1"/>
        </w:rPr>
        <w:t xml:space="preserve"> </w:t>
      </w:r>
      <w:r w:rsidR="005949E4">
        <w:rPr>
          <w:color w:val="000000" w:themeColor="text1"/>
        </w:rPr>
        <w:t xml:space="preserve">were </w:t>
      </w:r>
      <w:r w:rsidRPr="009A36B6">
        <w:rPr>
          <w:color w:val="000000" w:themeColor="text1"/>
        </w:rPr>
        <w:t xml:space="preserve">motivated to </w:t>
      </w:r>
      <w:r w:rsidR="000D0D35">
        <w:rPr>
          <w:color w:val="000000" w:themeColor="text1"/>
        </w:rPr>
        <w:t>get a job</w:t>
      </w:r>
      <w:r w:rsidRPr="009A36B6">
        <w:rPr>
          <w:color w:val="000000" w:themeColor="text1"/>
        </w:rPr>
        <w:t xml:space="preserve"> and leave income support</w:t>
      </w:r>
      <w:r w:rsidR="005949E4">
        <w:rPr>
          <w:color w:val="000000" w:themeColor="text1"/>
        </w:rPr>
        <w:t>, without the need of a bonus</w:t>
      </w:r>
      <w:r w:rsidRPr="009A36B6">
        <w:rPr>
          <w:color w:val="000000" w:themeColor="text1"/>
        </w:rPr>
        <w:t>.</w:t>
      </w:r>
      <w:r w:rsidR="005949E4">
        <w:rPr>
          <w:color w:val="000000" w:themeColor="text1"/>
        </w:rPr>
        <w:t xml:space="preserve"> Those</w:t>
      </w:r>
      <w:r>
        <w:rPr>
          <w:color w:val="000000" w:themeColor="text1"/>
        </w:rPr>
        <w:t xml:space="preserve"> </w:t>
      </w:r>
      <w:r w:rsidR="00160A9E">
        <w:rPr>
          <w:color w:val="000000" w:themeColor="text1"/>
        </w:rPr>
        <w:t>participants</w:t>
      </w:r>
      <w:r>
        <w:rPr>
          <w:color w:val="000000" w:themeColor="text1"/>
        </w:rPr>
        <w:t xml:space="preserve"> who had claimed the bonus</w:t>
      </w:r>
      <w:r w:rsidRPr="00D44E38">
        <w:rPr>
          <w:color w:val="000000" w:themeColor="text1"/>
        </w:rPr>
        <w:t xml:space="preserve"> had only become aware of the program after accepting employment. It therefore could not have </w:t>
      </w:r>
      <w:r>
        <w:rPr>
          <w:color w:val="000000" w:themeColor="text1"/>
        </w:rPr>
        <w:t xml:space="preserve">acted as </w:t>
      </w:r>
      <w:r w:rsidRPr="00D44E38">
        <w:rPr>
          <w:color w:val="000000" w:themeColor="text1"/>
        </w:rPr>
        <w:t>an incentive to increase their job search efforts.</w:t>
      </w:r>
    </w:p>
    <w:p w:rsidR="00C71497" w:rsidRDefault="00D92C4B" w:rsidP="00D92C4B">
      <w:pPr>
        <w:pStyle w:val="Heading3"/>
      </w:pPr>
      <w:r>
        <w:t>4.1.3</w:t>
      </w:r>
      <w:r>
        <w:tab/>
      </w:r>
      <w:r w:rsidR="00C71497">
        <w:t xml:space="preserve">Post Program Monitoring (PPM) </w:t>
      </w:r>
      <w:r w:rsidR="00EF2C60">
        <w:t>survey evidence</w:t>
      </w:r>
    </w:p>
    <w:p w:rsidR="00C71497" w:rsidRPr="00E81783" w:rsidRDefault="00C71497" w:rsidP="007D2ECC">
      <w:pPr>
        <w:spacing w:before="120"/>
        <w:rPr>
          <w:color w:val="000000" w:themeColor="text1"/>
        </w:rPr>
      </w:pPr>
      <w:r>
        <w:rPr>
          <w:color w:val="000000" w:themeColor="text1"/>
        </w:rPr>
        <w:t xml:space="preserve">The </w:t>
      </w:r>
      <w:r w:rsidR="00DC64C6">
        <w:rPr>
          <w:color w:val="000000" w:themeColor="text1"/>
        </w:rPr>
        <w:t>PPM JCB</w:t>
      </w:r>
      <w:r>
        <w:rPr>
          <w:color w:val="000000" w:themeColor="text1"/>
        </w:rPr>
        <w:t xml:space="preserve"> survey explored job seeker awareness of the bonus while still looking for work. The level of awareness reported is greater than </w:t>
      </w:r>
      <w:r w:rsidR="00D80700">
        <w:rPr>
          <w:color w:val="000000" w:themeColor="text1"/>
        </w:rPr>
        <w:t>would have been expected based on the general low level of awareness found among</w:t>
      </w:r>
      <w:r>
        <w:rPr>
          <w:color w:val="000000" w:themeColor="text1"/>
        </w:rPr>
        <w:t xml:space="preserve"> qualitative research participants. </w:t>
      </w:r>
      <w:r w:rsidRPr="00E81783">
        <w:rPr>
          <w:color w:val="000000" w:themeColor="text1"/>
        </w:rPr>
        <w:t xml:space="preserve">Of the </w:t>
      </w:r>
      <w:r w:rsidR="00DC64C6">
        <w:rPr>
          <w:color w:val="000000" w:themeColor="text1"/>
        </w:rPr>
        <w:t>PPM JCB</w:t>
      </w:r>
      <w:r w:rsidRPr="00E81783">
        <w:rPr>
          <w:color w:val="000000" w:themeColor="text1"/>
        </w:rPr>
        <w:t xml:space="preserve"> survey respondents who reported awareness of the bonus (about a quarter of </w:t>
      </w:r>
      <w:r>
        <w:rPr>
          <w:color w:val="000000" w:themeColor="text1"/>
        </w:rPr>
        <w:t>respondents</w:t>
      </w:r>
      <w:r w:rsidRPr="00E81783">
        <w:rPr>
          <w:color w:val="000000" w:themeColor="text1"/>
        </w:rPr>
        <w:t xml:space="preserve">), </w:t>
      </w:r>
      <w:r w:rsidR="00334741">
        <w:rPr>
          <w:color w:val="000000" w:themeColor="text1"/>
        </w:rPr>
        <w:t xml:space="preserve">over 20 per </w:t>
      </w:r>
      <w:r w:rsidR="00334741">
        <w:rPr>
          <w:color w:val="000000" w:themeColor="text1"/>
        </w:rPr>
        <w:lastRenderedPageBreak/>
        <w:t>cent</w:t>
      </w:r>
      <w:r w:rsidRPr="00E81783">
        <w:rPr>
          <w:color w:val="000000" w:themeColor="text1"/>
        </w:rPr>
        <w:t xml:space="preserve"> (</w:t>
      </w:r>
      <w:r>
        <w:rPr>
          <w:color w:val="000000" w:themeColor="text1"/>
        </w:rPr>
        <w:t>22.8</w:t>
      </w:r>
      <w:r w:rsidRPr="00E81783">
        <w:rPr>
          <w:color w:val="000000" w:themeColor="text1"/>
        </w:rPr>
        <w:t xml:space="preserve"> per cent) reported that knowledge of the JCB had increased their motivation to </w:t>
      </w:r>
      <w:r w:rsidRPr="00334741">
        <w:rPr>
          <w:color w:val="000000" w:themeColor="text1"/>
        </w:rPr>
        <w:t>find a</w:t>
      </w:r>
      <w:r w:rsidRPr="00E81783">
        <w:rPr>
          <w:color w:val="000000" w:themeColor="text1"/>
        </w:rPr>
        <w:t xml:space="preserve"> job, while nearly half (</w:t>
      </w:r>
      <w:r>
        <w:rPr>
          <w:color w:val="000000" w:themeColor="text1"/>
        </w:rPr>
        <w:t>44.3</w:t>
      </w:r>
      <w:r w:rsidRPr="00E81783">
        <w:rPr>
          <w:color w:val="000000" w:themeColor="text1"/>
        </w:rPr>
        <w:t xml:space="preserve"> per cent) stated it had increased their motivation to </w:t>
      </w:r>
      <w:r w:rsidRPr="00E81783">
        <w:rPr>
          <w:i/>
          <w:color w:val="000000" w:themeColor="text1"/>
        </w:rPr>
        <w:t>keep</w:t>
      </w:r>
      <w:r>
        <w:rPr>
          <w:color w:val="000000" w:themeColor="text1"/>
        </w:rPr>
        <w:t xml:space="preserve"> a job (Figure 4.</w:t>
      </w:r>
      <w:r w:rsidR="00D91D5C">
        <w:rPr>
          <w:color w:val="000000" w:themeColor="text1"/>
        </w:rPr>
        <w:t>5</w:t>
      </w:r>
      <w:r w:rsidR="00F1247B">
        <w:rPr>
          <w:color w:val="000000" w:themeColor="text1"/>
        </w:rPr>
        <w:t>).</w:t>
      </w:r>
    </w:p>
    <w:p w:rsidR="00C71497" w:rsidRPr="00D83A7E" w:rsidRDefault="00864E02" w:rsidP="00C71497">
      <w:pPr>
        <w:pStyle w:val="FigureCaption"/>
      </w:pPr>
      <w:bookmarkStart w:id="183" w:name="_Toc507600286"/>
      <w:r w:rsidRPr="00A52BA6">
        <w:rPr>
          <w:noProof/>
          <w:lang w:eastAsia="en-AU"/>
        </w:rPr>
        <w:drawing>
          <wp:anchor distT="0" distB="0" distL="114300" distR="114300" simplePos="0" relativeHeight="251658242" behindDoc="0" locked="0" layoutInCell="1" allowOverlap="1" wp14:anchorId="773CBE95" wp14:editId="70684A98">
            <wp:simplePos x="0" y="0"/>
            <wp:positionH relativeFrom="column">
              <wp:posOffset>3810</wp:posOffset>
            </wp:positionH>
            <wp:positionV relativeFrom="paragraph">
              <wp:posOffset>257837</wp:posOffset>
            </wp:positionV>
            <wp:extent cx="5731510" cy="1979930"/>
            <wp:effectExtent l="0" t="0" r="2540" b="1270"/>
            <wp:wrapNone/>
            <wp:docPr id="27" name="Picture 27" descr="Data in graph as described in the following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1979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4E23">
        <w:t>Figure 4.</w:t>
      </w:r>
      <w:r w:rsidR="00D91D5C">
        <w:t>5</w:t>
      </w:r>
      <w:r w:rsidR="00C71497" w:rsidRPr="00D83A7E">
        <w:t>: Reported impact of JCB on job seeker behaviour</w:t>
      </w:r>
      <w:bookmarkEnd w:id="183"/>
    </w:p>
    <w:tbl>
      <w:tblPr>
        <w:tblW w:w="7655" w:type="dxa"/>
        <w:tblInd w:w="817" w:type="dxa"/>
        <w:tblLook w:val="04A0" w:firstRow="1" w:lastRow="0" w:firstColumn="1" w:lastColumn="0" w:noHBand="0" w:noVBand="1"/>
      </w:tblPr>
      <w:tblGrid>
        <w:gridCol w:w="4340"/>
        <w:gridCol w:w="960"/>
        <w:gridCol w:w="960"/>
        <w:gridCol w:w="828"/>
        <w:gridCol w:w="648"/>
      </w:tblGrid>
      <w:tr w:rsidR="000E2030" w:rsidRPr="000E2030" w:rsidTr="000E2030">
        <w:trPr>
          <w:trHeight w:val="288"/>
          <w:tblHeader/>
        </w:trPr>
        <w:tc>
          <w:tcPr>
            <w:tcW w:w="4340" w:type="dxa"/>
            <w:tcBorders>
              <w:bottom w:val="single" w:sz="4" w:space="0" w:color="auto"/>
            </w:tcBorders>
            <w:shd w:val="clear" w:color="auto" w:fill="FFFFFF" w:themeFill="background2"/>
            <w:noWrap/>
            <w:vAlign w:val="center"/>
            <w:hideMark/>
          </w:tcPr>
          <w:p w:rsidR="000E2030" w:rsidRPr="000E2030" w:rsidRDefault="000E2030" w:rsidP="000E2030">
            <w:pPr>
              <w:keepNext/>
              <w:spacing w:after="0" w:line="240" w:lineRule="auto"/>
              <w:rPr>
                <w:rFonts w:ascii="Calibri" w:eastAsia="Times New Roman" w:hAnsi="Calibri" w:cs="Calibri"/>
                <w:b/>
                <w:color w:val="000000" w:themeColor="text1"/>
                <w:sz w:val="16"/>
                <w:szCs w:val="16"/>
                <w:lang w:eastAsia="en-AU"/>
              </w:rPr>
            </w:pPr>
            <w:r w:rsidRPr="000E2030">
              <w:rPr>
                <w:rFonts w:ascii="Calibri" w:eastAsia="Times New Roman" w:hAnsi="Calibri" w:cs="Calibri"/>
                <w:b/>
                <w:color w:val="000000" w:themeColor="text1"/>
                <w:sz w:val="16"/>
                <w:szCs w:val="16"/>
                <w:lang w:eastAsia="en-AU"/>
              </w:rPr>
              <w:t> </w:t>
            </w:r>
            <w:bookmarkStart w:id="184" w:name="Title_43hidden"/>
            <w:bookmarkEnd w:id="184"/>
          </w:p>
        </w:tc>
        <w:tc>
          <w:tcPr>
            <w:tcW w:w="960" w:type="dxa"/>
            <w:tcBorders>
              <w:bottom w:val="single" w:sz="4" w:space="0" w:color="auto"/>
            </w:tcBorders>
            <w:shd w:val="clear" w:color="auto" w:fill="FFFFFF" w:themeFill="background2"/>
            <w:noWrap/>
            <w:vAlign w:val="center"/>
            <w:hideMark/>
          </w:tcPr>
          <w:p w:rsidR="000E2030" w:rsidRPr="000E2030" w:rsidRDefault="000E2030" w:rsidP="000E2030">
            <w:pPr>
              <w:keepNext/>
              <w:spacing w:after="0" w:line="240" w:lineRule="auto"/>
              <w:rPr>
                <w:rFonts w:ascii="Calibri" w:eastAsia="Times New Roman" w:hAnsi="Calibri" w:cs="Calibri"/>
                <w:b/>
                <w:color w:val="000000" w:themeColor="text1"/>
                <w:sz w:val="16"/>
                <w:szCs w:val="16"/>
                <w:lang w:eastAsia="en-AU"/>
              </w:rPr>
            </w:pPr>
            <w:r w:rsidRPr="000E2030">
              <w:rPr>
                <w:rFonts w:ascii="Calibri" w:eastAsia="Times New Roman" w:hAnsi="Calibri" w:cs="Calibri"/>
                <w:b/>
                <w:color w:val="000000" w:themeColor="text1"/>
                <w:sz w:val="16"/>
                <w:szCs w:val="16"/>
                <w:lang w:eastAsia="en-AU"/>
              </w:rPr>
              <w:t>Yes</w:t>
            </w:r>
          </w:p>
        </w:tc>
        <w:tc>
          <w:tcPr>
            <w:tcW w:w="960" w:type="dxa"/>
            <w:tcBorders>
              <w:bottom w:val="single" w:sz="4" w:space="0" w:color="auto"/>
            </w:tcBorders>
            <w:shd w:val="clear" w:color="auto" w:fill="FFFFFF" w:themeFill="background2"/>
            <w:noWrap/>
            <w:vAlign w:val="center"/>
            <w:hideMark/>
          </w:tcPr>
          <w:p w:rsidR="000E2030" w:rsidRPr="000E2030" w:rsidRDefault="000E2030" w:rsidP="000E2030">
            <w:pPr>
              <w:keepNext/>
              <w:spacing w:after="0" w:line="240" w:lineRule="auto"/>
              <w:rPr>
                <w:rFonts w:ascii="Calibri" w:eastAsia="Times New Roman" w:hAnsi="Calibri" w:cs="Calibri"/>
                <w:b/>
                <w:color w:val="000000" w:themeColor="text1"/>
                <w:sz w:val="16"/>
                <w:szCs w:val="16"/>
                <w:lang w:eastAsia="en-AU"/>
              </w:rPr>
            </w:pPr>
            <w:r w:rsidRPr="000E2030">
              <w:rPr>
                <w:rFonts w:ascii="Calibri" w:eastAsia="Times New Roman" w:hAnsi="Calibri" w:cs="Calibri"/>
                <w:b/>
                <w:color w:val="000000" w:themeColor="text1"/>
                <w:sz w:val="16"/>
                <w:szCs w:val="16"/>
                <w:lang w:eastAsia="en-AU"/>
              </w:rPr>
              <w:t>No</w:t>
            </w:r>
          </w:p>
        </w:tc>
        <w:tc>
          <w:tcPr>
            <w:tcW w:w="828" w:type="dxa"/>
            <w:tcBorders>
              <w:bottom w:val="single" w:sz="4" w:space="0" w:color="auto"/>
            </w:tcBorders>
            <w:shd w:val="clear" w:color="auto" w:fill="FFFFFF" w:themeFill="background2"/>
            <w:noWrap/>
            <w:vAlign w:val="center"/>
            <w:hideMark/>
          </w:tcPr>
          <w:p w:rsidR="000E2030" w:rsidRPr="000E2030" w:rsidRDefault="000E2030" w:rsidP="000E2030">
            <w:pPr>
              <w:keepNext/>
              <w:spacing w:after="0" w:line="240" w:lineRule="auto"/>
              <w:rPr>
                <w:rFonts w:ascii="Calibri" w:eastAsia="Times New Roman" w:hAnsi="Calibri" w:cs="Calibri"/>
                <w:b/>
                <w:color w:val="000000" w:themeColor="text1"/>
                <w:sz w:val="16"/>
                <w:szCs w:val="16"/>
                <w:lang w:eastAsia="en-AU"/>
              </w:rPr>
            </w:pPr>
            <w:r w:rsidRPr="000E2030">
              <w:rPr>
                <w:rFonts w:ascii="Calibri" w:eastAsia="Times New Roman" w:hAnsi="Calibri" w:cs="Calibri"/>
                <w:b/>
                <w:color w:val="000000" w:themeColor="text1"/>
                <w:sz w:val="16"/>
                <w:szCs w:val="16"/>
                <w:lang w:eastAsia="en-AU"/>
              </w:rPr>
              <w:t>Don't know</w:t>
            </w:r>
          </w:p>
        </w:tc>
        <w:tc>
          <w:tcPr>
            <w:tcW w:w="567" w:type="dxa"/>
            <w:tcBorders>
              <w:bottom w:val="single" w:sz="4" w:space="0" w:color="auto"/>
            </w:tcBorders>
            <w:shd w:val="clear" w:color="auto" w:fill="FFFFFF" w:themeFill="background2"/>
            <w:noWrap/>
            <w:vAlign w:val="center"/>
            <w:hideMark/>
          </w:tcPr>
          <w:p w:rsidR="000E2030" w:rsidRPr="000E2030" w:rsidRDefault="000E2030" w:rsidP="000E2030">
            <w:pPr>
              <w:keepNext/>
              <w:spacing w:after="0" w:line="240" w:lineRule="auto"/>
              <w:rPr>
                <w:rFonts w:ascii="Calibri" w:eastAsia="Times New Roman" w:hAnsi="Calibri" w:cs="Calibri"/>
                <w:b/>
                <w:color w:val="000000" w:themeColor="text1"/>
                <w:sz w:val="16"/>
                <w:szCs w:val="16"/>
                <w:lang w:eastAsia="en-AU"/>
              </w:rPr>
            </w:pPr>
            <w:r w:rsidRPr="000E2030">
              <w:rPr>
                <w:rFonts w:ascii="Calibri" w:eastAsia="Times New Roman" w:hAnsi="Calibri" w:cs="Calibri"/>
                <w:b/>
                <w:color w:val="000000" w:themeColor="text1"/>
                <w:sz w:val="16"/>
                <w:szCs w:val="16"/>
                <w:lang w:eastAsia="en-AU"/>
              </w:rPr>
              <w:t>TOTAL</w:t>
            </w:r>
          </w:p>
        </w:tc>
      </w:tr>
      <w:tr w:rsidR="000E2030" w:rsidRPr="000A12D0" w:rsidTr="000E2030">
        <w:trPr>
          <w:trHeight w:val="288"/>
        </w:trPr>
        <w:tc>
          <w:tcPr>
            <w:tcW w:w="4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2030" w:rsidRPr="000A12D0" w:rsidRDefault="000E2030" w:rsidP="000E2030">
            <w:pPr>
              <w:keepNext/>
              <w:spacing w:after="0" w:line="240" w:lineRule="auto"/>
              <w:rPr>
                <w:rFonts w:ascii="Calibri" w:eastAsia="Times New Roman" w:hAnsi="Calibri" w:cs="Calibri"/>
                <w:color w:val="000000"/>
                <w:sz w:val="16"/>
                <w:szCs w:val="16"/>
                <w:lang w:eastAsia="en-AU"/>
              </w:rPr>
            </w:pPr>
            <w:r w:rsidRPr="000A12D0">
              <w:rPr>
                <w:rFonts w:ascii="Calibri" w:eastAsia="Times New Roman" w:hAnsi="Calibri" w:cs="Calibri"/>
                <w:color w:val="000000"/>
                <w:sz w:val="16"/>
                <w:szCs w:val="16"/>
                <w:lang w:eastAsia="en-AU"/>
              </w:rPr>
              <w:t>Increase motivation to keep a job</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E2030" w:rsidRPr="000A12D0" w:rsidRDefault="000E2030" w:rsidP="000E2030">
            <w:pPr>
              <w:keepNext/>
              <w:spacing w:after="0" w:line="240" w:lineRule="auto"/>
              <w:jc w:val="right"/>
              <w:rPr>
                <w:rFonts w:ascii="Calibri" w:eastAsia="Times New Roman" w:hAnsi="Calibri" w:cs="Calibri"/>
                <w:color w:val="000000"/>
                <w:sz w:val="16"/>
                <w:szCs w:val="16"/>
                <w:lang w:eastAsia="en-AU"/>
              </w:rPr>
            </w:pPr>
            <w:r w:rsidRPr="000A12D0">
              <w:rPr>
                <w:rFonts w:ascii="Calibri" w:eastAsia="Times New Roman" w:hAnsi="Calibri" w:cs="Calibri"/>
                <w:color w:val="000000"/>
                <w:sz w:val="16"/>
                <w:szCs w:val="16"/>
                <w:lang w:eastAsia="en-AU"/>
              </w:rPr>
              <w:t>44.3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E2030" w:rsidRPr="000A12D0" w:rsidRDefault="000E2030" w:rsidP="000E2030">
            <w:pPr>
              <w:keepNext/>
              <w:spacing w:after="0" w:line="240" w:lineRule="auto"/>
              <w:jc w:val="right"/>
              <w:rPr>
                <w:rFonts w:ascii="Calibri" w:eastAsia="Times New Roman" w:hAnsi="Calibri" w:cs="Calibri"/>
                <w:color w:val="000000"/>
                <w:sz w:val="16"/>
                <w:szCs w:val="16"/>
                <w:lang w:eastAsia="en-AU"/>
              </w:rPr>
            </w:pPr>
            <w:r w:rsidRPr="000A12D0">
              <w:rPr>
                <w:rFonts w:ascii="Calibri" w:eastAsia="Times New Roman" w:hAnsi="Calibri" w:cs="Calibri"/>
                <w:color w:val="000000"/>
                <w:sz w:val="16"/>
                <w:szCs w:val="16"/>
                <w:lang w:eastAsia="en-AU"/>
              </w:rPr>
              <w:t>33.8</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0E2030" w:rsidRPr="000A12D0" w:rsidRDefault="000E2030" w:rsidP="000E2030">
            <w:pPr>
              <w:keepNext/>
              <w:spacing w:after="0" w:line="240" w:lineRule="auto"/>
              <w:jc w:val="right"/>
              <w:rPr>
                <w:rFonts w:ascii="Calibri" w:eastAsia="Times New Roman" w:hAnsi="Calibri" w:cs="Calibri"/>
                <w:color w:val="000000"/>
                <w:sz w:val="16"/>
                <w:szCs w:val="16"/>
                <w:lang w:eastAsia="en-AU"/>
              </w:rPr>
            </w:pPr>
            <w:r w:rsidRPr="000A12D0">
              <w:rPr>
                <w:rFonts w:ascii="Calibri" w:eastAsia="Times New Roman" w:hAnsi="Calibri" w:cs="Calibri"/>
                <w:color w:val="000000"/>
                <w:sz w:val="16"/>
                <w:szCs w:val="16"/>
                <w:lang w:eastAsia="en-AU"/>
              </w:rPr>
              <w:t>21.8</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0E2030" w:rsidRPr="000A12D0" w:rsidRDefault="000E2030" w:rsidP="000E2030">
            <w:pPr>
              <w:keepNext/>
              <w:spacing w:after="0" w:line="240" w:lineRule="auto"/>
              <w:jc w:val="right"/>
              <w:rPr>
                <w:rFonts w:ascii="Calibri" w:eastAsia="Times New Roman" w:hAnsi="Calibri" w:cs="Calibri"/>
                <w:color w:val="000000"/>
                <w:sz w:val="16"/>
                <w:szCs w:val="16"/>
                <w:lang w:eastAsia="en-AU"/>
              </w:rPr>
            </w:pPr>
            <w:r w:rsidRPr="000A12D0">
              <w:rPr>
                <w:rFonts w:ascii="Calibri" w:eastAsia="Times New Roman" w:hAnsi="Calibri" w:cs="Calibri"/>
                <w:color w:val="000000"/>
                <w:sz w:val="16"/>
                <w:szCs w:val="16"/>
                <w:lang w:eastAsia="en-AU"/>
              </w:rPr>
              <w:t>99.9</w:t>
            </w:r>
          </w:p>
        </w:tc>
      </w:tr>
      <w:tr w:rsidR="000E2030" w:rsidRPr="000A12D0" w:rsidTr="000E2030">
        <w:trPr>
          <w:trHeight w:val="288"/>
        </w:trPr>
        <w:tc>
          <w:tcPr>
            <w:tcW w:w="4340" w:type="dxa"/>
            <w:tcBorders>
              <w:top w:val="nil"/>
              <w:left w:val="single" w:sz="4" w:space="0" w:color="auto"/>
              <w:bottom w:val="single" w:sz="4" w:space="0" w:color="auto"/>
              <w:right w:val="single" w:sz="4" w:space="0" w:color="auto"/>
            </w:tcBorders>
            <w:shd w:val="clear" w:color="auto" w:fill="auto"/>
            <w:noWrap/>
            <w:vAlign w:val="center"/>
            <w:hideMark/>
          </w:tcPr>
          <w:p w:rsidR="000E2030" w:rsidRPr="000A12D0" w:rsidRDefault="000E2030" w:rsidP="000E2030">
            <w:pPr>
              <w:keepNext/>
              <w:spacing w:after="0" w:line="240" w:lineRule="auto"/>
              <w:rPr>
                <w:rFonts w:ascii="Calibri" w:eastAsia="Times New Roman" w:hAnsi="Calibri" w:cs="Calibri"/>
                <w:color w:val="000000"/>
                <w:sz w:val="16"/>
                <w:szCs w:val="16"/>
                <w:lang w:eastAsia="en-AU"/>
              </w:rPr>
            </w:pPr>
            <w:r w:rsidRPr="000A12D0">
              <w:rPr>
                <w:rFonts w:ascii="Calibri" w:eastAsia="Times New Roman" w:hAnsi="Calibri" w:cs="Calibri"/>
                <w:color w:val="000000"/>
                <w:sz w:val="16"/>
                <w:szCs w:val="16"/>
                <w:lang w:eastAsia="en-AU"/>
              </w:rPr>
              <w:t>Increase motivation to find a job</w:t>
            </w:r>
          </w:p>
        </w:tc>
        <w:tc>
          <w:tcPr>
            <w:tcW w:w="960" w:type="dxa"/>
            <w:tcBorders>
              <w:top w:val="nil"/>
              <w:left w:val="nil"/>
              <w:bottom w:val="single" w:sz="4" w:space="0" w:color="auto"/>
              <w:right w:val="single" w:sz="4" w:space="0" w:color="auto"/>
            </w:tcBorders>
            <w:shd w:val="clear" w:color="auto" w:fill="auto"/>
            <w:noWrap/>
            <w:vAlign w:val="center"/>
            <w:hideMark/>
          </w:tcPr>
          <w:p w:rsidR="000E2030" w:rsidRPr="000A12D0" w:rsidRDefault="000E2030" w:rsidP="000E2030">
            <w:pPr>
              <w:keepNext/>
              <w:spacing w:after="0" w:line="240" w:lineRule="auto"/>
              <w:jc w:val="right"/>
              <w:rPr>
                <w:rFonts w:ascii="Calibri" w:eastAsia="Times New Roman" w:hAnsi="Calibri" w:cs="Calibri"/>
                <w:color w:val="000000"/>
                <w:sz w:val="16"/>
                <w:szCs w:val="16"/>
                <w:lang w:eastAsia="en-AU"/>
              </w:rPr>
            </w:pPr>
            <w:r w:rsidRPr="000A12D0">
              <w:rPr>
                <w:rFonts w:ascii="Calibri" w:eastAsia="Times New Roman" w:hAnsi="Calibri" w:cs="Calibri"/>
                <w:color w:val="000000"/>
                <w:sz w:val="16"/>
                <w:szCs w:val="16"/>
                <w:lang w:eastAsia="en-AU"/>
              </w:rPr>
              <w:t>22.8</w:t>
            </w:r>
          </w:p>
        </w:tc>
        <w:tc>
          <w:tcPr>
            <w:tcW w:w="960" w:type="dxa"/>
            <w:tcBorders>
              <w:top w:val="nil"/>
              <w:left w:val="nil"/>
              <w:bottom w:val="single" w:sz="4" w:space="0" w:color="auto"/>
              <w:right w:val="single" w:sz="4" w:space="0" w:color="auto"/>
            </w:tcBorders>
            <w:shd w:val="clear" w:color="auto" w:fill="auto"/>
            <w:noWrap/>
            <w:vAlign w:val="center"/>
            <w:hideMark/>
          </w:tcPr>
          <w:p w:rsidR="000E2030" w:rsidRPr="000A12D0" w:rsidRDefault="000E2030" w:rsidP="000E2030">
            <w:pPr>
              <w:keepNext/>
              <w:spacing w:after="0" w:line="240" w:lineRule="auto"/>
              <w:jc w:val="right"/>
              <w:rPr>
                <w:rFonts w:ascii="Calibri" w:eastAsia="Times New Roman" w:hAnsi="Calibri" w:cs="Calibri"/>
                <w:color w:val="000000"/>
                <w:sz w:val="16"/>
                <w:szCs w:val="16"/>
                <w:lang w:eastAsia="en-AU"/>
              </w:rPr>
            </w:pPr>
            <w:r w:rsidRPr="000A12D0">
              <w:rPr>
                <w:rFonts w:ascii="Calibri" w:eastAsia="Times New Roman" w:hAnsi="Calibri" w:cs="Calibri"/>
                <w:color w:val="000000"/>
                <w:sz w:val="16"/>
                <w:szCs w:val="16"/>
                <w:lang w:eastAsia="en-AU"/>
              </w:rPr>
              <w:t>39.6</w:t>
            </w:r>
          </w:p>
        </w:tc>
        <w:tc>
          <w:tcPr>
            <w:tcW w:w="828" w:type="dxa"/>
            <w:tcBorders>
              <w:top w:val="nil"/>
              <w:left w:val="nil"/>
              <w:bottom w:val="single" w:sz="4" w:space="0" w:color="auto"/>
              <w:right w:val="single" w:sz="4" w:space="0" w:color="auto"/>
            </w:tcBorders>
            <w:shd w:val="clear" w:color="auto" w:fill="auto"/>
            <w:noWrap/>
            <w:vAlign w:val="center"/>
            <w:hideMark/>
          </w:tcPr>
          <w:p w:rsidR="000E2030" w:rsidRPr="000A12D0" w:rsidRDefault="000E2030" w:rsidP="000E2030">
            <w:pPr>
              <w:keepNext/>
              <w:spacing w:after="0" w:line="240" w:lineRule="auto"/>
              <w:jc w:val="right"/>
              <w:rPr>
                <w:rFonts w:ascii="Calibri" w:eastAsia="Times New Roman" w:hAnsi="Calibri" w:cs="Calibri"/>
                <w:color w:val="000000"/>
                <w:sz w:val="16"/>
                <w:szCs w:val="16"/>
                <w:lang w:eastAsia="en-AU"/>
              </w:rPr>
            </w:pPr>
            <w:r w:rsidRPr="000A12D0">
              <w:rPr>
                <w:rFonts w:ascii="Calibri" w:eastAsia="Times New Roman" w:hAnsi="Calibri" w:cs="Calibri"/>
                <w:color w:val="000000"/>
                <w:sz w:val="16"/>
                <w:szCs w:val="16"/>
                <w:lang w:eastAsia="en-AU"/>
              </w:rPr>
              <w:t>37.6</w:t>
            </w:r>
          </w:p>
        </w:tc>
        <w:tc>
          <w:tcPr>
            <w:tcW w:w="567" w:type="dxa"/>
            <w:tcBorders>
              <w:top w:val="nil"/>
              <w:left w:val="nil"/>
              <w:bottom w:val="single" w:sz="4" w:space="0" w:color="auto"/>
              <w:right w:val="single" w:sz="4" w:space="0" w:color="auto"/>
            </w:tcBorders>
            <w:shd w:val="clear" w:color="auto" w:fill="auto"/>
            <w:noWrap/>
            <w:vAlign w:val="center"/>
            <w:hideMark/>
          </w:tcPr>
          <w:p w:rsidR="000E2030" w:rsidRPr="000A12D0" w:rsidRDefault="000E2030" w:rsidP="000E2030">
            <w:pPr>
              <w:keepNext/>
              <w:spacing w:after="0" w:line="240" w:lineRule="auto"/>
              <w:jc w:val="right"/>
              <w:rPr>
                <w:rFonts w:ascii="Calibri" w:eastAsia="Times New Roman" w:hAnsi="Calibri" w:cs="Calibri"/>
                <w:color w:val="000000"/>
                <w:sz w:val="16"/>
                <w:szCs w:val="16"/>
                <w:lang w:eastAsia="en-AU"/>
              </w:rPr>
            </w:pPr>
            <w:r w:rsidRPr="000A12D0">
              <w:rPr>
                <w:rFonts w:ascii="Calibri" w:eastAsia="Times New Roman" w:hAnsi="Calibri" w:cs="Calibri"/>
                <w:color w:val="000000"/>
                <w:sz w:val="16"/>
                <w:szCs w:val="16"/>
                <w:lang w:eastAsia="en-AU"/>
              </w:rPr>
              <w:t>100</w:t>
            </w:r>
          </w:p>
        </w:tc>
      </w:tr>
      <w:tr w:rsidR="000E2030" w:rsidRPr="000A12D0" w:rsidTr="000E2030">
        <w:trPr>
          <w:trHeight w:val="288"/>
        </w:trPr>
        <w:tc>
          <w:tcPr>
            <w:tcW w:w="4340" w:type="dxa"/>
            <w:tcBorders>
              <w:top w:val="nil"/>
              <w:left w:val="single" w:sz="4" w:space="0" w:color="auto"/>
              <w:bottom w:val="single" w:sz="4" w:space="0" w:color="auto"/>
              <w:right w:val="single" w:sz="4" w:space="0" w:color="auto"/>
            </w:tcBorders>
            <w:shd w:val="clear" w:color="auto" w:fill="auto"/>
            <w:noWrap/>
            <w:vAlign w:val="center"/>
            <w:hideMark/>
          </w:tcPr>
          <w:p w:rsidR="000E2030" w:rsidRPr="000A12D0" w:rsidRDefault="000E2030" w:rsidP="000E2030">
            <w:pPr>
              <w:keepNext/>
              <w:spacing w:after="0" w:line="240" w:lineRule="auto"/>
              <w:rPr>
                <w:rFonts w:ascii="Calibri" w:eastAsia="Times New Roman" w:hAnsi="Calibri" w:cs="Calibri"/>
                <w:color w:val="000000"/>
                <w:sz w:val="16"/>
                <w:szCs w:val="16"/>
                <w:lang w:eastAsia="en-AU"/>
              </w:rPr>
            </w:pPr>
            <w:r w:rsidRPr="000A12D0">
              <w:rPr>
                <w:rFonts w:ascii="Calibri" w:eastAsia="Times New Roman" w:hAnsi="Calibri" w:cs="Calibri"/>
                <w:color w:val="000000"/>
                <w:sz w:val="16"/>
                <w:szCs w:val="16"/>
                <w:lang w:eastAsia="en-AU"/>
              </w:rPr>
              <w:t>Increase job application effort</w:t>
            </w:r>
          </w:p>
        </w:tc>
        <w:tc>
          <w:tcPr>
            <w:tcW w:w="960" w:type="dxa"/>
            <w:tcBorders>
              <w:top w:val="nil"/>
              <w:left w:val="nil"/>
              <w:bottom w:val="single" w:sz="4" w:space="0" w:color="auto"/>
              <w:right w:val="single" w:sz="4" w:space="0" w:color="auto"/>
            </w:tcBorders>
            <w:shd w:val="clear" w:color="auto" w:fill="auto"/>
            <w:noWrap/>
            <w:vAlign w:val="center"/>
            <w:hideMark/>
          </w:tcPr>
          <w:p w:rsidR="000E2030" w:rsidRPr="000A12D0" w:rsidRDefault="000E2030" w:rsidP="000E2030">
            <w:pPr>
              <w:keepNext/>
              <w:spacing w:after="0" w:line="240" w:lineRule="auto"/>
              <w:jc w:val="right"/>
              <w:rPr>
                <w:rFonts w:ascii="Calibri" w:eastAsia="Times New Roman" w:hAnsi="Calibri" w:cs="Calibri"/>
                <w:color w:val="000000"/>
                <w:sz w:val="16"/>
                <w:szCs w:val="16"/>
                <w:lang w:eastAsia="en-AU"/>
              </w:rPr>
            </w:pPr>
            <w:r w:rsidRPr="000A12D0">
              <w:rPr>
                <w:rFonts w:ascii="Calibri" w:eastAsia="Times New Roman" w:hAnsi="Calibri" w:cs="Calibri"/>
                <w:color w:val="000000"/>
                <w:sz w:val="16"/>
                <w:szCs w:val="16"/>
                <w:lang w:eastAsia="en-AU"/>
              </w:rPr>
              <w:t>18.8</w:t>
            </w:r>
          </w:p>
        </w:tc>
        <w:tc>
          <w:tcPr>
            <w:tcW w:w="960" w:type="dxa"/>
            <w:tcBorders>
              <w:top w:val="nil"/>
              <w:left w:val="nil"/>
              <w:bottom w:val="single" w:sz="4" w:space="0" w:color="auto"/>
              <w:right w:val="single" w:sz="4" w:space="0" w:color="auto"/>
            </w:tcBorders>
            <w:shd w:val="clear" w:color="auto" w:fill="auto"/>
            <w:noWrap/>
            <w:vAlign w:val="center"/>
            <w:hideMark/>
          </w:tcPr>
          <w:p w:rsidR="000E2030" w:rsidRPr="000A12D0" w:rsidRDefault="000E2030" w:rsidP="000E2030">
            <w:pPr>
              <w:keepNext/>
              <w:spacing w:after="0" w:line="240" w:lineRule="auto"/>
              <w:jc w:val="right"/>
              <w:rPr>
                <w:rFonts w:ascii="Calibri" w:eastAsia="Times New Roman" w:hAnsi="Calibri" w:cs="Calibri"/>
                <w:color w:val="000000"/>
                <w:sz w:val="16"/>
                <w:szCs w:val="16"/>
                <w:lang w:eastAsia="en-AU"/>
              </w:rPr>
            </w:pPr>
            <w:r w:rsidRPr="000A12D0">
              <w:rPr>
                <w:rFonts w:ascii="Calibri" w:eastAsia="Times New Roman" w:hAnsi="Calibri" w:cs="Calibri"/>
                <w:color w:val="000000"/>
                <w:sz w:val="16"/>
                <w:szCs w:val="16"/>
                <w:lang w:eastAsia="en-AU"/>
              </w:rPr>
              <w:t>42</w:t>
            </w:r>
          </w:p>
        </w:tc>
        <w:tc>
          <w:tcPr>
            <w:tcW w:w="828" w:type="dxa"/>
            <w:tcBorders>
              <w:top w:val="nil"/>
              <w:left w:val="nil"/>
              <w:bottom w:val="single" w:sz="4" w:space="0" w:color="auto"/>
              <w:right w:val="single" w:sz="4" w:space="0" w:color="auto"/>
            </w:tcBorders>
            <w:shd w:val="clear" w:color="auto" w:fill="auto"/>
            <w:noWrap/>
            <w:vAlign w:val="center"/>
            <w:hideMark/>
          </w:tcPr>
          <w:p w:rsidR="000E2030" w:rsidRPr="000A12D0" w:rsidRDefault="000E2030" w:rsidP="000E2030">
            <w:pPr>
              <w:keepNext/>
              <w:spacing w:after="0" w:line="240" w:lineRule="auto"/>
              <w:jc w:val="right"/>
              <w:rPr>
                <w:rFonts w:ascii="Calibri" w:eastAsia="Times New Roman" w:hAnsi="Calibri" w:cs="Calibri"/>
                <w:color w:val="000000"/>
                <w:sz w:val="16"/>
                <w:szCs w:val="16"/>
                <w:lang w:eastAsia="en-AU"/>
              </w:rPr>
            </w:pPr>
            <w:r w:rsidRPr="000A12D0">
              <w:rPr>
                <w:rFonts w:ascii="Calibri" w:eastAsia="Times New Roman" w:hAnsi="Calibri" w:cs="Calibri"/>
                <w:color w:val="000000"/>
                <w:sz w:val="16"/>
                <w:szCs w:val="16"/>
                <w:lang w:eastAsia="en-AU"/>
              </w:rPr>
              <w:t>39.2</w:t>
            </w:r>
          </w:p>
        </w:tc>
        <w:tc>
          <w:tcPr>
            <w:tcW w:w="567" w:type="dxa"/>
            <w:tcBorders>
              <w:top w:val="nil"/>
              <w:left w:val="nil"/>
              <w:bottom w:val="single" w:sz="4" w:space="0" w:color="auto"/>
              <w:right w:val="single" w:sz="4" w:space="0" w:color="auto"/>
            </w:tcBorders>
            <w:shd w:val="clear" w:color="auto" w:fill="auto"/>
            <w:noWrap/>
            <w:vAlign w:val="center"/>
            <w:hideMark/>
          </w:tcPr>
          <w:p w:rsidR="000E2030" w:rsidRPr="000A12D0" w:rsidRDefault="000E2030" w:rsidP="000E2030">
            <w:pPr>
              <w:keepNext/>
              <w:spacing w:after="0" w:line="240" w:lineRule="auto"/>
              <w:jc w:val="right"/>
              <w:rPr>
                <w:rFonts w:ascii="Calibri" w:eastAsia="Times New Roman" w:hAnsi="Calibri" w:cs="Calibri"/>
                <w:color w:val="000000"/>
                <w:sz w:val="16"/>
                <w:szCs w:val="16"/>
                <w:lang w:eastAsia="en-AU"/>
              </w:rPr>
            </w:pPr>
            <w:r w:rsidRPr="000A12D0">
              <w:rPr>
                <w:rFonts w:ascii="Calibri" w:eastAsia="Times New Roman" w:hAnsi="Calibri" w:cs="Calibri"/>
                <w:color w:val="000000"/>
                <w:sz w:val="16"/>
                <w:szCs w:val="16"/>
                <w:lang w:eastAsia="en-AU"/>
              </w:rPr>
              <w:t>100</w:t>
            </w:r>
          </w:p>
        </w:tc>
      </w:tr>
      <w:tr w:rsidR="000E2030" w:rsidRPr="000A12D0" w:rsidTr="000E2030">
        <w:trPr>
          <w:trHeight w:val="288"/>
        </w:trPr>
        <w:tc>
          <w:tcPr>
            <w:tcW w:w="4340" w:type="dxa"/>
            <w:tcBorders>
              <w:top w:val="nil"/>
              <w:left w:val="single" w:sz="4" w:space="0" w:color="auto"/>
              <w:bottom w:val="single" w:sz="4" w:space="0" w:color="auto"/>
              <w:right w:val="single" w:sz="4" w:space="0" w:color="auto"/>
            </w:tcBorders>
            <w:shd w:val="clear" w:color="auto" w:fill="auto"/>
            <w:noWrap/>
            <w:vAlign w:val="center"/>
            <w:hideMark/>
          </w:tcPr>
          <w:p w:rsidR="000E2030" w:rsidRPr="000A12D0" w:rsidRDefault="000E2030" w:rsidP="000E2030">
            <w:pPr>
              <w:keepNext/>
              <w:spacing w:after="0" w:line="240" w:lineRule="auto"/>
              <w:rPr>
                <w:rFonts w:ascii="Calibri" w:eastAsia="Times New Roman" w:hAnsi="Calibri" w:cs="Calibri"/>
                <w:color w:val="000000"/>
                <w:sz w:val="16"/>
                <w:szCs w:val="16"/>
                <w:lang w:eastAsia="en-AU"/>
              </w:rPr>
            </w:pPr>
            <w:r w:rsidRPr="000A12D0">
              <w:rPr>
                <w:rFonts w:ascii="Calibri" w:eastAsia="Times New Roman" w:hAnsi="Calibri" w:cs="Calibri"/>
                <w:color w:val="000000"/>
                <w:sz w:val="16"/>
                <w:szCs w:val="16"/>
                <w:lang w:eastAsia="en-AU"/>
              </w:rPr>
              <w:t xml:space="preserve">Increase the number of jobs applied for </w:t>
            </w:r>
          </w:p>
        </w:tc>
        <w:tc>
          <w:tcPr>
            <w:tcW w:w="960" w:type="dxa"/>
            <w:tcBorders>
              <w:top w:val="nil"/>
              <w:left w:val="nil"/>
              <w:bottom w:val="single" w:sz="4" w:space="0" w:color="auto"/>
              <w:right w:val="single" w:sz="4" w:space="0" w:color="auto"/>
            </w:tcBorders>
            <w:shd w:val="clear" w:color="auto" w:fill="auto"/>
            <w:noWrap/>
            <w:vAlign w:val="center"/>
            <w:hideMark/>
          </w:tcPr>
          <w:p w:rsidR="000E2030" w:rsidRPr="000A12D0" w:rsidRDefault="000E2030" w:rsidP="000E2030">
            <w:pPr>
              <w:keepNext/>
              <w:spacing w:after="0" w:line="240" w:lineRule="auto"/>
              <w:jc w:val="right"/>
              <w:rPr>
                <w:rFonts w:ascii="Calibri" w:eastAsia="Times New Roman" w:hAnsi="Calibri" w:cs="Calibri"/>
                <w:color w:val="000000"/>
                <w:sz w:val="16"/>
                <w:szCs w:val="16"/>
                <w:lang w:eastAsia="en-AU"/>
              </w:rPr>
            </w:pPr>
            <w:r w:rsidRPr="000A12D0">
              <w:rPr>
                <w:rFonts w:ascii="Calibri" w:eastAsia="Times New Roman" w:hAnsi="Calibri" w:cs="Calibri"/>
                <w:color w:val="000000"/>
                <w:sz w:val="16"/>
                <w:szCs w:val="16"/>
                <w:lang w:eastAsia="en-AU"/>
              </w:rPr>
              <w:t>15.8</w:t>
            </w:r>
          </w:p>
        </w:tc>
        <w:tc>
          <w:tcPr>
            <w:tcW w:w="960" w:type="dxa"/>
            <w:tcBorders>
              <w:top w:val="nil"/>
              <w:left w:val="nil"/>
              <w:bottom w:val="single" w:sz="4" w:space="0" w:color="auto"/>
              <w:right w:val="single" w:sz="4" w:space="0" w:color="auto"/>
            </w:tcBorders>
            <w:shd w:val="clear" w:color="auto" w:fill="auto"/>
            <w:noWrap/>
            <w:vAlign w:val="center"/>
            <w:hideMark/>
          </w:tcPr>
          <w:p w:rsidR="000E2030" w:rsidRPr="000A12D0" w:rsidRDefault="000E2030" w:rsidP="000E2030">
            <w:pPr>
              <w:keepNext/>
              <w:spacing w:after="0" w:line="240" w:lineRule="auto"/>
              <w:jc w:val="right"/>
              <w:rPr>
                <w:rFonts w:ascii="Calibri" w:eastAsia="Times New Roman" w:hAnsi="Calibri" w:cs="Calibri"/>
                <w:color w:val="000000"/>
                <w:sz w:val="16"/>
                <w:szCs w:val="16"/>
                <w:lang w:eastAsia="en-AU"/>
              </w:rPr>
            </w:pPr>
            <w:r w:rsidRPr="000A12D0">
              <w:rPr>
                <w:rFonts w:ascii="Calibri" w:eastAsia="Times New Roman" w:hAnsi="Calibri" w:cs="Calibri"/>
                <w:color w:val="000000"/>
                <w:sz w:val="16"/>
                <w:szCs w:val="16"/>
                <w:lang w:eastAsia="en-AU"/>
              </w:rPr>
              <w:t>45</w:t>
            </w:r>
          </w:p>
        </w:tc>
        <w:tc>
          <w:tcPr>
            <w:tcW w:w="828" w:type="dxa"/>
            <w:tcBorders>
              <w:top w:val="nil"/>
              <w:left w:val="nil"/>
              <w:bottom w:val="single" w:sz="4" w:space="0" w:color="auto"/>
              <w:right w:val="single" w:sz="4" w:space="0" w:color="auto"/>
            </w:tcBorders>
            <w:shd w:val="clear" w:color="auto" w:fill="auto"/>
            <w:noWrap/>
            <w:vAlign w:val="center"/>
            <w:hideMark/>
          </w:tcPr>
          <w:p w:rsidR="000E2030" w:rsidRPr="000A12D0" w:rsidRDefault="000E2030" w:rsidP="000E2030">
            <w:pPr>
              <w:keepNext/>
              <w:spacing w:after="0" w:line="240" w:lineRule="auto"/>
              <w:jc w:val="right"/>
              <w:rPr>
                <w:rFonts w:ascii="Calibri" w:eastAsia="Times New Roman" w:hAnsi="Calibri" w:cs="Calibri"/>
                <w:color w:val="000000"/>
                <w:sz w:val="16"/>
                <w:szCs w:val="16"/>
                <w:lang w:eastAsia="en-AU"/>
              </w:rPr>
            </w:pPr>
            <w:r w:rsidRPr="000A12D0">
              <w:rPr>
                <w:rFonts w:ascii="Calibri" w:eastAsia="Times New Roman" w:hAnsi="Calibri" w:cs="Calibri"/>
                <w:color w:val="000000"/>
                <w:sz w:val="16"/>
                <w:szCs w:val="16"/>
                <w:lang w:eastAsia="en-AU"/>
              </w:rPr>
              <w:t>39.2</w:t>
            </w:r>
          </w:p>
        </w:tc>
        <w:tc>
          <w:tcPr>
            <w:tcW w:w="567" w:type="dxa"/>
            <w:tcBorders>
              <w:top w:val="nil"/>
              <w:left w:val="nil"/>
              <w:bottom w:val="single" w:sz="4" w:space="0" w:color="auto"/>
              <w:right w:val="single" w:sz="4" w:space="0" w:color="auto"/>
            </w:tcBorders>
            <w:shd w:val="clear" w:color="auto" w:fill="auto"/>
            <w:noWrap/>
            <w:vAlign w:val="center"/>
            <w:hideMark/>
          </w:tcPr>
          <w:p w:rsidR="000E2030" w:rsidRPr="000A12D0" w:rsidRDefault="000E2030" w:rsidP="000E2030">
            <w:pPr>
              <w:keepNext/>
              <w:spacing w:after="0" w:line="240" w:lineRule="auto"/>
              <w:jc w:val="right"/>
              <w:rPr>
                <w:rFonts w:ascii="Calibri" w:eastAsia="Times New Roman" w:hAnsi="Calibri" w:cs="Calibri"/>
                <w:color w:val="000000"/>
                <w:sz w:val="16"/>
                <w:szCs w:val="16"/>
                <w:lang w:eastAsia="en-AU"/>
              </w:rPr>
            </w:pPr>
            <w:r w:rsidRPr="000A12D0">
              <w:rPr>
                <w:rFonts w:ascii="Calibri" w:eastAsia="Times New Roman" w:hAnsi="Calibri" w:cs="Calibri"/>
                <w:color w:val="000000"/>
                <w:sz w:val="16"/>
                <w:szCs w:val="16"/>
                <w:lang w:eastAsia="en-AU"/>
              </w:rPr>
              <w:t>100</w:t>
            </w:r>
          </w:p>
        </w:tc>
      </w:tr>
    </w:tbl>
    <w:p w:rsidR="00C71497" w:rsidRPr="00E81783" w:rsidRDefault="00C71497" w:rsidP="000E2030">
      <w:pPr>
        <w:pStyle w:val="Source"/>
        <w:keepNext/>
        <w:keepLines/>
        <w:spacing w:before="1680"/>
        <w:rPr>
          <w:b w:val="0"/>
          <w:color w:val="000000" w:themeColor="text1"/>
        </w:rPr>
      </w:pPr>
      <w:r w:rsidRPr="00E81783">
        <w:rPr>
          <w:color w:val="000000" w:themeColor="text1"/>
        </w:rPr>
        <w:t>Note:</w:t>
      </w:r>
      <w:r w:rsidRPr="00E81783">
        <w:rPr>
          <w:color w:val="000000" w:themeColor="text1"/>
        </w:rPr>
        <w:tab/>
      </w:r>
      <w:r w:rsidRPr="00E81783">
        <w:rPr>
          <w:b w:val="0"/>
          <w:color w:val="000000" w:themeColor="text1"/>
        </w:rPr>
        <w:t xml:space="preserve">Only those who stated that they were aware of the JCB were asked this question. </w:t>
      </w:r>
    </w:p>
    <w:p w:rsidR="00C71497" w:rsidRPr="00E81783" w:rsidRDefault="00C71497" w:rsidP="00C71497">
      <w:pPr>
        <w:pStyle w:val="Source"/>
        <w:keepNext/>
        <w:keepLines/>
        <w:rPr>
          <w:b w:val="0"/>
          <w:color w:val="000000" w:themeColor="text1"/>
        </w:rPr>
      </w:pPr>
      <w:r w:rsidRPr="00E81783">
        <w:rPr>
          <w:color w:val="000000" w:themeColor="text1"/>
        </w:rPr>
        <w:t>Source:</w:t>
      </w:r>
      <w:r w:rsidRPr="00E81783">
        <w:rPr>
          <w:b w:val="0"/>
          <w:color w:val="000000" w:themeColor="text1"/>
        </w:rPr>
        <w:tab/>
        <w:t xml:space="preserve">Department of Employment </w:t>
      </w:r>
      <w:r w:rsidR="00DC64C6">
        <w:rPr>
          <w:b w:val="0"/>
          <w:color w:val="000000" w:themeColor="text1"/>
        </w:rPr>
        <w:t>PPM JCB</w:t>
      </w:r>
      <w:r w:rsidRPr="00E81783">
        <w:rPr>
          <w:b w:val="0"/>
          <w:color w:val="000000" w:themeColor="text1"/>
        </w:rPr>
        <w:t xml:space="preserve"> survey.</w:t>
      </w:r>
    </w:p>
    <w:p w:rsidR="00D92C4B" w:rsidRDefault="00C71497" w:rsidP="00C71497">
      <w:pPr>
        <w:spacing w:before="120"/>
        <w:rPr>
          <w:color w:val="000000" w:themeColor="text1"/>
        </w:rPr>
      </w:pPr>
      <w:r>
        <w:rPr>
          <w:color w:val="000000" w:themeColor="text1"/>
        </w:rPr>
        <w:t xml:space="preserve">The survey </w:t>
      </w:r>
      <w:r w:rsidRPr="00E81783">
        <w:rPr>
          <w:color w:val="000000" w:themeColor="text1"/>
        </w:rPr>
        <w:t xml:space="preserve">asked </w:t>
      </w:r>
      <w:r>
        <w:rPr>
          <w:color w:val="000000" w:themeColor="text1"/>
        </w:rPr>
        <w:t>about</w:t>
      </w:r>
      <w:r w:rsidRPr="00E81783">
        <w:rPr>
          <w:color w:val="000000" w:themeColor="text1"/>
        </w:rPr>
        <w:t xml:space="preserve"> their motivations more than a year </w:t>
      </w:r>
      <w:r>
        <w:rPr>
          <w:color w:val="000000" w:themeColor="text1"/>
        </w:rPr>
        <w:t>previous and this may have resulted in some misreporting due to recall issues. Also, as</w:t>
      </w:r>
      <w:r w:rsidRPr="00E81783">
        <w:rPr>
          <w:color w:val="000000" w:themeColor="text1"/>
        </w:rPr>
        <w:t xml:space="preserve"> </w:t>
      </w:r>
      <w:r>
        <w:rPr>
          <w:color w:val="000000" w:themeColor="text1"/>
        </w:rPr>
        <w:t>reported in the qualitative work, many</w:t>
      </w:r>
      <w:r w:rsidRPr="00E81783">
        <w:rPr>
          <w:color w:val="000000" w:themeColor="text1"/>
        </w:rPr>
        <w:t xml:space="preserve"> </w:t>
      </w:r>
      <w:r>
        <w:rPr>
          <w:color w:val="000000" w:themeColor="text1"/>
        </w:rPr>
        <w:t xml:space="preserve">people </w:t>
      </w:r>
      <w:r w:rsidRPr="00E81783">
        <w:rPr>
          <w:color w:val="000000" w:themeColor="text1"/>
        </w:rPr>
        <w:t>bec</w:t>
      </w:r>
      <w:r>
        <w:rPr>
          <w:color w:val="000000" w:themeColor="text1"/>
        </w:rPr>
        <w:t>a</w:t>
      </w:r>
      <w:r w:rsidRPr="00E81783">
        <w:rPr>
          <w:color w:val="000000" w:themeColor="text1"/>
        </w:rPr>
        <w:t>me aware of the JCB after they had left income support</w:t>
      </w:r>
      <w:r>
        <w:rPr>
          <w:color w:val="000000" w:themeColor="text1"/>
        </w:rPr>
        <w:t>. It is likely then that</w:t>
      </w:r>
      <w:r w:rsidRPr="00E81783">
        <w:rPr>
          <w:color w:val="000000" w:themeColor="text1"/>
        </w:rPr>
        <w:t xml:space="preserve"> the results in this figure may overestimate the </w:t>
      </w:r>
      <w:r w:rsidR="005375BB">
        <w:rPr>
          <w:color w:val="000000" w:themeColor="text1"/>
        </w:rPr>
        <w:t xml:space="preserve">likely </w:t>
      </w:r>
      <w:r w:rsidRPr="00E81783">
        <w:rPr>
          <w:color w:val="000000" w:themeColor="text1"/>
        </w:rPr>
        <w:t>impact of the JCB.</w:t>
      </w:r>
    </w:p>
    <w:p w:rsidR="006C0698" w:rsidRDefault="00D92C4B" w:rsidP="004968D9">
      <w:pPr>
        <w:pStyle w:val="Heading3"/>
      </w:pPr>
      <w:r>
        <w:t>4.1.4</w:t>
      </w:r>
      <w:r>
        <w:tab/>
      </w:r>
      <w:r w:rsidR="00F1161A">
        <w:t>Other possible</w:t>
      </w:r>
      <w:r w:rsidR="006C0698">
        <w:t xml:space="preserve"> bonus payment structure</w:t>
      </w:r>
      <w:r w:rsidR="00F1161A">
        <w:t>s</w:t>
      </w:r>
    </w:p>
    <w:p w:rsidR="00A41CAD" w:rsidRDefault="00B33F81" w:rsidP="007D2ECC">
      <w:pPr>
        <w:spacing w:before="120"/>
      </w:pPr>
      <w:r>
        <w:t xml:space="preserve">Round 4 </w:t>
      </w:r>
      <w:r w:rsidR="00F35EA0">
        <w:t xml:space="preserve">qualitative </w:t>
      </w:r>
      <w:r>
        <w:t>research</w:t>
      </w:r>
      <w:r w:rsidR="00A41CAD" w:rsidRPr="00A41CAD">
        <w:t xml:space="preserve"> </w:t>
      </w:r>
      <w:r w:rsidR="00A41CAD">
        <w:t>canvass</w:t>
      </w:r>
      <w:r w:rsidR="005D2EA5">
        <w:t>ed</w:t>
      </w:r>
      <w:r w:rsidR="00A41CAD">
        <w:t xml:space="preserve"> </w:t>
      </w:r>
      <w:r>
        <w:t>job seekers</w:t>
      </w:r>
      <w:r w:rsidR="00A41CAD">
        <w:t>’ views about the concept of a bonus</w:t>
      </w:r>
      <w:r w:rsidR="005D2EA5">
        <w:t xml:space="preserve">. It also investigated </w:t>
      </w:r>
      <w:r w:rsidR="00602DB2">
        <w:t>what</w:t>
      </w:r>
      <w:r w:rsidR="00F35EA0">
        <w:t xml:space="preserve"> </w:t>
      </w:r>
      <w:r>
        <w:t>type of bonus payment structure might be mo</w:t>
      </w:r>
      <w:r w:rsidR="00602DB2">
        <w:t>st</w:t>
      </w:r>
      <w:r w:rsidR="00A41CAD">
        <w:t xml:space="preserve"> appealing</w:t>
      </w:r>
      <w:r w:rsidR="00F1161A">
        <w:t xml:space="preserve"> to </w:t>
      </w:r>
      <w:r w:rsidR="00820A09">
        <w:t xml:space="preserve">encourage them to </w:t>
      </w:r>
      <w:r w:rsidR="00F1161A">
        <w:t>leave income support and sustain employment</w:t>
      </w:r>
      <w:r>
        <w:t xml:space="preserve">. </w:t>
      </w:r>
      <w:r w:rsidR="004257A8">
        <w:t>This</w:t>
      </w:r>
      <w:r w:rsidR="00F1161A">
        <w:t xml:space="preserve"> topic</w:t>
      </w:r>
      <w:r w:rsidR="004257A8">
        <w:t xml:space="preserve"> was </w:t>
      </w:r>
      <w:r w:rsidR="00F1161A">
        <w:t>also canvass</w:t>
      </w:r>
      <w:r w:rsidR="004257A8">
        <w:t>ed to a li</w:t>
      </w:r>
      <w:r w:rsidR="00F35EA0">
        <w:t xml:space="preserve">mited extent in </w:t>
      </w:r>
      <w:r w:rsidR="004257A8">
        <w:t>Round 3 research.</w:t>
      </w:r>
    </w:p>
    <w:p w:rsidR="00B33F81" w:rsidRDefault="004F17FD" w:rsidP="007D2ECC">
      <w:pPr>
        <w:spacing w:before="120"/>
      </w:pPr>
      <w:r>
        <w:t>Generally</w:t>
      </w:r>
      <w:r w:rsidR="00BE52FD">
        <w:t>,</w:t>
      </w:r>
      <w:r>
        <w:t xml:space="preserve"> </w:t>
      </w:r>
      <w:r w:rsidR="00602DB2">
        <w:t xml:space="preserve">participants did not think a bonus </w:t>
      </w:r>
      <w:r>
        <w:t xml:space="preserve">would </w:t>
      </w:r>
      <w:r w:rsidR="005D2EA5">
        <w:t>provide</w:t>
      </w:r>
      <w:r w:rsidR="00602DB2">
        <w:t xml:space="preserve"> additional motivation or incentive</w:t>
      </w:r>
      <w:r>
        <w:t xml:space="preserve"> for them</w:t>
      </w:r>
      <w:r w:rsidR="00F1161A">
        <w:t xml:space="preserve">. </w:t>
      </w:r>
      <w:r>
        <w:t>T</w:t>
      </w:r>
      <w:r w:rsidR="00A41CAD">
        <w:t xml:space="preserve">he level of </w:t>
      </w:r>
      <w:r w:rsidR="00B33F81">
        <w:t xml:space="preserve">support </w:t>
      </w:r>
      <w:r w:rsidR="00A41CAD">
        <w:t xml:space="preserve">and </w:t>
      </w:r>
      <w:r w:rsidR="00D25977">
        <w:t>reaction</w:t>
      </w:r>
      <w:r w:rsidR="00A41CAD">
        <w:t xml:space="preserve">s </w:t>
      </w:r>
      <w:r w:rsidR="00D25977">
        <w:t>to</w:t>
      </w:r>
      <w:r w:rsidR="00B33F81">
        <w:t xml:space="preserve"> the concept of a job bonus </w:t>
      </w:r>
      <w:r w:rsidR="00F35EA0">
        <w:t xml:space="preserve">expressed in Round 4 </w:t>
      </w:r>
      <w:r w:rsidR="00B33F81">
        <w:t>w</w:t>
      </w:r>
      <w:r w:rsidR="00602DB2">
        <w:t>ere</w:t>
      </w:r>
      <w:r w:rsidR="00B33F81">
        <w:t xml:space="preserve"> similar to</w:t>
      </w:r>
      <w:r w:rsidR="005D2EA5">
        <w:t xml:space="preserve"> those expressed in</w:t>
      </w:r>
      <w:r w:rsidR="00B33F81">
        <w:t xml:space="preserve"> </w:t>
      </w:r>
      <w:r w:rsidR="00A41CAD">
        <w:t>previous r</w:t>
      </w:r>
      <w:r w:rsidR="00F35EA0">
        <w:t>ounds</w:t>
      </w:r>
      <w:r w:rsidR="00A41CAD">
        <w:t xml:space="preserve"> (see Section 3.7), that is</w:t>
      </w:r>
      <w:r w:rsidR="00B33F81">
        <w:t>:</w:t>
      </w:r>
    </w:p>
    <w:p w:rsidR="00B33F81" w:rsidRDefault="00A41CAD" w:rsidP="007D2ECC">
      <w:pPr>
        <w:pStyle w:val="ListParagraph"/>
        <w:numPr>
          <w:ilvl w:val="0"/>
          <w:numId w:val="49"/>
        </w:numPr>
      </w:pPr>
      <w:r>
        <w:t xml:space="preserve">the </w:t>
      </w:r>
      <w:r w:rsidR="0006203C">
        <w:t>greater</w:t>
      </w:r>
      <w:r>
        <w:t xml:space="preserve"> income from work compared to income support was considered sufficient</w:t>
      </w:r>
      <w:r w:rsidR="00B33F81">
        <w:t xml:space="preserve"> incentive to get off income support</w:t>
      </w:r>
    </w:p>
    <w:p w:rsidR="00B33F81" w:rsidRDefault="00A41CAD" w:rsidP="007D2ECC">
      <w:pPr>
        <w:pStyle w:val="ListParagraph"/>
        <w:numPr>
          <w:ilvl w:val="0"/>
          <w:numId w:val="49"/>
        </w:numPr>
      </w:pPr>
      <w:r>
        <w:t xml:space="preserve">there was </w:t>
      </w:r>
      <w:r w:rsidR="00B33F81">
        <w:t xml:space="preserve">an unwillingness to </w:t>
      </w:r>
      <w:r w:rsidR="00602DB2">
        <w:t xml:space="preserve">accept </w:t>
      </w:r>
      <w:r w:rsidR="006573FA">
        <w:t xml:space="preserve">‘just </w:t>
      </w:r>
      <w:r w:rsidR="00B33F81">
        <w:t>any</w:t>
      </w:r>
      <w:r w:rsidR="006573FA">
        <w:t>’</w:t>
      </w:r>
      <w:r w:rsidR="00B33F81">
        <w:t xml:space="preserve"> type of job</w:t>
      </w:r>
      <w:r>
        <w:t xml:space="preserve">, especially for those with tertiary education. Even those who initially stated they would accept any job to qualify for </w:t>
      </w:r>
      <w:r w:rsidR="00F35EA0">
        <w:t>a</w:t>
      </w:r>
      <w:r>
        <w:t xml:space="preserve"> bonus, qualified the type of work they would consider, suggesting that </w:t>
      </w:r>
      <w:r w:rsidR="00602DB2">
        <w:t>a</w:t>
      </w:r>
      <w:r>
        <w:t xml:space="preserve"> bonus did not really provide a strong incentive</w:t>
      </w:r>
    </w:p>
    <w:p w:rsidR="00602DB2" w:rsidRDefault="00F35EA0" w:rsidP="007D2ECC">
      <w:pPr>
        <w:pStyle w:val="ListParagraph"/>
        <w:numPr>
          <w:ilvl w:val="0"/>
          <w:numId w:val="49"/>
        </w:numPr>
      </w:pPr>
      <w:r>
        <w:t xml:space="preserve">potential </w:t>
      </w:r>
      <w:r w:rsidR="00B33F81">
        <w:t>negative impacts on mental health and wellbeing</w:t>
      </w:r>
      <w:r w:rsidR="00A41CAD">
        <w:t xml:space="preserve"> if a job was disliked would outweigh </w:t>
      </w:r>
      <w:r>
        <w:t>the</w:t>
      </w:r>
      <w:r w:rsidR="00A41CAD">
        <w:t xml:space="preserve"> incentive of a bonus</w:t>
      </w:r>
      <w:r w:rsidR="00602DB2">
        <w:t>.</w:t>
      </w:r>
    </w:p>
    <w:p w:rsidR="00376644" w:rsidRDefault="00376644" w:rsidP="007D2ECC">
      <w:r w:rsidRPr="007D2ECC">
        <w:t>Some state</w:t>
      </w:r>
      <w:r w:rsidR="00155A16">
        <w:t>d</w:t>
      </w:r>
      <w:r w:rsidRPr="007D2ECC">
        <w:t xml:space="preserve"> that a cash bonus </w:t>
      </w:r>
      <w:r w:rsidR="00F35EA0">
        <w:t xml:space="preserve">might offer </w:t>
      </w:r>
      <w:r w:rsidR="00F35EA0" w:rsidRPr="007D2ECC">
        <w:t>encourage</w:t>
      </w:r>
      <w:r w:rsidR="00F35EA0">
        <w:t xml:space="preserve">ment </w:t>
      </w:r>
      <w:r w:rsidRPr="007D2ECC">
        <w:t>to accept a job that</w:t>
      </w:r>
      <w:r>
        <w:t xml:space="preserve"> was </w:t>
      </w:r>
      <w:r w:rsidR="00F35EA0">
        <w:t>less than</w:t>
      </w:r>
      <w:r>
        <w:t xml:space="preserve"> ideal, </w:t>
      </w:r>
      <w:r w:rsidR="001C1BFA">
        <w:t>where it was</w:t>
      </w:r>
      <w:r w:rsidR="00F35EA0">
        <w:t xml:space="preserve"> a job that they</w:t>
      </w:r>
      <w:r>
        <w:t xml:space="preserve"> could </w:t>
      </w:r>
      <w:r w:rsidR="005255D1">
        <w:t>learn</w:t>
      </w:r>
      <w:r>
        <w:t xml:space="preserve"> to </w:t>
      </w:r>
      <w:r w:rsidR="005468AF">
        <w:t>enjoy,</w:t>
      </w:r>
      <w:r>
        <w:t xml:space="preserve"> or</w:t>
      </w:r>
      <w:r w:rsidR="005468AF">
        <w:t xml:space="preserve"> one</w:t>
      </w:r>
      <w:r>
        <w:t xml:space="preserve"> </w:t>
      </w:r>
      <w:r w:rsidR="00F35EA0">
        <w:t xml:space="preserve">that </w:t>
      </w:r>
      <w:r>
        <w:t xml:space="preserve">might enable them to get off income support and </w:t>
      </w:r>
      <w:r w:rsidR="00F35EA0">
        <w:t>subsequently</w:t>
      </w:r>
      <w:r>
        <w:t xml:space="preserve"> seek work that better suited their needs.</w:t>
      </w:r>
    </w:p>
    <w:p w:rsidR="00376644" w:rsidRDefault="00C962FC" w:rsidP="007D2ECC">
      <w:pPr>
        <w:pStyle w:val="Quote"/>
        <w:spacing w:before="240" w:after="0"/>
        <w:rPr>
          <w:rFonts w:eastAsia="Times New Roman"/>
          <w:color w:val="000000" w:themeColor="text1"/>
          <w:lang w:eastAsia="en-AU"/>
        </w:rPr>
      </w:pPr>
      <w:r>
        <w:rPr>
          <w:rFonts w:eastAsia="Times New Roman"/>
          <w:color w:val="000000" w:themeColor="text1"/>
          <w:lang w:eastAsia="en-AU"/>
        </w:rPr>
        <w:lastRenderedPageBreak/>
        <w:t xml:space="preserve">That would be an awesome idea. </w:t>
      </w:r>
      <w:r w:rsidR="00376644" w:rsidRPr="007D2ECC">
        <w:rPr>
          <w:rFonts w:eastAsia="Times New Roman"/>
          <w:color w:val="000000" w:themeColor="text1"/>
          <w:lang w:eastAsia="en-AU"/>
        </w:rPr>
        <w:t>Because once I get a job, I alway</w:t>
      </w:r>
      <w:r>
        <w:rPr>
          <w:rFonts w:eastAsia="Times New Roman"/>
          <w:color w:val="000000" w:themeColor="text1"/>
          <w:lang w:eastAsia="en-AU"/>
        </w:rPr>
        <w:t xml:space="preserve">s stay in the position anyway. </w:t>
      </w:r>
      <w:r w:rsidR="00376644" w:rsidRPr="007D2ECC">
        <w:rPr>
          <w:rFonts w:eastAsia="Times New Roman"/>
          <w:color w:val="000000" w:themeColor="text1"/>
          <w:lang w:eastAsia="en-AU"/>
        </w:rPr>
        <w:t>You would kind of want to move through roles and be able to elevate yourself or move to a higher position</w:t>
      </w:r>
      <w:r w:rsidR="00376644" w:rsidRPr="00497EB2">
        <w:rPr>
          <w:color w:val="000000" w:themeColor="text1"/>
        </w:rPr>
        <w:t xml:space="preserve"> </w:t>
      </w:r>
      <w:r w:rsidR="00F1247B">
        <w:rPr>
          <w:rFonts w:eastAsia="Times New Roman"/>
          <w:color w:val="000000" w:themeColor="text1"/>
          <w:lang w:eastAsia="en-AU"/>
        </w:rPr>
        <w:t>too.</w:t>
      </w:r>
    </w:p>
    <w:p w:rsidR="004149DD" w:rsidRPr="009A03EC" w:rsidRDefault="004149DD" w:rsidP="007D2ECC">
      <w:pPr>
        <w:pStyle w:val="quopteJCB-source"/>
        <w:spacing w:before="0"/>
      </w:pPr>
      <w:r w:rsidRPr="009A03EC">
        <w:t>July 2017 (Round 4), on Work</w:t>
      </w:r>
      <w:r>
        <w:t xml:space="preserve"> </w:t>
      </w:r>
      <w:r w:rsidRPr="009A03EC">
        <w:t xml:space="preserve">for the Dole, </w:t>
      </w:r>
      <w:r>
        <w:t>25-49</w:t>
      </w:r>
      <w:r w:rsidRPr="009A03EC">
        <w:t xml:space="preserve">, male, </w:t>
      </w:r>
      <w:r>
        <w:t>Adelaide</w:t>
      </w:r>
    </w:p>
    <w:p w:rsidR="00376644" w:rsidRDefault="00602DB2" w:rsidP="007D2ECC">
      <w:pPr>
        <w:spacing w:before="120"/>
      </w:pPr>
      <w:r>
        <w:t xml:space="preserve">In terms of payment </w:t>
      </w:r>
      <w:r w:rsidR="00256E78">
        <w:t>structure</w:t>
      </w:r>
      <w:r w:rsidR="004C2A13">
        <w:t xml:space="preserve"> there was not</w:t>
      </w:r>
      <w:r w:rsidR="00F35EA0">
        <w:t xml:space="preserve"> </w:t>
      </w:r>
      <w:r w:rsidR="00F1161A">
        <w:t>consensus</w:t>
      </w:r>
      <w:r w:rsidR="004257A8">
        <w:t>, with some feeling that l</w:t>
      </w:r>
      <w:r w:rsidR="00256E78">
        <w:t>arge</w:t>
      </w:r>
      <w:r w:rsidR="00F35EA0">
        <w:t>r,</w:t>
      </w:r>
      <w:r w:rsidR="00256E78">
        <w:t xml:space="preserve"> </w:t>
      </w:r>
      <w:r w:rsidR="00F35EA0">
        <w:t xml:space="preserve">less frequent payments </w:t>
      </w:r>
      <w:r w:rsidR="00256E78">
        <w:t xml:space="preserve">were </w:t>
      </w:r>
      <w:r w:rsidR="00F35EA0">
        <w:t>more motivating</w:t>
      </w:r>
      <w:r w:rsidR="00256E78">
        <w:t xml:space="preserve"> (</w:t>
      </w:r>
      <w:r w:rsidR="00F35EA0">
        <w:t xml:space="preserve">for example as </w:t>
      </w:r>
      <w:r w:rsidR="004257A8">
        <w:t>enforced</w:t>
      </w:r>
      <w:r w:rsidR="00F35EA0">
        <w:t xml:space="preserve"> savings</w:t>
      </w:r>
      <w:r w:rsidR="004257A8">
        <w:t>) while other</w:t>
      </w:r>
      <w:r w:rsidR="00256E78">
        <w:t>s</w:t>
      </w:r>
      <w:r w:rsidR="004257A8">
        <w:t xml:space="preserve"> suggesting </w:t>
      </w:r>
      <w:r w:rsidR="00F35EA0">
        <w:t xml:space="preserve">smaller, more </w:t>
      </w:r>
      <w:r w:rsidR="004257A8">
        <w:t xml:space="preserve">frequent payments might </w:t>
      </w:r>
      <w:r w:rsidR="00F35EA0">
        <w:t xml:space="preserve">keep them </w:t>
      </w:r>
      <w:r w:rsidR="004257A8">
        <w:t>motivat</w:t>
      </w:r>
      <w:r w:rsidR="00F35EA0">
        <w:t>ed</w:t>
      </w:r>
      <w:r w:rsidR="00256E78">
        <w:t>.</w:t>
      </w:r>
    </w:p>
    <w:p w:rsidR="004C2A13" w:rsidRDefault="004C2A13" w:rsidP="004C2A13">
      <w:pPr>
        <w:pStyle w:val="Quote"/>
        <w:spacing w:before="240" w:after="0"/>
        <w:rPr>
          <w:rFonts w:eastAsia="Times New Roman"/>
          <w:color w:val="000000" w:themeColor="text1"/>
          <w:lang w:eastAsia="en-AU"/>
        </w:rPr>
      </w:pPr>
      <w:r w:rsidRPr="007D2ECC">
        <w:rPr>
          <w:rFonts w:eastAsia="Times New Roman"/>
          <w:color w:val="000000" w:themeColor="text1"/>
          <w:lang w:eastAsia="en-AU"/>
        </w:rPr>
        <w:t>I’d rather one lump sum, I feel that’s better drive</w:t>
      </w:r>
      <w:r>
        <w:rPr>
          <w:rFonts w:eastAsia="Times New Roman"/>
          <w:color w:val="000000" w:themeColor="text1"/>
          <w:lang w:eastAsia="en-AU"/>
        </w:rPr>
        <w:t>.</w:t>
      </w:r>
    </w:p>
    <w:p w:rsidR="004C2A13" w:rsidRPr="00A95FA3" w:rsidRDefault="004C2A13" w:rsidP="004C2A13">
      <w:pPr>
        <w:pStyle w:val="quopteJCB-source"/>
        <w:spacing w:before="0"/>
      </w:pPr>
      <w:r>
        <w:t>October 2016 (Round 3), received JCB, focus group, Brisbane</w:t>
      </w:r>
    </w:p>
    <w:p w:rsidR="004C2A13" w:rsidRDefault="004C2A13" w:rsidP="004C2A13">
      <w:pPr>
        <w:pStyle w:val="Quote"/>
        <w:spacing w:before="240" w:after="0"/>
        <w:rPr>
          <w:rFonts w:eastAsia="Times New Roman"/>
          <w:color w:val="000000" w:themeColor="text1"/>
          <w:lang w:eastAsia="en-AU"/>
        </w:rPr>
      </w:pPr>
      <w:r w:rsidRPr="007D2ECC">
        <w:rPr>
          <w:rFonts w:eastAsia="Times New Roman"/>
          <w:color w:val="000000" w:themeColor="text1"/>
          <w:lang w:eastAsia="en-AU"/>
        </w:rPr>
        <w:t>Maybe you don't get the other half until you’ve been working for a year or two.</w:t>
      </w:r>
    </w:p>
    <w:p w:rsidR="004C2A13" w:rsidRPr="009A03EC" w:rsidRDefault="004C2A13" w:rsidP="004C2A13">
      <w:pPr>
        <w:pStyle w:val="quopteJCB-source"/>
        <w:spacing w:before="0"/>
      </w:pPr>
      <w:r w:rsidRPr="007D2ECC">
        <w:t>July</w:t>
      </w:r>
      <w:r w:rsidRPr="009A03EC">
        <w:t xml:space="preserve"> 2017 (Round 4), </w:t>
      </w:r>
      <w:r w:rsidR="00F1110C">
        <w:t>exited jobactive</w:t>
      </w:r>
      <w:r w:rsidRPr="009A03EC">
        <w:t xml:space="preserve">, </w:t>
      </w:r>
      <w:r>
        <w:t>18-65</w:t>
      </w:r>
      <w:r w:rsidRPr="009A03EC">
        <w:t xml:space="preserve">, male, </w:t>
      </w:r>
      <w:r>
        <w:t>Geelong</w:t>
      </w:r>
    </w:p>
    <w:p w:rsidR="00256E78" w:rsidRPr="007D2ECC" w:rsidRDefault="00256E78" w:rsidP="007D2ECC">
      <w:pPr>
        <w:pStyle w:val="Quote"/>
        <w:spacing w:before="240" w:after="0"/>
        <w:rPr>
          <w:rFonts w:eastAsia="Times New Roman"/>
          <w:color w:val="000000" w:themeColor="text1"/>
          <w:lang w:eastAsia="en-AU"/>
        </w:rPr>
      </w:pPr>
      <w:r w:rsidRPr="007D2ECC">
        <w:rPr>
          <w:rFonts w:eastAsia="Times New Roman"/>
          <w:color w:val="000000" w:themeColor="text1"/>
          <w:lang w:eastAsia="en-AU"/>
        </w:rPr>
        <w:t>If they had split up the incentive over three months</w:t>
      </w:r>
      <w:r w:rsidR="004C2A13">
        <w:rPr>
          <w:rFonts w:eastAsia="Times New Roman"/>
          <w:color w:val="000000" w:themeColor="text1"/>
          <w:lang w:eastAsia="en-AU"/>
        </w:rPr>
        <w:t>,</w:t>
      </w:r>
      <w:r w:rsidRPr="007D2ECC">
        <w:rPr>
          <w:rFonts w:eastAsia="Times New Roman"/>
          <w:color w:val="000000" w:themeColor="text1"/>
          <w:lang w:eastAsia="en-AU"/>
        </w:rPr>
        <w:t xml:space="preserve"> </w:t>
      </w:r>
      <w:r w:rsidR="004C2A13">
        <w:rPr>
          <w:rFonts w:eastAsia="Times New Roman"/>
          <w:color w:val="000000" w:themeColor="text1"/>
          <w:lang w:eastAsia="en-AU"/>
        </w:rPr>
        <w:t xml:space="preserve">$2,500 spread over 3 months, </w:t>
      </w:r>
      <w:r w:rsidRPr="007D2ECC">
        <w:rPr>
          <w:rFonts w:eastAsia="Times New Roman"/>
          <w:color w:val="000000" w:themeColor="text1"/>
          <w:lang w:eastAsia="en-AU"/>
        </w:rPr>
        <w:t xml:space="preserve">and then at the end of </w:t>
      </w:r>
      <w:r w:rsidR="004C2A13">
        <w:rPr>
          <w:rFonts w:eastAsia="Times New Roman"/>
          <w:color w:val="000000" w:themeColor="text1"/>
          <w:lang w:eastAsia="en-AU"/>
        </w:rPr>
        <w:t xml:space="preserve">three months </w:t>
      </w:r>
      <w:r w:rsidRPr="007D2ECC">
        <w:rPr>
          <w:rFonts w:eastAsia="Times New Roman"/>
          <w:color w:val="000000" w:themeColor="text1"/>
          <w:lang w:eastAsia="en-AU"/>
        </w:rPr>
        <w:t>you can get a $5</w:t>
      </w:r>
      <w:r w:rsidR="004C2A13">
        <w:rPr>
          <w:rFonts w:eastAsia="Times New Roman"/>
          <w:color w:val="000000" w:themeColor="text1"/>
          <w:lang w:eastAsia="en-AU"/>
        </w:rPr>
        <w:t>00</w:t>
      </w:r>
      <w:r w:rsidRPr="007D2ECC">
        <w:rPr>
          <w:rFonts w:eastAsia="Times New Roman"/>
          <w:color w:val="000000" w:themeColor="text1"/>
          <w:lang w:eastAsia="en-AU"/>
        </w:rPr>
        <w:t xml:space="preserve"> </w:t>
      </w:r>
      <w:r w:rsidR="004C2A13">
        <w:rPr>
          <w:rFonts w:eastAsia="Times New Roman"/>
          <w:color w:val="000000" w:themeColor="text1"/>
          <w:lang w:eastAsia="en-AU"/>
        </w:rPr>
        <w:t>to</w:t>
      </w:r>
      <w:r w:rsidRPr="007D2ECC">
        <w:rPr>
          <w:rFonts w:eastAsia="Times New Roman"/>
          <w:color w:val="000000" w:themeColor="text1"/>
          <w:lang w:eastAsia="en-AU"/>
        </w:rPr>
        <w:t xml:space="preserve"> $600 bonus</w:t>
      </w:r>
      <w:r w:rsidR="004C2A13">
        <w:rPr>
          <w:rFonts w:eastAsia="Times New Roman"/>
          <w:color w:val="000000" w:themeColor="text1"/>
          <w:lang w:eastAsia="en-AU"/>
        </w:rPr>
        <w:t>,</w:t>
      </w:r>
      <w:r w:rsidRPr="007D2ECC">
        <w:rPr>
          <w:rFonts w:eastAsia="Times New Roman"/>
          <w:color w:val="000000" w:themeColor="text1"/>
          <w:lang w:eastAsia="en-AU"/>
        </w:rPr>
        <w:t xml:space="preserve"> that would have been motivating</w:t>
      </w:r>
      <w:r w:rsidR="00B0345A">
        <w:rPr>
          <w:rFonts w:eastAsia="Times New Roman"/>
          <w:color w:val="000000" w:themeColor="text1"/>
          <w:lang w:eastAsia="en-AU"/>
        </w:rPr>
        <w:t>.</w:t>
      </w:r>
    </w:p>
    <w:p w:rsidR="007D2ECC" w:rsidRPr="00A95FA3" w:rsidRDefault="007D2ECC" w:rsidP="007D2ECC">
      <w:pPr>
        <w:pStyle w:val="quopteJCB-source"/>
        <w:spacing w:before="0"/>
      </w:pPr>
      <w:r>
        <w:t>October 2016 (Round 3), received JCB, focus group, Adelaide</w:t>
      </w:r>
    </w:p>
    <w:p w:rsidR="00256E78" w:rsidRPr="007D2ECC" w:rsidRDefault="00256E78" w:rsidP="007D2ECC">
      <w:pPr>
        <w:pStyle w:val="Quote"/>
        <w:spacing w:before="240" w:after="0"/>
        <w:rPr>
          <w:rFonts w:eastAsia="Times New Roman"/>
          <w:color w:val="000000" w:themeColor="text1"/>
          <w:lang w:eastAsia="en-AU"/>
        </w:rPr>
      </w:pPr>
      <w:r w:rsidRPr="007D2ECC">
        <w:rPr>
          <w:rFonts w:eastAsia="Times New Roman"/>
          <w:color w:val="000000" w:themeColor="text1"/>
          <w:lang w:eastAsia="en-AU"/>
        </w:rPr>
        <w:t>… if it was in the short term, 6 months, then I think it would motivate people more to make sure that they are employed,</w:t>
      </w:r>
      <w:r w:rsidR="007D2ECC" w:rsidRPr="007D2ECC">
        <w:rPr>
          <w:rFonts w:eastAsia="Times New Roman"/>
          <w:color w:val="000000" w:themeColor="text1"/>
          <w:lang w:eastAsia="en-AU"/>
        </w:rPr>
        <w:t xml:space="preserve"> because it’s so more regular.</w:t>
      </w:r>
    </w:p>
    <w:p w:rsidR="007D2ECC" w:rsidRPr="00A95FA3" w:rsidRDefault="007D2ECC" w:rsidP="007D2ECC">
      <w:pPr>
        <w:pStyle w:val="quopteJCB-source"/>
        <w:spacing w:before="0"/>
      </w:pPr>
      <w:r>
        <w:t>October 2016 (Round 3), received JCB, mini focus group, regional Victoria</w:t>
      </w:r>
    </w:p>
    <w:p w:rsidR="004149DD" w:rsidRDefault="004149DD" w:rsidP="007D2ECC">
      <w:pPr>
        <w:pStyle w:val="Quote"/>
        <w:spacing w:before="240" w:after="0"/>
        <w:rPr>
          <w:rFonts w:eastAsia="Times New Roman"/>
          <w:color w:val="000000" w:themeColor="text1"/>
          <w:lang w:eastAsia="en-AU"/>
        </w:rPr>
      </w:pPr>
      <w:r w:rsidRPr="007D2ECC">
        <w:rPr>
          <w:rFonts w:eastAsia="Times New Roman"/>
          <w:color w:val="000000" w:themeColor="text1"/>
          <w:lang w:eastAsia="en-AU"/>
        </w:rPr>
        <w:t>Maybe they could do it a different way like maybe give a pay rise rather than a lump sum or maybe a smaller sum and then a pay rise because t</w:t>
      </w:r>
      <w:r w:rsidR="00F1247B">
        <w:rPr>
          <w:rFonts w:eastAsia="Times New Roman"/>
          <w:color w:val="000000" w:themeColor="text1"/>
          <w:lang w:eastAsia="en-AU"/>
        </w:rPr>
        <w:t>hen they would stay for longer.</w:t>
      </w:r>
    </w:p>
    <w:p w:rsidR="004149DD" w:rsidRPr="009A03EC" w:rsidRDefault="004149DD" w:rsidP="007D2ECC">
      <w:pPr>
        <w:pStyle w:val="quopteJCB-source"/>
        <w:spacing w:before="0"/>
      </w:pPr>
      <w:r w:rsidRPr="009A03EC">
        <w:t xml:space="preserve">July 2017 (Round 4), </w:t>
      </w:r>
      <w:r w:rsidR="00F1110C">
        <w:t>jobactive case management</w:t>
      </w:r>
      <w:r w:rsidRPr="009A03EC">
        <w:t xml:space="preserve">, </w:t>
      </w:r>
      <w:r>
        <w:t>under 25</w:t>
      </w:r>
      <w:r w:rsidRPr="009A03EC">
        <w:t xml:space="preserve">, male, </w:t>
      </w:r>
      <w:r>
        <w:t>Geelong</w:t>
      </w:r>
    </w:p>
    <w:p w:rsidR="00602DB2" w:rsidRDefault="004C2A13" w:rsidP="009307B5">
      <w:pPr>
        <w:spacing w:before="120"/>
      </w:pPr>
      <w:r>
        <w:t>Participants also suggested that o</w:t>
      </w:r>
      <w:r w:rsidR="007D2ECC">
        <w:t xml:space="preserve">ther </w:t>
      </w:r>
      <w:r w:rsidR="00F35EA0">
        <w:t>paym</w:t>
      </w:r>
      <w:r w:rsidR="00602DB2">
        <w:t xml:space="preserve">ent options </w:t>
      </w:r>
      <w:r>
        <w:t>might</w:t>
      </w:r>
      <w:r w:rsidR="00F35EA0">
        <w:t xml:space="preserve"> be more appealing to job seekers </w:t>
      </w:r>
      <w:r w:rsidR="00602DB2">
        <w:t>than a bonus</w:t>
      </w:r>
      <w:r>
        <w:t xml:space="preserve"> such as</w:t>
      </w:r>
      <w:r w:rsidR="00F1161A">
        <w:t xml:space="preserve">: a </w:t>
      </w:r>
      <w:r w:rsidR="00602DB2">
        <w:t>lump sum invested in</w:t>
      </w:r>
      <w:r w:rsidR="00602DB2" w:rsidRPr="00087147">
        <w:t xml:space="preserve"> super funds</w:t>
      </w:r>
      <w:r w:rsidR="00F1161A">
        <w:t xml:space="preserve">; </w:t>
      </w:r>
      <w:r w:rsidR="00602DB2" w:rsidRPr="00087147">
        <w:t>a contribution towards a home loan deposit</w:t>
      </w:r>
      <w:r w:rsidR="00F1161A">
        <w:t xml:space="preserve">; </w:t>
      </w:r>
      <w:r w:rsidR="00602DB2" w:rsidRPr="00087147">
        <w:t>vouchers for public transport or supermarket</w:t>
      </w:r>
      <w:r w:rsidR="00F1161A">
        <w:t xml:space="preserve">; or </w:t>
      </w:r>
      <w:r w:rsidR="00602DB2" w:rsidRPr="00087147">
        <w:t>a contribution towards personal or professional development, like education courses, drivi</w:t>
      </w:r>
      <w:r w:rsidR="00F1247B">
        <w:t>ng lessons or car registration.</w:t>
      </w:r>
    </w:p>
    <w:p w:rsidR="004149DD" w:rsidRPr="007D2ECC" w:rsidRDefault="004149DD" w:rsidP="007D2ECC">
      <w:pPr>
        <w:pStyle w:val="Quote"/>
        <w:spacing w:before="240" w:after="0"/>
        <w:rPr>
          <w:rFonts w:eastAsia="Times New Roman"/>
          <w:color w:val="000000" w:themeColor="text1"/>
          <w:lang w:eastAsia="en-AU"/>
        </w:rPr>
      </w:pPr>
      <w:r w:rsidRPr="007D2ECC">
        <w:rPr>
          <w:rFonts w:eastAsia="Times New Roman"/>
          <w:color w:val="000000" w:themeColor="text1"/>
          <w:lang w:eastAsia="en-AU"/>
        </w:rPr>
        <w:t>I think even if they did do it, even if they did it as a service say you stay in this job for 12 months instead of you getting that money we’ll put it in your super or when you decide to buy a house you’ve got your first home buyer’s grant say it’s $20,000.00 so we’ll g</w:t>
      </w:r>
      <w:r w:rsidR="00F1247B">
        <w:rPr>
          <w:rFonts w:eastAsia="Times New Roman"/>
          <w:color w:val="000000" w:themeColor="text1"/>
          <w:lang w:eastAsia="en-AU"/>
        </w:rPr>
        <w:t>ive you $5,000.00 extra credit.</w:t>
      </w:r>
      <w:r w:rsidRPr="007D2ECC">
        <w:rPr>
          <w:rFonts w:eastAsia="Times New Roman"/>
          <w:color w:val="000000" w:themeColor="text1"/>
          <w:lang w:eastAsia="en-AU"/>
        </w:rPr>
        <w:t xml:space="preserve"> Even if</w:t>
      </w:r>
      <w:r w:rsidR="00F1247B">
        <w:rPr>
          <w:rFonts w:eastAsia="Times New Roman"/>
          <w:color w:val="000000" w:themeColor="text1"/>
          <w:lang w:eastAsia="en-AU"/>
        </w:rPr>
        <w:t xml:space="preserve"> they did it in the beginning. </w:t>
      </w:r>
      <w:r w:rsidRPr="007D2ECC">
        <w:rPr>
          <w:rFonts w:eastAsia="Times New Roman"/>
          <w:color w:val="000000" w:themeColor="text1"/>
          <w:lang w:eastAsia="en-AU"/>
        </w:rPr>
        <w:t>Say you’re three months into the job or maybe you are the 12 months and they say “We realise you’re still catching the bus, you can have that money, you can go use it to get a licence.” like use it for a service instead</w:t>
      </w:r>
      <w:r w:rsidR="00F1247B">
        <w:rPr>
          <w:rFonts w:eastAsia="Times New Roman"/>
          <w:color w:val="000000" w:themeColor="text1"/>
          <w:lang w:eastAsia="en-AU"/>
        </w:rPr>
        <w:t xml:space="preserve"> of just giving them $5,000.00.</w:t>
      </w:r>
      <w:r w:rsidRPr="007D2ECC">
        <w:rPr>
          <w:rFonts w:eastAsia="Times New Roman"/>
          <w:color w:val="000000" w:themeColor="text1"/>
          <w:lang w:eastAsia="en-AU"/>
        </w:rPr>
        <w:t xml:space="preserve"> That could </w:t>
      </w:r>
      <w:r w:rsidR="00F1247B">
        <w:rPr>
          <w:rFonts w:eastAsia="Times New Roman"/>
          <w:color w:val="000000" w:themeColor="text1"/>
          <w:lang w:eastAsia="en-AU"/>
        </w:rPr>
        <w:t>be a different way of doing it.</w:t>
      </w:r>
    </w:p>
    <w:p w:rsidR="004149DD" w:rsidRPr="009A03EC" w:rsidRDefault="004149DD" w:rsidP="007D2ECC">
      <w:pPr>
        <w:pStyle w:val="quopteJCB-source"/>
        <w:spacing w:before="0"/>
      </w:pPr>
      <w:r w:rsidRPr="00F1110C">
        <w:t xml:space="preserve">July 2017 (Round 4), </w:t>
      </w:r>
      <w:r w:rsidR="00F1110C">
        <w:t>jobactive case management</w:t>
      </w:r>
      <w:r w:rsidRPr="00F1110C">
        <w:t>,</w:t>
      </w:r>
      <w:r w:rsidR="00F1110C">
        <w:t xml:space="preserve"> under 25</w:t>
      </w:r>
      <w:r w:rsidRPr="00F1110C">
        <w:t>, female,</w:t>
      </w:r>
      <w:r w:rsidR="00F1110C">
        <w:t xml:space="preserve"> Geelong</w:t>
      </w:r>
    </w:p>
    <w:p w:rsidR="004149DD" w:rsidRDefault="004149DD" w:rsidP="007D2ECC">
      <w:pPr>
        <w:pStyle w:val="Quote"/>
        <w:spacing w:before="240" w:after="0"/>
        <w:rPr>
          <w:rFonts w:eastAsia="Times New Roman"/>
          <w:color w:val="000000" w:themeColor="text1"/>
          <w:lang w:eastAsia="en-AU"/>
        </w:rPr>
      </w:pPr>
      <w:r w:rsidRPr="007D2ECC">
        <w:rPr>
          <w:rFonts w:eastAsia="Times New Roman"/>
          <w:color w:val="000000" w:themeColor="text1"/>
          <w:lang w:eastAsia="en-AU"/>
        </w:rPr>
        <w:t>The incentive shou</w:t>
      </w:r>
      <w:r w:rsidR="00F1247B">
        <w:rPr>
          <w:rFonts w:eastAsia="Times New Roman"/>
          <w:color w:val="000000" w:themeColor="text1"/>
          <w:lang w:eastAsia="en-AU"/>
        </w:rPr>
        <w:t xml:space="preserve">ld be $10,000 for a home loan. </w:t>
      </w:r>
      <w:r w:rsidRPr="007D2ECC">
        <w:rPr>
          <w:rFonts w:eastAsia="Times New Roman"/>
          <w:color w:val="000000" w:themeColor="text1"/>
          <w:lang w:eastAsia="en-AU"/>
        </w:rPr>
        <w:t>You stay in a secure job for two, three years because e</w:t>
      </w:r>
      <w:r w:rsidR="00F1247B">
        <w:rPr>
          <w:rFonts w:eastAsia="Times New Roman"/>
          <w:color w:val="000000" w:themeColor="text1"/>
          <w:lang w:eastAsia="en-AU"/>
        </w:rPr>
        <w:t>veryone – you know what I mean?</w:t>
      </w:r>
      <w:r w:rsidRPr="007D2ECC">
        <w:rPr>
          <w:rFonts w:eastAsia="Times New Roman"/>
          <w:color w:val="000000" w:themeColor="text1"/>
          <w:lang w:eastAsia="en-AU"/>
        </w:rPr>
        <w:t xml:space="preserve"> Something where you can actually have security and stability, not just a lump sum of money that you can b</w:t>
      </w:r>
      <w:r w:rsidR="00F1247B">
        <w:rPr>
          <w:rFonts w:eastAsia="Times New Roman"/>
          <w:color w:val="000000" w:themeColor="text1"/>
          <w:lang w:eastAsia="en-AU"/>
        </w:rPr>
        <w:t>uy something nice for yourself.</w:t>
      </w:r>
    </w:p>
    <w:p w:rsidR="004149DD" w:rsidRPr="007D2ECC" w:rsidRDefault="004149DD" w:rsidP="007D2ECC">
      <w:pPr>
        <w:pStyle w:val="quopteJCB-source"/>
        <w:spacing w:before="0"/>
      </w:pPr>
      <w:r w:rsidRPr="007D2ECC">
        <w:t>July 2017 (Round 4), on Work</w:t>
      </w:r>
      <w:r>
        <w:t xml:space="preserve"> </w:t>
      </w:r>
      <w:r w:rsidRPr="007D2ECC">
        <w:t>for the Dole, under 25, male, Townsville</w:t>
      </w:r>
    </w:p>
    <w:p w:rsidR="00C87EEA" w:rsidRDefault="00C87EEA" w:rsidP="001E7B45">
      <w:pPr>
        <w:spacing w:before="120"/>
      </w:pPr>
      <w:r>
        <w:lastRenderedPageBreak/>
        <w:t xml:space="preserve">In the quantitative component to the Job Seeker Experiences of Employment Services survey (2017) job </w:t>
      </w:r>
      <w:r w:rsidR="006576E3">
        <w:t>seekers</w:t>
      </w:r>
      <w:r>
        <w:rPr>
          <w:rStyle w:val="FootnoteReference"/>
        </w:rPr>
        <w:footnoteReference w:id="61"/>
      </w:r>
      <w:r>
        <w:t xml:space="preserve"> </w:t>
      </w:r>
      <w:r w:rsidR="006576E3">
        <w:t>were asked to choose between potential bonus payment options</w:t>
      </w:r>
      <w:r>
        <w:t>:</w:t>
      </w:r>
    </w:p>
    <w:p w:rsidR="00C87EEA" w:rsidRDefault="00F54340" w:rsidP="00C87EEA">
      <w:pPr>
        <w:pStyle w:val="ListParagraph"/>
        <w:numPr>
          <w:ilvl w:val="0"/>
          <w:numId w:val="107"/>
        </w:numPr>
        <w:spacing w:before="120"/>
      </w:pPr>
      <w:r>
        <w:t>a</w:t>
      </w:r>
      <w:r w:rsidR="00C87EEA">
        <w:t xml:space="preserve"> lump sum payment</w:t>
      </w:r>
    </w:p>
    <w:p w:rsidR="00C87EEA" w:rsidRDefault="00F54340" w:rsidP="00C87EEA">
      <w:pPr>
        <w:pStyle w:val="ListParagraph"/>
        <w:numPr>
          <w:ilvl w:val="0"/>
          <w:numId w:val="107"/>
        </w:numPr>
        <w:spacing w:before="120"/>
      </w:pPr>
      <w:r>
        <w:t>t</w:t>
      </w:r>
      <w:r w:rsidR="00C87EEA">
        <w:t>wo equal payments</w:t>
      </w:r>
    </w:p>
    <w:p w:rsidR="00C87EEA" w:rsidRDefault="00F54340" w:rsidP="00C87EEA">
      <w:pPr>
        <w:pStyle w:val="ListParagraph"/>
        <w:numPr>
          <w:ilvl w:val="0"/>
          <w:numId w:val="107"/>
        </w:numPr>
        <w:spacing w:before="120"/>
      </w:pPr>
      <w:r>
        <w:t>f</w:t>
      </w:r>
      <w:r w:rsidR="00C87EEA">
        <w:t>our equal payments.</w:t>
      </w:r>
    </w:p>
    <w:p w:rsidR="008F2791" w:rsidRDefault="000F1308" w:rsidP="001E7B45">
      <w:pPr>
        <w:spacing w:before="120"/>
      </w:pPr>
      <w:r>
        <w:t>R</w:t>
      </w:r>
      <w:r w:rsidR="00C87EEA">
        <w:t xml:space="preserve">espondents were presented with </w:t>
      </w:r>
      <w:r>
        <w:t>two payment options only</w:t>
      </w:r>
      <w:r w:rsidR="00C87EEA">
        <w:t xml:space="preserve"> (i.e. one payment compared to two</w:t>
      </w:r>
      <w:r>
        <w:t xml:space="preserve"> payments</w:t>
      </w:r>
      <w:r w:rsidR="00C87EEA">
        <w:t xml:space="preserve">, one compared to four </w:t>
      </w:r>
      <w:r>
        <w:t>or</w:t>
      </w:r>
      <w:r w:rsidR="00C87EEA">
        <w:t xml:space="preserve"> two compared to four). </w:t>
      </w:r>
      <w:r w:rsidR="00BB30EF">
        <w:t xml:space="preserve">Irrespective of which two payment options job seekers were asked to choose between, more frequent payments were preferred to less frequent payment options (with around twice as many people preferring more frequent payments to one payment, </w:t>
      </w:r>
      <w:r w:rsidR="00F54340">
        <w:t>with</w:t>
      </w:r>
      <w:r w:rsidR="00BB30EF">
        <w:t xml:space="preserve"> less of a differential in preference when people were asked to choose between the two and four payment options). (Figure 4.6)</w:t>
      </w:r>
    </w:p>
    <w:p w:rsidR="000F1308" w:rsidRPr="00D83A7E" w:rsidRDefault="000F1308" w:rsidP="001E7B45">
      <w:pPr>
        <w:pStyle w:val="FigureCaption"/>
        <w:spacing w:line="240" w:lineRule="auto"/>
      </w:pPr>
      <w:bookmarkStart w:id="185" w:name="_Toc507600287"/>
      <w:r>
        <w:t>Figure 4.6</w:t>
      </w:r>
      <w:r w:rsidRPr="00D83A7E">
        <w:t xml:space="preserve">: </w:t>
      </w:r>
      <w:r>
        <w:t>Preferred bonus payment frequency</w:t>
      </w:r>
      <w:bookmarkEnd w:id="185"/>
    </w:p>
    <w:tbl>
      <w:tblPr>
        <w:tblW w:w="8505" w:type="dxa"/>
        <w:tblInd w:w="108" w:type="dxa"/>
        <w:tblLook w:val="04A0" w:firstRow="1" w:lastRow="0" w:firstColumn="1" w:lastColumn="0" w:noHBand="0" w:noVBand="1"/>
      </w:tblPr>
      <w:tblGrid>
        <w:gridCol w:w="3544"/>
        <w:gridCol w:w="1016"/>
        <w:gridCol w:w="1110"/>
        <w:gridCol w:w="993"/>
        <w:gridCol w:w="909"/>
        <w:gridCol w:w="933"/>
      </w:tblGrid>
      <w:tr w:rsidR="007F2AC2" w:rsidRPr="007F2AC2" w:rsidTr="00873695">
        <w:trPr>
          <w:trHeight w:val="300"/>
          <w:tblHeader/>
        </w:trPr>
        <w:tc>
          <w:tcPr>
            <w:tcW w:w="3544" w:type="dxa"/>
            <w:shd w:val="clear" w:color="auto" w:fill="FFFFFF" w:themeFill="background2"/>
            <w:noWrap/>
            <w:vAlign w:val="center"/>
            <w:hideMark/>
          </w:tcPr>
          <w:p w:rsidR="007F2AC2" w:rsidRPr="001E7B45" w:rsidRDefault="00864E02" w:rsidP="001E7B45">
            <w:pPr>
              <w:spacing w:before="600" w:after="0" w:line="240" w:lineRule="auto"/>
              <w:rPr>
                <w:rFonts w:ascii="Calibri" w:eastAsia="Times New Roman" w:hAnsi="Calibri" w:cs="Calibri"/>
                <w:b/>
                <w:bCs/>
                <w:color w:val="000000" w:themeColor="text1"/>
                <w:sz w:val="16"/>
                <w:szCs w:val="16"/>
                <w:lang w:eastAsia="en-AU"/>
              </w:rPr>
            </w:pPr>
            <w:bookmarkStart w:id="186" w:name="Title_f46"/>
            <w:bookmarkEnd w:id="186"/>
            <w:r w:rsidRPr="00E55AF4">
              <w:rPr>
                <w:noProof/>
                <w:lang w:eastAsia="en-AU"/>
              </w:rPr>
              <w:drawing>
                <wp:anchor distT="0" distB="0" distL="114300" distR="114300" simplePos="0" relativeHeight="251658246" behindDoc="0" locked="0" layoutInCell="1" allowOverlap="1" wp14:anchorId="6C029BC8" wp14:editId="3B1F3D85">
                  <wp:simplePos x="0" y="0"/>
                  <wp:positionH relativeFrom="column">
                    <wp:posOffset>-80645</wp:posOffset>
                  </wp:positionH>
                  <wp:positionV relativeFrom="paragraph">
                    <wp:posOffset>98425</wp:posOffset>
                  </wp:positionV>
                  <wp:extent cx="5731510" cy="3673475"/>
                  <wp:effectExtent l="0" t="0" r="2540" b="3175"/>
                  <wp:wrapNone/>
                  <wp:docPr id="38" name="Picture 38" descr="Data in graph as described in the following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67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2AC2" w:rsidRPr="001E7B45">
              <w:rPr>
                <w:rFonts w:ascii="Calibri" w:eastAsia="Times New Roman" w:hAnsi="Calibri" w:cs="Calibri"/>
                <w:b/>
                <w:bCs/>
                <w:color w:val="000000" w:themeColor="text1"/>
                <w:sz w:val="16"/>
                <w:szCs w:val="16"/>
                <w:lang w:eastAsia="en-AU"/>
              </w:rPr>
              <w:t>Options</w:t>
            </w:r>
          </w:p>
        </w:tc>
        <w:tc>
          <w:tcPr>
            <w:tcW w:w="1016" w:type="dxa"/>
            <w:shd w:val="clear" w:color="auto" w:fill="FFFFFF" w:themeFill="background2"/>
            <w:noWrap/>
            <w:vAlign w:val="center"/>
            <w:hideMark/>
          </w:tcPr>
          <w:p w:rsidR="007F2AC2" w:rsidRPr="001E7B45" w:rsidRDefault="007F2AC2" w:rsidP="001E7B45">
            <w:pPr>
              <w:spacing w:before="600" w:after="0" w:line="240" w:lineRule="auto"/>
              <w:jc w:val="center"/>
              <w:rPr>
                <w:rFonts w:ascii="Calibri" w:eastAsia="Times New Roman" w:hAnsi="Calibri" w:cs="Calibri"/>
                <w:b/>
                <w:bCs/>
                <w:color w:val="000000" w:themeColor="text1"/>
                <w:sz w:val="16"/>
                <w:szCs w:val="16"/>
                <w:lang w:eastAsia="en-AU"/>
              </w:rPr>
            </w:pPr>
            <w:r w:rsidRPr="001E7B45">
              <w:rPr>
                <w:rFonts w:ascii="Calibri" w:eastAsia="Times New Roman" w:hAnsi="Calibri" w:cs="Calibri"/>
                <w:b/>
                <w:bCs/>
                <w:color w:val="000000" w:themeColor="text1"/>
                <w:sz w:val="16"/>
                <w:szCs w:val="16"/>
                <w:lang w:eastAsia="en-AU"/>
              </w:rPr>
              <w:t>Less frequent</w:t>
            </w:r>
          </w:p>
        </w:tc>
        <w:tc>
          <w:tcPr>
            <w:tcW w:w="1110" w:type="dxa"/>
            <w:shd w:val="clear" w:color="auto" w:fill="FFFFFF" w:themeFill="background2"/>
            <w:noWrap/>
            <w:vAlign w:val="center"/>
            <w:hideMark/>
          </w:tcPr>
          <w:p w:rsidR="007F2AC2" w:rsidRPr="001E7B45" w:rsidRDefault="007F2AC2" w:rsidP="001E7B45">
            <w:pPr>
              <w:spacing w:before="600" w:after="0" w:line="240" w:lineRule="auto"/>
              <w:jc w:val="center"/>
              <w:rPr>
                <w:rFonts w:ascii="Calibri" w:eastAsia="Times New Roman" w:hAnsi="Calibri" w:cs="Calibri"/>
                <w:b/>
                <w:bCs/>
                <w:color w:val="000000" w:themeColor="text1"/>
                <w:sz w:val="16"/>
                <w:szCs w:val="16"/>
                <w:lang w:eastAsia="en-AU"/>
              </w:rPr>
            </w:pPr>
            <w:r w:rsidRPr="001E7B45">
              <w:rPr>
                <w:rFonts w:ascii="Calibri" w:eastAsia="Times New Roman" w:hAnsi="Calibri" w:cs="Calibri"/>
                <w:b/>
                <w:bCs/>
                <w:color w:val="000000" w:themeColor="text1"/>
                <w:sz w:val="16"/>
                <w:szCs w:val="16"/>
                <w:lang w:eastAsia="en-AU"/>
              </w:rPr>
              <w:t>More frequent</w:t>
            </w:r>
          </w:p>
        </w:tc>
        <w:tc>
          <w:tcPr>
            <w:tcW w:w="993" w:type="dxa"/>
            <w:shd w:val="clear" w:color="auto" w:fill="FFFFFF" w:themeFill="background2"/>
            <w:noWrap/>
            <w:vAlign w:val="center"/>
            <w:hideMark/>
          </w:tcPr>
          <w:p w:rsidR="007F2AC2" w:rsidRPr="001E7B45" w:rsidRDefault="007F2AC2" w:rsidP="001E7B45">
            <w:pPr>
              <w:spacing w:before="600" w:after="0" w:line="240" w:lineRule="auto"/>
              <w:jc w:val="center"/>
              <w:rPr>
                <w:rFonts w:ascii="Calibri" w:eastAsia="Times New Roman" w:hAnsi="Calibri" w:cs="Calibri"/>
                <w:b/>
                <w:bCs/>
                <w:color w:val="000000" w:themeColor="text1"/>
                <w:sz w:val="16"/>
                <w:szCs w:val="16"/>
                <w:lang w:eastAsia="en-AU"/>
              </w:rPr>
            </w:pPr>
            <w:r w:rsidRPr="001E7B45">
              <w:rPr>
                <w:rFonts w:ascii="Calibri" w:eastAsia="Times New Roman" w:hAnsi="Calibri" w:cs="Calibri"/>
                <w:b/>
                <w:bCs/>
                <w:color w:val="000000" w:themeColor="text1"/>
                <w:sz w:val="16"/>
                <w:szCs w:val="16"/>
                <w:lang w:eastAsia="en-AU"/>
              </w:rPr>
              <w:t>Both appeal</w:t>
            </w:r>
          </w:p>
        </w:tc>
        <w:tc>
          <w:tcPr>
            <w:tcW w:w="909" w:type="dxa"/>
            <w:shd w:val="clear" w:color="auto" w:fill="FFFFFF" w:themeFill="background2"/>
            <w:noWrap/>
            <w:vAlign w:val="center"/>
            <w:hideMark/>
          </w:tcPr>
          <w:p w:rsidR="007F2AC2" w:rsidRPr="001E7B45" w:rsidRDefault="007F2AC2" w:rsidP="001E7B45">
            <w:pPr>
              <w:spacing w:before="600" w:after="0" w:line="240" w:lineRule="auto"/>
              <w:jc w:val="center"/>
              <w:rPr>
                <w:rFonts w:ascii="Calibri" w:eastAsia="Times New Roman" w:hAnsi="Calibri" w:cs="Calibri"/>
                <w:b/>
                <w:bCs/>
                <w:color w:val="000000" w:themeColor="text1"/>
                <w:sz w:val="16"/>
                <w:szCs w:val="16"/>
                <w:lang w:eastAsia="en-AU"/>
              </w:rPr>
            </w:pPr>
            <w:r w:rsidRPr="001E7B45">
              <w:rPr>
                <w:rFonts w:ascii="Calibri" w:eastAsia="Times New Roman" w:hAnsi="Calibri" w:cs="Calibri"/>
                <w:b/>
                <w:bCs/>
                <w:color w:val="000000" w:themeColor="text1"/>
                <w:sz w:val="16"/>
                <w:szCs w:val="16"/>
                <w:lang w:eastAsia="en-AU"/>
              </w:rPr>
              <w:t>Neither appeal</w:t>
            </w:r>
          </w:p>
        </w:tc>
        <w:tc>
          <w:tcPr>
            <w:tcW w:w="933" w:type="dxa"/>
            <w:shd w:val="clear" w:color="auto" w:fill="FFFFFF" w:themeFill="background2"/>
            <w:noWrap/>
            <w:vAlign w:val="center"/>
            <w:hideMark/>
          </w:tcPr>
          <w:p w:rsidR="007F2AC2" w:rsidRPr="001E7B45" w:rsidRDefault="007F2AC2" w:rsidP="001E7B45">
            <w:pPr>
              <w:spacing w:before="600" w:after="0" w:line="240" w:lineRule="auto"/>
              <w:jc w:val="center"/>
              <w:rPr>
                <w:rFonts w:ascii="Calibri" w:eastAsia="Times New Roman" w:hAnsi="Calibri" w:cs="Calibri"/>
                <w:b/>
                <w:bCs/>
                <w:color w:val="000000" w:themeColor="text1"/>
                <w:sz w:val="16"/>
                <w:szCs w:val="16"/>
                <w:lang w:eastAsia="en-AU"/>
              </w:rPr>
            </w:pPr>
            <w:r w:rsidRPr="001E7B45">
              <w:rPr>
                <w:rFonts w:ascii="Calibri" w:eastAsia="Times New Roman" w:hAnsi="Calibri" w:cs="Calibri"/>
                <w:b/>
                <w:bCs/>
                <w:color w:val="000000" w:themeColor="text1"/>
                <w:sz w:val="16"/>
                <w:szCs w:val="16"/>
                <w:lang w:eastAsia="en-AU"/>
              </w:rPr>
              <w:t>Total</w:t>
            </w:r>
          </w:p>
        </w:tc>
      </w:tr>
      <w:tr w:rsidR="007F2AC2" w:rsidRPr="007F2AC2" w:rsidTr="001E7B45">
        <w:trPr>
          <w:trHeight w:val="300"/>
        </w:trPr>
        <w:tc>
          <w:tcPr>
            <w:tcW w:w="3544" w:type="dxa"/>
            <w:shd w:val="clear" w:color="auto" w:fill="auto"/>
            <w:noWrap/>
            <w:vAlign w:val="center"/>
            <w:hideMark/>
          </w:tcPr>
          <w:p w:rsidR="007F2AC2" w:rsidRPr="007F2AC2" w:rsidRDefault="007F2AC2" w:rsidP="007F2AC2">
            <w:pPr>
              <w:spacing w:after="0" w:line="240" w:lineRule="auto"/>
              <w:rPr>
                <w:rFonts w:ascii="Calibri" w:eastAsia="Times New Roman" w:hAnsi="Calibri" w:cs="Calibri"/>
                <w:color w:val="000000"/>
                <w:lang w:eastAsia="en-AU"/>
              </w:rPr>
            </w:pPr>
            <w:r w:rsidRPr="007F2AC2">
              <w:rPr>
                <w:rFonts w:ascii="Calibri" w:eastAsia="Times New Roman" w:hAnsi="Calibri" w:cs="Calibri"/>
                <w:color w:val="000000"/>
                <w:lang w:eastAsia="en-AU"/>
              </w:rPr>
              <w:t>One compared to two payments</w:t>
            </w:r>
          </w:p>
        </w:tc>
        <w:tc>
          <w:tcPr>
            <w:tcW w:w="1016" w:type="dxa"/>
            <w:shd w:val="clear" w:color="auto" w:fill="auto"/>
            <w:noWrap/>
            <w:vAlign w:val="center"/>
            <w:hideMark/>
          </w:tcPr>
          <w:p w:rsidR="007F2AC2" w:rsidRPr="007F2AC2" w:rsidRDefault="007F2AC2" w:rsidP="007F2AC2">
            <w:pPr>
              <w:spacing w:after="0" w:line="240" w:lineRule="auto"/>
              <w:rPr>
                <w:rFonts w:ascii="Calibri" w:eastAsia="Times New Roman" w:hAnsi="Calibri" w:cs="Calibri"/>
                <w:color w:val="000000"/>
                <w:lang w:eastAsia="en-AU"/>
              </w:rPr>
            </w:pPr>
            <w:r w:rsidRPr="007F2AC2">
              <w:rPr>
                <w:rFonts w:ascii="Calibri" w:eastAsia="Times New Roman" w:hAnsi="Calibri" w:cs="Calibri"/>
                <w:color w:val="000000"/>
                <w:lang w:eastAsia="en-AU"/>
              </w:rPr>
              <w:t xml:space="preserve">30.0 </w:t>
            </w:r>
          </w:p>
        </w:tc>
        <w:tc>
          <w:tcPr>
            <w:tcW w:w="1110" w:type="dxa"/>
            <w:shd w:val="clear" w:color="auto" w:fill="auto"/>
            <w:noWrap/>
            <w:vAlign w:val="center"/>
            <w:hideMark/>
          </w:tcPr>
          <w:p w:rsidR="007F2AC2" w:rsidRPr="007F2AC2" w:rsidRDefault="007F2AC2" w:rsidP="007F2AC2">
            <w:pPr>
              <w:spacing w:after="0" w:line="240" w:lineRule="auto"/>
              <w:rPr>
                <w:rFonts w:ascii="Calibri" w:eastAsia="Times New Roman" w:hAnsi="Calibri" w:cs="Calibri"/>
                <w:color w:val="000000"/>
                <w:lang w:eastAsia="en-AU"/>
              </w:rPr>
            </w:pPr>
            <w:r w:rsidRPr="007F2AC2">
              <w:rPr>
                <w:rFonts w:ascii="Calibri" w:eastAsia="Times New Roman" w:hAnsi="Calibri" w:cs="Calibri"/>
                <w:color w:val="000000"/>
                <w:lang w:eastAsia="en-AU"/>
              </w:rPr>
              <w:t xml:space="preserve">60.1 </w:t>
            </w:r>
          </w:p>
        </w:tc>
        <w:tc>
          <w:tcPr>
            <w:tcW w:w="993" w:type="dxa"/>
            <w:shd w:val="clear" w:color="auto" w:fill="auto"/>
            <w:noWrap/>
            <w:vAlign w:val="center"/>
            <w:hideMark/>
          </w:tcPr>
          <w:p w:rsidR="007F2AC2" w:rsidRPr="007F2AC2" w:rsidRDefault="007F2AC2" w:rsidP="007F2AC2">
            <w:pPr>
              <w:spacing w:after="0" w:line="240" w:lineRule="auto"/>
              <w:rPr>
                <w:rFonts w:ascii="Calibri" w:eastAsia="Times New Roman" w:hAnsi="Calibri" w:cs="Calibri"/>
                <w:color w:val="000000"/>
                <w:lang w:eastAsia="en-AU"/>
              </w:rPr>
            </w:pPr>
            <w:r w:rsidRPr="007F2AC2">
              <w:rPr>
                <w:rFonts w:ascii="Calibri" w:eastAsia="Times New Roman" w:hAnsi="Calibri" w:cs="Calibri"/>
                <w:color w:val="000000"/>
                <w:lang w:eastAsia="en-AU"/>
              </w:rPr>
              <w:t xml:space="preserve">6.4 </w:t>
            </w:r>
          </w:p>
        </w:tc>
        <w:tc>
          <w:tcPr>
            <w:tcW w:w="909" w:type="dxa"/>
            <w:shd w:val="clear" w:color="auto" w:fill="auto"/>
            <w:noWrap/>
            <w:vAlign w:val="center"/>
            <w:hideMark/>
          </w:tcPr>
          <w:p w:rsidR="007F2AC2" w:rsidRPr="007F2AC2" w:rsidRDefault="007F2AC2">
            <w:pPr>
              <w:spacing w:after="0" w:line="240" w:lineRule="auto"/>
              <w:rPr>
                <w:rFonts w:ascii="Calibri" w:eastAsia="Times New Roman" w:hAnsi="Calibri" w:cs="Calibri"/>
                <w:color w:val="000000"/>
                <w:lang w:eastAsia="en-AU"/>
              </w:rPr>
            </w:pPr>
            <w:r w:rsidRPr="007F2AC2">
              <w:rPr>
                <w:rFonts w:ascii="Calibri" w:eastAsia="Times New Roman" w:hAnsi="Calibri" w:cs="Calibri"/>
                <w:color w:val="000000"/>
                <w:lang w:eastAsia="en-AU"/>
              </w:rPr>
              <w:t xml:space="preserve">3.5 </w:t>
            </w:r>
          </w:p>
        </w:tc>
        <w:tc>
          <w:tcPr>
            <w:tcW w:w="933" w:type="dxa"/>
            <w:shd w:val="clear" w:color="auto" w:fill="auto"/>
            <w:noWrap/>
            <w:vAlign w:val="center"/>
            <w:hideMark/>
          </w:tcPr>
          <w:p w:rsidR="007F2AC2" w:rsidRPr="007F2AC2" w:rsidRDefault="007F2AC2">
            <w:pPr>
              <w:spacing w:after="0" w:line="240" w:lineRule="auto"/>
              <w:rPr>
                <w:rFonts w:ascii="Calibri" w:eastAsia="Times New Roman" w:hAnsi="Calibri" w:cs="Calibri"/>
                <w:color w:val="000000"/>
                <w:lang w:eastAsia="en-AU"/>
              </w:rPr>
            </w:pPr>
            <w:r w:rsidRPr="007F2AC2">
              <w:rPr>
                <w:rFonts w:ascii="Calibri" w:eastAsia="Times New Roman" w:hAnsi="Calibri" w:cs="Calibri"/>
                <w:color w:val="000000"/>
                <w:lang w:eastAsia="en-AU"/>
              </w:rPr>
              <w:t xml:space="preserve">100.0 </w:t>
            </w:r>
          </w:p>
        </w:tc>
      </w:tr>
      <w:tr w:rsidR="00F54340" w:rsidRPr="007F2AC2" w:rsidTr="001E7B45">
        <w:trPr>
          <w:trHeight w:val="300"/>
        </w:trPr>
        <w:tc>
          <w:tcPr>
            <w:tcW w:w="3544" w:type="dxa"/>
            <w:shd w:val="clear" w:color="auto" w:fill="auto"/>
            <w:noWrap/>
            <w:vAlign w:val="center"/>
          </w:tcPr>
          <w:p w:rsidR="00F54340" w:rsidRPr="007F2AC2" w:rsidRDefault="00F54340" w:rsidP="007F2AC2">
            <w:pPr>
              <w:spacing w:after="0" w:line="240" w:lineRule="auto"/>
              <w:rPr>
                <w:rFonts w:ascii="Calibri" w:eastAsia="Times New Roman" w:hAnsi="Calibri" w:cs="Calibri"/>
                <w:color w:val="000000"/>
                <w:lang w:eastAsia="en-AU"/>
              </w:rPr>
            </w:pPr>
          </w:p>
        </w:tc>
        <w:tc>
          <w:tcPr>
            <w:tcW w:w="1016" w:type="dxa"/>
            <w:shd w:val="clear" w:color="auto" w:fill="auto"/>
            <w:noWrap/>
            <w:vAlign w:val="center"/>
          </w:tcPr>
          <w:p w:rsidR="00F54340" w:rsidRPr="007F2AC2" w:rsidRDefault="00F54340" w:rsidP="007F2AC2">
            <w:pPr>
              <w:spacing w:after="0" w:line="240" w:lineRule="auto"/>
              <w:rPr>
                <w:rFonts w:ascii="Calibri" w:eastAsia="Times New Roman" w:hAnsi="Calibri" w:cs="Calibri"/>
                <w:color w:val="000000"/>
                <w:lang w:eastAsia="en-AU"/>
              </w:rPr>
            </w:pPr>
          </w:p>
        </w:tc>
        <w:tc>
          <w:tcPr>
            <w:tcW w:w="1110" w:type="dxa"/>
            <w:shd w:val="clear" w:color="auto" w:fill="auto"/>
            <w:noWrap/>
            <w:vAlign w:val="center"/>
          </w:tcPr>
          <w:p w:rsidR="00F54340" w:rsidRPr="007F2AC2" w:rsidRDefault="00F54340" w:rsidP="007F2AC2">
            <w:pPr>
              <w:spacing w:after="0" w:line="240" w:lineRule="auto"/>
              <w:rPr>
                <w:rFonts w:ascii="Calibri" w:eastAsia="Times New Roman" w:hAnsi="Calibri" w:cs="Calibri"/>
                <w:color w:val="000000"/>
                <w:lang w:eastAsia="en-AU"/>
              </w:rPr>
            </w:pPr>
          </w:p>
        </w:tc>
        <w:tc>
          <w:tcPr>
            <w:tcW w:w="993" w:type="dxa"/>
            <w:shd w:val="clear" w:color="auto" w:fill="auto"/>
            <w:noWrap/>
            <w:vAlign w:val="center"/>
          </w:tcPr>
          <w:p w:rsidR="00F54340" w:rsidRPr="007F2AC2" w:rsidRDefault="00F54340" w:rsidP="007F2AC2">
            <w:pPr>
              <w:spacing w:after="0" w:line="240" w:lineRule="auto"/>
              <w:rPr>
                <w:rFonts w:ascii="Calibri" w:eastAsia="Times New Roman" w:hAnsi="Calibri" w:cs="Calibri"/>
                <w:color w:val="000000"/>
                <w:lang w:eastAsia="en-AU"/>
              </w:rPr>
            </w:pPr>
          </w:p>
        </w:tc>
        <w:tc>
          <w:tcPr>
            <w:tcW w:w="909" w:type="dxa"/>
            <w:shd w:val="clear" w:color="auto" w:fill="auto"/>
            <w:noWrap/>
            <w:vAlign w:val="center"/>
          </w:tcPr>
          <w:p w:rsidR="00F54340" w:rsidRPr="007F2AC2" w:rsidRDefault="00F54340">
            <w:pPr>
              <w:spacing w:after="0" w:line="240" w:lineRule="auto"/>
              <w:rPr>
                <w:rFonts w:ascii="Calibri" w:eastAsia="Times New Roman" w:hAnsi="Calibri" w:cs="Calibri"/>
                <w:color w:val="000000"/>
                <w:lang w:eastAsia="en-AU"/>
              </w:rPr>
            </w:pPr>
          </w:p>
        </w:tc>
        <w:tc>
          <w:tcPr>
            <w:tcW w:w="933" w:type="dxa"/>
            <w:shd w:val="clear" w:color="auto" w:fill="auto"/>
            <w:noWrap/>
            <w:vAlign w:val="center"/>
          </w:tcPr>
          <w:p w:rsidR="00F54340" w:rsidRPr="007F2AC2" w:rsidRDefault="00F54340">
            <w:pPr>
              <w:spacing w:after="0" w:line="240" w:lineRule="auto"/>
              <w:rPr>
                <w:rFonts w:ascii="Calibri" w:eastAsia="Times New Roman" w:hAnsi="Calibri" w:cs="Calibri"/>
                <w:color w:val="000000"/>
                <w:lang w:eastAsia="en-AU"/>
              </w:rPr>
            </w:pPr>
          </w:p>
        </w:tc>
      </w:tr>
      <w:tr w:rsidR="007F2AC2" w:rsidRPr="007F2AC2" w:rsidTr="001E7B45">
        <w:trPr>
          <w:trHeight w:val="300"/>
        </w:trPr>
        <w:tc>
          <w:tcPr>
            <w:tcW w:w="3544" w:type="dxa"/>
            <w:shd w:val="clear" w:color="auto" w:fill="auto"/>
            <w:noWrap/>
            <w:vAlign w:val="center"/>
            <w:hideMark/>
          </w:tcPr>
          <w:p w:rsidR="007F2AC2" w:rsidRPr="007F2AC2" w:rsidRDefault="007F2AC2" w:rsidP="007F2AC2">
            <w:pPr>
              <w:spacing w:after="0" w:line="240" w:lineRule="auto"/>
              <w:rPr>
                <w:rFonts w:ascii="Calibri" w:eastAsia="Times New Roman" w:hAnsi="Calibri" w:cs="Calibri"/>
                <w:color w:val="000000"/>
                <w:lang w:eastAsia="en-AU"/>
              </w:rPr>
            </w:pPr>
            <w:r w:rsidRPr="007F2AC2">
              <w:rPr>
                <w:rFonts w:ascii="Calibri" w:eastAsia="Times New Roman" w:hAnsi="Calibri" w:cs="Calibri"/>
                <w:color w:val="000000"/>
                <w:lang w:eastAsia="en-AU"/>
              </w:rPr>
              <w:t>One compared to four payments</w:t>
            </w:r>
          </w:p>
        </w:tc>
        <w:tc>
          <w:tcPr>
            <w:tcW w:w="1016" w:type="dxa"/>
            <w:shd w:val="clear" w:color="auto" w:fill="auto"/>
            <w:noWrap/>
            <w:vAlign w:val="center"/>
            <w:hideMark/>
          </w:tcPr>
          <w:p w:rsidR="007F2AC2" w:rsidRPr="007F2AC2" w:rsidRDefault="007F2AC2" w:rsidP="007F2AC2">
            <w:pPr>
              <w:spacing w:after="0" w:line="240" w:lineRule="auto"/>
              <w:rPr>
                <w:rFonts w:ascii="Calibri" w:eastAsia="Times New Roman" w:hAnsi="Calibri" w:cs="Calibri"/>
                <w:color w:val="000000"/>
                <w:lang w:eastAsia="en-AU"/>
              </w:rPr>
            </w:pPr>
            <w:r w:rsidRPr="007F2AC2">
              <w:rPr>
                <w:rFonts w:ascii="Calibri" w:eastAsia="Times New Roman" w:hAnsi="Calibri" w:cs="Calibri"/>
                <w:color w:val="000000"/>
                <w:lang w:eastAsia="en-AU"/>
              </w:rPr>
              <w:t xml:space="preserve">34.5 </w:t>
            </w:r>
          </w:p>
        </w:tc>
        <w:tc>
          <w:tcPr>
            <w:tcW w:w="1110" w:type="dxa"/>
            <w:shd w:val="clear" w:color="auto" w:fill="auto"/>
            <w:noWrap/>
            <w:vAlign w:val="center"/>
            <w:hideMark/>
          </w:tcPr>
          <w:p w:rsidR="007F2AC2" w:rsidRPr="007F2AC2" w:rsidRDefault="007F2AC2" w:rsidP="007F2AC2">
            <w:pPr>
              <w:spacing w:after="0" w:line="240" w:lineRule="auto"/>
              <w:rPr>
                <w:rFonts w:ascii="Calibri" w:eastAsia="Times New Roman" w:hAnsi="Calibri" w:cs="Calibri"/>
                <w:color w:val="000000"/>
                <w:lang w:eastAsia="en-AU"/>
              </w:rPr>
            </w:pPr>
            <w:r w:rsidRPr="007F2AC2">
              <w:rPr>
                <w:rFonts w:ascii="Calibri" w:eastAsia="Times New Roman" w:hAnsi="Calibri" w:cs="Calibri"/>
                <w:color w:val="000000"/>
                <w:lang w:eastAsia="en-AU"/>
              </w:rPr>
              <w:t xml:space="preserve">56.5 </w:t>
            </w:r>
          </w:p>
        </w:tc>
        <w:tc>
          <w:tcPr>
            <w:tcW w:w="993" w:type="dxa"/>
            <w:shd w:val="clear" w:color="auto" w:fill="auto"/>
            <w:noWrap/>
            <w:vAlign w:val="center"/>
            <w:hideMark/>
          </w:tcPr>
          <w:p w:rsidR="007F2AC2" w:rsidRPr="007F2AC2" w:rsidRDefault="007F2AC2" w:rsidP="007F2AC2">
            <w:pPr>
              <w:spacing w:after="0" w:line="240" w:lineRule="auto"/>
              <w:rPr>
                <w:rFonts w:ascii="Calibri" w:eastAsia="Times New Roman" w:hAnsi="Calibri" w:cs="Calibri"/>
                <w:color w:val="000000"/>
                <w:lang w:eastAsia="en-AU"/>
              </w:rPr>
            </w:pPr>
            <w:r w:rsidRPr="007F2AC2">
              <w:rPr>
                <w:rFonts w:ascii="Calibri" w:eastAsia="Times New Roman" w:hAnsi="Calibri" w:cs="Calibri"/>
                <w:color w:val="000000"/>
                <w:lang w:eastAsia="en-AU"/>
              </w:rPr>
              <w:t xml:space="preserve">3.8 </w:t>
            </w:r>
          </w:p>
        </w:tc>
        <w:tc>
          <w:tcPr>
            <w:tcW w:w="909" w:type="dxa"/>
            <w:shd w:val="clear" w:color="auto" w:fill="auto"/>
            <w:noWrap/>
            <w:vAlign w:val="center"/>
            <w:hideMark/>
          </w:tcPr>
          <w:p w:rsidR="007F2AC2" w:rsidRPr="007F2AC2" w:rsidRDefault="007F2AC2">
            <w:pPr>
              <w:spacing w:after="0" w:line="240" w:lineRule="auto"/>
              <w:rPr>
                <w:rFonts w:ascii="Calibri" w:eastAsia="Times New Roman" w:hAnsi="Calibri" w:cs="Calibri"/>
                <w:color w:val="000000"/>
                <w:lang w:eastAsia="en-AU"/>
              </w:rPr>
            </w:pPr>
            <w:r w:rsidRPr="007F2AC2">
              <w:rPr>
                <w:rFonts w:ascii="Calibri" w:eastAsia="Times New Roman" w:hAnsi="Calibri" w:cs="Calibri"/>
                <w:color w:val="000000"/>
                <w:lang w:eastAsia="en-AU"/>
              </w:rPr>
              <w:t xml:space="preserve">5.4 </w:t>
            </w:r>
          </w:p>
        </w:tc>
        <w:tc>
          <w:tcPr>
            <w:tcW w:w="933" w:type="dxa"/>
            <w:shd w:val="clear" w:color="auto" w:fill="auto"/>
            <w:noWrap/>
            <w:vAlign w:val="center"/>
            <w:hideMark/>
          </w:tcPr>
          <w:p w:rsidR="007F2AC2" w:rsidRPr="007F2AC2" w:rsidRDefault="007F2AC2">
            <w:pPr>
              <w:spacing w:after="0" w:line="240" w:lineRule="auto"/>
              <w:rPr>
                <w:rFonts w:ascii="Calibri" w:eastAsia="Times New Roman" w:hAnsi="Calibri" w:cs="Calibri"/>
                <w:color w:val="000000"/>
                <w:lang w:eastAsia="en-AU"/>
              </w:rPr>
            </w:pPr>
            <w:r w:rsidRPr="007F2AC2">
              <w:rPr>
                <w:rFonts w:ascii="Calibri" w:eastAsia="Times New Roman" w:hAnsi="Calibri" w:cs="Calibri"/>
                <w:color w:val="000000"/>
                <w:lang w:eastAsia="en-AU"/>
              </w:rPr>
              <w:t xml:space="preserve">100.0 </w:t>
            </w:r>
          </w:p>
        </w:tc>
      </w:tr>
      <w:tr w:rsidR="007F2AC2" w:rsidRPr="007F2AC2" w:rsidTr="001E7B45">
        <w:trPr>
          <w:trHeight w:val="300"/>
        </w:trPr>
        <w:tc>
          <w:tcPr>
            <w:tcW w:w="3544" w:type="dxa"/>
            <w:shd w:val="clear" w:color="auto" w:fill="auto"/>
            <w:noWrap/>
            <w:vAlign w:val="center"/>
            <w:hideMark/>
          </w:tcPr>
          <w:p w:rsidR="007F2AC2" w:rsidRPr="007F2AC2" w:rsidRDefault="007F2AC2" w:rsidP="007F2AC2">
            <w:pPr>
              <w:spacing w:after="0" w:line="240" w:lineRule="auto"/>
              <w:rPr>
                <w:rFonts w:ascii="Calibri" w:eastAsia="Times New Roman" w:hAnsi="Calibri" w:cs="Calibri"/>
                <w:color w:val="000000"/>
                <w:lang w:eastAsia="en-AU"/>
              </w:rPr>
            </w:pPr>
            <w:r w:rsidRPr="007F2AC2">
              <w:rPr>
                <w:rFonts w:ascii="Calibri" w:eastAsia="Times New Roman" w:hAnsi="Calibri" w:cs="Calibri"/>
                <w:color w:val="000000"/>
                <w:lang w:eastAsia="en-AU"/>
              </w:rPr>
              <w:t>Two compared to four payments</w:t>
            </w:r>
          </w:p>
        </w:tc>
        <w:tc>
          <w:tcPr>
            <w:tcW w:w="1016" w:type="dxa"/>
            <w:shd w:val="clear" w:color="auto" w:fill="auto"/>
            <w:noWrap/>
            <w:vAlign w:val="center"/>
            <w:hideMark/>
          </w:tcPr>
          <w:p w:rsidR="007F2AC2" w:rsidRPr="007F2AC2" w:rsidRDefault="007F2AC2" w:rsidP="007F2AC2">
            <w:pPr>
              <w:spacing w:after="0" w:line="240" w:lineRule="auto"/>
              <w:rPr>
                <w:rFonts w:ascii="Calibri" w:eastAsia="Times New Roman" w:hAnsi="Calibri" w:cs="Calibri"/>
                <w:color w:val="000000"/>
                <w:lang w:eastAsia="en-AU"/>
              </w:rPr>
            </w:pPr>
            <w:r w:rsidRPr="007F2AC2">
              <w:rPr>
                <w:rFonts w:ascii="Calibri" w:eastAsia="Times New Roman" w:hAnsi="Calibri" w:cs="Calibri"/>
                <w:color w:val="000000"/>
                <w:lang w:eastAsia="en-AU"/>
              </w:rPr>
              <w:t xml:space="preserve">39.1 </w:t>
            </w:r>
          </w:p>
        </w:tc>
        <w:tc>
          <w:tcPr>
            <w:tcW w:w="1110" w:type="dxa"/>
            <w:shd w:val="clear" w:color="auto" w:fill="auto"/>
            <w:noWrap/>
            <w:vAlign w:val="center"/>
            <w:hideMark/>
          </w:tcPr>
          <w:p w:rsidR="007F2AC2" w:rsidRPr="007F2AC2" w:rsidRDefault="007F2AC2" w:rsidP="007F2AC2">
            <w:pPr>
              <w:spacing w:after="0" w:line="240" w:lineRule="auto"/>
              <w:rPr>
                <w:rFonts w:ascii="Calibri" w:eastAsia="Times New Roman" w:hAnsi="Calibri" w:cs="Calibri"/>
                <w:color w:val="000000"/>
                <w:lang w:eastAsia="en-AU"/>
              </w:rPr>
            </w:pPr>
            <w:r w:rsidRPr="007F2AC2">
              <w:rPr>
                <w:rFonts w:ascii="Calibri" w:eastAsia="Times New Roman" w:hAnsi="Calibri" w:cs="Calibri"/>
                <w:color w:val="000000"/>
                <w:lang w:eastAsia="en-AU"/>
              </w:rPr>
              <w:t xml:space="preserve">50.6 </w:t>
            </w:r>
          </w:p>
        </w:tc>
        <w:tc>
          <w:tcPr>
            <w:tcW w:w="993" w:type="dxa"/>
            <w:shd w:val="clear" w:color="auto" w:fill="auto"/>
            <w:noWrap/>
            <w:vAlign w:val="center"/>
            <w:hideMark/>
          </w:tcPr>
          <w:p w:rsidR="007F2AC2" w:rsidRPr="007F2AC2" w:rsidRDefault="007F2AC2" w:rsidP="007F2AC2">
            <w:pPr>
              <w:spacing w:after="0" w:line="240" w:lineRule="auto"/>
              <w:rPr>
                <w:rFonts w:ascii="Calibri" w:eastAsia="Times New Roman" w:hAnsi="Calibri" w:cs="Calibri"/>
                <w:color w:val="000000"/>
                <w:lang w:eastAsia="en-AU"/>
              </w:rPr>
            </w:pPr>
            <w:r w:rsidRPr="007F2AC2">
              <w:rPr>
                <w:rFonts w:ascii="Calibri" w:eastAsia="Times New Roman" w:hAnsi="Calibri" w:cs="Calibri"/>
                <w:color w:val="000000"/>
                <w:lang w:eastAsia="en-AU"/>
              </w:rPr>
              <w:t xml:space="preserve">3.9 </w:t>
            </w:r>
          </w:p>
        </w:tc>
        <w:tc>
          <w:tcPr>
            <w:tcW w:w="909" w:type="dxa"/>
            <w:shd w:val="clear" w:color="auto" w:fill="auto"/>
            <w:noWrap/>
            <w:vAlign w:val="center"/>
            <w:hideMark/>
          </w:tcPr>
          <w:p w:rsidR="007F2AC2" w:rsidRPr="007F2AC2" w:rsidRDefault="007F2AC2">
            <w:pPr>
              <w:spacing w:after="0" w:line="240" w:lineRule="auto"/>
              <w:rPr>
                <w:rFonts w:ascii="Calibri" w:eastAsia="Times New Roman" w:hAnsi="Calibri" w:cs="Calibri"/>
                <w:color w:val="000000"/>
                <w:lang w:eastAsia="en-AU"/>
              </w:rPr>
            </w:pPr>
            <w:r w:rsidRPr="007F2AC2">
              <w:rPr>
                <w:rFonts w:ascii="Calibri" w:eastAsia="Times New Roman" w:hAnsi="Calibri" w:cs="Calibri"/>
                <w:color w:val="000000"/>
                <w:lang w:eastAsia="en-AU"/>
              </w:rPr>
              <w:t xml:space="preserve">6.5 </w:t>
            </w:r>
          </w:p>
        </w:tc>
        <w:tc>
          <w:tcPr>
            <w:tcW w:w="933" w:type="dxa"/>
            <w:shd w:val="clear" w:color="auto" w:fill="auto"/>
            <w:noWrap/>
            <w:vAlign w:val="center"/>
            <w:hideMark/>
          </w:tcPr>
          <w:p w:rsidR="007F2AC2" w:rsidRPr="007F2AC2" w:rsidRDefault="007F2AC2" w:rsidP="007F2AC2">
            <w:pPr>
              <w:spacing w:after="0" w:line="240" w:lineRule="auto"/>
              <w:rPr>
                <w:rFonts w:ascii="Calibri" w:eastAsia="Times New Roman" w:hAnsi="Calibri" w:cs="Calibri"/>
                <w:color w:val="000000"/>
                <w:lang w:eastAsia="en-AU"/>
              </w:rPr>
            </w:pPr>
            <w:r w:rsidRPr="007F2AC2">
              <w:rPr>
                <w:rFonts w:ascii="Calibri" w:eastAsia="Times New Roman" w:hAnsi="Calibri" w:cs="Calibri"/>
                <w:color w:val="000000"/>
                <w:lang w:eastAsia="en-AU"/>
              </w:rPr>
              <w:t xml:space="preserve">100.0 </w:t>
            </w:r>
          </w:p>
        </w:tc>
      </w:tr>
    </w:tbl>
    <w:p w:rsidR="000F1308" w:rsidRPr="00AA2118" w:rsidRDefault="000F1308" w:rsidP="001E7B45">
      <w:pPr>
        <w:spacing w:before="4000"/>
        <w:rPr>
          <w:rFonts w:cstheme="minorHAnsi"/>
          <w:sz w:val="20"/>
          <w:szCs w:val="20"/>
        </w:rPr>
      </w:pPr>
      <w:r w:rsidRPr="00AA2118">
        <w:rPr>
          <w:rFonts w:cstheme="minorHAnsi"/>
          <w:b/>
          <w:sz w:val="20"/>
          <w:szCs w:val="20"/>
        </w:rPr>
        <w:t>Source:</w:t>
      </w:r>
      <w:r w:rsidRPr="004C5B83">
        <w:rPr>
          <w:b/>
        </w:rPr>
        <w:t xml:space="preserve"> </w:t>
      </w:r>
      <w:r w:rsidRPr="00AA2118">
        <w:rPr>
          <w:rFonts w:cstheme="minorHAnsi"/>
          <w:sz w:val="20"/>
          <w:szCs w:val="20"/>
        </w:rPr>
        <w:t xml:space="preserve">Department of Employment </w:t>
      </w:r>
      <w:r>
        <w:rPr>
          <w:rFonts w:cstheme="minorHAnsi"/>
          <w:sz w:val="20"/>
          <w:szCs w:val="20"/>
        </w:rPr>
        <w:t>2017 Job Seeker Experiences of Employment Services</w:t>
      </w:r>
      <w:r w:rsidRPr="00AA2118">
        <w:rPr>
          <w:rFonts w:cstheme="minorHAnsi"/>
          <w:sz w:val="20"/>
          <w:szCs w:val="20"/>
        </w:rPr>
        <w:t xml:space="preserve"> survey</w:t>
      </w:r>
      <w:r>
        <w:rPr>
          <w:rFonts w:cstheme="minorHAnsi"/>
          <w:sz w:val="20"/>
          <w:szCs w:val="20"/>
        </w:rPr>
        <w:t>.</w:t>
      </w:r>
    </w:p>
    <w:p w:rsidR="00452544" w:rsidRDefault="00BB30EF" w:rsidP="00452544">
      <w:r>
        <w:t xml:space="preserve">Significant differences </w:t>
      </w:r>
      <w:r w:rsidR="00431F47">
        <w:t>a</w:t>
      </w:r>
      <w:r>
        <w:t xml:space="preserve">re found in </w:t>
      </w:r>
      <w:r w:rsidR="002B1762">
        <w:t xml:space="preserve">bonus frequency </w:t>
      </w:r>
      <w:r>
        <w:t>preference</w:t>
      </w:r>
      <w:r w:rsidR="002B1762">
        <w:t>s</w:t>
      </w:r>
      <w:r>
        <w:t xml:space="preserve"> </w:t>
      </w:r>
      <w:r w:rsidR="002B1762">
        <w:t>between males and females</w:t>
      </w:r>
      <w:r>
        <w:t xml:space="preserve">, </w:t>
      </w:r>
      <w:r w:rsidR="002B1762">
        <w:t>those in the age group targeted by the JCB compared to older job seekers</w:t>
      </w:r>
      <w:r>
        <w:t xml:space="preserve">, </w:t>
      </w:r>
      <w:r w:rsidR="002B1762">
        <w:t xml:space="preserve">by </w:t>
      </w:r>
      <w:r>
        <w:t>period of unemployment, attitude</w:t>
      </w:r>
      <w:r w:rsidR="002B1762">
        <w:t>s</w:t>
      </w:r>
      <w:r>
        <w:t xml:space="preserve"> to work and </w:t>
      </w:r>
      <w:r w:rsidR="002B1762">
        <w:t xml:space="preserve">people’s </w:t>
      </w:r>
      <w:r>
        <w:t>perceived likelihood of obtaining a job in the next 12</w:t>
      </w:r>
      <w:r w:rsidR="002B1762">
        <w:t> </w:t>
      </w:r>
      <w:r>
        <w:t>months. (</w:t>
      </w:r>
      <w:r w:rsidR="00835605">
        <w:t xml:space="preserve">Attachment F, </w:t>
      </w:r>
      <w:hyperlink w:anchor="Title_f10" w:history="1">
        <w:r w:rsidR="0095497C" w:rsidRPr="0095497C">
          <w:rPr>
            <w:rStyle w:val="Hyperlink"/>
          </w:rPr>
          <w:t>Table F.10</w:t>
        </w:r>
        <w:bookmarkStart w:id="187" w:name="Place_F10"/>
        <w:bookmarkEnd w:id="187"/>
      </w:hyperlink>
      <w:r>
        <w:t>)</w:t>
      </w:r>
      <w:r w:rsidR="002B1762">
        <w:t xml:space="preserve"> </w:t>
      </w:r>
    </w:p>
    <w:p w:rsidR="00452544" w:rsidRDefault="00500DB7" w:rsidP="00452544">
      <w:pPr>
        <w:rPr>
          <w:color w:val="000000" w:themeColor="text1"/>
        </w:rPr>
      </w:pPr>
      <w:r>
        <w:rPr>
          <w:color w:val="000000" w:themeColor="text1"/>
        </w:rPr>
        <w:lastRenderedPageBreak/>
        <w:t xml:space="preserve">While how people state they would behave in a ‘theoretical’ scenario may not necessarily translate in a ‘real life’ situation, these results show that there are many factors that might influence behaviour and response to a financial incentive. </w:t>
      </w:r>
      <w:r w:rsidR="002B1762">
        <w:t xml:space="preserve">The relationship </w:t>
      </w:r>
      <w:r w:rsidR="00431F47">
        <w:t xml:space="preserve">demonstrated from these survey results </w:t>
      </w:r>
      <w:r w:rsidR="002B1762">
        <w:t xml:space="preserve">between </w:t>
      </w:r>
      <w:r w:rsidR="00431F47">
        <w:t xml:space="preserve">preferences for different payment options and </w:t>
      </w:r>
      <w:r w:rsidR="002B1762">
        <w:t xml:space="preserve">demographic </w:t>
      </w:r>
      <w:r w:rsidR="00431F47">
        <w:t>factors</w:t>
      </w:r>
      <w:r w:rsidR="002B1762">
        <w:t xml:space="preserve">, attitudes and </w:t>
      </w:r>
      <w:r w:rsidR="00431F47">
        <w:t>job seeker</w:t>
      </w:r>
      <w:r w:rsidR="002B1762">
        <w:t xml:space="preserve"> motivation shows </w:t>
      </w:r>
      <w:r w:rsidR="00431F47">
        <w:t>the complexity</w:t>
      </w:r>
      <w:r w:rsidR="005B76E4">
        <w:t xml:space="preserve"> that would be</w:t>
      </w:r>
      <w:r w:rsidR="00431F47">
        <w:t xml:space="preserve"> involved </w:t>
      </w:r>
      <w:r w:rsidR="005B76E4">
        <w:t xml:space="preserve">in </w:t>
      </w:r>
      <w:r w:rsidR="002B1762">
        <w:t>design</w:t>
      </w:r>
      <w:r w:rsidR="005B76E4">
        <w:t>ing</w:t>
      </w:r>
      <w:r w:rsidR="002B1762">
        <w:t xml:space="preserve"> a</w:t>
      </w:r>
      <w:r w:rsidR="00431F47">
        <w:t>n</w:t>
      </w:r>
      <w:r w:rsidR="002B1762">
        <w:t xml:space="preserve"> </w:t>
      </w:r>
      <w:r w:rsidR="00431F47">
        <w:t xml:space="preserve">effective </w:t>
      </w:r>
      <w:r w:rsidR="002B1762">
        <w:t xml:space="preserve">financial incentive program to appeal to a </w:t>
      </w:r>
      <w:r w:rsidR="00431F47">
        <w:t xml:space="preserve">required </w:t>
      </w:r>
      <w:r w:rsidR="002B1762">
        <w:t xml:space="preserve">target </w:t>
      </w:r>
      <w:r w:rsidR="00431F47">
        <w:t>group</w:t>
      </w:r>
      <w:r w:rsidR="00CA7989">
        <w:t>.</w:t>
      </w:r>
    </w:p>
    <w:p w:rsidR="003B4183" w:rsidRPr="003A4B00" w:rsidRDefault="003B4183" w:rsidP="003B4183">
      <w:pPr>
        <w:pStyle w:val="Heading2"/>
      </w:pPr>
      <w:bookmarkStart w:id="188" w:name="_Toc507600248"/>
      <w:r w:rsidRPr="003A4B00">
        <w:t>4.</w:t>
      </w:r>
      <w:r w:rsidR="00C32B73">
        <w:t>2</w:t>
      </w:r>
      <w:r w:rsidRPr="003A4B00">
        <w:tab/>
        <w:t>Impact on job search</w:t>
      </w:r>
      <w:bookmarkEnd w:id="174"/>
      <w:r w:rsidR="00160A9E">
        <w:t xml:space="preserve"> – </w:t>
      </w:r>
      <w:r w:rsidR="005375BB">
        <w:t xml:space="preserve">quantitative </w:t>
      </w:r>
      <w:r w:rsidR="00160A9E">
        <w:t>analysis</w:t>
      </w:r>
      <w:bookmarkEnd w:id="188"/>
    </w:p>
    <w:p w:rsidR="00C14DAC" w:rsidRPr="0018315C" w:rsidRDefault="00C14DAC" w:rsidP="00C14DAC">
      <w:pPr>
        <w:keepNext/>
        <w:pBdr>
          <w:top w:val="single" w:sz="4" w:space="1" w:color="auto"/>
          <w:left w:val="single" w:sz="4" w:space="4" w:color="auto"/>
          <w:bottom w:val="single" w:sz="4" w:space="1" w:color="auto"/>
          <w:right w:val="single" w:sz="4" w:space="4" w:color="auto"/>
        </w:pBdr>
        <w:shd w:val="clear" w:color="auto" w:fill="FDCBA0"/>
        <w:spacing w:after="120"/>
        <w:rPr>
          <w:rStyle w:val="Strong"/>
        </w:rPr>
      </w:pPr>
      <w:r w:rsidRPr="0018315C">
        <w:rPr>
          <w:rStyle w:val="Strong"/>
        </w:rPr>
        <w:t>Highlights</w:t>
      </w:r>
    </w:p>
    <w:p w:rsidR="00BC3046" w:rsidRDefault="00BC3046" w:rsidP="00BC3046">
      <w:pPr>
        <w:keepNext/>
        <w:pBdr>
          <w:top w:val="single" w:sz="4" w:space="1" w:color="auto"/>
          <w:left w:val="single" w:sz="4" w:space="4" w:color="auto"/>
          <w:bottom w:val="single" w:sz="4" w:space="1" w:color="auto"/>
          <w:right w:val="single" w:sz="4" w:space="4" w:color="auto"/>
        </w:pBdr>
        <w:shd w:val="clear" w:color="auto" w:fill="FDCBA0"/>
        <w:spacing w:before="120" w:after="0"/>
      </w:pPr>
      <w:r>
        <w:t>Employment outcome rates for the JCB cohort were slightly higher after the program’s introduction compared to the years immediately before it commenced, and decreased later in the period of JCB operation. Changes in employment service delivery model and macro-economic conditions would have had a significant effect on outcome rates.</w:t>
      </w:r>
    </w:p>
    <w:p w:rsidR="007E67B7" w:rsidRDefault="00A44630" w:rsidP="007E67B7">
      <w:pPr>
        <w:keepNext/>
        <w:pBdr>
          <w:top w:val="single" w:sz="4" w:space="1" w:color="auto"/>
          <w:left w:val="single" w:sz="4" w:space="4" w:color="auto"/>
          <w:bottom w:val="single" w:sz="4" w:space="1" w:color="auto"/>
          <w:right w:val="single" w:sz="4" w:space="4" w:color="auto"/>
        </w:pBdr>
        <w:shd w:val="clear" w:color="auto" w:fill="FDCBA0"/>
        <w:spacing w:before="120" w:after="0"/>
      </w:pPr>
      <w:r>
        <w:t>No q</w:t>
      </w:r>
      <w:r w:rsidR="007E67B7">
        <w:t xml:space="preserve">uantitative measures considered </w:t>
      </w:r>
      <w:r>
        <w:t>found</w:t>
      </w:r>
      <w:r w:rsidR="007E67B7">
        <w:t xml:space="preserve"> evidence of </w:t>
      </w:r>
      <w:r>
        <w:t xml:space="preserve">the </w:t>
      </w:r>
      <w:r w:rsidR="007E67B7">
        <w:t xml:space="preserve">JCB </w:t>
      </w:r>
      <w:r>
        <w:t>affecting</w:t>
      </w:r>
      <w:r w:rsidR="007E67B7">
        <w:t xml:space="preserve"> </w:t>
      </w:r>
      <w:r w:rsidR="00D06CC1">
        <w:t xml:space="preserve">the effectiveness of </w:t>
      </w:r>
      <w:r w:rsidR="007E67B7">
        <w:t>job search behaviour for young adults.</w:t>
      </w:r>
    </w:p>
    <w:p w:rsidR="003F1BEB" w:rsidRDefault="00EA4D79" w:rsidP="00A8461D">
      <w:pPr>
        <w:spacing w:before="240"/>
      </w:pPr>
      <w:r>
        <w:rPr>
          <w:color w:val="000000" w:themeColor="text1"/>
        </w:rPr>
        <w:t xml:space="preserve">To </w:t>
      </w:r>
      <w:r w:rsidR="007A2BCB">
        <w:rPr>
          <w:color w:val="000000" w:themeColor="text1"/>
        </w:rPr>
        <w:t>ascertain whether</w:t>
      </w:r>
      <w:r w:rsidR="00677F68">
        <w:rPr>
          <w:color w:val="000000" w:themeColor="text1"/>
        </w:rPr>
        <w:t xml:space="preserve"> </w:t>
      </w:r>
      <w:r>
        <w:rPr>
          <w:color w:val="000000" w:themeColor="text1"/>
        </w:rPr>
        <w:t xml:space="preserve">the JCB had </w:t>
      </w:r>
      <w:r w:rsidR="00202046">
        <w:rPr>
          <w:color w:val="000000" w:themeColor="text1"/>
        </w:rPr>
        <w:t>an effect on job search effort</w:t>
      </w:r>
      <w:r>
        <w:rPr>
          <w:color w:val="000000" w:themeColor="text1"/>
        </w:rPr>
        <w:t>,</w:t>
      </w:r>
      <w:r w:rsidR="00202046">
        <w:rPr>
          <w:color w:val="000000" w:themeColor="text1"/>
        </w:rPr>
        <w:t xml:space="preserve"> </w:t>
      </w:r>
      <w:r w:rsidR="009D354E">
        <w:rPr>
          <w:color w:val="000000" w:themeColor="text1"/>
        </w:rPr>
        <w:t>three</w:t>
      </w:r>
      <w:r>
        <w:rPr>
          <w:color w:val="000000" w:themeColor="text1"/>
        </w:rPr>
        <w:t xml:space="preserve"> different analyses are </w:t>
      </w:r>
      <w:r w:rsidR="009D354E">
        <w:rPr>
          <w:color w:val="000000" w:themeColor="text1"/>
        </w:rPr>
        <w:t>presented</w:t>
      </w:r>
      <w:r w:rsidR="00202046">
        <w:rPr>
          <w:color w:val="000000" w:themeColor="text1"/>
        </w:rPr>
        <w:t xml:space="preserve">. </w:t>
      </w:r>
      <w:r w:rsidR="00D25BD4">
        <w:t>Quantitative data was not available to directly measure change</w:t>
      </w:r>
      <w:r w:rsidR="004972FC">
        <w:t>s to</w:t>
      </w:r>
      <w:r w:rsidR="00D25BD4">
        <w:t xml:space="preserve"> job search behaviour.</w:t>
      </w:r>
      <w:r w:rsidR="00990EBE">
        <w:rPr>
          <w:rStyle w:val="FootnoteReference"/>
        </w:rPr>
        <w:footnoteReference w:id="62"/>
      </w:r>
      <w:r w:rsidR="00D25BD4">
        <w:t xml:space="preserve"> </w:t>
      </w:r>
      <w:r w:rsidR="00990EBE">
        <w:t>More effective</w:t>
      </w:r>
      <w:r w:rsidR="00D25BD4">
        <w:t xml:space="preserve"> job search efforts </w:t>
      </w:r>
      <w:r w:rsidR="00990EBE">
        <w:t xml:space="preserve">(either as a result of increased activity or better targeting) </w:t>
      </w:r>
      <w:r w:rsidR="00D25BD4">
        <w:t>would be expected to lead to improvement</w:t>
      </w:r>
      <w:r w:rsidR="00990EBE">
        <w:t>s</w:t>
      </w:r>
      <w:r w:rsidR="00D25BD4">
        <w:t xml:space="preserve"> in employment outcome</w:t>
      </w:r>
      <w:r w:rsidR="00990EBE">
        <w:t xml:space="preserve"> rate</w:t>
      </w:r>
      <w:r w:rsidR="00D25BD4">
        <w:t xml:space="preserve">s. Using this causal linkage, </w:t>
      </w:r>
      <w:r w:rsidR="00990EBE">
        <w:t xml:space="preserve">three measures of </w:t>
      </w:r>
      <w:r w:rsidR="00D25BD4">
        <w:t xml:space="preserve">employment outcomes </w:t>
      </w:r>
      <w:r w:rsidR="00990EBE">
        <w:t xml:space="preserve">are </w:t>
      </w:r>
      <w:r w:rsidR="00D25BD4">
        <w:t xml:space="preserve">used </w:t>
      </w:r>
      <w:r w:rsidR="00BB71FA">
        <w:t>as a proxy to</w:t>
      </w:r>
      <w:r w:rsidR="00D25BD4">
        <w:t xml:space="preserve"> assess </w:t>
      </w:r>
      <w:r w:rsidR="00990EBE">
        <w:t>if any evidence of</w:t>
      </w:r>
      <w:r w:rsidR="00D25BD4">
        <w:t xml:space="preserve"> JCB improving job search behaviour effectiveness </w:t>
      </w:r>
      <w:r w:rsidR="00990EBE">
        <w:t xml:space="preserve">can be found. </w:t>
      </w:r>
      <w:r w:rsidR="00B470D8">
        <w:rPr>
          <w:color w:val="000000" w:themeColor="text1"/>
        </w:rPr>
        <w:t>E</w:t>
      </w:r>
      <w:r w:rsidR="00202046">
        <w:rPr>
          <w:color w:val="000000" w:themeColor="text1"/>
        </w:rPr>
        <w:t>ach examine</w:t>
      </w:r>
      <w:r w:rsidR="00B470D8">
        <w:rPr>
          <w:color w:val="000000" w:themeColor="text1"/>
        </w:rPr>
        <w:t>s</w:t>
      </w:r>
      <w:r w:rsidR="00202046">
        <w:rPr>
          <w:color w:val="000000" w:themeColor="text1"/>
        </w:rPr>
        <w:t xml:space="preserve"> </w:t>
      </w:r>
      <w:r>
        <w:rPr>
          <w:color w:val="000000" w:themeColor="text1"/>
        </w:rPr>
        <w:t xml:space="preserve">the </w:t>
      </w:r>
      <w:r w:rsidR="002039F0">
        <w:rPr>
          <w:color w:val="000000" w:themeColor="text1"/>
        </w:rPr>
        <w:t xml:space="preserve">question </w:t>
      </w:r>
      <w:r w:rsidR="0028164A">
        <w:rPr>
          <w:color w:val="000000" w:themeColor="text1"/>
        </w:rPr>
        <w:t>from a</w:t>
      </w:r>
      <w:r w:rsidR="00202046">
        <w:rPr>
          <w:color w:val="000000" w:themeColor="text1"/>
        </w:rPr>
        <w:t xml:space="preserve"> different </w:t>
      </w:r>
      <w:r w:rsidR="0028164A">
        <w:rPr>
          <w:color w:val="000000" w:themeColor="text1"/>
        </w:rPr>
        <w:t>perspective</w:t>
      </w:r>
      <w:r w:rsidR="009D354E">
        <w:rPr>
          <w:color w:val="000000" w:themeColor="text1"/>
        </w:rPr>
        <w:t xml:space="preserve"> </w:t>
      </w:r>
      <w:r w:rsidR="00990EBE">
        <w:rPr>
          <w:color w:val="000000" w:themeColor="text1"/>
        </w:rPr>
        <w:t xml:space="preserve">and </w:t>
      </w:r>
      <w:r w:rsidR="006573FA">
        <w:rPr>
          <w:color w:val="000000" w:themeColor="text1"/>
        </w:rPr>
        <w:t xml:space="preserve">when </w:t>
      </w:r>
      <w:r w:rsidR="00990EBE">
        <w:rPr>
          <w:color w:val="000000" w:themeColor="text1"/>
        </w:rPr>
        <w:t>t</w:t>
      </w:r>
      <w:r w:rsidR="009D354E">
        <w:rPr>
          <w:color w:val="000000" w:themeColor="text1"/>
        </w:rPr>
        <w:t>aken t</w:t>
      </w:r>
      <w:r w:rsidR="00202046">
        <w:rPr>
          <w:color w:val="000000" w:themeColor="text1"/>
        </w:rPr>
        <w:t>ogether provide a comprehensive assessment of JCB influence</w:t>
      </w:r>
      <w:r w:rsidR="0028164A">
        <w:rPr>
          <w:color w:val="000000" w:themeColor="text1"/>
        </w:rPr>
        <w:t xml:space="preserve"> on job search behaviour</w:t>
      </w:r>
      <w:r w:rsidR="00202046">
        <w:rPr>
          <w:color w:val="000000" w:themeColor="text1"/>
        </w:rPr>
        <w:t>.</w:t>
      </w:r>
      <w:r w:rsidR="00FA32B0">
        <w:rPr>
          <w:rStyle w:val="FootnoteReference"/>
        </w:rPr>
        <w:footnoteReference w:id="63"/>
      </w:r>
      <w:r w:rsidR="00FA32B0">
        <w:t xml:space="preserve"> </w:t>
      </w:r>
      <w:r w:rsidR="002039F0">
        <w:rPr>
          <w:color w:val="000000" w:themeColor="text1"/>
        </w:rPr>
        <w:t>The</w:t>
      </w:r>
      <w:r w:rsidR="009D354E">
        <w:rPr>
          <w:color w:val="000000" w:themeColor="text1"/>
        </w:rPr>
        <w:t xml:space="preserve"> anal</w:t>
      </w:r>
      <w:r>
        <w:rPr>
          <w:color w:val="000000" w:themeColor="text1"/>
        </w:rPr>
        <w:t>y</w:t>
      </w:r>
      <w:r w:rsidR="009D354E">
        <w:rPr>
          <w:color w:val="000000" w:themeColor="text1"/>
        </w:rPr>
        <w:t>ses</w:t>
      </w:r>
      <w:r>
        <w:rPr>
          <w:color w:val="000000" w:themeColor="text1"/>
        </w:rPr>
        <w:t xml:space="preserve"> </w:t>
      </w:r>
      <w:r w:rsidR="002039F0">
        <w:rPr>
          <w:color w:val="000000" w:themeColor="text1"/>
        </w:rPr>
        <w:t>address key indicators detailed in the Evaluation Strategy</w:t>
      </w:r>
      <w:r w:rsidR="009D354E">
        <w:rPr>
          <w:color w:val="000000" w:themeColor="text1"/>
        </w:rPr>
        <w:t xml:space="preserve"> </w:t>
      </w:r>
      <w:r w:rsidR="002039F0">
        <w:rPr>
          <w:color w:val="000000" w:themeColor="text1"/>
        </w:rPr>
        <w:t>using available data and allowing for constraints created from other external factors such as the change in employment services model (from JSA to jobactive)</w:t>
      </w:r>
      <w:r w:rsidR="00990EBE">
        <w:rPr>
          <w:color w:val="000000" w:themeColor="text1"/>
        </w:rPr>
        <w:t xml:space="preserve"> </w:t>
      </w:r>
      <w:r w:rsidR="00AA20E1">
        <w:rPr>
          <w:color w:val="000000" w:themeColor="text1"/>
        </w:rPr>
        <w:t>(</w:t>
      </w:r>
      <w:r w:rsidR="006573FA">
        <w:rPr>
          <w:color w:val="000000" w:themeColor="text1"/>
        </w:rPr>
        <w:t>Section </w:t>
      </w:r>
      <w:r w:rsidR="00AA20E1">
        <w:rPr>
          <w:color w:val="000000" w:themeColor="text1"/>
        </w:rPr>
        <w:t>2.3</w:t>
      </w:r>
      <w:r w:rsidR="002039F0">
        <w:rPr>
          <w:color w:val="000000" w:themeColor="text1"/>
        </w:rPr>
        <w:t>)</w:t>
      </w:r>
      <w:r w:rsidR="00990EBE">
        <w:rPr>
          <w:color w:val="000000" w:themeColor="text1"/>
        </w:rPr>
        <w:t>:</w:t>
      </w:r>
    </w:p>
    <w:p w:rsidR="00483AAD" w:rsidRDefault="00AA20E1" w:rsidP="00E3205B">
      <w:pPr>
        <w:pStyle w:val="ListParagraph"/>
        <w:numPr>
          <w:ilvl w:val="0"/>
          <w:numId w:val="77"/>
        </w:numPr>
        <w:spacing w:before="120" w:after="120"/>
        <w:ind w:left="1560" w:hanging="1134"/>
      </w:pPr>
      <w:r>
        <w:t>Compar</w:t>
      </w:r>
      <w:r w:rsidR="00EA4D79">
        <w:t>e</w:t>
      </w:r>
      <w:r>
        <w:t xml:space="preserve"> the p</w:t>
      </w:r>
      <w:r w:rsidR="00483AAD" w:rsidRPr="00483AAD">
        <w:t xml:space="preserve">roportion of </w:t>
      </w:r>
      <w:r>
        <w:t xml:space="preserve">LTU young adults </w:t>
      </w:r>
      <w:r w:rsidR="00483AAD" w:rsidRPr="00483AAD">
        <w:t>achieving employment outcomes before and after the introduct</w:t>
      </w:r>
      <w:r w:rsidR="00483AAD">
        <w:t xml:space="preserve">ion of the </w:t>
      </w:r>
      <w:r w:rsidR="005C122D">
        <w:t>JCB</w:t>
      </w:r>
      <w:r>
        <w:t xml:space="preserve">, using PPM </w:t>
      </w:r>
      <w:r w:rsidR="00656A3A">
        <w:t xml:space="preserve">survey </w:t>
      </w:r>
      <w:r>
        <w:t>data.</w:t>
      </w:r>
    </w:p>
    <w:p w:rsidR="003F1BEB" w:rsidRPr="00325628" w:rsidRDefault="000B1BB8" w:rsidP="00E3205B">
      <w:pPr>
        <w:pStyle w:val="ListParagraph"/>
        <w:numPr>
          <w:ilvl w:val="0"/>
          <w:numId w:val="77"/>
        </w:numPr>
        <w:spacing w:before="120" w:after="120"/>
        <w:ind w:left="1560" w:hanging="1134"/>
      </w:pPr>
      <w:r>
        <w:t>C</w:t>
      </w:r>
      <w:r w:rsidR="00AA20E1">
        <w:t xml:space="preserve">ompare </w:t>
      </w:r>
      <w:r>
        <w:t xml:space="preserve">average time </w:t>
      </w:r>
      <w:r w:rsidR="00E21772">
        <w:t>to job placement</w:t>
      </w:r>
      <w:r>
        <w:t xml:space="preserve"> after becom</w:t>
      </w:r>
      <w:r w:rsidR="009D354E">
        <w:t>ing</w:t>
      </w:r>
      <w:r>
        <w:t xml:space="preserve"> LTU</w:t>
      </w:r>
      <w:r w:rsidR="007A2BCB">
        <w:t>,</w:t>
      </w:r>
      <w:r>
        <w:t xml:space="preserve"> </w:t>
      </w:r>
      <w:r w:rsidR="009D354E">
        <w:t xml:space="preserve">for </w:t>
      </w:r>
      <w:r>
        <w:t xml:space="preserve">job seekers </w:t>
      </w:r>
      <w:r w:rsidR="00AA20E1">
        <w:t>at the lower and higher JCB age range boundaries</w:t>
      </w:r>
      <w:r w:rsidR="007A2BCB">
        <w:t>,</w:t>
      </w:r>
      <w:r>
        <w:t xml:space="preserve"> with</w:t>
      </w:r>
      <w:r w:rsidR="00AA20E1">
        <w:t xml:space="preserve"> </w:t>
      </w:r>
      <w:r>
        <w:t xml:space="preserve">LTU job seekers who are </w:t>
      </w:r>
      <w:r w:rsidR="00AA20E1">
        <w:t>slightly older and younger</w:t>
      </w:r>
      <w:r>
        <w:t xml:space="preserve">. </w:t>
      </w:r>
      <w:r w:rsidR="00B77483">
        <w:t xml:space="preserve">The comparison is done before and after the introduction of the JCB using a Difference in Difference regression </w:t>
      </w:r>
      <w:r>
        <w:t>(</w:t>
      </w:r>
      <w:r w:rsidR="00E945BC">
        <w:t>DID</w:t>
      </w:r>
      <w:r>
        <w:t>)</w:t>
      </w:r>
      <w:r w:rsidR="005C122D">
        <w:t>.</w:t>
      </w:r>
      <w:r>
        <w:rPr>
          <w:rStyle w:val="FootnoteReference"/>
        </w:rPr>
        <w:footnoteReference w:id="64"/>
      </w:r>
      <w:r w:rsidRPr="00AA20E1">
        <w:rPr>
          <w:rStyle w:val="FootnoteReference"/>
        </w:rPr>
        <w:t xml:space="preserve"> </w:t>
      </w:r>
      <w:r>
        <w:rPr>
          <w:rStyle w:val="FootnoteReference"/>
        </w:rPr>
        <w:footnoteReference w:id="65"/>
      </w:r>
    </w:p>
    <w:p w:rsidR="003F1BEB" w:rsidRPr="007A2BCB" w:rsidRDefault="000B1BB8" w:rsidP="00E3205B">
      <w:pPr>
        <w:pStyle w:val="ListParagraph"/>
        <w:numPr>
          <w:ilvl w:val="0"/>
          <w:numId w:val="77"/>
        </w:numPr>
        <w:spacing w:before="120" w:after="120"/>
        <w:ind w:left="1560" w:hanging="1134"/>
        <w:rPr>
          <w:color w:val="000000" w:themeColor="text1"/>
        </w:rPr>
      </w:pPr>
      <w:r>
        <w:lastRenderedPageBreak/>
        <w:t>C</w:t>
      </w:r>
      <w:r w:rsidR="00325628">
        <w:t>ompare</w:t>
      </w:r>
      <w:r>
        <w:t xml:space="preserve"> average duration on income support </w:t>
      </w:r>
      <w:r w:rsidR="009D354E">
        <w:t xml:space="preserve">after becoming </w:t>
      </w:r>
      <w:r>
        <w:t>LTU</w:t>
      </w:r>
      <w:r w:rsidR="007A2BCB">
        <w:t>,</w:t>
      </w:r>
      <w:r>
        <w:t xml:space="preserve"> </w:t>
      </w:r>
      <w:r w:rsidR="009D354E">
        <w:t>for job seekers</w:t>
      </w:r>
      <w:r w:rsidR="00325628">
        <w:t xml:space="preserve"> at the lower and higher JCB age range boundaries</w:t>
      </w:r>
      <w:r w:rsidR="007A2BCB">
        <w:t>,</w:t>
      </w:r>
      <w:r w:rsidR="00325628">
        <w:t xml:space="preserve"> with </w:t>
      </w:r>
      <w:r w:rsidR="007A2BCB">
        <w:t xml:space="preserve">job seekers who are </w:t>
      </w:r>
      <w:r w:rsidR="00325628">
        <w:t>slightly older and younger</w:t>
      </w:r>
      <w:r>
        <w:t xml:space="preserve">. </w:t>
      </w:r>
      <w:r w:rsidR="00B77483">
        <w:t xml:space="preserve">This analysis uses </w:t>
      </w:r>
      <w:r w:rsidR="00BC5796">
        <w:t>R</w:t>
      </w:r>
      <w:r w:rsidR="00B77483">
        <w:t xml:space="preserve">egression </w:t>
      </w:r>
      <w:r w:rsidR="00BC5796">
        <w:t>D</w:t>
      </w:r>
      <w:r w:rsidR="00B77483">
        <w:t xml:space="preserve">iscontinuity </w:t>
      </w:r>
      <w:r w:rsidR="00BC5796">
        <w:t>D</w:t>
      </w:r>
      <w:r w:rsidR="00B77483">
        <w:t>esign analysis</w:t>
      </w:r>
      <w:r w:rsidR="00B77483" w:rsidDel="00B77483">
        <w:t xml:space="preserve"> </w:t>
      </w:r>
      <w:r w:rsidR="007A2BCB">
        <w:t>(</w:t>
      </w:r>
      <w:r w:rsidR="00E945BC">
        <w:t>RDD</w:t>
      </w:r>
      <w:r>
        <w:t>).</w:t>
      </w:r>
      <w:r w:rsidR="007A2BCB" w:rsidRPr="007A2BCB">
        <w:rPr>
          <w:rStyle w:val="FootnoteReference"/>
        </w:rPr>
        <w:t xml:space="preserve"> </w:t>
      </w:r>
      <w:r w:rsidR="007A2BCB">
        <w:rPr>
          <w:rStyle w:val="FootnoteReference"/>
        </w:rPr>
        <w:footnoteReference w:id="66"/>
      </w:r>
    </w:p>
    <w:p w:rsidR="008E5497" w:rsidRPr="00B83C41" w:rsidRDefault="003F4992" w:rsidP="00F239FA">
      <w:pPr>
        <w:pStyle w:val="Heading3"/>
      </w:pPr>
      <w:r>
        <w:t>4.</w:t>
      </w:r>
      <w:r w:rsidR="00160A9E">
        <w:t>2</w:t>
      </w:r>
      <w:r>
        <w:t>.1</w:t>
      </w:r>
      <w:r>
        <w:tab/>
      </w:r>
      <w:r w:rsidR="00536BE3" w:rsidRPr="00B83C41">
        <w:t>Employment</w:t>
      </w:r>
      <w:r w:rsidR="008E5497" w:rsidRPr="00B83C41">
        <w:t xml:space="preserve"> outcomes</w:t>
      </w:r>
      <w:r w:rsidR="00E47F55">
        <w:t xml:space="preserve"> for </w:t>
      </w:r>
      <w:r w:rsidR="00A84A76">
        <w:t>long</w:t>
      </w:r>
      <w:r w:rsidR="000F6CC1">
        <w:t>-</w:t>
      </w:r>
      <w:r w:rsidR="00A84A76">
        <w:t xml:space="preserve">term unemployed </w:t>
      </w:r>
      <w:r w:rsidR="00E47F55">
        <w:t>young adults</w:t>
      </w:r>
      <w:r w:rsidR="008E5497" w:rsidRPr="00B83C41">
        <w:t xml:space="preserve"> </w:t>
      </w:r>
    </w:p>
    <w:p w:rsidR="00FB65C3" w:rsidRDefault="008E5497" w:rsidP="007650CB">
      <w:pPr>
        <w:spacing w:before="120"/>
        <w:rPr>
          <w:color w:val="000000" w:themeColor="text1"/>
        </w:rPr>
      </w:pPr>
      <w:r w:rsidRPr="009F199B">
        <w:rPr>
          <w:color w:val="000000" w:themeColor="text1"/>
        </w:rPr>
        <w:t>Figure 4.</w:t>
      </w:r>
      <w:r w:rsidR="00835605">
        <w:rPr>
          <w:color w:val="000000" w:themeColor="text1"/>
        </w:rPr>
        <w:t>7</w:t>
      </w:r>
      <w:r w:rsidR="00D91D5C" w:rsidRPr="009F199B">
        <w:rPr>
          <w:color w:val="000000" w:themeColor="text1"/>
        </w:rPr>
        <w:t xml:space="preserve"> </w:t>
      </w:r>
      <w:r w:rsidRPr="009F199B">
        <w:rPr>
          <w:color w:val="000000" w:themeColor="text1"/>
        </w:rPr>
        <w:t>shows employment outcomes for long</w:t>
      </w:r>
      <w:r w:rsidR="005C122D" w:rsidRPr="009F199B">
        <w:rPr>
          <w:color w:val="000000" w:themeColor="text1"/>
        </w:rPr>
        <w:t>-</w:t>
      </w:r>
      <w:r w:rsidRPr="009F199B">
        <w:rPr>
          <w:color w:val="000000" w:themeColor="text1"/>
        </w:rPr>
        <w:t xml:space="preserve">term unemployed job seekers, who were on NSA or YA(O), and aged 18 to </w:t>
      </w:r>
      <w:r w:rsidR="00E62018" w:rsidRPr="009F199B">
        <w:rPr>
          <w:color w:val="000000" w:themeColor="text1"/>
        </w:rPr>
        <w:t xml:space="preserve">under </w:t>
      </w:r>
      <w:r w:rsidRPr="009F199B">
        <w:rPr>
          <w:color w:val="000000" w:themeColor="text1"/>
        </w:rPr>
        <w:t>30 years of age.</w:t>
      </w:r>
    </w:p>
    <w:p w:rsidR="00FB65C3" w:rsidRDefault="00A44630" w:rsidP="00FB65C3">
      <w:pPr>
        <w:keepNext/>
        <w:spacing w:before="120"/>
        <w:rPr>
          <w:color w:val="000000" w:themeColor="text1"/>
        </w:rPr>
      </w:pPr>
      <w:r>
        <w:rPr>
          <w:color w:val="000000" w:themeColor="text1"/>
        </w:rPr>
        <w:t xml:space="preserve">Results from the </w:t>
      </w:r>
      <w:r w:rsidR="00334741">
        <w:rPr>
          <w:color w:val="000000" w:themeColor="text1"/>
        </w:rPr>
        <w:t xml:space="preserve">PPM </w:t>
      </w:r>
      <w:r>
        <w:rPr>
          <w:color w:val="000000" w:themeColor="text1"/>
        </w:rPr>
        <w:t>Survey indicate that e</w:t>
      </w:r>
      <w:r w:rsidR="00FB65C3">
        <w:rPr>
          <w:color w:val="000000" w:themeColor="text1"/>
        </w:rPr>
        <w:t>mployment outcomes for LTU</w:t>
      </w:r>
      <w:r w:rsidR="00FB65C3">
        <w:rPr>
          <w:rStyle w:val="FootnoteReference"/>
          <w:color w:val="000000" w:themeColor="text1"/>
        </w:rPr>
        <w:footnoteReference w:id="67"/>
      </w:r>
      <w:r w:rsidR="00FB65C3">
        <w:rPr>
          <w:color w:val="000000" w:themeColor="text1"/>
        </w:rPr>
        <w:t xml:space="preserve"> </w:t>
      </w:r>
      <w:r w:rsidR="003503BA">
        <w:rPr>
          <w:color w:val="000000" w:themeColor="text1"/>
        </w:rPr>
        <w:t xml:space="preserve">young adults </w:t>
      </w:r>
      <w:r w:rsidR="00FB65C3">
        <w:rPr>
          <w:color w:val="000000" w:themeColor="text1"/>
        </w:rPr>
        <w:t>serviced under JSA from October 2012 to June 2014, prior to the introduction of JCB, were lower than for those serviced between January 2014 and June 2015.</w:t>
      </w:r>
      <w:r w:rsidR="00FB65C3">
        <w:rPr>
          <w:rStyle w:val="FootnoteReference"/>
          <w:color w:val="000000" w:themeColor="text1"/>
        </w:rPr>
        <w:footnoteReference w:id="68"/>
      </w:r>
      <w:r w:rsidR="00FB65C3">
        <w:rPr>
          <w:color w:val="000000" w:themeColor="text1"/>
        </w:rPr>
        <w:t xml:space="preserve"> LTU males mostly accounted for this change:</w:t>
      </w:r>
    </w:p>
    <w:p w:rsidR="00FB65C3" w:rsidRDefault="00FB65C3" w:rsidP="00FB65C3">
      <w:pPr>
        <w:pStyle w:val="ListParagraph"/>
        <w:numPr>
          <w:ilvl w:val="0"/>
          <w:numId w:val="106"/>
        </w:numPr>
        <w:spacing w:before="120"/>
        <w:rPr>
          <w:color w:val="000000" w:themeColor="text1"/>
        </w:rPr>
      </w:pPr>
      <w:r>
        <w:rPr>
          <w:color w:val="000000" w:themeColor="text1"/>
        </w:rPr>
        <w:t>male LTU employment outcome rates increased by 9.1 percentage points to 44.6 per cent for those serviced between January 2014 and December 2014 from 35.5 per cent for those serviced between July 2013 and June 2014</w:t>
      </w:r>
    </w:p>
    <w:p w:rsidR="00B41486" w:rsidRDefault="00FB65C3" w:rsidP="00BF451A">
      <w:pPr>
        <w:pStyle w:val="ListParagraph"/>
        <w:numPr>
          <w:ilvl w:val="0"/>
          <w:numId w:val="106"/>
        </w:numPr>
        <w:spacing w:before="120"/>
        <w:rPr>
          <w:color w:val="000000" w:themeColor="text1"/>
        </w:rPr>
      </w:pPr>
      <w:r>
        <w:rPr>
          <w:color w:val="000000" w:themeColor="text1"/>
        </w:rPr>
        <w:t>female LTU employment outcome rates increased by 1.8 percentage points to 46.5 per cent for those serviced between January 2014 and December 2014 from 44.7 per cent for those serviced between July 2013 and June 2014.</w:t>
      </w:r>
    </w:p>
    <w:p w:rsidR="00A84A76" w:rsidRDefault="00A84A76" w:rsidP="00A84A76">
      <w:pPr>
        <w:spacing w:before="120"/>
        <w:rPr>
          <w:color w:val="000000" w:themeColor="text1"/>
        </w:rPr>
      </w:pPr>
      <w:r>
        <w:rPr>
          <w:color w:val="000000" w:themeColor="text1"/>
        </w:rPr>
        <w:t xml:space="preserve">The change in outcome rates for </w:t>
      </w:r>
      <w:r w:rsidR="00A44630">
        <w:rPr>
          <w:color w:val="000000" w:themeColor="text1"/>
        </w:rPr>
        <w:t>people</w:t>
      </w:r>
      <w:r>
        <w:rPr>
          <w:color w:val="000000" w:themeColor="text1"/>
        </w:rPr>
        <w:t xml:space="preserve"> who had been unemployed more than two years (VLTU) was lower than for LTU, but rates also increased slightly (by 0.6 percentage points). </w:t>
      </w:r>
    </w:p>
    <w:p w:rsidR="00B41486" w:rsidRDefault="00412F49" w:rsidP="002357FB">
      <w:pPr>
        <w:spacing w:before="120"/>
      </w:pPr>
      <w:r>
        <w:t xml:space="preserve">The extent </w:t>
      </w:r>
      <w:r w:rsidR="00A44630">
        <w:t>to which</w:t>
      </w:r>
      <w:r>
        <w:t xml:space="preserve"> young </w:t>
      </w:r>
      <w:r w:rsidR="00D4440A">
        <w:t xml:space="preserve">LTU </w:t>
      </w:r>
      <w:r>
        <w:t xml:space="preserve">adult </w:t>
      </w:r>
      <w:r w:rsidR="00B41486">
        <w:t xml:space="preserve">employment </w:t>
      </w:r>
      <w:r>
        <w:t xml:space="preserve">outcome </w:t>
      </w:r>
      <w:r w:rsidR="00B41486">
        <w:t xml:space="preserve">rates </w:t>
      </w:r>
      <w:r>
        <w:t xml:space="preserve">differed </w:t>
      </w:r>
      <w:r w:rsidR="00B41486">
        <w:t xml:space="preserve">between these two survey periods (July 2013 and June 2014 compared to January 2014 and December 2014) </w:t>
      </w:r>
      <w:r>
        <w:t xml:space="preserve">varied depending on the </w:t>
      </w:r>
      <w:r w:rsidR="00B41486">
        <w:t xml:space="preserve">highest level of education of the job seeker. For those with secondary level education </w:t>
      </w:r>
      <w:r>
        <w:t xml:space="preserve">(less than Year 10 and Year 12) rates </w:t>
      </w:r>
      <w:r w:rsidR="00B41486">
        <w:t>increase</w:t>
      </w:r>
      <w:r>
        <w:t xml:space="preserve">d by 4.7 and 6.5 percentage points respectively (higher than the overall average increase of 3.1 percentage points). Rates increased </w:t>
      </w:r>
      <w:r w:rsidR="00A44630">
        <w:t>less than average</w:t>
      </w:r>
      <w:r>
        <w:t xml:space="preserve"> for </w:t>
      </w:r>
      <w:r w:rsidR="00A44630">
        <w:t xml:space="preserve">people </w:t>
      </w:r>
      <w:r>
        <w:t>with Year 10 or 11 education (increasing by 1.2 percentage points)</w:t>
      </w:r>
      <w:r w:rsidR="00B41486">
        <w:t xml:space="preserve">, while </w:t>
      </w:r>
      <w:r w:rsidR="006573FA">
        <w:t xml:space="preserve">outcome rates remained fairly stable </w:t>
      </w:r>
      <w:r w:rsidR="00B41486">
        <w:t xml:space="preserve">for those with </w:t>
      </w:r>
      <w:r w:rsidR="002A6E7A">
        <w:t>post</w:t>
      </w:r>
      <w:r>
        <w:t>-</w:t>
      </w:r>
      <w:r w:rsidR="002A6E7A">
        <w:t>secondary</w:t>
      </w:r>
      <w:r w:rsidR="00B41486">
        <w:t xml:space="preserve"> level education</w:t>
      </w:r>
      <w:r w:rsidR="002A6E7A">
        <w:t>.</w:t>
      </w:r>
      <w:r w:rsidRPr="00412F49">
        <w:t xml:space="preserve"> </w:t>
      </w:r>
      <w:r>
        <w:t>(Attachment F, Table F.11)</w:t>
      </w:r>
    </w:p>
    <w:p w:rsidR="002357FB" w:rsidRDefault="002357FB" w:rsidP="002357FB">
      <w:pPr>
        <w:spacing w:before="120"/>
      </w:pPr>
      <w:r>
        <w:lastRenderedPageBreak/>
        <w:t xml:space="preserve">It is not possible to attribute this increase in employment rates to the JCB. This is because the job seekers surveyed between July 2014 to June 2015 were surveyed when the JCB was operating. For the other two time periods under consideration (January 2014 to December 2014 and April 2014 to March 2015) some of the job seekers were surveyed before the JCB was introduced and some were surveyed after the JCB program had commenced. </w:t>
      </w:r>
    </w:p>
    <w:p w:rsidR="002357FB" w:rsidRDefault="002357FB" w:rsidP="002357FB">
      <w:pPr>
        <w:spacing w:before="120"/>
      </w:pPr>
      <w:r>
        <w:t xml:space="preserve">LTU employment outcome rates subsequently decreased back to levels similar to those reported for July 2013 to June 2014 (prior to the introduction of JCB). Those surveyed for the two time periods, July 2015 to June 2016 and October 2015 to September 2016, were surveyed when the JCB was operating and they had all been serviced under jobactive. </w:t>
      </w:r>
    </w:p>
    <w:p w:rsidR="002357FB" w:rsidRDefault="002357FB" w:rsidP="002357FB">
      <w:pPr>
        <w:spacing w:before="120"/>
      </w:pPr>
      <w:r>
        <w:t>Outcome rates for those unemployed longer (VLTU) did not show the same results, remaining fairly static over this period, increasing slightly for those serviced under jobactive during the period that the JCB was operating (represented in Figure 4.7 as the two time periods July 2015 to June 2016 and October 2015 to September 2016).</w:t>
      </w:r>
    </w:p>
    <w:p w:rsidR="00AA20E1" w:rsidRDefault="00864E02" w:rsidP="003503BA">
      <w:pPr>
        <w:pStyle w:val="FigureCaption"/>
      </w:pPr>
      <w:bookmarkStart w:id="189" w:name="_Toc507600288"/>
      <w:r w:rsidRPr="002357FB">
        <w:rPr>
          <w:noProof/>
          <w:color w:val="000000" w:themeColor="text1"/>
          <w:lang w:eastAsia="en-AU"/>
        </w:rPr>
        <w:drawing>
          <wp:anchor distT="0" distB="0" distL="114300" distR="114300" simplePos="0" relativeHeight="251658249" behindDoc="0" locked="0" layoutInCell="1" allowOverlap="1" wp14:anchorId="3887E684" wp14:editId="50A32F91">
            <wp:simplePos x="0" y="0"/>
            <wp:positionH relativeFrom="column">
              <wp:posOffset>7458</wp:posOffset>
            </wp:positionH>
            <wp:positionV relativeFrom="paragraph">
              <wp:posOffset>357505</wp:posOffset>
            </wp:positionV>
            <wp:extent cx="5731510" cy="4137660"/>
            <wp:effectExtent l="0" t="0" r="2540" b="0"/>
            <wp:wrapNone/>
            <wp:docPr id="36" name="Picture 36" descr="Data in graph as described in the following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4137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20E1">
        <w:t>Figure 4.</w:t>
      </w:r>
      <w:r w:rsidR="00835605">
        <w:t>7</w:t>
      </w:r>
      <w:r w:rsidR="00AA20E1">
        <w:t xml:space="preserve">: Employment outcomes for </w:t>
      </w:r>
      <w:r w:rsidR="000E4246">
        <w:t>those</w:t>
      </w:r>
      <w:r w:rsidR="00AA20E1">
        <w:t xml:space="preserve"> </w:t>
      </w:r>
      <w:r w:rsidR="000E4246">
        <w:t>aged 18 to 30 years who had been on either NSA or YA(O) and unemployed 12 months or longer</w:t>
      </w:r>
      <w:bookmarkEnd w:id="189"/>
      <w:r w:rsidR="000E4246">
        <w:t xml:space="preserve">  </w:t>
      </w:r>
    </w:p>
    <w:tbl>
      <w:tblPr>
        <w:tblW w:w="7792" w:type="dxa"/>
        <w:tblInd w:w="113" w:type="dxa"/>
        <w:tblLook w:val="04A0" w:firstRow="1" w:lastRow="0" w:firstColumn="1" w:lastColumn="0" w:noHBand="0" w:noVBand="1"/>
      </w:tblPr>
      <w:tblGrid>
        <w:gridCol w:w="1129"/>
        <w:gridCol w:w="1276"/>
        <w:gridCol w:w="1134"/>
        <w:gridCol w:w="1276"/>
        <w:gridCol w:w="1031"/>
        <w:gridCol w:w="1946"/>
      </w:tblGrid>
      <w:tr w:rsidR="002357FB" w:rsidRPr="002357FB" w:rsidTr="002357FB">
        <w:trPr>
          <w:trHeight w:val="184"/>
          <w:tblHeader/>
        </w:trPr>
        <w:tc>
          <w:tcPr>
            <w:tcW w:w="1129" w:type="dxa"/>
            <w:shd w:val="clear" w:color="auto" w:fill="FFFFFF" w:themeFill="background2"/>
            <w:vAlign w:val="center"/>
            <w:hideMark/>
          </w:tcPr>
          <w:p w:rsidR="00F437F0" w:rsidRPr="002357FB" w:rsidRDefault="00F437F0" w:rsidP="00C60390">
            <w:pPr>
              <w:keepNext/>
              <w:spacing w:after="0" w:line="240" w:lineRule="auto"/>
              <w:jc w:val="center"/>
              <w:rPr>
                <w:rFonts w:ascii="Calibri" w:eastAsia="Times New Roman" w:hAnsi="Calibri" w:cs="Calibri"/>
                <w:b/>
                <w:bCs/>
                <w:color w:val="000000" w:themeColor="text1"/>
                <w:sz w:val="8"/>
                <w:szCs w:val="8"/>
                <w:lang w:eastAsia="en-AU"/>
              </w:rPr>
            </w:pPr>
            <w:bookmarkStart w:id="190" w:name="Title_47hidden"/>
            <w:bookmarkEnd w:id="190"/>
            <w:r w:rsidRPr="002357FB">
              <w:rPr>
                <w:rFonts w:ascii="Calibri" w:eastAsia="Times New Roman" w:hAnsi="Calibri" w:cs="Calibri"/>
                <w:b/>
                <w:bCs/>
                <w:color w:val="000000" w:themeColor="text1"/>
                <w:sz w:val="8"/>
                <w:szCs w:val="8"/>
                <w:lang w:eastAsia="en-AU"/>
              </w:rPr>
              <w:t>Survey selection period</w:t>
            </w:r>
          </w:p>
        </w:tc>
        <w:tc>
          <w:tcPr>
            <w:tcW w:w="1276" w:type="dxa"/>
            <w:shd w:val="clear" w:color="auto" w:fill="FFFFFF" w:themeFill="background2"/>
            <w:vAlign w:val="center"/>
            <w:hideMark/>
          </w:tcPr>
          <w:p w:rsidR="00F437F0" w:rsidRPr="002357FB" w:rsidRDefault="00F437F0" w:rsidP="00C60390">
            <w:pPr>
              <w:keepNext/>
              <w:spacing w:after="0" w:line="240" w:lineRule="auto"/>
              <w:jc w:val="center"/>
              <w:rPr>
                <w:rFonts w:ascii="Calibri" w:eastAsia="Times New Roman" w:hAnsi="Calibri" w:cs="Calibri"/>
                <w:b/>
                <w:bCs/>
                <w:color w:val="000000" w:themeColor="text1"/>
                <w:sz w:val="8"/>
                <w:szCs w:val="8"/>
                <w:lang w:eastAsia="en-AU"/>
              </w:rPr>
            </w:pPr>
            <w:r w:rsidRPr="002357FB">
              <w:rPr>
                <w:rFonts w:ascii="Calibri" w:eastAsia="Times New Roman" w:hAnsi="Calibri" w:cs="Calibri"/>
                <w:b/>
                <w:bCs/>
                <w:color w:val="000000" w:themeColor="text1"/>
                <w:sz w:val="8"/>
                <w:szCs w:val="8"/>
                <w:lang w:eastAsia="en-AU"/>
              </w:rPr>
              <w:t xml:space="preserve">LTU </w:t>
            </w:r>
            <w:r w:rsidRPr="002357FB">
              <w:rPr>
                <w:rFonts w:ascii="Calibri" w:eastAsia="Times New Roman" w:hAnsi="Calibri" w:cs="Calibri"/>
                <w:b/>
                <w:bCs/>
                <w:color w:val="000000" w:themeColor="text1"/>
                <w:sz w:val="8"/>
                <w:szCs w:val="8"/>
                <w:lang w:eastAsia="en-AU"/>
              </w:rPr>
              <w:br/>
              <w:t>(12 to less than 24 months)</w:t>
            </w:r>
          </w:p>
        </w:tc>
        <w:tc>
          <w:tcPr>
            <w:tcW w:w="1134" w:type="dxa"/>
            <w:shd w:val="clear" w:color="auto" w:fill="FFFFFF" w:themeFill="background2"/>
            <w:vAlign w:val="center"/>
            <w:hideMark/>
          </w:tcPr>
          <w:p w:rsidR="00F437F0" w:rsidRPr="002357FB" w:rsidRDefault="00F437F0" w:rsidP="00C60390">
            <w:pPr>
              <w:keepNext/>
              <w:spacing w:after="0" w:line="240" w:lineRule="auto"/>
              <w:jc w:val="center"/>
              <w:rPr>
                <w:rFonts w:ascii="Calibri" w:eastAsia="Times New Roman" w:hAnsi="Calibri" w:cs="Calibri"/>
                <w:b/>
                <w:bCs/>
                <w:color w:val="000000" w:themeColor="text1"/>
                <w:sz w:val="8"/>
                <w:szCs w:val="8"/>
                <w:lang w:eastAsia="en-AU"/>
              </w:rPr>
            </w:pPr>
            <w:r w:rsidRPr="002357FB">
              <w:rPr>
                <w:rFonts w:ascii="Calibri" w:eastAsia="Times New Roman" w:hAnsi="Calibri" w:cs="Calibri"/>
                <w:b/>
                <w:bCs/>
                <w:color w:val="000000" w:themeColor="text1"/>
                <w:sz w:val="8"/>
                <w:szCs w:val="8"/>
                <w:lang w:eastAsia="en-AU"/>
              </w:rPr>
              <w:t xml:space="preserve">VLTU </w:t>
            </w:r>
            <w:r w:rsidRPr="002357FB">
              <w:rPr>
                <w:rFonts w:ascii="Calibri" w:eastAsia="Times New Roman" w:hAnsi="Calibri" w:cs="Calibri"/>
                <w:b/>
                <w:bCs/>
                <w:color w:val="000000" w:themeColor="text1"/>
                <w:sz w:val="8"/>
                <w:szCs w:val="8"/>
                <w:lang w:eastAsia="en-AU"/>
              </w:rPr>
              <w:br/>
              <w:t>(24 months or longer)</w:t>
            </w:r>
          </w:p>
        </w:tc>
        <w:tc>
          <w:tcPr>
            <w:tcW w:w="1276" w:type="dxa"/>
            <w:shd w:val="clear" w:color="auto" w:fill="FFFFFF" w:themeFill="background2"/>
            <w:vAlign w:val="center"/>
            <w:hideMark/>
          </w:tcPr>
          <w:p w:rsidR="00F437F0" w:rsidRPr="002357FB" w:rsidRDefault="00F437F0" w:rsidP="00C60390">
            <w:pPr>
              <w:keepNext/>
              <w:spacing w:after="0" w:line="240" w:lineRule="auto"/>
              <w:jc w:val="center"/>
              <w:rPr>
                <w:rFonts w:ascii="Calibri" w:eastAsia="Times New Roman" w:hAnsi="Calibri" w:cs="Calibri"/>
                <w:b/>
                <w:bCs/>
                <w:color w:val="000000" w:themeColor="text1"/>
                <w:sz w:val="8"/>
                <w:szCs w:val="8"/>
                <w:lang w:eastAsia="en-AU"/>
              </w:rPr>
            </w:pPr>
            <w:r w:rsidRPr="002357FB">
              <w:rPr>
                <w:rFonts w:ascii="Calibri" w:eastAsia="Times New Roman" w:hAnsi="Calibri" w:cs="Calibri"/>
                <w:b/>
                <w:bCs/>
                <w:color w:val="000000" w:themeColor="text1"/>
                <w:sz w:val="8"/>
                <w:szCs w:val="8"/>
                <w:lang w:eastAsia="en-AU"/>
              </w:rPr>
              <w:t>Was JSA operating when PPM survey was selected or collected?</w:t>
            </w:r>
          </w:p>
        </w:tc>
        <w:tc>
          <w:tcPr>
            <w:tcW w:w="1031" w:type="dxa"/>
            <w:shd w:val="clear" w:color="auto" w:fill="FFFFFF" w:themeFill="background2"/>
            <w:vAlign w:val="center"/>
            <w:hideMark/>
          </w:tcPr>
          <w:p w:rsidR="00F437F0" w:rsidRPr="002357FB" w:rsidRDefault="00F437F0" w:rsidP="00C60390">
            <w:pPr>
              <w:keepNext/>
              <w:spacing w:after="0" w:line="240" w:lineRule="auto"/>
              <w:jc w:val="center"/>
              <w:rPr>
                <w:rFonts w:ascii="Calibri" w:eastAsia="Times New Roman" w:hAnsi="Calibri" w:cs="Calibri"/>
                <w:b/>
                <w:bCs/>
                <w:color w:val="000000" w:themeColor="text1"/>
                <w:sz w:val="8"/>
                <w:szCs w:val="8"/>
                <w:lang w:eastAsia="en-AU"/>
              </w:rPr>
            </w:pPr>
            <w:r w:rsidRPr="002357FB">
              <w:rPr>
                <w:rFonts w:ascii="Calibri" w:eastAsia="Times New Roman" w:hAnsi="Calibri" w:cs="Calibri"/>
                <w:b/>
                <w:bCs/>
                <w:color w:val="000000" w:themeColor="text1"/>
                <w:sz w:val="8"/>
                <w:szCs w:val="8"/>
                <w:lang w:eastAsia="en-AU"/>
              </w:rPr>
              <w:t>Was jobactive operating when PPM survey was selected or collected?</w:t>
            </w:r>
          </w:p>
        </w:tc>
        <w:tc>
          <w:tcPr>
            <w:tcW w:w="1946" w:type="dxa"/>
            <w:shd w:val="clear" w:color="auto" w:fill="FFFFFF" w:themeFill="background2"/>
            <w:vAlign w:val="center"/>
            <w:hideMark/>
          </w:tcPr>
          <w:p w:rsidR="00F437F0" w:rsidRPr="002357FB" w:rsidRDefault="00F437F0" w:rsidP="00C60390">
            <w:pPr>
              <w:keepNext/>
              <w:spacing w:after="0" w:line="240" w:lineRule="auto"/>
              <w:jc w:val="center"/>
              <w:rPr>
                <w:rFonts w:ascii="Calibri" w:eastAsia="Times New Roman" w:hAnsi="Calibri" w:cs="Calibri"/>
                <w:b/>
                <w:bCs/>
                <w:color w:val="000000" w:themeColor="text1"/>
                <w:sz w:val="8"/>
                <w:szCs w:val="8"/>
                <w:lang w:eastAsia="en-AU"/>
              </w:rPr>
            </w:pPr>
            <w:r w:rsidRPr="002357FB">
              <w:rPr>
                <w:rFonts w:ascii="Calibri" w:eastAsia="Times New Roman" w:hAnsi="Calibri" w:cs="Calibri"/>
                <w:b/>
                <w:bCs/>
                <w:color w:val="000000" w:themeColor="text1"/>
                <w:sz w:val="8"/>
                <w:szCs w:val="8"/>
                <w:lang w:eastAsia="en-AU"/>
              </w:rPr>
              <w:t>Was JCB operating when PPM survey was selected or collected?</w:t>
            </w:r>
          </w:p>
        </w:tc>
      </w:tr>
      <w:tr w:rsidR="002357FB" w:rsidRPr="002357FB" w:rsidTr="002357FB">
        <w:trPr>
          <w:trHeight w:val="300"/>
        </w:trPr>
        <w:tc>
          <w:tcPr>
            <w:tcW w:w="1129"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Oct12 -Sep13</w:t>
            </w:r>
          </w:p>
        </w:tc>
        <w:tc>
          <w:tcPr>
            <w:tcW w:w="1276"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34.2</w:t>
            </w:r>
          </w:p>
        </w:tc>
        <w:tc>
          <w:tcPr>
            <w:tcW w:w="1134"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30.5</w:t>
            </w:r>
          </w:p>
        </w:tc>
        <w:tc>
          <w:tcPr>
            <w:tcW w:w="1276"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Yes, for all respondents</w:t>
            </w:r>
          </w:p>
        </w:tc>
        <w:tc>
          <w:tcPr>
            <w:tcW w:w="1031"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No</w:t>
            </w:r>
          </w:p>
        </w:tc>
        <w:tc>
          <w:tcPr>
            <w:tcW w:w="1946"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No</w:t>
            </w:r>
          </w:p>
        </w:tc>
      </w:tr>
      <w:tr w:rsidR="002357FB" w:rsidRPr="002357FB" w:rsidTr="002357FB">
        <w:trPr>
          <w:trHeight w:val="300"/>
        </w:trPr>
        <w:tc>
          <w:tcPr>
            <w:tcW w:w="1129"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Jan13 -Dec13</w:t>
            </w:r>
          </w:p>
        </w:tc>
        <w:tc>
          <w:tcPr>
            <w:tcW w:w="1276"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33.3</w:t>
            </w:r>
          </w:p>
        </w:tc>
        <w:tc>
          <w:tcPr>
            <w:tcW w:w="1134"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30.4</w:t>
            </w:r>
          </w:p>
        </w:tc>
        <w:tc>
          <w:tcPr>
            <w:tcW w:w="1276"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Yes, for all respondents</w:t>
            </w:r>
          </w:p>
        </w:tc>
        <w:tc>
          <w:tcPr>
            <w:tcW w:w="1031"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No</w:t>
            </w:r>
          </w:p>
        </w:tc>
        <w:tc>
          <w:tcPr>
            <w:tcW w:w="1946"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No</w:t>
            </w:r>
          </w:p>
        </w:tc>
      </w:tr>
      <w:tr w:rsidR="002357FB" w:rsidRPr="002357FB" w:rsidTr="002357FB">
        <w:trPr>
          <w:trHeight w:val="300"/>
        </w:trPr>
        <w:tc>
          <w:tcPr>
            <w:tcW w:w="1129"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Apr13 -Mar14</w:t>
            </w:r>
          </w:p>
        </w:tc>
        <w:tc>
          <w:tcPr>
            <w:tcW w:w="1276"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38.6</w:t>
            </w:r>
          </w:p>
        </w:tc>
        <w:tc>
          <w:tcPr>
            <w:tcW w:w="1134"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31.5</w:t>
            </w:r>
          </w:p>
        </w:tc>
        <w:tc>
          <w:tcPr>
            <w:tcW w:w="1276"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Yes, for all respondents</w:t>
            </w:r>
          </w:p>
        </w:tc>
        <w:tc>
          <w:tcPr>
            <w:tcW w:w="1031"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No</w:t>
            </w:r>
          </w:p>
        </w:tc>
        <w:tc>
          <w:tcPr>
            <w:tcW w:w="1946"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No</w:t>
            </w:r>
          </w:p>
        </w:tc>
      </w:tr>
      <w:tr w:rsidR="002357FB" w:rsidRPr="002357FB" w:rsidTr="002357FB">
        <w:trPr>
          <w:trHeight w:val="300"/>
        </w:trPr>
        <w:tc>
          <w:tcPr>
            <w:tcW w:w="1129"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Jul13 -Jun14</w:t>
            </w:r>
          </w:p>
        </w:tc>
        <w:tc>
          <w:tcPr>
            <w:tcW w:w="1276"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39.9</w:t>
            </w:r>
          </w:p>
        </w:tc>
        <w:tc>
          <w:tcPr>
            <w:tcW w:w="1134"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31.2</w:t>
            </w:r>
          </w:p>
        </w:tc>
        <w:tc>
          <w:tcPr>
            <w:tcW w:w="1276"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Yes, for all respondents</w:t>
            </w:r>
          </w:p>
        </w:tc>
        <w:tc>
          <w:tcPr>
            <w:tcW w:w="1031"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No</w:t>
            </w:r>
          </w:p>
        </w:tc>
        <w:tc>
          <w:tcPr>
            <w:tcW w:w="1946"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Yes, for some respondents</w:t>
            </w:r>
          </w:p>
        </w:tc>
      </w:tr>
      <w:tr w:rsidR="002357FB" w:rsidRPr="002357FB" w:rsidTr="002357FB">
        <w:trPr>
          <w:trHeight w:val="300"/>
        </w:trPr>
        <w:tc>
          <w:tcPr>
            <w:tcW w:w="1129"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Oct13 -Sep14</w:t>
            </w:r>
          </w:p>
        </w:tc>
        <w:tc>
          <w:tcPr>
            <w:tcW w:w="1276"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missing</w:t>
            </w:r>
          </w:p>
        </w:tc>
        <w:tc>
          <w:tcPr>
            <w:tcW w:w="1134"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missing</w:t>
            </w:r>
          </w:p>
        </w:tc>
        <w:tc>
          <w:tcPr>
            <w:tcW w:w="1276"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Yes, for all respondents</w:t>
            </w:r>
          </w:p>
        </w:tc>
        <w:tc>
          <w:tcPr>
            <w:tcW w:w="1031"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No</w:t>
            </w:r>
          </w:p>
        </w:tc>
        <w:tc>
          <w:tcPr>
            <w:tcW w:w="1946"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Yes, for some respondents</w:t>
            </w:r>
          </w:p>
        </w:tc>
      </w:tr>
      <w:tr w:rsidR="002357FB" w:rsidRPr="002357FB" w:rsidTr="002357FB">
        <w:trPr>
          <w:trHeight w:val="315"/>
        </w:trPr>
        <w:tc>
          <w:tcPr>
            <w:tcW w:w="1129"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Jan14 -Dec14</w:t>
            </w:r>
          </w:p>
        </w:tc>
        <w:tc>
          <w:tcPr>
            <w:tcW w:w="1276"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46.6</w:t>
            </w:r>
          </w:p>
        </w:tc>
        <w:tc>
          <w:tcPr>
            <w:tcW w:w="1134"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31.8</w:t>
            </w:r>
          </w:p>
        </w:tc>
        <w:tc>
          <w:tcPr>
            <w:tcW w:w="1276"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Yes, for all respondents</w:t>
            </w:r>
          </w:p>
        </w:tc>
        <w:tc>
          <w:tcPr>
            <w:tcW w:w="1031"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No</w:t>
            </w:r>
          </w:p>
        </w:tc>
        <w:tc>
          <w:tcPr>
            <w:tcW w:w="1946"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Yes, for some respondents</w:t>
            </w:r>
          </w:p>
        </w:tc>
      </w:tr>
      <w:tr w:rsidR="002357FB" w:rsidRPr="002357FB" w:rsidTr="002357FB">
        <w:trPr>
          <w:trHeight w:val="315"/>
        </w:trPr>
        <w:tc>
          <w:tcPr>
            <w:tcW w:w="1129"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Apr14 -Mar15</w:t>
            </w:r>
          </w:p>
        </w:tc>
        <w:tc>
          <w:tcPr>
            <w:tcW w:w="1276"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46.2</w:t>
            </w:r>
          </w:p>
        </w:tc>
        <w:tc>
          <w:tcPr>
            <w:tcW w:w="1134"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30.4</w:t>
            </w:r>
          </w:p>
        </w:tc>
        <w:tc>
          <w:tcPr>
            <w:tcW w:w="1276"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Yes, for all respondents</w:t>
            </w:r>
          </w:p>
        </w:tc>
        <w:tc>
          <w:tcPr>
            <w:tcW w:w="1031"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No</w:t>
            </w:r>
          </w:p>
        </w:tc>
        <w:tc>
          <w:tcPr>
            <w:tcW w:w="1946"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Yes, for some respondents</w:t>
            </w:r>
          </w:p>
        </w:tc>
      </w:tr>
      <w:tr w:rsidR="002357FB" w:rsidRPr="002357FB" w:rsidTr="002357FB">
        <w:trPr>
          <w:trHeight w:val="300"/>
        </w:trPr>
        <w:tc>
          <w:tcPr>
            <w:tcW w:w="1129"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Jul14 -Jun15</w:t>
            </w:r>
          </w:p>
        </w:tc>
        <w:tc>
          <w:tcPr>
            <w:tcW w:w="1276"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43.6</w:t>
            </w:r>
          </w:p>
        </w:tc>
        <w:tc>
          <w:tcPr>
            <w:tcW w:w="1134"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30.3</w:t>
            </w:r>
          </w:p>
        </w:tc>
        <w:tc>
          <w:tcPr>
            <w:tcW w:w="1276"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Yes, for some respondents</w:t>
            </w:r>
          </w:p>
        </w:tc>
        <w:tc>
          <w:tcPr>
            <w:tcW w:w="1031"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Yes, for some respondents</w:t>
            </w:r>
          </w:p>
        </w:tc>
        <w:tc>
          <w:tcPr>
            <w:tcW w:w="1946"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Yes, for all respondents</w:t>
            </w:r>
          </w:p>
        </w:tc>
      </w:tr>
      <w:tr w:rsidR="002357FB" w:rsidRPr="002357FB" w:rsidTr="002357FB">
        <w:trPr>
          <w:trHeight w:val="300"/>
        </w:trPr>
        <w:tc>
          <w:tcPr>
            <w:tcW w:w="1129"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Oct14 -Sep15</w:t>
            </w:r>
          </w:p>
        </w:tc>
        <w:tc>
          <w:tcPr>
            <w:tcW w:w="1276"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missing</w:t>
            </w:r>
          </w:p>
        </w:tc>
        <w:tc>
          <w:tcPr>
            <w:tcW w:w="1134"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missing</w:t>
            </w:r>
          </w:p>
        </w:tc>
        <w:tc>
          <w:tcPr>
            <w:tcW w:w="1276"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Yes, for some respondents</w:t>
            </w:r>
          </w:p>
        </w:tc>
        <w:tc>
          <w:tcPr>
            <w:tcW w:w="1031"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Yes, for some respondents</w:t>
            </w:r>
          </w:p>
        </w:tc>
        <w:tc>
          <w:tcPr>
            <w:tcW w:w="1946"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Yes, for all respondents</w:t>
            </w:r>
          </w:p>
        </w:tc>
      </w:tr>
      <w:tr w:rsidR="002357FB" w:rsidRPr="002357FB" w:rsidTr="002357FB">
        <w:trPr>
          <w:trHeight w:val="300"/>
        </w:trPr>
        <w:tc>
          <w:tcPr>
            <w:tcW w:w="1129"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Jan15 -Dec15</w:t>
            </w:r>
          </w:p>
        </w:tc>
        <w:tc>
          <w:tcPr>
            <w:tcW w:w="1276"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missing</w:t>
            </w:r>
          </w:p>
        </w:tc>
        <w:tc>
          <w:tcPr>
            <w:tcW w:w="1134"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missing</w:t>
            </w:r>
          </w:p>
        </w:tc>
        <w:tc>
          <w:tcPr>
            <w:tcW w:w="1276"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Yes, for some respondents</w:t>
            </w:r>
          </w:p>
        </w:tc>
        <w:tc>
          <w:tcPr>
            <w:tcW w:w="1031"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Yes, for some respondents</w:t>
            </w:r>
          </w:p>
        </w:tc>
        <w:tc>
          <w:tcPr>
            <w:tcW w:w="1946"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Yes, for all respondents</w:t>
            </w:r>
          </w:p>
        </w:tc>
      </w:tr>
      <w:tr w:rsidR="002357FB" w:rsidRPr="002357FB" w:rsidTr="002357FB">
        <w:trPr>
          <w:trHeight w:val="300"/>
        </w:trPr>
        <w:tc>
          <w:tcPr>
            <w:tcW w:w="1129"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Apr15 -Mar16</w:t>
            </w:r>
          </w:p>
        </w:tc>
        <w:tc>
          <w:tcPr>
            <w:tcW w:w="1276"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missing</w:t>
            </w:r>
          </w:p>
        </w:tc>
        <w:tc>
          <w:tcPr>
            <w:tcW w:w="1134"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missing</w:t>
            </w:r>
          </w:p>
        </w:tc>
        <w:tc>
          <w:tcPr>
            <w:tcW w:w="1276"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Yes, for some respondents</w:t>
            </w:r>
          </w:p>
        </w:tc>
        <w:tc>
          <w:tcPr>
            <w:tcW w:w="1031"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Yes, for some respondents</w:t>
            </w:r>
          </w:p>
        </w:tc>
        <w:tc>
          <w:tcPr>
            <w:tcW w:w="1946"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Yes, for all respondents</w:t>
            </w:r>
          </w:p>
        </w:tc>
      </w:tr>
      <w:tr w:rsidR="002357FB" w:rsidRPr="002357FB" w:rsidTr="002357FB">
        <w:trPr>
          <w:trHeight w:val="300"/>
        </w:trPr>
        <w:tc>
          <w:tcPr>
            <w:tcW w:w="1129"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Jul15 -Jun16</w:t>
            </w:r>
          </w:p>
        </w:tc>
        <w:tc>
          <w:tcPr>
            <w:tcW w:w="1276"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40.7</w:t>
            </w:r>
          </w:p>
        </w:tc>
        <w:tc>
          <w:tcPr>
            <w:tcW w:w="1134"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32.4</w:t>
            </w:r>
          </w:p>
        </w:tc>
        <w:tc>
          <w:tcPr>
            <w:tcW w:w="1276"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No</w:t>
            </w:r>
          </w:p>
        </w:tc>
        <w:tc>
          <w:tcPr>
            <w:tcW w:w="1031"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Yes, for all respondents</w:t>
            </w:r>
          </w:p>
        </w:tc>
        <w:tc>
          <w:tcPr>
            <w:tcW w:w="1946"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Yes, for all respondents</w:t>
            </w:r>
          </w:p>
        </w:tc>
      </w:tr>
      <w:tr w:rsidR="002357FB" w:rsidRPr="002357FB" w:rsidTr="002357FB">
        <w:trPr>
          <w:trHeight w:val="300"/>
        </w:trPr>
        <w:tc>
          <w:tcPr>
            <w:tcW w:w="1129"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Oct15 -Sep16</w:t>
            </w:r>
          </w:p>
        </w:tc>
        <w:tc>
          <w:tcPr>
            <w:tcW w:w="1276"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40.3</w:t>
            </w:r>
          </w:p>
        </w:tc>
        <w:tc>
          <w:tcPr>
            <w:tcW w:w="1134" w:type="dxa"/>
            <w:shd w:val="clear" w:color="auto" w:fill="auto"/>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32.8</w:t>
            </w:r>
          </w:p>
        </w:tc>
        <w:tc>
          <w:tcPr>
            <w:tcW w:w="1276"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No</w:t>
            </w:r>
          </w:p>
        </w:tc>
        <w:tc>
          <w:tcPr>
            <w:tcW w:w="1031"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Yes, for all respondents</w:t>
            </w:r>
          </w:p>
        </w:tc>
        <w:tc>
          <w:tcPr>
            <w:tcW w:w="1946" w:type="dxa"/>
            <w:shd w:val="clear" w:color="000000" w:fill="FFFFFF"/>
            <w:noWrap/>
            <w:vAlign w:val="center"/>
            <w:hideMark/>
          </w:tcPr>
          <w:p w:rsidR="00F437F0" w:rsidRPr="002357FB" w:rsidRDefault="00F437F0" w:rsidP="00C60390">
            <w:pPr>
              <w:keepNext/>
              <w:spacing w:after="0" w:line="240" w:lineRule="auto"/>
              <w:jc w:val="center"/>
              <w:rPr>
                <w:rFonts w:ascii="Calibri" w:eastAsia="Times New Roman" w:hAnsi="Calibri" w:cs="Calibri"/>
                <w:color w:val="000000" w:themeColor="text1"/>
                <w:sz w:val="8"/>
                <w:szCs w:val="8"/>
                <w:lang w:eastAsia="en-AU"/>
              </w:rPr>
            </w:pPr>
            <w:r w:rsidRPr="002357FB">
              <w:rPr>
                <w:rFonts w:ascii="Calibri" w:eastAsia="Times New Roman" w:hAnsi="Calibri" w:cs="Calibri"/>
                <w:color w:val="000000" w:themeColor="text1"/>
                <w:sz w:val="8"/>
                <w:szCs w:val="8"/>
                <w:lang w:eastAsia="en-AU"/>
              </w:rPr>
              <w:t>Yes, for all respondents</w:t>
            </w:r>
          </w:p>
        </w:tc>
      </w:tr>
    </w:tbl>
    <w:p w:rsidR="00E62018" w:rsidRDefault="00EF2C60" w:rsidP="002357FB">
      <w:pPr>
        <w:pStyle w:val="Source"/>
        <w:keepNext/>
        <w:spacing w:before="2400"/>
      </w:pPr>
      <w:r w:rsidRPr="00935604">
        <w:t>Note</w:t>
      </w:r>
      <w:r w:rsidR="00E62018">
        <w:t>s</w:t>
      </w:r>
      <w:r w:rsidRPr="00935604">
        <w:t xml:space="preserve">: </w:t>
      </w:r>
    </w:p>
    <w:p w:rsidR="00E62018" w:rsidRDefault="00031F36" w:rsidP="009F199B">
      <w:pPr>
        <w:pStyle w:val="Source"/>
        <w:numPr>
          <w:ilvl w:val="0"/>
          <w:numId w:val="104"/>
        </w:numPr>
        <w:rPr>
          <w:b w:val="0"/>
        </w:rPr>
      </w:pPr>
      <w:r>
        <w:rPr>
          <w:b w:val="0"/>
        </w:rPr>
        <w:t xml:space="preserve">LTU </w:t>
      </w:r>
      <w:r w:rsidR="000E4246">
        <w:rPr>
          <w:b w:val="0"/>
        </w:rPr>
        <w:t xml:space="preserve">refers to those </w:t>
      </w:r>
      <w:r>
        <w:rPr>
          <w:b w:val="0"/>
        </w:rPr>
        <w:t xml:space="preserve">job seekers </w:t>
      </w:r>
      <w:r w:rsidR="000E4246">
        <w:rPr>
          <w:b w:val="0"/>
        </w:rPr>
        <w:t xml:space="preserve">who </w:t>
      </w:r>
      <w:r>
        <w:rPr>
          <w:b w:val="0"/>
        </w:rPr>
        <w:t>had been unemployed 12 to less than 24 months</w:t>
      </w:r>
      <w:r w:rsidR="000E4246">
        <w:rPr>
          <w:b w:val="0"/>
        </w:rPr>
        <w:t xml:space="preserve"> at the time of survey selection.</w:t>
      </w:r>
      <w:r>
        <w:rPr>
          <w:b w:val="0"/>
        </w:rPr>
        <w:t xml:space="preserve"> VLTU</w:t>
      </w:r>
      <w:r w:rsidR="000E4246">
        <w:rPr>
          <w:b w:val="0"/>
        </w:rPr>
        <w:t xml:space="preserve"> refers to those who</w:t>
      </w:r>
      <w:r>
        <w:rPr>
          <w:b w:val="0"/>
        </w:rPr>
        <w:t xml:space="preserve"> had been unemployed 24</w:t>
      </w:r>
      <w:r w:rsidR="009562C8">
        <w:rPr>
          <w:b w:val="0"/>
        </w:rPr>
        <w:t> </w:t>
      </w:r>
      <w:r>
        <w:rPr>
          <w:b w:val="0"/>
        </w:rPr>
        <w:t>months or longer.</w:t>
      </w:r>
    </w:p>
    <w:p w:rsidR="00031F36" w:rsidRDefault="00031F36" w:rsidP="009F199B">
      <w:pPr>
        <w:pStyle w:val="Source"/>
        <w:numPr>
          <w:ilvl w:val="0"/>
          <w:numId w:val="104"/>
        </w:numPr>
        <w:rPr>
          <w:b w:val="0"/>
        </w:rPr>
      </w:pPr>
      <w:r>
        <w:rPr>
          <w:b w:val="0"/>
        </w:rPr>
        <w:t xml:space="preserve">Job seekers were surveyed three months after </w:t>
      </w:r>
      <w:r w:rsidR="000E4246">
        <w:rPr>
          <w:b w:val="0"/>
        </w:rPr>
        <w:t>sample selection</w:t>
      </w:r>
      <w:r>
        <w:rPr>
          <w:b w:val="0"/>
        </w:rPr>
        <w:t>. For instance</w:t>
      </w:r>
      <w:r w:rsidR="009562C8">
        <w:rPr>
          <w:b w:val="0"/>
        </w:rPr>
        <w:t>,</w:t>
      </w:r>
      <w:r>
        <w:rPr>
          <w:b w:val="0"/>
        </w:rPr>
        <w:t xml:space="preserve"> employment outcomes </w:t>
      </w:r>
      <w:r w:rsidR="000E4246">
        <w:rPr>
          <w:b w:val="0"/>
        </w:rPr>
        <w:t xml:space="preserve">shown </w:t>
      </w:r>
      <w:r>
        <w:rPr>
          <w:b w:val="0"/>
        </w:rPr>
        <w:t xml:space="preserve">for January 2014 to December 2014 refer to responses from people in employment service during this period </w:t>
      </w:r>
      <w:r w:rsidR="000E4246">
        <w:rPr>
          <w:b w:val="0"/>
        </w:rPr>
        <w:t xml:space="preserve">who were </w:t>
      </w:r>
      <w:r>
        <w:rPr>
          <w:b w:val="0"/>
        </w:rPr>
        <w:t>surveyed between April 2014 and March 2015.</w:t>
      </w:r>
    </w:p>
    <w:p w:rsidR="00031F36" w:rsidRDefault="00031F36" w:rsidP="009F199B">
      <w:pPr>
        <w:pStyle w:val="Source"/>
        <w:numPr>
          <w:ilvl w:val="0"/>
          <w:numId w:val="104"/>
        </w:numPr>
        <w:rPr>
          <w:b w:val="0"/>
        </w:rPr>
      </w:pPr>
      <w:r>
        <w:rPr>
          <w:b w:val="0"/>
        </w:rPr>
        <w:t>Data for the October 2013 to September 2014 selection was not available.</w:t>
      </w:r>
    </w:p>
    <w:p w:rsidR="000E4246" w:rsidRDefault="000E4246" w:rsidP="000E4246">
      <w:pPr>
        <w:pStyle w:val="Source"/>
        <w:numPr>
          <w:ilvl w:val="0"/>
          <w:numId w:val="104"/>
        </w:numPr>
        <w:rPr>
          <w:b w:val="0"/>
        </w:rPr>
      </w:pPr>
      <w:r>
        <w:rPr>
          <w:b w:val="0"/>
        </w:rPr>
        <w:lastRenderedPageBreak/>
        <w:t>The sample selection methodology for those who were serviced under JSA differed from that for those in jobactive</w:t>
      </w:r>
      <w:r w:rsidR="00BF71D4">
        <w:rPr>
          <w:b w:val="0"/>
        </w:rPr>
        <w:t>.</w:t>
      </w:r>
      <w:r>
        <w:rPr>
          <w:b w:val="0"/>
        </w:rPr>
        <w:t xml:space="preserve"> Caution should be used when comparing results between the two employment service delivery model periods. For this reason, data for three time periods: October 2014</w:t>
      </w:r>
      <w:r w:rsidR="000327A7">
        <w:rPr>
          <w:b w:val="0"/>
        </w:rPr>
        <w:t xml:space="preserve"> to </w:t>
      </w:r>
      <w:r>
        <w:rPr>
          <w:b w:val="0"/>
        </w:rPr>
        <w:t>September 2015, January 2015 to December 2015 and April 2015 to March 2016, is not be presented as these periods include the point of change between the employment services model (which occurred on 1 July 2015.</w:t>
      </w:r>
    </w:p>
    <w:p w:rsidR="001427F3" w:rsidRDefault="00EF2C60" w:rsidP="001427F3">
      <w:pPr>
        <w:pStyle w:val="Source"/>
        <w:numPr>
          <w:ilvl w:val="0"/>
          <w:numId w:val="104"/>
        </w:numPr>
        <w:rPr>
          <w:b w:val="0"/>
        </w:rPr>
      </w:pPr>
      <w:r w:rsidRPr="001427F3">
        <w:rPr>
          <w:b w:val="0"/>
        </w:rPr>
        <w:t xml:space="preserve">Refer to Attachment F, </w:t>
      </w:r>
      <w:hyperlink w:anchor="Title_10" w:history="1">
        <w:r w:rsidR="003210C5" w:rsidRPr="00BF71D4">
          <w:rPr>
            <w:rStyle w:val="Hyperlink"/>
            <w:b w:val="0"/>
          </w:rPr>
          <w:t>Table F.1</w:t>
        </w:r>
        <w:r w:rsidR="003210C5">
          <w:rPr>
            <w:rStyle w:val="Hyperlink"/>
            <w:b w:val="0"/>
          </w:rPr>
          <w:t>1</w:t>
        </w:r>
      </w:hyperlink>
      <w:bookmarkStart w:id="191" w:name="Place_F11"/>
      <w:bookmarkEnd w:id="191"/>
      <w:r w:rsidRPr="001427F3">
        <w:rPr>
          <w:b w:val="0"/>
        </w:rPr>
        <w:t>.</w:t>
      </w:r>
      <w:r w:rsidR="001427F3" w:rsidRPr="001427F3">
        <w:rPr>
          <w:b w:val="0"/>
        </w:rPr>
        <w:t xml:space="preserve"> </w:t>
      </w:r>
    </w:p>
    <w:p w:rsidR="00AA20E1" w:rsidRPr="001427F3" w:rsidRDefault="00AA20E1" w:rsidP="00BF71D4">
      <w:pPr>
        <w:pStyle w:val="Source"/>
        <w:rPr>
          <w:b w:val="0"/>
        </w:rPr>
      </w:pPr>
      <w:r>
        <w:t xml:space="preserve">Source: </w:t>
      </w:r>
      <w:r w:rsidRPr="001427F3">
        <w:rPr>
          <w:b w:val="0"/>
        </w:rPr>
        <w:t>Department of Employment Post Program Monitoring survey.</w:t>
      </w:r>
    </w:p>
    <w:p w:rsidR="00FD1C73" w:rsidRDefault="00FD1C73" w:rsidP="00FD1C73">
      <w:pPr>
        <w:spacing w:before="120"/>
        <w:rPr>
          <w:color w:val="000000" w:themeColor="text1"/>
        </w:rPr>
      </w:pPr>
      <w:r>
        <w:rPr>
          <w:color w:val="000000" w:themeColor="text1"/>
        </w:rPr>
        <w:t>Labour market conditions for the 18 to 30 year age group improved marginally during the JCB operating period (Section 1.2), compared to preceding years, suggesting that improved employment outcomes should have been expected, regardless of any JCB effect.</w:t>
      </w:r>
    </w:p>
    <w:p w:rsidR="0019168F" w:rsidRDefault="00FF4168" w:rsidP="0019168F">
      <w:pPr>
        <w:spacing w:before="120"/>
        <w:rPr>
          <w:color w:val="000000" w:themeColor="text1"/>
        </w:rPr>
      </w:pPr>
      <w:r>
        <w:rPr>
          <w:color w:val="000000" w:themeColor="text1"/>
        </w:rPr>
        <w:t xml:space="preserve">Additionally, it should be noted that </w:t>
      </w:r>
      <w:r w:rsidR="0019168F">
        <w:rPr>
          <w:color w:val="000000" w:themeColor="text1"/>
        </w:rPr>
        <w:t xml:space="preserve">no allowance or adjustment </w:t>
      </w:r>
      <w:r w:rsidR="00432E66">
        <w:rPr>
          <w:color w:val="000000" w:themeColor="text1"/>
        </w:rPr>
        <w:t>has been</w:t>
      </w:r>
      <w:r w:rsidR="0019168F">
        <w:rPr>
          <w:color w:val="000000" w:themeColor="text1"/>
        </w:rPr>
        <w:t xml:space="preserve"> made for differing macro-economic conditions during the period, or for demographic differences between the job seeker cohorts</w:t>
      </w:r>
      <w:r w:rsidR="00432E66">
        <w:rPr>
          <w:color w:val="000000" w:themeColor="text1"/>
        </w:rPr>
        <w:t xml:space="preserve"> surveyed</w:t>
      </w:r>
      <w:r w:rsidR="0019168F">
        <w:rPr>
          <w:color w:val="000000" w:themeColor="text1"/>
        </w:rPr>
        <w:t>.</w:t>
      </w:r>
    </w:p>
    <w:p w:rsidR="004B19C4" w:rsidRDefault="00635003" w:rsidP="004B19C4">
      <w:pPr>
        <w:spacing w:before="120"/>
      </w:pPr>
      <w:r>
        <w:t>Analyses 2</w:t>
      </w:r>
      <w:r w:rsidR="0032737B">
        <w:t xml:space="preserve"> and </w:t>
      </w:r>
      <w:r>
        <w:t>3 use study populations</w:t>
      </w:r>
      <w:r w:rsidR="00EA4D70">
        <w:t xml:space="preserve"> </w:t>
      </w:r>
      <w:r w:rsidR="00D4440A">
        <w:t xml:space="preserve">of </w:t>
      </w:r>
      <w:r w:rsidR="005A3551">
        <w:t>‘new entrants’ to the JCB eligible population</w:t>
      </w:r>
      <w:r w:rsidR="00D4440A">
        <w:t>, those</w:t>
      </w:r>
      <w:r w:rsidR="005A3551">
        <w:t xml:space="preserve"> that became LTU during the analysis period.</w:t>
      </w:r>
      <w:r w:rsidR="00D4440A" w:rsidRPr="00D4440A">
        <w:t xml:space="preserve"> </w:t>
      </w:r>
      <w:r w:rsidR="00D4440A">
        <w:t xml:space="preserve">(Attachment E). </w:t>
      </w:r>
      <w:r w:rsidR="005A3551">
        <w:t xml:space="preserve"> </w:t>
      </w:r>
      <w:r w:rsidR="0032737B">
        <w:t>The</w:t>
      </w:r>
      <w:r w:rsidR="00DA77F0">
        <w:t xml:space="preserve"> populations </w:t>
      </w:r>
      <w:r w:rsidR="0032737B">
        <w:t xml:space="preserve">are constructed </w:t>
      </w:r>
      <w:r w:rsidR="00EA4D70">
        <w:t xml:space="preserve">to account for </w:t>
      </w:r>
      <w:r w:rsidR="0032737B">
        <w:t>changes in service delivery models and differences in macro-economic conditions over time</w:t>
      </w:r>
      <w:r w:rsidR="001271F6">
        <w:t xml:space="preserve">. </w:t>
      </w:r>
      <w:r w:rsidR="005A3551">
        <w:t>F</w:t>
      </w:r>
      <w:r w:rsidR="0032737B">
        <w:t xml:space="preserve">indings </w:t>
      </w:r>
      <w:r w:rsidR="00DE5791">
        <w:t xml:space="preserve">from this analysis </w:t>
      </w:r>
      <w:r w:rsidR="0032737B">
        <w:t>can</w:t>
      </w:r>
      <w:r w:rsidR="00C37CF0">
        <w:t>not</w:t>
      </w:r>
      <w:r w:rsidR="0032737B">
        <w:t xml:space="preserve"> </w:t>
      </w:r>
      <w:r w:rsidR="00DA77F0">
        <w:t xml:space="preserve">necessarily </w:t>
      </w:r>
      <w:r w:rsidR="0032737B">
        <w:t>be extrapolated to</w:t>
      </w:r>
      <w:r w:rsidR="005A3551" w:rsidRPr="005A3551">
        <w:t xml:space="preserve"> </w:t>
      </w:r>
      <w:r w:rsidR="005A3551">
        <w:t>VLTU</w:t>
      </w:r>
      <w:r w:rsidR="0032737B">
        <w:t xml:space="preserve"> </w:t>
      </w:r>
      <w:r w:rsidR="00DE5791">
        <w:t xml:space="preserve">job seekers. </w:t>
      </w:r>
      <w:r w:rsidR="00DA77F0">
        <w:t>G</w:t>
      </w:r>
      <w:r w:rsidR="00DE5791">
        <w:t>iven that</w:t>
      </w:r>
      <w:r w:rsidR="005A3551" w:rsidRPr="005A3551">
        <w:t xml:space="preserve"> </w:t>
      </w:r>
      <w:r w:rsidR="005A3551">
        <w:t>VLTU</w:t>
      </w:r>
      <w:r w:rsidR="00DE5791">
        <w:t xml:space="preserve"> job seekers are likely to discount the value of the bonus </w:t>
      </w:r>
      <w:r w:rsidR="00231009">
        <w:t xml:space="preserve">even more </w:t>
      </w:r>
      <w:r w:rsidR="00DE5791">
        <w:t>strongly</w:t>
      </w:r>
      <w:r w:rsidR="00231009">
        <w:t xml:space="preserve">, as they see it as less </w:t>
      </w:r>
      <w:r w:rsidR="005A3551">
        <w:t>achievable</w:t>
      </w:r>
      <w:r w:rsidR="00DE5791">
        <w:t xml:space="preserve">, there is little reason to expect that </w:t>
      </w:r>
      <w:r w:rsidR="005E2982">
        <w:t xml:space="preserve">a </w:t>
      </w:r>
      <w:r w:rsidR="00DE5791">
        <w:t xml:space="preserve">greater motivational impact of the </w:t>
      </w:r>
      <w:r w:rsidR="005A3551">
        <w:t>b</w:t>
      </w:r>
      <w:r w:rsidR="00DE5791">
        <w:t>onus for VLTU job seekers</w:t>
      </w:r>
      <w:r w:rsidR="00DA77F0">
        <w:t xml:space="preserve"> than for LTU job seekers</w:t>
      </w:r>
      <w:r w:rsidR="00DE5791">
        <w:t>.</w:t>
      </w:r>
    </w:p>
    <w:p w:rsidR="00FB0F6C" w:rsidRDefault="00FB0F6C" w:rsidP="00FB0F6C">
      <w:pPr>
        <w:spacing w:before="240"/>
      </w:pPr>
      <w:r>
        <w:t>At the lower end of the JCB age range (19 years) labour force participation status (and more relevantly the NEET status) were significantly influenced by macro-economic conditions (Section 1.2), state education policies and the Learn or Earn policy. How these might influence any analysis is unclear, so no conclusions could be drawn from analyses at the lower age boundary.</w:t>
      </w:r>
    </w:p>
    <w:p w:rsidR="004904AC" w:rsidRPr="00B83C41" w:rsidRDefault="003F4992" w:rsidP="004904AC">
      <w:pPr>
        <w:pStyle w:val="Heading3"/>
      </w:pPr>
      <w:r>
        <w:t>4.</w:t>
      </w:r>
      <w:r w:rsidR="00160A9E">
        <w:t>2</w:t>
      </w:r>
      <w:r>
        <w:t>.2</w:t>
      </w:r>
      <w:r>
        <w:tab/>
      </w:r>
      <w:r w:rsidR="00E945BC" w:rsidRPr="006B2253">
        <w:t>Time to job placement after becoming LTU</w:t>
      </w:r>
      <w:r w:rsidR="00E945BC" w:rsidRPr="00B83C41">
        <w:t xml:space="preserve"> </w:t>
      </w:r>
    </w:p>
    <w:p w:rsidR="00B77483" w:rsidRPr="0009024A" w:rsidRDefault="00B77483" w:rsidP="00B77483">
      <w:pPr>
        <w:spacing w:before="240"/>
      </w:pPr>
      <w:r>
        <w:t xml:space="preserve">This analysis compares the time to getting a job placement after becoming LTU for </w:t>
      </w:r>
      <w:r w:rsidRPr="0009024A">
        <w:t>those in the higher JCB age range (25 to 30 years) to those slightly older (31 to 35 years)</w:t>
      </w:r>
      <w:r>
        <w:t>.</w:t>
      </w:r>
      <w:r w:rsidR="00FB0F6C">
        <w:t xml:space="preserve"> This analysis was restricted to JSA job seekers serviced in Streams 2, 3 or 4</w:t>
      </w:r>
      <w:r w:rsidR="006A1048">
        <w:t>.</w:t>
      </w:r>
      <w:r w:rsidR="005A70D6">
        <w:rPr>
          <w:rStyle w:val="FootnoteReference"/>
        </w:rPr>
        <w:footnoteReference w:id="69"/>
      </w:r>
    </w:p>
    <w:p w:rsidR="00B77483" w:rsidRDefault="00B77483" w:rsidP="00B77483">
      <w:pPr>
        <w:spacing w:before="240"/>
      </w:pPr>
      <w:r>
        <w:t xml:space="preserve">Difference in difference regression </w:t>
      </w:r>
      <w:r w:rsidRPr="0009024A">
        <w:t>analysis compare</w:t>
      </w:r>
      <w:r>
        <w:t>s</w:t>
      </w:r>
      <w:r w:rsidRPr="0009024A">
        <w:t xml:space="preserve"> time to getting a job placement after becoming LTU</w:t>
      </w:r>
      <w:r>
        <w:t>,</w:t>
      </w:r>
      <w:r w:rsidRPr="0009024A">
        <w:t xml:space="preserve"> before and after </w:t>
      </w:r>
      <w:r>
        <w:t xml:space="preserve">introduction of the </w:t>
      </w:r>
      <w:r w:rsidRPr="0009024A">
        <w:t>JC</w:t>
      </w:r>
      <w:r>
        <w:t>B</w:t>
      </w:r>
      <w:r w:rsidRPr="0009024A">
        <w:t>. This analysis controls for demographic differences and macro-economic conditions. The interaction variable included in the regressions</w:t>
      </w:r>
      <w:r>
        <w:t xml:space="preserve"> is </w:t>
      </w:r>
      <w:r w:rsidRPr="0009024A">
        <w:t xml:space="preserve">the combination of whether the person entered income support before or after </w:t>
      </w:r>
      <w:r>
        <w:t xml:space="preserve">commencement of the </w:t>
      </w:r>
      <w:r w:rsidRPr="0009024A">
        <w:t>JCB</w:t>
      </w:r>
      <w:r>
        <w:t xml:space="preserve"> (and when they became LTU),</w:t>
      </w:r>
      <w:r w:rsidRPr="0009024A">
        <w:t xml:space="preserve"> combined with the</w:t>
      </w:r>
      <w:r>
        <w:t>ir</w:t>
      </w:r>
      <w:r w:rsidRPr="0009024A">
        <w:t xml:space="preserve"> age group</w:t>
      </w:r>
      <w:r>
        <w:t xml:space="preserve">. It is not statistically </w:t>
      </w:r>
      <w:r w:rsidRPr="0009024A">
        <w:lastRenderedPageBreak/>
        <w:t>significant</w:t>
      </w:r>
      <w:r w:rsidR="00FB0F6C">
        <w:rPr>
          <w:rStyle w:val="FootnoteReference"/>
        </w:rPr>
        <w:footnoteReference w:id="70"/>
      </w:r>
      <w:r w:rsidRPr="0009024A">
        <w:t xml:space="preserve"> in terms of the probability </w:t>
      </w:r>
      <w:r>
        <w:t>of achieving</w:t>
      </w:r>
      <w:r w:rsidRPr="0009024A">
        <w:t xml:space="preserve"> a job placement within 180 days of becoming LTU (Attachment </w:t>
      </w:r>
      <w:r>
        <w:t>F</w:t>
      </w:r>
      <w:r w:rsidRPr="0009024A">
        <w:t xml:space="preserve">, </w:t>
      </w:r>
      <w:hyperlink w:anchor="Title_F12" w:history="1">
        <w:r w:rsidR="00E76396" w:rsidRPr="00F84289">
          <w:rPr>
            <w:rStyle w:val="Hyperlink"/>
          </w:rPr>
          <w:t>Table F.13</w:t>
        </w:r>
      </w:hyperlink>
      <w:r w:rsidRPr="0009024A">
        <w:t>)</w:t>
      </w:r>
      <w:bookmarkStart w:id="192" w:name="Place_F13"/>
      <w:bookmarkEnd w:id="192"/>
      <w:r w:rsidR="00FB0F6C">
        <w:t>.</w:t>
      </w:r>
    </w:p>
    <w:p w:rsidR="00B77483" w:rsidRDefault="00B77483" w:rsidP="00B77483">
      <w:pPr>
        <w:spacing w:before="120"/>
      </w:pPr>
      <w:r>
        <w:t>This lack of quantitative evidence of any effect from the JCB on</w:t>
      </w:r>
      <w:r w:rsidR="00FB0F6C">
        <w:t xml:space="preserve"> the effectiveness of</w:t>
      </w:r>
      <w:r>
        <w:t xml:space="preserve"> job search behaviour, aligns with sentiments expressed in the qualitative fieldwork.</w:t>
      </w:r>
    </w:p>
    <w:p w:rsidR="00E945BC" w:rsidRPr="00B83C41" w:rsidRDefault="003F4992" w:rsidP="00E945BC">
      <w:pPr>
        <w:pStyle w:val="Heading3"/>
      </w:pPr>
      <w:r>
        <w:t>4.</w:t>
      </w:r>
      <w:r w:rsidR="00160A9E">
        <w:t>2</w:t>
      </w:r>
      <w:r>
        <w:t>.3</w:t>
      </w:r>
      <w:r>
        <w:tab/>
      </w:r>
      <w:r w:rsidR="00E945BC" w:rsidRPr="00B83C41">
        <w:t xml:space="preserve">Time taken to exit income support </w:t>
      </w:r>
      <w:r w:rsidR="00E945BC">
        <w:t>after becoming LTU</w:t>
      </w:r>
    </w:p>
    <w:p w:rsidR="00B77483" w:rsidRDefault="00B77483" w:rsidP="00B77483">
      <w:pPr>
        <w:spacing w:before="120"/>
      </w:pPr>
      <w:r>
        <w:t>The average number of days ta</w:t>
      </w:r>
      <w:r w:rsidR="00BC5796">
        <w:t xml:space="preserve">ken from when a JSA job seeker </w:t>
      </w:r>
      <w:r>
        <w:t>became LTU to exit income support is determined using survival analysis. Regression Discontinuity Design (RDD) is then used to model these results by age</w:t>
      </w:r>
      <w:r w:rsidRPr="00526878">
        <w:t>.</w:t>
      </w:r>
    </w:p>
    <w:p w:rsidR="00B77483" w:rsidRDefault="00B77483" w:rsidP="00B77483">
      <w:pPr>
        <w:spacing w:before="120"/>
      </w:pPr>
      <w:r>
        <w:t>The difference in the average time to exit income support after becoming LTU is statistically insignificant for those just above and below the 31 year age boundary</w:t>
      </w:r>
      <w:r w:rsidR="00D4440A">
        <w:t>.</w:t>
      </w:r>
      <w:r>
        <w:rPr>
          <w:rStyle w:val="FootnoteReference"/>
        </w:rPr>
        <w:footnoteReference w:id="71"/>
      </w:r>
      <w:r>
        <w:t xml:space="preserve"> This indicates there is no effect on income support exit as a result of the JCB (Figure 4.</w:t>
      </w:r>
      <w:r w:rsidR="00E76396">
        <w:t>8</w:t>
      </w:r>
      <w:r>
        <w:t xml:space="preserve">). </w:t>
      </w:r>
    </w:p>
    <w:p w:rsidR="00B77483" w:rsidRDefault="00B77483" w:rsidP="00B77483">
      <w:pPr>
        <w:pStyle w:val="FigureCaption"/>
      </w:pPr>
      <w:bookmarkStart w:id="193" w:name="_Toc507600289"/>
      <w:r>
        <w:t>Figure 4.</w:t>
      </w:r>
      <w:r w:rsidR="00E76396">
        <w:t>8</w:t>
      </w:r>
      <w:r>
        <w:t>: Average number of days to exit income support after becoming LTU, modelled at the higher end of the JCB age range (days)</w:t>
      </w:r>
      <w:bookmarkEnd w:id="193"/>
    </w:p>
    <w:p w:rsidR="00B77483" w:rsidRDefault="00B77483" w:rsidP="00B77483">
      <w:r w:rsidRPr="002B5342">
        <w:rPr>
          <w:noProof/>
          <w:lang w:eastAsia="en-AU"/>
        </w:rPr>
        <w:drawing>
          <wp:inline distT="0" distB="0" distL="0" distR="0" wp14:anchorId="1F64B0CF" wp14:editId="74DFB496">
            <wp:extent cx="5731510" cy="3105819"/>
            <wp:effectExtent l="0" t="0" r="2540" b="0"/>
            <wp:docPr id="19" name="Picture 19" descr="Figure showing the linear interaction model fit (shown as a line overlayed on a bar chart). The bar chart shows the average number of days taken to exit income support from the date they became LTU, by age of the person. The linear interaction regression line, while showing a small change at the JCB age boundary (at 31 year age point), does not vary significantly meaning a regression discontinuity (between those in and outside of the JCB age cohort range) was not found at this cut-off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1510" cy="3105819"/>
                    </a:xfrm>
                    <a:prstGeom prst="rect">
                      <a:avLst/>
                    </a:prstGeom>
                    <a:noFill/>
                    <a:ln>
                      <a:noFill/>
                    </a:ln>
                  </pic:spPr>
                </pic:pic>
              </a:graphicData>
            </a:graphic>
          </wp:inline>
        </w:drawing>
      </w:r>
    </w:p>
    <w:p w:rsidR="00B77483" w:rsidRDefault="00B77483" w:rsidP="00B77483">
      <w:pPr>
        <w:pStyle w:val="Source"/>
        <w:rPr>
          <w:b w:val="0"/>
        </w:rPr>
      </w:pPr>
      <w:r>
        <w:t>Note</w:t>
      </w:r>
      <w:r w:rsidR="001B5699">
        <w:t>s</w:t>
      </w:r>
      <w:r>
        <w:t>:</w:t>
      </w:r>
      <w:r>
        <w:rPr>
          <w:b w:val="0"/>
        </w:rPr>
        <w:t xml:space="preserve"> </w:t>
      </w:r>
    </w:p>
    <w:p w:rsidR="00D4440A" w:rsidRDefault="00D4440A" w:rsidP="00E3205B">
      <w:pPr>
        <w:pStyle w:val="Source"/>
        <w:numPr>
          <w:ilvl w:val="0"/>
          <w:numId w:val="101"/>
        </w:numPr>
        <w:rPr>
          <w:b w:val="0"/>
        </w:rPr>
      </w:pPr>
      <w:r>
        <w:rPr>
          <w:b w:val="0"/>
        </w:rPr>
        <w:t>Age is rounded down to the nearest quarter of a year. For example: 30.00, 30.25, 30.50, 30.75 years.</w:t>
      </w:r>
    </w:p>
    <w:p w:rsidR="00B77483" w:rsidRDefault="00B77483" w:rsidP="00E3205B">
      <w:pPr>
        <w:pStyle w:val="Source"/>
        <w:numPr>
          <w:ilvl w:val="0"/>
          <w:numId w:val="101"/>
        </w:numPr>
        <w:rPr>
          <w:b w:val="0"/>
        </w:rPr>
      </w:pPr>
      <w:r w:rsidRPr="00D322C8">
        <w:rPr>
          <w:b w:val="0"/>
        </w:rPr>
        <w:t xml:space="preserve">Survival analysis is used to derive the median number of days </w:t>
      </w:r>
      <w:r>
        <w:rPr>
          <w:b w:val="0"/>
        </w:rPr>
        <w:t>to exit income support</w:t>
      </w:r>
      <w:r w:rsidRPr="00D322C8">
        <w:rPr>
          <w:b w:val="0"/>
        </w:rPr>
        <w:t xml:space="preserve"> for those in each age category after </w:t>
      </w:r>
      <w:r>
        <w:rPr>
          <w:b w:val="0"/>
        </w:rPr>
        <w:t>people</w:t>
      </w:r>
      <w:r w:rsidRPr="00D322C8">
        <w:rPr>
          <w:b w:val="0"/>
        </w:rPr>
        <w:t xml:space="preserve"> had been on income support for 12 months. The end date for the survival </w:t>
      </w:r>
      <w:r w:rsidRPr="00D322C8">
        <w:rPr>
          <w:b w:val="0"/>
        </w:rPr>
        <w:lastRenderedPageBreak/>
        <w:t>analysis was 30 June 2015, so all servicing was comparable being under JSA, without any jobactive servicing to confound results.</w:t>
      </w:r>
    </w:p>
    <w:p w:rsidR="00B77483" w:rsidRPr="00D322C8" w:rsidRDefault="00B77483" w:rsidP="00E3205B">
      <w:pPr>
        <w:pStyle w:val="Source"/>
        <w:numPr>
          <w:ilvl w:val="0"/>
          <w:numId w:val="101"/>
        </w:numPr>
        <w:rPr>
          <w:b w:val="0"/>
        </w:rPr>
      </w:pPr>
      <w:r>
        <w:rPr>
          <w:b w:val="0"/>
        </w:rPr>
        <w:t xml:space="preserve">Results are in Attachment F, </w:t>
      </w:r>
      <w:hyperlink w:anchor="Title_F14" w:history="1">
        <w:r w:rsidR="00E76396" w:rsidRPr="00590FD7">
          <w:rPr>
            <w:rStyle w:val="Hyperlink"/>
            <w:b w:val="0"/>
          </w:rPr>
          <w:t>Table F.1</w:t>
        </w:r>
        <w:r w:rsidR="00E76396">
          <w:rPr>
            <w:rStyle w:val="Hyperlink"/>
            <w:b w:val="0"/>
          </w:rPr>
          <w:t>5</w:t>
        </w:r>
      </w:hyperlink>
      <w:r>
        <w:rPr>
          <w:b w:val="0"/>
        </w:rPr>
        <w:t>.</w:t>
      </w:r>
      <w:bookmarkStart w:id="194" w:name="Place_F14"/>
      <w:bookmarkEnd w:id="194"/>
    </w:p>
    <w:p w:rsidR="00B77483" w:rsidRDefault="00B77483" w:rsidP="00B77483">
      <w:pPr>
        <w:pStyle w:val="Source"/>
        <w:rPr>
          <w:b w:val="0"/>
        </w:rPr>
      </w:pPr>
      <w:r>
        <w:t xml:space="preserve">Source: </w:t>
      </w:r>
      <w:r w:rsidRPr="00BD46A7">
        <w:rPr>
          <w:b w:val="0"/>
        </w:rPr>
        <w:t>Department of Employment administrative data and Research and Evaluation dataset (RED).</w:t>
      </w:r>
    </w:p>
    <w:p w:rsidR="00B77483" w:rsidRDefault="00BC5796" w:rsidP="00042293">
      <w:pPr>
        <w:spacing w:before="240"/>
      </w:pPr>
      <w:r>
        <w:t>Such</w:t>
      </w:r>
      <w:r w:rsidR="00B77483">
        <w:t xml:space="preserve"> regression discontinuity analyses were also tested on other outcomes measures such as time to job placement and time in employment services</w:t>
      </w:r>
      <w:r>
        <w:t xml:space="preserve"> </w:t>
      </w:r>
      <w:r w:rsidR="00B77483">
        <w:t>(Attachment F, Table</w:t>
      </w:r>
      <w:r>
        <w:t>s F.11 and</w:t>
      </w:r>
      <w:r w:rsidR="00B77483">
        <w:t xml:space="preserve"> F.13). The evidence above, as well as from tests on the other outcome measures do not show evidence of more effective job search activity for those in the JCB age cohort. While this analysis has considered only LTU young adults, they represented more than half of those in the JCB eligible cohort.</w:t>
      </w:r>
    </w:p>
    <w:p w:rsidR="00C50746" w:rsidRPr="003A4B00" w:rsidRDefault="00C50746" w:rsidP="00C50746">
      <w:pPr>
        <w:pStyle w:val="Heading2"/>
      </w:pPr>
      <w:bookmarkStart w:id="195" w:name="_Toc507600249"/>
      <w:bookmarkStart w:id="196" w:name="_Toc478117588"/>
      <w:r>
        <w:t>4.</w:t>
      </w:r>
      <w:r w:rsidR="00160A9E">
        <w:t>3</w:t>
      </w:r>
      <w:r w:rsidRPr="003A4B00">
        <w:tab/>
      </w:r>
      <w:r>
        <w:t xml:space="preserve">Impact on </w:t>
      </w:r>
      <w:r w:rsidR="008E6669">
        <w:t xml:space="preserve">type of </w:t>
      </w:r>
      <w:r w:rsidRPr="003A4B00">
        <w:t>employment</w:t>
      </w:r>
      <w:r w:rsidR="00264343">
        <w:t xml:space="preserve"> obtained</w:t>
      </w:r>
      <w:bookmarkEnd w:id="195"/>
    </w:p>
    <w:p w:rsidR="00C14DAC" w:rsidRPr="0018315C" w:rsidRDefault="00C14DAC" w:rsidP="00C14DAC">
      <w:pPr>
        <w:keepNext/>
        <w:pBdr>
          <w:top w:val="single" w:sz="4" w:space="1" w:color="auto"/>
          <w:left w:val="single" w:sz="4" w:space="4" w:color="auto"/>
          <w:bottom w:val="single" w:sz="4" w:space="1" w:color="auto"/>
          <w:right w:val="single" w:sz="4" w:space="4" w:color="auto"/>
        </w:pBdr>
        <w:shd w:val="clear" w:color="auto" w:fill="FDCBA0"/>
        <w:spacing w:after="120"/>
        <w:rPr>
          <w:rStyle w:val="Strong"/>
        </w:rPr>
      </w:pPr>
      <w:r w:rsidRPr="0018315C">
        <w:rPr>
          <w:rStyle w:val="Strong"/>
        </w:rPr>
        <w:t>Highlights</w:t>
      </w:r>
    </w:p>
    <w:p w:rsidR="0073766A" w:rsidRDefault="0073766A" w:rsidP="0073766A">
      <w:pPr>
        <w:keepNext/>
        <w:pBdr>
          <w:top w:val="single" w:sz="4" w:space="1" w:color="auto"/>
          <w:left w:val="single" w:sz="4" w:space="4" w:color="auto"/>
          <w:bottom w:val="single" w:sz="4" w:space="1" w:color="auto"/>
          <w:right w:val="single" w:sz="4" w:space="4" w:color="auto"/>
        </w:pBdr>
        <w:shd w:val="clear" w:color="auto" w:fill="FDCBA0"/>
        <w:spacing w:before="120" w:after="0"/>
        <w:rPr>
          <w:color w:val="000000" w:themeColor="text1"/>
        </w:rPr>
      </w:pPr>
      <w:r>
        <w:rPr>
          <w:color w:val="000000" w:themeColor="text1"/>
        </w:rPr>
        <w:t>Macro-economic conditions are likely to have played the major role in any change in</w:t>
      </w:r>
      <w:r w:rsidR="00D67347">
        <w:rPr>
          <w:color w:val="000000" w:themeColor="text1"/>
        </w:rPr>
        <w:t xml:space="preserve"> the types of </w:t>
      </w:r>
      <w:r>
        <w:rPr>
          <w:color w:val="000000" w:themeColor="text1"/>
        </w:rPr>
        <w:t xml:space="preserve">employment </w:t>
      </w:r>
      <w:r w:rsidR="00D67347">
        <w:rPr>
          <w:color w:val="000000" w:themeColor="text1"/>
        </w:rPr>
        <w:t>in</w:t>
      </w:r>
      <w:r w:rsidR="00F13A3B">
        <w:rPr>
          <w:color w:val="000000" w:themeColor="text1"/>
        </w:rPr>
        <w:t xml:space="preserve"> which </w:t>
      </w:r>
      <w:r>
        <w:rPr>
          <w:color w:val="000000" w:themeColor="text1"/>
        </w:rPr>
        <w:t xml:space="preserve">young adults were </w:t>
      </w:r>
      <w:r w:rsidR="00F13A3B">
        <w:rPr>
          <w:color w:val="000000" w:themeColor="text1"/>
        </w:rPr>
        <w:t xml:space="preserve">engaged </w:t>
      </w:r>
      <w:r>
        <w:rPr>
          <w:color w:val="000000" w:themeColor="text1"/>
        </w:rPr>
        <w:t>during the period of JCB operation.</w:t>
      </w:r>
      <w:r w:rsidR="006573FA">
        <w:rPr>
          <w:color w:val="000000" w:themeColor="text1"/>
        </w:rPr>
        <w:t xml:space="preserve"> There is no evidence of impact from the JCB on the type of employment obtained by young adults.</w:t>
      </w:r>
    </w:p>
    <w:p w:rsidR="0073766A" w:rsidRDefault="0073766A" w:rsidP="0073766A">
      <w:pPr>
        <w:keepNext/>
        <w:pBdr>
          <w:top w:val="single" w:sz="4" w:space="1" w:color="auto"/>
          <w:left w:val="single" w:sz="4" w:space="4" w:color="auto"/>
          <w:bottom w:val="single" w:sz="4" w:space="1" w:color="auto"/>
          <w:right w:val="single" w:sz="4" w:space="4" w:color="auto"/>
        </w:pBdr>
        <w:shd w:val="clear" w:color="auto" w:fill="FDCBA0"/>
        <w:spacing w:before="120" w:after="0"/>
      </w:pPr>
      <w:r w:rsidRPr="0073766A">
        <w:rPr>
          <w:color w:val="000000" w:themeColor="text1"/>
        </w:rPr>
        <w:t>D</w:t>
      </w:r>
      <w:r>
        <w:rPr>
          <w:color w:val="000000" w:themeColor="text1"/>
        </w:rPr>
        <w:t>i</w:t>
      </w:r>
      <w:r w:rsidRPr="0073766A">
        <w:rPr>
          <w:color w:val="000000" w:themeColor="text1"/>
        </w:rPr>
        <w:t>fferences in the employing industries for those who received the bonus compared with the general labour force for this age demographic</w:t>
      </w:r>
      <w:r>
        <w:rPr>
          <w:color w:val="000000" w:themeColor="text1"/>
        </w:rPr>
        <w:t xml:space="preserve"> </w:t>
      </w:r>
      <w:r w:rsidR="00F13A3B">
        <w:rPr>
          <w:color w:val="000000" w:themeColor="text1"/>
        </w:rPr>
        <w:t xml:space="preserve">are likely to result from </w:t>
      </w:r>
      <w:r>
        <w:rPr>
          <w:color w:val="000000" w:themeColor="text1"/>
        </w:rPr>
        <w:t xml:space="preserve">factors other than </w:t>
      </w:r>
      <w:r w:rsidRPr="0073766A">
        <w:rPr>
          <w:color w:val="000000" w:themeColor="text1"/>
        </w:rPr>
        <w:t>the JCB</w:t>
      </w:r>
      <w:r>
        <w:rPr>
          <w:color w:val="000000" w:themeColor="text1"/>
        </w:rPr>
        <w:t>.</w:t>
      </w:r>
    </w:p>
    <w:p w:rsidR="003C0E69" w:rsidRPr="007F0F4A" w:rsidRDefault="00264343" w:rsidP="007F0F4A">
      <w:pPr>
        <w:spacing w:before="120"/>
      </w:pPr>
      <w:r w:rsidRPr="007F0F4A">
        <w:t>T</w:t>
      </w:r>
      <w:r w:rsidR="003C0E69" w:rsidRPr="007F0F4A">
        <w:t xml:space="preserve">his section </w:t>
      </w:r>
      <w:r w:rsidRPr="007F0F4A">
        <w:t xml:space="preserve">explores </w:t>
      </w:r>
      <w:r w:rsidR="003C0E69" w:rsidRPr="007F0F4A">
        <w:t xml:space="preserve">whether any change in the type of work that young adults obtained during the time of JCB </w:t>
      </w:r>
      <w:r w:rsidR="00D67347">
        <w:t>operation</w:t>
      </w:r>
      <w:r w:rsidR="003C0E69" w:rsidRPr="007F0F4A">
        <w:t xml:space="preserve"> </w:t>
      </w:r>
      <w:r w:rsidRPr="007F0F4A">
        <w:t>can</w:t>
      </w:r>
      <w:r w:rsidR="003C0E69" w:rsidRPr="007F0F4A">
        <w:t xml:space="preserve"> be attributed to the </w:t>
      </w:r>
      <w:r w:rsidRPr="007F0F4A">
        <w:t>bonus</w:t>
      </w:r>
      <w:r w:rsidR="003C0E69" w:rsidRPr="007F0F4A">
        <w:t>.</w:t>
      </w:r>
      <w:r w:rsidR="00DA77F0">
        <w:t xml:space="preserve"> For example</w:t>
      </w:r>
      <w:r w:rsidR="000D0F6C">
        <w:t>,</w:t>
      </w:r>
      <w:r w:rsidR="00DA77F0">
        <w:t xml:space="preserve"> were young people more likely to try to obtain permanent work</w:t>
      </w:r>
      <w:r w:rsidR="001876E7">
        <w:t xml:space="preserve"> because of the JCB.</w:t>
      </w:r>
    </w:p>
    <w:p w:rsidR="003C0E69" w:rsidRDefault="003C0E69" w:rsidP="00F239FA">
      <w:pPr>
        <w:pStyle w:val="Heading3"/>
        <w:spacing w:after="120"/>
      </w:pPr>
      <w:r>
        <w:t>4.</w:t>
      </w:r>
      <w:r w:rsidR="00160A9E">
        <w:t>3</w:t>
      </w:r>
      <w:r>
        <w:t>.1</w:t>
      </w:r>
      <w:r>
        <w:tab/>
        <w:t>Type of work</w:t>
      </w:r>
    </w:p>
    <w:p w:rsidR="00D66F68" w:rsidRDefault="00D66F68" w:rsidP="00D66F68">
      <w:pPr>
        <w:spacing w:before="120"/>
        <w:rPr>
          <w:color w:val="000000" w:themeColor="text1"/>
        </w:rPr>
      </w:pPr>
      <w:r>
        <w:rPr>
          <w:color w:val="000000" w:themeColor="text1"/>
        </w:rPr>
        <w:t>In the Job Seeker Experiences of Employment Services survey</w:t>
      </w:r>
      <w:r w:rsidR="00CE48EC">
        <w:rPr>
          <w:color w:val="000000" w:themeColor="text1"/>
        </w:rPr>
        <w:t xml:space="preserve"> (2017)</w:t>
      </w:r>
      <w:r>
        <w:rPr>
          <w:color w:val="000000" w:themeColor="text1"/>
        </w:rPr>
        <w:t xml:space="preserve"> </w:t>
      </w:r>
      <w:r w:rsidR="00CE48EC">
        <w:rPr>
          <w:color w:val="000000" w:themeColor="text1"/>
        </w:rPr>
        <w:t xml:space="preserve">a </w:t>
      </w:r>
      <w:r>
        <w:rPr>
          <w:color w:val="000000" w:themeColor="text1"/>
        </w:rPr>
        <w:t>significantly</w:t>
      </w:r>
      <w:r w:rsidR="00CE48EC">
        <w:rPr>
          <w:color w:val="000000" w:themeColor="text1"/>
        </w:rPr>
        <w:t xml:space="preserve"> lower percentage of</w:t>
      </w:r>
      <w:r>
        <w:rPr>
          <w:color w:val="000000" w:themeColor="text1"/>
        </w:rPr>
        <w:t xml:space="preserve"> females than males stated that the offer of a financial bonus would make them </w:t>
      </w:r>
      <w:r w:rsidR="00066258">
        <w:rPr>
          <w:color w:val="000000" w:themeColor="text1"/>
        </w:rPr>
        <w:t>‘</w:t>
      </w:r>
      <w:r>
        <w:rPr>
          <w:color w:val="000000" w:themeColor="text1"/>
        </w:rPr>
        <w:t>a lot</w:t>
      </w:r>
      <w:r w:rsidR="00066258">
        <w:rPr>
          <w:color w:val="000000" w:themeColor="text1"/>
        </w:rPr>
        <w:t>’</w:t>
      </w:r>
      <w:r>
        <w:rPr>
          <w:color w:val="000000" w:themeColor="text1"/>
        </w:rPr>
        <w:t xml:space="preserve"> more willing to change the type of jobs they would apply for or be willing to accept (23.4 per cent of females compared to 30.1 per cent of males</w:t>
      </w:r>
      <w:r w:rsidR="00066258">
        <w:rPr>
          <w:color w:val="000000" w:themeColor="text1"/>
        </w:rPr>
        <w:t xml:space="preserve">). </w:t>
      </w:r>
      <w:r w:rsidR="00CE48EC">
        <w:rPr>
          <w:color w:val="000000" w:themeColor="text1"/>
        </w:rPr>
        <w:t xml:space="preserve">People </w:t>
      </w:r>
      <w:r>
        <w:rPr>
          <w:color w:val="000000" w:themeColor="text1"/>
        </w:rPr>
        <w:t>in the JCB age cohort indicated that they were much more likely to be influenced by a bonus offer than older</w:t>
      </w:r>
      <w:r w:rsidR="00CE48EC">
        <w:rPr>
          <w:color w:val="000000" w:themeColor="text1"/>
        </w:rPr>
        <w:t xml:space="preserve"> job seekers</w:t>
      </w:r>
      <w:r>
        <w:rPr>
          <w:color w:val="000000" w:themeColor="text1"/>
        </w:rPr>
        <w:t xml:space="preserve"> (32.3 per cent of those aged 18</w:t>
      </w:r>
      <w:r w:rsidR="001E7B45">
        <w:rPr>
          <w:color w:val="000000" w:themeColor="text1"/>
        </w:rPr>
        <w:t> </w:t>
      </w:r>
      <w:r>
        <w:rPr>
          <w:color w:val="000000" w:themeColor="text1"/>
        </w:rPr>
        <w:t>to 30 years compared with 23.7 per cent of those aged 31 years or). (Figure 4.</w:t>
      </w:r>
      <w:r w:rsidR="000D4E88">
        <w:rPr>
          <w:color w:val="000000" w:themeColor="text1"/>
        </w:rPr>
        <w:t>9</w:t>
      </w:r>
      <w:r>
        <w:rPr>
          <w:color w:val="000000" w:themeColor="text1"/>
        </w:rPr>
        <w:t>)</w:t>
      </w:r>
    </w:p>
    <w:p w:rsidR="00B94B93" w:rsidRDefault="00CE48EC" w:rsidP="00B94B93">
      <w:pPr>
        <w:rPr>
          <w:color w:val="000000" w:themeColor="text1"/>
        </w:rPr>
      </w:pPr>
      <w:r>
        <w:rPr>
          <w:color w:val="000000" w:themeColor="text1"/>
        </w:rPr>
        <w:t>People</w:t>
      </w:r>
      <w:r w:rsidR="00B94B93">
        <w:rPr>
          <w:color w:val="000000" w:themeColor="text1"/>
        </w:rPr>
        <w:t xml:space="preserve"> who thought they were likely or very likely to find a job in the next 12 months were more likely to state that a bonus would make them more willing to change the type of jobs they applied for or were willing to accept</w:t>
      </w:r>
      <w:r>
        <w:rPr>
          <w:color w:val="000000" w:themeColor="text1"/>
        </w:rPr>
        <w:t xml:space="preserve">. Thirty three </w:t>
      </w:r>
      <w:r w:rsidR="00B94B93">
        <w:rPr>
          <w:color w:val="000000" w:themeColor="text1"/>
        </w:rPr>
        <w:t xml:space="preserve">per cent said it would make them change </w:t>
      </w:r>
      <w:r w:rsidR="00066258">
        <w:rPr>
          <w:color w:val="000000" w:themeColor="text1"/>
        </w:rPr>
        <w:t>‘</w:t>
      </w:r>
      <w:r w:rsidR="00B94B93">
        <w:rPr>
          <w:color w:val="000000" w:themeColor="text1"/>
        </w:rPr>
        <w:t>a lot</w:t>
      </w:r>
      <w:r w:rsidR="00066258">
        <w:rPr>
          <w:color w:val="000000" w:themeColor="text1"/>
        </w:rPr>
        <w:t>’</w:t>
      </w:r>
      <w:r w:rsidR="00B94B93">
        <w:rPr>
          <w:color w:val="000000" w:themeColor="text1"/>
        </w:rPr>
        <w:t xml:space="preserve"> compared with 19.8 per cent who thought it unlikely/very unlikely they would change. A</w:t>
      </w:r>
      <w:r>
        <w:rPr>
          <w:color w:val="000000" w:themeColor="text1"/>
        </w:rPr>
        <w:t xml:space="preserve">s was the case </w:t>
      </w:r>
      <w:r w:rsidR="006573FA">
        <w:rPr>
          <w:color w:val="000000" w:themeColor="text1"/>
        </w:rPr>
        <w:t xml:space="preserve">with </w:t>
      </w:r>
      <w:r w:rsidR="00B94B93">
        <w:rPr>
          <w:color w:val="000000" w:themeColor="text1"/>
        </w:rPr>
        <w:t>job search intensity, job seeker attitudes to work affected their views as to how likely they were to be willing to change the type of jobs they sought or would accept.</w:t>
      </w:r>
    </w:p>
    <w:p w:rsidR="00D91D5C" w:rsidRPr="00D83A7E" w:rsidRDefault="00D91D5C" w:rsidP="00D91D5C">
      <w:pPr>
        <w:pStyle w:val="FigureCaption"/>
      </w:pPr>
      <w:bookmarkStart w:id="197" w:name="_Toc507600290"/>
      <w:r>
        <w:lastRenderedPageBreak/>
        <w:t>Figure</w:t>
      </w:r>
      <w:r w:rsidRPr="00D83A7E">
        <w:t xml:space="preserve"> </w:t>
      </w:r>
      <w:r>
        <w:t>4.</w:t>
      </w:r>
      <w:r w:rsidR="00E76396">
        <w:t>9</w:t>
      </w:r>
      <w:r w:rsidRPr="00D83A7E">
        <w:t xml:space="preserve">: </w:t>
      </w:r>
      <w:r>
        <w:t xml:space="preserve">Job seeker views of the potential effect of a bonus on </w:t>
      </w:r>
      <w:r w:rsidR="00B94B93">
        <w:t xml:space="preserve">the </w:t>
      </w:r>
      <w:r>
        <w:t xml:space="preserve">type of jobs </w:t>
      </w:r>
      <w:r w:rsidR="00B94B93">
        <w:t xml:space="preserve">they were </w:t>
      </w:r>
      <w:r>
        <w:t>willing to apply</w:t>
      </w:r>
      <w:r w:rsidR="00B94B93">
        <w:t xml:space="preserve"> for </w:t>
      </w:r>
      <w:r>
        <w:t>or accept (per cent)</w:t>
      </w:r>
      <w:bookmarkEnd w:id="197"/>
    </w:p>
    <w:tbl>
      <w:tblPr>
        <w:tblW w:w="8040" w:type="dxa"/>
        <w:tblInd w:w="113" w:type="dxa"/>
        <w:tblLook w:val="04A0" w:firstRow="1" w:lastRow="0" w:firstColumn="1" w:lastColumn="0" w:noHBand="0" w:noVBand="1"/>
      </w:tblPr>
      <w:tblGrid>
        <w:gridCol w:w="2356"/>
        <w:gridCol w:w="1436"/>
        <w:gridCol w:w="1616"/>
        <w:gridCol w:w="1656"/>
        <w:gridCol w:w="976"/>
      </w:tblGrid>
      <w:tr w:rsidR="001066E6" w:rsidRPr="001066E6" w:rsidTr="00873695">
        <w:trPr>
          <w:trHeight w:val="300"/>
          <w:tblHeader/>
        </w:trPr>
        <w:tc>
          <w:tcPr>
            <w:tcW w:w="2356" w:type="dxa"/>
            <w:shd w:val="clear" w:color="auto" w:fill="FFFFFF" w:themeFill="background2"/>
            <w:noWrap/>
            <w:vAlign w:val="bottom"/>
            <w:hideMark/>
          </w:tcPr>
          <w:p w:rsidR="001066E6" w:rsidRPr="001E7B45" w:rsidRDefault="001066E6" w:rsidP="001E7B45">
            <w:pPr>
              <w:keepNext/>
              <w:spacing w:after="0" w:line="240" w:lineRule="auto"/>
              <w:rPr>
                <w:rFonts w:ascii="Calibri" w:eastAsia="Times New Roman" w:hAnsi="Calibri" w:cs="Calibri"/>
                <w:b/>
                <w:bCs/>
                <w:color w:val="000000" w:themeColor="text1"/>
                <w:lang w:eastAsia="en-AU"/>
              </w:rPr>
            </w:pPr>
            <w:bookmarkStart w:id="198" w:name="Title_f48"/>
            <w:bookmarkEnd w:id="198"/>
            <w:r w:rsidRPr="001E7B45">
              <w:rPr>
                <w:rFonts w:ascii="Calibri" w:eastAsia="Times New Roman" w:hAnsi="Calibri" w:cs="Calibri"/>
                <w:b/>
                <w:bCs/>
                <w:color w:val="000000" w:themeColor="text1"/>
                <w:lang w:eastAsia="en-AU"/>
              </w:rPr>
              <w:t> </w:t>
            </w:r>
          </w:p>
        </w:tc>
        <w:tc>
          <w:tcPr>
            <w:tcW w:w="1436" w:type="dxa"/>
            <w:shd w:val="clear" w:color="auto" w:fill="FFFFFF" w:themeFill="background2"/>
            <w:noWrap/>
            <w:vAlign w:val="center"/>
            <w:hideMark/>
          </w:tcPr>
          <w:p w:rsidR="001066E6" w:rsidRPr="001E7B45" w:rsidRDefault="001066E6" w:rsidP="001E7B45">
            <w:pPr>
              <w:keepNext/>
              <w:spacing w:after="0" w:line="240" w:lineRule="auto"/>
              <w:jc w:val="center"/>
              <w:rPr>
                <w:rFonts w:ascii="Calibri" w:eastAsia="Times New Roman" w:hAnsi="Calibri" w:cs="Calibri"/>
                <w:b/>
                <w:bCs/>
                <w:color w:val="000000" w:themeColor="text1"/>
                <w:lang w:eastAsia="en-AU"/>
              </w:rPr>
            </w:pPr>
            <w:r w:rsidRPr="001E7B45">
              <w:rPr>
                <w:rFonts w:ascii="Calibri" w:eastAsia="Times New Roman" w:hAnsi="Calibri" w:cs="Calibri"/>
                <w:b/>
                <w:bCs/>
                <w:color w:val="000000" w:themeColor="text1"/>
                <w:lang w:eastAsia="en-AU"/>
              </w:rPr>
              <w:t>A lot</w:t>
            </w:r>
          </w:p>
        </w:tc>
        <w:tc>
          <w:tcPr>
            <w:tcW w:w="1616" w:type="dxa"/>
            <w:shd w:val="clear" w:color="auto" w:fill="FFFFFF" w:themeFill="background2"/>
            <w:noWrap/>
            <w:vAlign w:val="center"/>
            <w:hideMark/>
          </w:tcPr>
          <w:p w:rsidR="001066E6" w:rsidRPr="001E7B45" w:rsidRDefault="001066E6" w:rsidP="001E7B45">
            <w:pPr>
              <w:keepNext/>
              <w:spacing w:after="0" w:line="240" w:lineRule="auto"/>
              <w:jc w:val="center"/>
              <w:rPr>
                <w:rFonts w:ascii="Calibri" w:eastAsia="Times New Roman" w:hAnsi="Calibri" w:cs="Calibri"/>
                <w:b/>
                <w:bCs/>
                <w:color w:val="000000" w:themeColor="text1"/>
                <w:lang w:eastAsia="en-AU"/>
              </w:rPr>
            </w:pPr>
            <w:r w:rsidRPr="001E7B45">
              <w:rPr>
                <w:rFonts w:ascii="Calibri" w:eastAsia="Times New Roman" w:hAnsi="Calibri" w:cs="Calibri"/>
                <w:b/>
                <w:bCs/>
                <w:color w:val="000000" w:themeColor="text1"/>
                <w:lang w:eastAsia="en-AU"/>
              </w:rPr>
              <w:t>A little</w:t>
            </w:r>
          </w:p>
        </w:tc>
        <w:tc>
          <w:tcPr>
            <w:tcW w:w="1656" w:type="dxa"/>
            <w:shd w:val="clear" w:color="auto" w:fill="FFFFFF" w:themeFill="background2"/>
            <w:noWrap/>
            <w:vAlign w:val="center"/>
            <w:hideMark/>
          </w:tcPr>
          <w:p w:rsidR="001066E6" w:rsidRPr="001E7B45" w:rsidRDefault="001066E6" w:rsidP="001E7B45">
            <w:pPr>
              <w:keepNext/>
              <w:spacing w:after="0" w:line="240" w:lineRule="auto"/>
              <w:jc w:val="center"/>
              <w:rPr>
                <w:rFonts w:ascii="Calibri" w:eastAsia="Times New Roman" w:hAnsi="Calibri" w:cs="Calibri"/>
                <w:b/>
                <w:bCs/>
                <w:color w:val="000000" w:themeColor="text1"/>
                <w:lang w:eastAsia="en-AU"/>
              </w:rPr>
            </w:pPr>
            <w:r w:rsidRPr="001E7B45">
              <w:rPr>
                <w:rFonts w:ascii="Calibri" w:eastAsia="Times New Roman" w:hAnsi="Calibri" w:cs="Calibri"/>
                <w:b/>
                <w:bCs/>
                <w:color w:val="000000" w:themeColor="text1"/>
                <w:lang w:eastAsia="en-AU"/>
              </w:rPr>
              <w:t>Not at all</w:t>
            </w:r>
          </w:p>
        </w:tc>
        <w:tc>
          <w:tcPr>
            <w:tcW w:w="976" w:type="dxa"/>
            <w:shd w:val="clear" w:color="auto" w:fill="FFFFFF" w:themeFill="background2"/>
            <w:noWrap/>
            <w:vAlign w:val="center"/>
            <w:hideMark/>
          </w:tcPr>
          <w:p w:rsidR="001066E6" w:rsidRPr="001E7B45" w:rsidRDefault="001066E6" w:rsidP="001E7B45">
            <w:pPr>
              <w:keepNext/>
              <w:spacing w:after="0" w:line="240" w:lineRule="auto"/>
              <w:rPr>
                <w:rFonts w:ascii="Calibri" w:eastAsia="Times New Roman" w:hAnsi="Calibri" w:cs="Calibri"/>
                <w:b/>
                <w:bCs/>
                <w:color w:val="000000" w:themeColor="text1"/>
                <w:lang w:eastAsia="en-AU"/>
              </w:rPr>
            </w:pPr>
            <w:r w:rsidRPr="001E7B45">
              <w:rPr>
                <w:rFonts w:ascii="Calibri" w:eastAsia="Times New Roman" w:hAnsi="Calibri" w:cs="Calibri"/>
                <w:b/>
                <w:bCs/>
                <w:color w:val="000000" w:themeColor="text1"/>
                <w:lang w:eastAsia="en-AU"/>
              </w:rPr>
              <w:t>Total</w:t>
            </w:r>
          </w:p>
        </w:tc>
      </w:tr>
      <w:tr w:rsidR="001066E6" w:rsidRPr="001066E6" w:rsidTr="001E7B45">
        <w:trPr>
          <w:trHeight w:val="300"/>
        </w:trPr>
        <w:tc>
          <w:tcPr>
            <w:tcW w:w="2356" w:type="dxa"/>
            <w:shd w:val="clear" w:color="auto" w:fill="auto"/>
            <w:noWrap/>
            <w:hideMark/>
          </w:tcPr>
          <w:p w:rsidR="001066E6" w:rsidRPr="001066E6" w:rsidRDefault="00864E02" w:rsidP="001E7B45">
            <w:pPr>
              <w:keepNext/>
              <w:spacing w:after="0" w:line="240" w:lineRule="auto"/>
              <w:rPr>
                <w:rFonts w:ascii="Calibri" w:eastAsia="Times New Roman" w:hAnsi="Calibri" w:cs="Calibri"/>
                <w:color w:val="000000"/>
                <w:lang w:eastAsia="en-AU"/>
              </w:rPr>
            </w:pPr>
            <w:r w:rsidRPr="007F2BCA">
              <w:rPr>
                <w:rFonts w:ascii="Calibri" w:eastAsia="Times New Roman" w:hAnsi="Calibri" w:cs="Calibri"/>
                <w:b/>
                <w:bCs/>
                <w:noProof/>
                <w:color w:val="000000" w:themeColor="text1"/>
                <w:lang w:eastAsia="en-AU"/>
              </w:rPr>
              <w:drawing>
                <wp:anchor distT="0" distB="0" distL="114300" distR="114300" simplePos="0" relativeHeight="251658241" behindDoc="0" locked="0" layoutInCell="1" allowOverlap="1" wp14:anchorId="451FD1F5" wp14:editId="70C67A65">
                  <wp:simplePos x="0" y="0"/>
                  <wp:positionH relativeFrom="column">
                    <wp:posOffset>-71450</wp:posOffset>
                  </wp:positionH>
                  <wp:positionV relativeFrom="paragraph">
                    <wp:posOffset>-181407</wp:posOffset>
                  </wp:positionV>
                  <wp:extent cx="5725160" cy="3172460"/>
                  <wp:effectExtent l="0" t="0" r="8890" b="8890"/>
                  <wp:wrapNone/>
                  <wp:docPr id="42" name="Picture 42" descr="Data in graph as described in the following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5160" cy="317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66E6" w:rsidRPr="001066E6">
              <w:rPr>
                <w:rFonts w:ascii="Calibri" w:eastAsia="Times New Roman" w:hAnsi="Calibri" w:cs="Calibri"/>
                <w:color w:val="000000"/>
                <w:lang w:eastAsia="en-AU"/>
              </w:rPr>
              <w:t>Female</w:t>
            </w:r>
          </w:p>
        </w:tc>
        <w:tc>
          <w:tcPr>
            <w:tcW w:w="1436" w:type="dxa"/>
            <w:shd w:val="clear" w:color="auto" w:fill="auto"/>
            <w:noWrap/>
            <w:vAlign w:val="bottom"/>
            <w:hideMark/>
          </w:tcPr>
          <w:p w:rsidR="001066E6" w:rsidRPr="001066E6" w:rsidRDefault="001066E6" w:rsidP="001E7B45">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23.4</w:t>
            </w:r>
          </w:p>
        </w:tc>
        <w:tc>
          <w:tcPr>
            <w:tcW w:w="1616" w:type="dxa"/>
            <w:shd w:val="clear" w:color="auto" w:fill="auto"/>
            <w:noWrap/>
            <w:vAlign w:val="bottom"/>
            <w:hideMark/>
          </w:tcPr>
          <w:p w:rsidR="001066E6" w:rsidRPr="001066E6" w:rsidRDefault="001066E6" w:rsidP="001E7B45">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19.8</w:t>
            </w:r>
          </w:p>
        </w:tc>
        <w:tc>
          <w:tcPr>
            <w:tcW w:w="1656" w:type="dxa"/>
            <w:shd w:val="clear" w:color="auto" w:fill="auto"/>
            <w:noWrap/>
            <w:vAlign w:val="bottom"/>
            <w:hideMark/>
          </w:tcPr>
          <w:p w:rsidR="001066E6" w:rsidRPr="001066E6" w:rsidRDefault="001066E6" w:rsidP="001E7B45">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56.8</w:t>
            </w:r>
          </w:p>
        </w:tc>
        <w:tc>
          <w:tcPr>
            <w:tcW w:w="976" w:type="dxa"/>
            <w:shd w:val="clear" w:color="auto" w:fill="auto"/>
            <w:noWrap/>
            <w:vAlign w:val="bottom"/>
            <w:hideMark/>
          </w:tcPr>
          <w:p w:rsidR="001066E6" w:rsidRPr="001066E6" w:rsidRDefault="001066E6" w:rsidP="001E7B45">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100.0</w:t>
            </w:r>
          </w:p>
        </w:tc>
      </w:tr>
      <w:tr w:rsidR="001066E6" w:rsidRPr="001066E6" w:rsidTr="001E7B45">
        <w:trPr>
          <w:trHeight w:val="300"/>
        </w:trPr>
        <w:tc>
          <w:tcPr>
            <w:tcW w:w="2356" w:type="dxa"/>
            <w:shd w:val="clear" w:color="auto" w:fill="auto"/>
            <w:noWrap/>
            <w:hideMark/>
          </w:tcPr>
          <w:p w:rsidR="001066E6" w:rsidRPr="001066E6" w:rsidRDefault="001066E6" w:rsidP="001E7B45">
            <w:pPr>
              <w:keepNext/>
              <w:spacing w:after="0" w:line="240" w:lineRule="auto"/>
              <w:rPr>
                <w:rFonts w:ascii="Calibri" w:eastAsia="Times New Roman" w:hAnsi="Calibri" w:cs="Calibri"/>
                <w:color w:val="000000"/>
                <w:lang w:eastAsia="en-AU"/>
              </w:rPr>
            </w:pPr>
            <w:r w:rsidRPr="001066E6">
              <w:rPr>
                <w:rFonts w:ascii="Calibri" w:eastAsia="Times New Roman" w:hAnsi="Calibri" w:cs="Calibri"/>
                <w:color w:val="000000"/>
                <w:lang w:eastAsia="en-AU"/>
              </w:rPr>
              <w:t>Male</w:t>
            </w:r>
          </w:p>
        </w:tc>
        <w:tc>
          <w:tcPr>
            <w:tcW w:w="1436" w:type="dxa"/>
            <w:shd w:val="clear" w:color="auto" w:fill="auto"/>
            <w:noWrap/>
            <w:vAlign w:val="bottom"/>
            <w:hideMark/>
          </w:tcPr>
          <w:p w:rsidR="001066E6" w:rsidRPr="001066E6" w:rsidRDefault="001066E6" w:rsidP="001E7B45">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30.1</w:t>
            </w:r>
          </w:p>
        </w:tc>
        <w:tc>
          <w:tcPr>
            <w:tcW w:w="1616" w:type="dxa"/>
            <w:shd w:val="clear" w:color="auto" w:fill="auto"/>
            <w:noWrap/>
            <w:vAlign w:val="bottom"/>
            <w:hideMark/>
          </w:tcPr>
          <w:p w:rsidR="001066E6" w:rsidRPr="001066E6" w:rsidRDefault="001066E6" w:rsidP="001E7B45">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23.9</w:t>
            </w:r>
          </w:p>
        </w:tc>
        <w:tc>
          <w:tcPr>
            <w:tcW w:w="1656" w:type="dxa"/>
            <w:shd w:val="clear" w:color="auto" w:fill="auto"/>
            <w:noWrap/>
            <w:vAlign w:val="bottom"/>
            <w:hideMark/>
          </w:tcPr>
          <w:p w:rsidR="001066E6" w:rsidRPr="001066E6" w:rsidRDefault="001066E6" w:rsidP="001E7B45">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46.0</w:t>
            </w:r>
          </w:p>
        </w:tc>
        <w:tc>
          <w:tcPr>
            <w:tcW w:w="976" w:type="dxa"/>
            <w:shd w:val="clear" w:color="auto" w:fill="auto"/>
            <w:noWrap/>
            <w:vAlign w:val="bottom"/>
            <w:hideMark/>
          </w:tcPr>
          <w:p w:rsidR="001066E6" w:rsidRPr="001066E6" w:rsidRDefault="001066E6" w:rsidP="001E7B45">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100.0</w:t>
            </w:r>
          </w:p>
        </w:tc>
      </w:tr>
      <w:tr w:rsidR="001066E6" w:rsidRPr="001066E6" w:rsidTr="001E7B45">
        <w:trPr>
          <w:trHeight w:val="300"/>
        </w:trPr>
        <w:tc>
          <w:tcPr>
            <w:tcW w:w="2356" w:type="dxa"/>
            <w:shd w:val="clear" w:color="auto" w:fill="auto"/>
            <w:noWrap/>
            <w:hideMark/>
          </w:tcPr>
          <w:p w:rsidR="001066E6" w:rsidRPr="001066E6" w:rsidRDefault="001066E6" w:rsidP="001E7B45">
            <w:pPr>
              <w:keepNext/>
              <w:spacing w:after="0" w:line="240" w:lineRule="auto"/>
              <w:rPr>
                <w:rFonts w:ascii="Calibri" w:eastAsia="Times New Roman" w:hAnsi="Calibri" w:cs="Calibri"/>
                <w:color w:val="000000"/>
                <w:lang w:eastAsia="en-AU"/>
              </w:rPr>
            </w:pPr>
            <w:r w:rsidRPr="001066E6">
              <w:rPr>
                <w:rFonts w:ascii="Calibri" w:eastAsia="Times New Roman" w:hAnsi="Calibri" w:cs="Calibri"/>
                <w:color w:val="000000"/>
                <w:lang w:eastAsia="en-AU"/>
              </w:rPr>
              <w:t>JCB age cohort</w:t>
            </w:r>
          </w:p>
        </w:tc>
        <w:tc>
          <w:tcPr>
            <w:tcW w:w="1436" w:type="dxa"/>
            <w:shd w:val="clear" w:color="auto" w:fill="auto"/>
            <w:noWrap/>
            <w:vAlign w:val="bottom"/>
            <w:hideMark/>
          </w:tcPr>
          <w:p w:rsidR="001066E6" w:rsidRPr="001066E6" w:rsidRDefault="001066E6" w:rsidP="001E7B45">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32.3</w:t>
            </w:r>
          </w:p>
        </w:tc>
        <w:tc>
          <w:tcPr>
            <w:tcW w:w="1616" w:type="dxa"/>
            <w:shd w:val="clear" w:color="auto" w:fill="auto"/>
            <w:noWrap/>
            <w:vAlign w:val="bottom"/>
            <w:hideMark/>
          </w:tcPr>
          <w:p w:rsidR="001066E6" w:rsidRPr="001066E6" w:rsidRDefault="001066E6" w:rsidP="001E7B45">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28.4</w:t>
            </w:r>
          </w:p>
        </w:tc>
        <w:tc>
          <w:tcPr>
            <w:tcW w:w="1656" w:type="dxa"/>
            <w:shd w:val="clear" w:color="auto" w:fill="auto"/>
            <w:noWrap/>
            <w:vAlign w:val="bottom"/>
            <w:hideMark/>
          </w:tcPr>
          <w:p w:rsidR="001066E6" w:rsidRPr="001066E6" w:rsidRDefault="001066E6" w:rsidP="001E7B45">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39.4</w:t>
            </w:r>
          </w:p>
        </w:tc>
        <w:tc>
          <w:tcPr>
            <w:tcW w:w="976" w:type="dxa"/>
            <w:shd w:val="clear" w:color="auto" w:fill="auto"/>
            <w:noWrap/>
            <w:vAlign w:val="bottom"/>
            <w:hideMark/>
          </w:tcPr>
          <w:p w:rsidR="001066E6" w:rsidRPr="001066E6" w:rsidRDefault="001066E6" w:rsidP="001E7B45">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100.0</w:t>
            </w:r>
          </w:p>
        </w:tc>
      </w:tr>
      <w:tr w:rsidR="001066E6" w:rsidRPr="001066E6" w:rsidTr="001E7B45">
        <w:trPr>
          <w:trHeight w:val="300"/>
        </w:trPr>
        <w:tc>
          <w:tcPr>
            <w:tcW w:w="2356" w:type="dxa"/>
            <w:shd w:val="clear" w:color="auto" w:fill="auto"/>
            <w:noWrap/>
            <w:hideMark/>
          </w:tcPr>
          <w:p w:rsidR="001066E6" w:rsidRPr="001066E6" w:rsidRDefault="001066E6" w:rsidP="001E7B45">
            <w:pPr>
              <w:keepNext/>
              <w:spacing w:after="0" w:line="240" w:lineRule="auto"/>
              <w:rPr>
                <w:rFonts w:ascii="Calibri" w:eastAsia="Times New Roman" w:hAnsi="Calibri" w:cs="Calibri"/>
                <w:color w:val="000000"/>
                <w:lang w:eastAsia="en-AU"/>
              </w:rPr>
            </w:pPr>
            <w:r w:rsidRPr="001066E6">
              <w:rPr>
                <w:rFonts w:ascii="Calibri" w:eastAsia="Times New Roman" w:hAnsi="Calibri" w:cs="Calibri"/>
                <w:color w:val="000000"/>
                <w:lang w:eastAsia="en-AU"/>
              </w:rPr>
              <w:t>Older than JCB age range</w:t>
            </w:r>
          </w:p>
        </w:tc>
        <w:tc>
          <w:tcPr>
            <w:tcW w:w="1436" w:type="dxa"/>
            <w:shd w:val="clear" w:color="auto" w:fill="auto"/>
            <w:noWrap/>
            <w:vAlign w:val="bottom"/>
            <w:hideMark/>
          </w:tcPr>
          <w:p w:rsidR="001066E6" w:rsidRPr="001066E6" w:rsidRDefault="001066E6" w:rsidP="001E7B45">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23.7</w:t>
            </w:r>
          </w:p>
        </w:tc>
        <w:tc>
          <w:tcPr>
            <w:tcW w:w="1616" w:type="dxa"/>
            <w:shd w:val="clear" w:color="auto" w:fill="auto"/>
            <w:noWrap/>
            <w:vAlign w:val="bottom"/>
            <w:hideMark/>
          </w:tcPr>
          <w:p w:rsidR="001066E6" w:rsidRPr="001066E6" w:rsidRDefault="001066E6" w:rsidP="001E7B45">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18.0</w:t>
            </w:r>
          </w:p>
        </w:tc>
        <w:tc>
          <w:tcPr>
            <w:tcW w:w="1656" w:type="dxa"/>
            <w:shd w:val="clear" w:color="auto" w:fill="auto"/>
            <w:noWrap/>
            <w:vAlign w:val="bottom"/>
            <w:hideMark/>
          </w:tcPr>
          <w:p w:rsidR="001066E6" w:rsidRPr="001066E6" w:rsidRDefault="001066E6" w:rsidP="001E7B45">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58.2</w:t>
            </w:r>
          </w:p>
        </w:tc>
        <w:tc>
          <w:tcPr>
            <w:tcW w:w="976" w:type="dxa"/>
            <w:shd w:val="clear" w:color="auto" w:fill="auto"/>
            <w:noWrap/>
            <w:vAlign w:val="bottom"/>
            <w:hideMark/>
          </w:tcPr>
          <w:p w:rsidR="001066E6" w:rsidRPr="001066E6" w:rsidRDefault="001066E6" w:rsidP="001E7B45">
            <w:pPr>
              <w:keepNext/>
              <w:spacing w:after="0" w:line="240" w:lineRule="auto"/>
              <w:jc w:val="right"/>
              <w:rPr>
                <w:rFonts w:ascii="Calibri" w:eastAsia="Times New Roman" w:hAnsi="Calibri" w:cs="Calibri"/>
                <w:color w:val="000000"/>
                <w:lang w:eastAsia="en-AU"/>
              </w:rPr>
            </w:pPr>
            <w:r w:rsidRPr="001066E6">
              <w:rPr>
                <w:rFonts w:ascii="Calibri" w:eastAsia="Times New Roman" w:hAnsi="Calibri" w:cs="Calibri"/>
                <w:color w:val="000000"/>
                <w:lang w:eastAsia="en-AU"/>
              </w:rPr>
              <w:t>100.0</w:t>
            </w:r>
          </w:p>
        </w:tc>
      </w:tr>
    </w:tbl>
    <w:p w:rsidR="00D91D5C" w:rsidRDefault="00D91D5C" w:rsidP="001E7B45">
      <w:pPr>
        <w:spacing w:before="3400"/>
        <w:rPr>
          <w:rFonts w:cstheme="minorHAnsi"/>
          <w:sz w:val="20"/>
          <w:szCs w:val="20"/>
        </w:rPr>
      </w:pPr>
      <w:r w:rsidRPr="00AA2118">
        <w:rPr>
          <w:rFonts w:cstheme="minorHAnsi"/>
          <w:b/>
          <w:sz w:val="20"/>
          <w:szCs w:val="20"/>
        </w:rPr>
        <w:t>Source:</w:t>
      </w:r>
      <w:r w:rsidRPr="004C5B83">
        <w:rPr>
          <w:b/>
        </w:rPr>
        <w:t xml:space="preserve"> </w:t>
      </w:r>
      <w:r w:rsidRPr="00AA2118">
        <w:rPr>
          <w:rFonts w:cstheme="minorHAnsi"/>
          <w:sz w:val="20"/>
          <w:szCs w:val="20"/>
        </w:rPr>
        <w:t xml:space="preserve">Department of Employment </w:t>
      </w:r>
      <w:r>
        <w:rPr>
          <w:rFonts w:cstheme="minorHAnsi"/>
          <w:sz w:val="20"/>
          <w:szCs w:val="20"/>
        </w:rPr>
        <w:t>2017 Job Seeker Experiences of Employment Services</w:t>
      </w:r>
      <w:r w:rsidRPr="00AA2118">
        <w:rPr>
          <w:rFonts w:cstheme="minorHAnsi"/>
          <w:sz w:val="20"/>
          <w:szCs w:val="20"/>
        </w:rPr>
        <w:t xml:space="preserve"> survey</w:t>
      </w:r>
      <w:r>
        <w:rPr>
          <w:rFonts w:cstheme="minorHAnsi"/>
          <w:sz w:val="20"/>
          <w:szCs w:val="20"/>
        </w:rPr>
        <w:t>.</w:t>
      </w:r>
    </w:p>
    <w:p w:rsidR="002F2710" w:rsidRDefault="00D67347" w:rsidP="002F2710">
      <w:r>
        <w:t>For young people, t</w:t>
      </w:r>
      <w:r w:rsidR="00264343" w:rsidRPr="009F7DFC">
        <w:t xml:space="preserve">he type of work performed has altered in response to weak labour market conditions for </w:t>
      </w:r>
      <w:r>
        <w:t>them</w:t>
      </w:r>
      <w:r w:rsidR="00264343" w:rsidRPr="009F7DFC">
        <w:t xml:space="preserve">. </w:t>
      </w:r>
      <w:r w:rsidR="002F2710">
        <w:t xml:space="preserve">As finding employment becomes harder, </w:t>
      </w:r>
      <w:r w:rsidR="00E8353B">
        <w:t>people</w:t>
      </w:r>
      <w:r w:rsidR="002F2710">
        <w:t xml:space="preserve"> increasingly willing accept any employment, even if it means wo</w:t>
      </w:r>
      <w:r w:rsidR="00F1247B">
        <w:t>rking fewer hours than desired.</w:t>
      </w:r>
    </w:p>
    <w:p w:rsidR="0086448C" w:rsidRDefault="002F2710" w:rsidP="00DB0281">
      <w:r>
        <w:t>Part</w:t>
      </w:r>
      <w:r w:rsidR="00660622">
        <w:t>-</w:t>
      </w:r>
      <w:r>
        <w:t xml:space="preserve">time work may be a personal choice to accommodate other time commitments such as study, or </w:t>
      </w:r>
      <w:r w:rsidR="00E8353B">
        <w:t>caring responsibilities</w:t>
      </w:r>
      <w:r>
        <w:t xml:space="preserve">. Figure </w:t>
      </w:r>
      <w:r w:rsidR="008E6669">
        <w:t>4.</w:t>
      </w:r>
      <w:r w:rsidR="00E76396">
        <w:t xml:space="preserve">10 </w:t>
      </w:r>
      <w:r>
        <w:t>shows that the proportion of 18 to 30</w:t>
      </w:r>
      <w:r w:rsidR="008E6669">
        <w:t> </w:t>
      </w:r>
      <w:r>
        <w:t>year olds in the labour force in part</w:t>
      </w:r>
      <w:r w:rsidR="00660622">
        <w:t>-</w:t>
      </w:r>
      <w:r>
        <w:t>time employment grew by 6.0 percent</w:t>
      </w:r>
      <w:r w:rsidR="00F84289">
        <w:t>age points</w:t>
      </w:r>
      <w:r w:rsidR="00AA6677">
        <w:t xml:space="preserve"> </w:t>
      </w:r>
      <w:r w:rsidR="001876E7">
        <w:t>since the GFC</w:t>
      </w:r>
      <w:r>
        <w:t xml:space="preserve"> (from 25.3</w:t>
      </w:r>
      <w:r w:rsidR="00E8353B">
        <w:t xml:space="preserve"> per cent in September</w:t>
      </w:r>
      <w:r w:rsidR="00D4440A">
        <w:t> </w:t>
      </w:r>
      <w:r w:rsidR="00E8353B">
        <w:t>2008</w:t>
      </w:r>
      <w:r>
        <w:t xml:space="preserve"> per cent to 31.3 per cent</w:t>
      </w:r>
      <w:r w:rsidR="00E8353B">
        <w:t xml:space="preserve"> in December 2016</w:t>
      </w:r>
      <w:r w:rsidR="00AA6677">
        <w:t>). This indicates that young adults</w:t>
      </w:r>
      <w:r>
        <w:t xml:space="preserve"> are more likely to take up part</w:t>
      </w:r>
      <w:r w:rsidR="00660622">
        <w:t>-</w:t>
      </w:r>
      <w:r>
        <w:t>time work</w:t>
      </w:r>
      <w:r w:rsidR="0086448C">
        <w:t xml:space="preserve"> now than </w:t>
      </w:r>
      <w:r w:rsidR="00660622">
        <w:t>previously</w:t>
      </w:r>
      <w:r w:rsidR="0086448C">
        <w:t xml:space="preserve">. This trend </w:t>
      </w:r>
      <w:r w:rsidR="00660622">
        <w:t xml:space="preserve">makes </w:t>
      </w:r>
      <w:r w:rsidR="0086448C">
        <w:t>it</w:t>
      </w:r>
      <w:r w:rsidR="00DB0281">
        <w:t xml:space="preserve"> </w:t>
      </w:r>
      <w:r w:rsidR="00AA6677">
        <w:t>more difficult for young adults</w:t>
      </w:r>
      <w:r w:rsidR="0086448C">
        <w:t xml:space="preserve"> to meet </w:t>
      </w:r>
      <w:r w:rsidR="00D67347">
        <w:t xml:space="preserve">the </w:t>
      </w:r>
      <w:r w:rsidR="0086448C">
        <w:t xml:space="preserve">JCB eligibility criteria of continuous employment given </w:t>
      </w:r>
      <w:r w:rsidR="00DB0281">
        <w:t>they are now more likely jug</w:t>
      </w:r>
      <w:r w:rsidR="0086448C">
        <w:t>gling several jobs at the same time.</w:t>
      </w:r>
    </w:p>
    <w:p w:rsidR="00042293" w:rsidRDefault="00042293" w:rsidP="00042293">
      <w:pPr>
        <w:spacing w:before="240"/>
        <w:rPr>
          <w:color w:val="000000" w:themeColor="text1"/>
        </w:rPr>
      </w:pPr>
      <w:r>
        <w:rPr>
          <w:color w:val="000000" w:themeColor="text1"/>
        </w:rPr>
        <w:t>Administrative data to analyse whether there is any discernible difference in the type of work (pay rates, number of hours worked, tenure, employment type (full-time, part-time, casual)) that people who claimed the bonus accepted compared to those who did not lodge a claim, was not available.</w:t>
      </w:r>
    </w:p>
    <w:p w:rsidR="003C0E69" w:rsidRPr="00D83A7E" w:rsidRDefault="003C0E69" w:rsidP="005314B7">
      <w:pPr>
        <w:pStyle w:val="FigureCaption"/>
      </w:pPr>
      <w:bookmarkStart w:id="199" w:name="_Toc507600291"/>
      <w:r w:rsidRPr="00D83A7E">
        <w:lastRenderedPageBreak/>
        <w:t xml:space="preserve">Figure </w:t>
      </w:r>
      <w:r w:rsidR="00264343">
        <w:t>4</w:t>
      </w:r>
      <w:r w:rsidR="00200740">
        <w:t>.</w:t>
      </w:r>
      <w:r w:rsidR="00E76396">
        <w:t>10</w:t>
      </w:r>
      <w:r w:rsidR="003463D4">
        <w:t>:</w:t>
      </w:r>
      <w:r w:rsidRPr="00D83A7E">
        <w:t xml:space="preserve"> </w:t>
      </w:r>
      <w:r w:rsidR="00264343">
        <w:t>Employment types,</w:t>
      </w:r>
      <w:r w:rsidRPr="00D83A7E">
        <w:t xml:space="preserve"> 18-30 year old</w:t>
      </w:r>
      <w:r w:rsidR="000039A6">
        <w:t>s</w:t>
      </w:r>
      <w:r w:rsidR="00264343">
        <w:t>, August 2008 to December 2016</w:t>
      </w:r>
      <w:bookmarkEnd w:id="199"/>
    </w:p>
    <w:p w:rsidR="0034528E" w:rsidRDefault="002C7A50" w:rsidP="00841FD8">
      <w:pPr>
        <w:pStyle w:val="Source"/>
      </w:pPr>
      <w:r w:rsidRPr="002C7A50">
        <w:rPr>
          <w:noProof/>
          <w:lang w:eastAsia="en-AU"/>
        </w:rPr>
        <w:drawing>
          <wp:inline distT="0" distB="0" distL="0" distR="0" wp14:anchorId="09525F18" wp14:editId="3816CC7F">
            <wp:extent cx="5731510" cy="3707876"/>
            <wp:effectExtent l="0" t="0" r="2540" b="6985"/>
            <wp:docPr id="20" name="Picture 20" descr="Line graph showing that, over the period September 2008 to September 2016, the proportion of the 18 to 30 year olds labour force who were in part time employment relative to the labour force has been increasing (from 25.3 per cent to 31.3 per c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3707876"/>
                    </a:xfrm>
                    <a:prstGeom prst="rect">
                      <a:avLst/>
                    </a:prstGeom>
                    <a:noFill/>
                    <a:ln>
                      <a:noFill/>
                    </a:ln>
                  </pic:spPr>
                </pic:pic>
              </a:graphicData>
            </a:graphic>
          </wp:inline>
        </w:drawing>
      </w:r>
    </w:p>
    <w:p w:rsidR="003C0E69" w:rsidRDefault="003C0E69" w:rsidP="00841FD8">
      <w:pPr>
        <w:pStyle w:val="Source"/>
      </w:pPr>
      <w:r w:rsidRPr="00841FD8">
        <w:t>Source:</w:t>
      </w:r>
      <w:r w:rsidRPr="00841FD8">
        <w:rPr>
          <w:b w:val="0"/>
        </w:rPr>
        <w:t xml:space="preserve"> Derived from </w:t>
      </w:r>
      <w:r w:rsidR="00A162B9">
        <w:rPr>
          <w:b w:val="0"/>
        </w:rPr>
        <w:t xml:space="preserve">customised </w:t>
      </w:r>
      <w:r w:rsidRPr="00841FD8">
        <w:rPr>
          <w:b w:val="0"/>
        </w:rPr>
        <w:t xml:space="preserve">data </w:t>
      </w:r>
      <w:r w:rsidR="00A162B9">
        <w:rPr>
          <w:b w:val="0"/>
        </w:rPr>
        <w:t xml:space="preserve">extract </w:t>
      </w:r>
      <w:r w:rsidRPr="00841FD8">
        <w:rPr>
          <w:b w:val="0"/>
        </w:rPr>
        <w:t xml:space="preserve">provided by the ABS from </w:t>
      </w:r>
      <w:r w:rsidRPr="00A162B9">
        <w:rPr>
          <w:b w:val="0"/>
        </w:rPr>
        <w:t xml:space="preserve">the </w:t>
      </w:r>
      <w:r w:rsidR="00A162B9">
        <w:rPr>
          <w:b w:val="0"/>
        </w:rPr>
        <w:t>Labour Force S</w:t>
      </w:r>
      <w:r w:rsidRPr="00A162B9">
        <w:rPr>
          <w:b w:val="0"/>
        </w:rPr>
        <w:t>urvey, Australia.</w:t>
      </w:r>
      <w:r w:rsidRPr="00841FD8">
        <w:rPr>
          <w:b w:val="0"/>
        </w:rPr>
        <w:t xml:space="preserve"> Calculations conducted by the Department of Employment, using 12 month moving averages.</w:t>
      </w:r>
      <w:r>
        <w:t xml:space="preserve"> </w:t>
      </w:r>
    </w:p>
    <w:p w:rsidR="00264343" w:rsidRDefault="000039A6" w:rsidP="00042293">
      <w:pPr>
        <w:spacing w:before="240"/>
        <w:rPr>
          <w:color w:val="000000" w:themeColor="text1"/>
        </w:rPr>
      </w:pPr>
      <w:r>
        <w:rPr>
          <w:color w:val="000000" w:themeColor="text1"/>
        </w:rPr>
        <w:t>In the absence of baseline data</w:t>
      </w:r>
      <w:r w:rsidR="008E6669">
        <w:rPr>
          <w:color w:val="000000" w:themeColor="text1"/>
        </w:rPr>
        <w:t xml:space="preserve"> for the JCB target cohort</w:t>
      </w:r>
      <w:r>
        <w:rPr>
          <w:color w:val="000000" w:themeColor="text1"/>
        </w:rPr>
        <w:t xml:space="preserve"> it is not possible to </w:t>
      </w:r>
      <w:r w:rsidR="008E6669">
        <w:rPr>
          <w:color w:val="000000" w:themeColor="text1"/>
        </w:rPr>
        <w:t>say</w:t>
      </w:r>
      <w:r>
        <w:rPr>
          <w:color w:val="000000" w:themeColor="text1"/>
        </w:rPr>
        <w:t xml:space="preserve"> </w:t>
      </w:r>
      <w:r w:rsidR="008E6669">
        <w:rPr>
          <w:color w:val="000000" w:themeColor="text1"/>
        </w:rPr>
        <w:t xml:space="preserve">whether </w:t>
      </w:r>
      <w:r>
        <w:rPr>
          <w:color w:val="000000" w:themeColor="text1"/>
        </w:rPr>
        <w:t xml:space="preserve">the </w:t>
      </w:r>
      <w:r w:rsidR="00DC64C6">
        <w:t>PPM JCB</w:t>
      </w:r>
      <w:r>
        <w:rPr>
          <w:color w:val="000000" w:themeColor="text1"/>
        </w:rPr>
        <w:t xml:space="preserve"> survey results</w:t>
      </w:r>
      <w:r w:rsidR="008E6669">
        <w:rPr>
          <w:color w:val="000000" w:themeColor="text1"/>
        </w:rPr>
        <w:t xml:space="preserve"> for type of employment</w:t>
      </w:r>
      <w:r w:rsidR="008E6669">
        <w:rPr>
          <w:rStyle w:val="FootnoteReference"/>
          <w:color w:val="000000" w:themeColor="text1"/>
        </w:rPr>
        <w:footnoteReference w:id="72"/>
      </w:r>
      <w:r>
        <w:rPr>
          <w:color w:val="000000" w:themeColor="text1"/>
        </w:rPr>
        <w:t xml:space="preserve"> </w:t>
      </w:r>
      <w:r w:rsidR="008E6669">
        <w:rPr>
          <w:color w:val="000000" w:themeColor="text1"/>
        </w:rPr>
        <w:t xml:space="preserve">are </w:t>
      </w:r>
      <w:r>
        <w:rPr>
          <w:color w:val="000000" w:themeColor="text1"/>
        </w:rPr>
        <w:t xml:space="preserve">markedly different to </w:t>
      </w:r>
      <w:r w:rsidR="008E6669">
        <w:rPr>
          <w:color w:val="000000" w:themeColor="text1"/>
        </w:rPr>
        <w:t>r</w:t>
      </w:r>
      <w:r>
        <w:rPr>
          <w:color w:val="000000" w:themeColor="text1"/>
        </w:rPr>
        <w:t>ate</w:t>
      </w:r>
      <w:r w:rsidR="008E6669">
        <w:rPr>
          <w:color w:val="000000" w:themeColor="text1"/>
        </w:rPr>
        <w:t>s</w:t>
      </w:r>
      <w:r>
        <w:rPr>
          <w:color w:val="000000" w:themeColor="text1"/>
        </w:rPr>
        <w:t xml:space="preserve"> before the introduction of the JCB. </w:t>
      </w:r>
      <w:r w:rsidR="001876E7">
        <w:rPr>
          <w:color w:val="000000" w:themeColor="text1"/>
        </w:rPr>
        <w:t>Given the lack of measurable impact for the JCB in job search, it is likely that f</w:t>
      </w:r>
      <w:r>
        <w:rPr>
          <w:color w:val="000000" w:themeColor="text1"/>
        </w:rPr>
        <w:t>actors such as changing macro-economic conditions played the major role in any change in employment types</w:t>
      </w:r>
      <w:r w:rsidR="00E8353B">
        <w:rPr>
          <w:color w:val="000000" w:themeColor="text1"/>
        </w:rPr>
        <w:t xml:space="preserve"> over the JCB period.</w:t>
      </w:r>
    </w:p>
    <w:p w:rsidR="0048214D" w:rsidRDefault="0048214D" w:rsidP="00F239FA">
      <w:pPr>
        <w:pStyle w:val="Heading3"/>
        <w:spacing w:after="120"/>
      </w:pPr>
      <w:r>
        <w:t>4.</w:t>
      </w:r>
      <w:r w:rsidR="00D92C4B">
        <w:t>3</w:t>
      </w:r>
      <w:r>
        <w:t>.2</w:t>
      </w:r>
      <w:r>
        <w:tab/>
        <w:t>Industry of employment</w:t>
      </w:r>
    </w:p>
    <w:p w:rsidR="00053262" w:rsidRDefault="002F2710" w:rsidP="0048214D">
      <w:pPr>
        <w:spacing w:before="120"/>
      </w:pPr>
      <w:r>
        <w:t xml:space="preserve">There has been a </w:t>
      </w:r>
      <w:r w:rsidR="00F13A3B">
        <w:t xml:space="preserve">continual </w:t>
      </w:r>
      <w:r>
        <w:t>shift</w:t>
      </w:r>
      <w:r w:rsidR="00D67347">
        <w:t>, over recent years,</w:t>
      </w:r>
      <w:r>
        <w:t xml:space="preserve"> towards more service based </w:t>
      </w:r>
      <w:r w:rsidR="00F13A3B">
        <w:t xml:space="preserve">employment </w:t>
      </w:r>
      <w:r>
        <w:t>industries for 20</w:t>
      </w:r>
      <w:r w:rsidR="008E6669">
        <w:t> </w:t>
      </w:r>
      <w:r>
        <w:t xml:space="preserve">to 29 year olds. Since the </w:t>
      </w:r>
      <w:r w:rsidR="00660622">
        <w:t xml:space="preserve">onset </w:t>
      </w:r>
      <w:r>
        <w:t>of the GFC, the largest growth in young adult employment has been in ‘Accommodation and Food Services’ and</w:t>
      </w:r>
      <w:r w:rsidR="00660622">
        <w:t xml:space="preserve"> ‘</w:t>
      </w:r>
      <w:r>
        <w:t>Health Care and Social Assistance’</w:t>
      </w:r>
      <w:r w:rsidR="00F13A3B">
        <w:t xml:space="preserve">. </w:t>
      </w:r>
      <w:r>
        <w:t>‘Manufacturing’ experienced the largest decline.</w:t>
      </w:r>
      <w:r w:rsidR="00664F6B">
        <w:t xml:space="preserve"> </w:t>
      </w:r>
      <w:r w:rsidR="00053262" w:rsidRPr="008E354A">
        <w:t>(</w:t>
      </w:r>
      <w:r w:rsidR="000367FC" w:rsidRPr="008E354A">
        <w:t xml:space="preserve">Attachment </w:t>
      </w:r>
      <w:r w:rsidR="00E04394">
        <w:t>F</w:t>
      </w:r>
      <w:r w:rsidR="00053262" w:rsidRPr="008E354A">
        <w:t xml:space="preserve">, </w:t>
      </w:r>
      <w:hyperlink w:anchor="Title_F15" w:history="1">
        <w:r w:rsidR="00E76396" w:rsidRPr="00F84289">
          <w:rPr>
            <w:rStyle w:val="Hyperlink"/>
          </w:rPr>
          <w:t>Table F.16</w:t>
        </w:r>
      </w:hyperlink>
      <w:r w:rsidR="00053262" w:rsidRPr="008E354A">
        <w:t>)</w:t>
      </w:r>
      <w:bookmarkStart w:id="200" w:name="Place_F16"/>
      <w:bookmarkEnd w:id="200"/>
    </w:p>
    <w:p w:rsidR="002F2710" w:rsidRDefault="001876E7" w:rsidP="002F2710">
      <w:r>
        <w:t>Y</w:t>
      </w:r>
      <w:r w:rsidR="002F2710">
        <w:t xml:space="preserve">oung </w:t>
      </w:r>
      <w:r w:rsidR="00660622">
        <w:t xml:space="preserve">adults </w:t>
      </w:r>
      <w:r w:rsidR="002F2710">
        <w:t>are more likely to be employed in service based industries</w:t>
      </w:r>
      <w:r w:rsidR="002F2710">
        <w:rPr>
          <w:rStyle w:val="FootnoteReference"/>
        </w:rPr>
        <w:footnoteReference w:id="73"/>
      </w:r>
      <w:r w:rsidR="002F2710">
        <w:t xml:space="preserve"> </w:t>
      </w:r>
      <w:r>
        <w:t>(</w:t>
      </w:r>
      <w:r w:rsidR="009D5271">
        <w:t>79.6</w:t>
      </w:r>
      <w:r w:rsidRPr="00FC2B2C">
        <w:t xml:space="preserve"> pe</w:t>
      </w:r>
      <w:r>
        <w:t xml:space="preserve">r cent for young adults compared </w:t>
      </w:r>
      <w:r w:rsidRPr="00FC2B2C">
        <w:t xml:space="preserve">with </w:t>
      </w:r>
      <w:r w:rsidR="0069351E">
        <w:t>7</w:t>
      </w:r>
      <w:r w:rsidR="009D5271">
        <w:t>6.5</w:t>
      </w:r>
      <w:r>
        <w:t xml:space="preserve"> per cent for others)</w:t>
      </w:r>
      <w:r w:rsidR="009A45C4" w:rsidRPr="009A45C4">
        <w:t xml:space="preserve"> </w:t>
      </w:r>
      <w:r w:rsidR="009A45C4" w:rsidRPr="008E354A">
        <w:t xml:space="preserve">(Attachment </w:t>
      </w:r>
      <w:r w:rsidR="00E04394">
        <w:t>F</w:t>
      </w:r>
      <w:r w:rsidR="009A45C4" w:rsidRPr="008E354A">
        <w:t xml:space="preserve">, </w:t>
      </w:r>
      <w:hyperlink w:anchor="Title_F16" w:history="1">
        <w:r w:rsidR="00E76396" w:rsidRPr="00F84289">
          <w:rPr>
            <w:rStyle w:val="Hyperlink"/>
          </w:rPr>
          <w:t>Table F.17</w:t>
        </w:r>
      </w:hyperlink>
      <w:r w:rsidR="009A45C4" w:rsidRPr="008E354A">
        <w:t>)</w:t>
      </w:r>
      <w:bookmarkStart w:id="201" w:name="Place_F17"/>
      <w:bookmarkEnd w:id="201"/>
      <w:r>
        <w:t>.</w:t>
      </w:r>
      <w:r w:rsidR="0089748E">
        <w:t xml:space="preserve"> </w:t>
      </w:r>
      <w:r w:rsidR="00F13A3B">
        <w:t>Y</w:t>
      </w:r>
      <w:r w:rsidR="002F2710">
        <w:t xml:space="preserve">oung </w:t>
      </w:r>
      <w:r w:rsidR="00660622">
        <w:t xml:space="preserve">adults </w:t>
      </w:r>
      <w:r w:rsidR="002F2710">
        <w:t xml:space="preserve">are over </w:t>
      </w:r>
      <w:r w:rsidR="002F2710">
        <w:lastRenderedPageBreak/>
        <w:t>represented in the following service industries when total</w:t>
      </w:r>
      <w:r w:rsidR="00660622">
        <w:t>s are</w:t>
      </w:r>
      <w:r w:rsidR="00F13A3B">
        <w:t xml:space="preserve"> compared to</w:t>
      </w:r>
      <w:r w:rsidR="002F2710">
        <w:t xml:space="preserve"> employment across the entire labour force</w:t>
      </w:r>
      <w:r w:rsidR="00F13A3B">
        <w:t xml:space="preserve"> by the following </w:t>
      </w:r>
      <w:r w:rsidR="00C11707">
        <w:t>amounts (</w:t>
      </w:r>
      <w:r w:rsidR="00660622">
        <w:t>percentage points</w:t>
      </w:r>
      <w:r w:rsidR="00C11707">
        <w:t>)</w:t>
      </w:r>
      <w:r w:rsidR="00F1247B">
        <w:t>:</w:t>
      </w:r>
    </w:p>
    <w:p w:rsidR="002F2710" w:rsidRDefault="008E6669" w:rsidP="00E3205B">
      <w:pPr>
        <w:pStyle w:val="ListParagraph"/>
        <w:numPr>
          <w:ilvl w:val="0"/>
          <w:numId w:val="66"/>
        </w:numPr>
        <w:tabs>
          <w:tab w:val="left" w:pos="4962"/>
        </w:tabs>
      </w:pPr>
      <w:r>
        <w:t>r</w:t>
      </w:r>
      <w:r w:rsidR="002F2710">
        <w:t xml:space="preserve">etail </w:t>
      </w:r>
      <w:r w:rsidR="006E1C2B">
        <w:t>t</w:t>
      </w:r>
      <w:r w:rsidR="002F2710">
        <w:t>rade</w:t>
      </w:r>
      <w:r>
        <w:tab/>
      </w:r>
      <w:r w:rsidR="002F2710">
        <w:t>7.2 percentage points</w:t>
      </w:r>
    </w:p>
    <w:p w:rsidR="002F2710" w:rsidRDefault="008E6669" w:rsidP="00E3205B">
      <w:pPr>
        <w:pStyle w:val="ListParagraph"/>
        <w:numPr>
          <w:ilvl w:val="0"/>
          <w:numId w:val="66"/>
        </w:numPr>
        <w:tabs>
          <w:tab w:val="left" w:pos="4962"/>
        </w:tabs>
      </w:pPr>
      <w:r>
        <w:t>a</w:t>
      </w:r>
      <w:r w:rsidR="002F2710">
        <w:t xml:space="preserve">ccommodation and </w:t>
      </w:r>
      <w:r w:rsidR="006E1C2B">
        <w:t>f</w:t>
      </w:r>
      <w:r w:rsidR="002F2710">
        <w:t xml:space="preserve">ood </w:t>
      </w:r>
      <w:r w:rsidR="006E1C2B">
        <w:t>s</w:t>
      </w:r>
      <w:r w:rsidR="002F2710">
        <w:t>ervices</w:t>
      </w:r>
      <w:r>
        <w:tab/>
      </w:r>
      <w:r w:rsidR="002F2710">
        <w:t>6.8 percentage points</w:t>
      </w:r>
    </w:p>
    <w:p w:rsidR="002F2710" w:rsidRDefault="008E6669" w:rsidP="00E3205B">
      <w:pPr>
        <w:pStyle w:val="ListParagraph"/>
        <w:numPr>
          <w:ilvl w:val="0"/>
          <w:numId w:val="66"/>
        </w:numPr>
        <w:tabs>
          <w:tab w:val="left" w:pos="4962"/>
        </w:tabs>
      </w:pPr>
      <w:r>
        <w:t>c</w:t>
      </w:r>
      <w:r w:rsidR="002F2710">
        <w:t>onstruction</w:t>
      </w:r>
      <w:r>
        <w:tab/>
      </w:r>
      <w:r w:rsidR="002F2710">
        <w:t>0.8 percentage points</w:t>
      </w:r>
    </w:p>
    <w:p w:rsidR="002F2710" w:rsidRDefault="008E6669" w:rsidP="00E3205B">
      <w:pPr>
        <w:pStyle w:val="ListParagraph"/>
        <w:numPr>
          <w:ilvl w:val="0"/>
          <w:numId w:val="66"/>
        </w:numPr>
        <w:tabs>
          <w:tab w:val="left" w:pos="4962"/>
        </w:tabs>
      </w:pPr>
      <w:r>
        <w:t>a</w:t>
      </w:r>
      <w:r w:rsidR="002F2710">
        <w:t xml:space="preserve">rts and </w:t>
      </w:r>
      <w:r w:rsidR="006E1C2B">
        <w:t>r</w:t>
      </w:r>
      <w:r w:rsidR="002F2710">
        <w:t>ecreation</w:t>
      </w:r>
      <w:r>
        <w:tab/>
      </w:r>
      <w:r w:rsidR="002F2710">
        <w:t>0.8 percentage points</w:t>
      </w:r>
    </w:p>
    <w:p w:rsidR="002F2710" w:rsidRDefault="008E6669" w:rsidP="00E3205B">
      <w:pPr>
        <w:pStyle w:val="ListParagraph"/>
        <w:numPr>
          <w:ilvl w:val="0"/>
          <w:numId w:val="66"/>
        </w:numPr>
        <w:tabs>
          <w:tab w:val="left" w:pos="4962"/>
        </w:tabs>
      </w:pPr>
      <w:r>
        <w:t>i</w:t>
      </w:r>
      <w:r w:rsidR="002F2710">
        <w:t xml:space="preserve">nformation, </w:t>
      </w:r>
      <w:r w:rsidR="006E1C2B">
        <w:t>m</w:t>
      </w:r>
      <w:r w:rsidR="002F2710">
        <w:t>edia and telecommunications</w:t>
      </w:r>
      <w:r>
        <w:tab/>
        <w:t>0.2 percentage points.</w:t>
      </w:r>
    </w:p>
    <w:p w:rsidR="00C50746" w:rsidRDefault="00876306" w:rsidP="004968D9">
      <w:pPr>
        <w:spacing w:before="240"/>
        <w:rPr>
          <w:color w:val="000000" w:themeColor="text1"/>
        </w:rPr>
      </w:pPr>
      <w:r>
        <w:rPr>
          <w:color w:val="000000" w:themeColor="text1"/>
        </w:rPr>
        <w:t>C</w:t>
      </w:r>
      <w:r w:rsidR="001F3BFE">
        <w:rPr>
          <w:color w:val="000000" w:themeColor="text1"/>
        </w:rPr>
        <w:t>ompared to the overall industry of employment for 20 to 29 year olds</w:t>
      </w:r>
      <w:r w:rsidR="00764799">
        <w:rPr>
          <w:rStyle w:val="FootnoteReference"/>
          <w:color w:val="000000" w:themeColor="text1"/>
        </w:rPr>
        <w:footnoteReference w:id="74"/>
      </w:r>
      <w:r w:rsidR="001F3BFE">
        <w:rPr>
          <w:color w:val="000000" w:themeColor="text1"/>
        </w:rPr>
        <w:t xml:space="preserve">, </w:t>
      </w:r>
      <w:r w:rsidR="00C50746">
        <w:rPr>
          <w:color w:val="000000" w:themeColor="text1"/>
        </w:rPr>
        <w:t xml:space="preserve">approved JCB1 claims </w:t>
      </w:r>
      <w:r>
        <w:rPr>
          <w:color w:val="000000" w:themeColor="text1"/>
        </w:rPr>
        <w:t>were</w:t>
      </w:r>
      <w:r w:rsidR="00612103">
        <w:rPr>
          <w:color w:val="000000" w:themeColor="text1"/>
        </w:rPr>
        <w:t xml:space="preserve"> less predominant</w:t>
      </w:r>
      <w:r w:rsidR="00C50746">
        <w:rPr>
          <w:color w:val="000000" w:themeColor="text1"/>
        </w:rPr>
        <w:t xml:space="preserve"> in ‘Construction’ and ‘Education and training’ and more likely in ‘Administrative and support services’ and ‘Retail trade’</w:t>
      </w:r>
      <w:r w:rsidR="0089748E" w:rsidRPr="0089748E">
        <w:rPr>
          <w:color w:val="000000" w:themeColor="text1"/>
        </w:rPr>
        <w:t xml:space="preserve"> </w:t>
      </w:r>
      <w:r w:rsidR="0089748E" w:rsidRPr="005C2B87">
        <w:t xml:space="preserve">(Attachment </w:t>
      </w:r>
      <w:r w:rsidR="00E04394">
        <w:t>F</w:t>
      </w:r>
      <w:r w:rsidR="0089748E" w:rsidRPr="005C2B87">
        <w:t xml:space="preserve">, </w:t>
      </w:r>
      <w:hyperlink w:anchor="Title_F17" w:history="1">
        <w:r w:rsidR="000D4E88" w:rsidRPr="00F84289">
          <w:rPr>
            <w:rStyle w:val="Hyperlink"/>
          </w:rPr>
          <w:t>Table F.18</w:t>
        </w:r>
      </w:hyperlink>
      <w:r w:rsidR="0089748E" w:rsidRPr="005C2B87">
        <w:t>)</w:t>
      </w:r>
      <w:bookmarkStart w:id="202" w:name="Place_F18"/>
      <w:bookmarkEnd w:id="202"/>
      <w:r>
        <w:rPr>
          <w:color w:val="000000" w:themeColor="text1"/>
        </w:rPr>
        <w:t>.</w:t>
      </w:r>
      <w:r w:rsidR="00764799" w:rsidRPr="00764799">
        <w:rPr>
          <w:rStyle w:val="FootnoteReference"/>
          <w:b/>
          <w:color w:val="000000" w:themeColor="text1"/>
        </w:rPr>
        <w:t xml:space="preserve"> </w:t>
      </w:r>
      <w:r w:rsidR="00764799" w:rsidRPr="00C54A19">
        <w:rPr>
          <w:rStyle w:val="FootnoteReference"/>
          <w:b/>
          <w:color w:val="000000" w:themeColor="text1"/>
        </w:rPr>
        <w:footnoteReference w:id="75"/>
      </w:r>
      <w:r w:rsidR="00764799">
        <w:rPr>
          <w:b/>
          <w:color w:val="000000" w:themeColor="text1"/>
        </w:rPr>
        <w:t xml:space="preserve"> </w:t>
      </w:r>
      <w:r w:rsidR="00C50746">
        <w:rPr>
          <w:rStyle w:val="FootnoteReference"/>
          <w:color w:val="000000" w:themeColor="text1"/>
        </w:rPr>
        <w:footnoteReference w:id="76"/>
      </w:r>
      <w:r w:rsidR="00C50746">
        <w:rPr>
          <w:color w:val="000000" w:themeColor="text1"/>
        </w:rPr>
        <w:t xml:space="preserve"> This differen</w:t>
      </w:r>
      <w:r w:rsidR="001F3BFE">
        <w:rPr>
          <w:color w:val="000000" w:themeColor="text1"/>
        </w:rPr>
        <w:t xml:space="preserve">ce is likely </w:t>
      </w:r>
      <w:r>
        <w:rPr>
          <w:color w:val="000000" w:themeColor="text1"/>
        </w:rPr>
        <w:t>due to</w:t>
      </w:r>
      <w:r w:rsidR="00C50746">
        <w:rPr>
          <w:color w:val="000000" w:themeColor="text1"/>
        </w:rPr>
        <w:t xml:space="preserve"> a combination of factors including:</w:t>
      </w:r>
    </w:p>
    <w:p w:rsidR="00C50746" w:rsidRDefault="00C50746" w:rsidP="00A16659">
      <w:pPr>
        <w:pStyle w:val="ListParagraph"/>
        <w:numPr>
          <w:ilvl w:val="0"/>
          <w:numId w:val="37"/>
        </w:numPr>
        <w:rPr>
          <w:color w:val="000000" w:themeColor="text1"/>
        </w:rPr>
      </w:pPr>
      <w:r>
        <w:rPr>
          <w:color w:val="000000" w:themeColor="text1"/>
        </w:rPr>
        <w:t xml:space="preserve">a differing </w:t>
      </w:r>
      <w:r w:rsidRPr="000B1430">
        <w:rPr>
          <w:color w:val="000000" w:themeColor="text1"/>
        </w:rPr>
        <w:t xml:space="preserve">gender mix </w:t>
      </w:r>
      <w:r>
        <w:rPr>
          <w:color w:val="000000" w:themeColor="text1"/>
        </w:rPr>
        <w:t>of</w:t>
      </w:r>
      <w:r w:rsidRPr="000B1430">
        <w:rPr>
          <w:color w:val="000000" w:themeColor="text1"/>
        </w:rPr>
        <w:t xml:space="preserve"> approved JCB claims compared with the </w:t>
      </w:r>
      <w:r>
        <w:rPr>
          <w:color w:val="000000" w:themeColor="text1"/>
        </w:rPr>
        <w:t xml:space="preserve">Australian </w:t>
      </w:r>
      <w:r w:rsidRPr="000B1430">
        <w:rPr>
          <w:color w:val="000000" w:themeColor="text1"/>
        </w:rPr>
        <w:t xml:space="preserve">labour force </w:t>
      </w:r>
      <w:r w:rsidR="00F1247B">
        <w:rPr>
          <w:color w:val="000000" w:themeColor="text1"/>
        </w:rPr>
        <w:t>for this age group</w:t>
      </w:r>
    </w:p>
    <w:p w:rsidR="00C50746" w:rsidRPr="000B1430" w:rsidRDefault="00C50746" w:rsidP="00A16659">
      <w:pPr>
        <w:pStyle w:val="ListParagraph"/>
        <w:numPr>
          <w:ilvl w:val="0"/>
          <w:numId w:val="37"/>
        </w:numPr>
        <w:rPr>
          <w:color w:val="000000" w:themeColor="text1"/>
        </w:rPr>
      </w:pPr>
      <w:r>
        <w:rPr>
          <w:color w:val="000000" w:themeColor="text1"/>
        </w:rPr>
        <w:t>t</w:t>
      </w:r>
      <w:r w:rsidRPr="000B1430">
        <w:rPr>
          <w:color w:val="000000" w:themeColor="text1"/>
        </w:rPr>
        <w:t>he age range of applicants compared to the labour force</w:t>
      </w:r>
      <w:r>
        <w:rPr>
          <w:color w:val="000000" w:themeColor="text1"/>
        </w:rPr>
        <w:t xml:space="preserve"> (53.4 per cent of approved claims were for people aged under 25 years compared </w:t>
      </w:r>
      <w:r w:rsidR="00540555">
        <w:rPr>
          <w:color w:val="000000" w:themeColor="text1"/>
        </w:rPr>
        <w:t>with 17.3 per cent of</w:t>
      </w:r>
      <w:r>
        <w:rPr>
          <w:color w:val="000000" w:themeColor="text1"/>
        </w:rPr>
        <w:t xml:space="preserve"> the </w:t>
      </w:r>
      <w:r w:rsidR="00542AD3">
        <w:rPr>
          <w:color w:val="000000" w:themeColor="text1"/>
        </w:rPr>
        <w:t xml:space="preserve">Australian </w:t>
      </w:r>
      <w:r>
        <w:rPr>
          <w:color w:val="000000" w:themeColor="text1"/>
        </w:rPr>
        <w:t>labour force</w:t>
      </w:r>
      <w:r w:rsidR="00540555">
        <w:rPr>
          <w:rStyle w:val="FootnoteReference"/>
          <w:color w:val="000000" w:themeColor="text1"/>
        </w:rPr>
        <w:footnoteReference w:id="77"/>
      </w:r>
      <w:r>
        <w:rPr>
          <w:color w:val="000000" w:themeColor="text1"/>
        </w:rPr>
        <w:t>)</w:t>
      </w:r>
    </w:p>
    <w:p w:rsidR="00C50746" w:rsidRDefault="00876306" w:rsidP="00A16659">
      <w:pPr>
        <w:pStyle w:val="ListParagraph"/>
        <w:numPr>
          <w:ilvl w:val="0"/>
          <w:numId w:val="37"/>
        </w:numPr>
        <w:rPr>
          <w:color w:val="000000" w:themeColor="text1"/>
        </w:rPr>
      </w:pPr>
      <w:r>
        <w:rPr>
          <w:color w:val="000000" w:themeColor="text1"/>
        </w:rPr>
        <w:t xml:space="preserve">JCB </w:t>
      </w:r>
      <w:r w:rsidR="00C50746">
        <w:rPr>
          <w:color w:val="000000" w:themeColor="text1"/>
        </w:rPr>
        <w:t>applicants had all been long</w:t>
      </w:r>
      <w:r>
        <w:rPr>
          <w:color w:val="000000" w:themeColor="text1"/>
        </w:rPr>
        <w:t>-</w:t>
      </w:r>
      <w:r w:rsidR="00C50746">
        <w:rPr>
          <w:color w:val="000000" w:themeColor="text1"/>
        </w:rPr>
        <w:t xml:space="preserve">term unemployed </w:t>
      </w:r>
      <w:r>
        <w:rPr>
          <w:color w:val="000000" w:themeColor="text1"/>
        </w:rPr>
        <w:t>which</w:t>
      </w:r>
      <w:r w:rsidR="00C50746">
        <w:rPr>
          <w:color w:val="000000" w:themeColor="text1"/>
        </w:rPr>
        <w:t xml:space="preserve"> </w:t>
      </w:r>
      <w:r w:rsidR="001F3BFE">
        <w:rPr>
          <w:color w:val="000000" w:themeColor="text1"/>
        </w:rPr>
        <w:t>would likely</w:t>
      </w:r>
      <w:r w:rsidR="00C50746">
        <w:rPr>
          <w:color w:val="000000" w:themeColor="text1"/>
        </w:rPr>
        <w:t xml:space="preserve"> affect the type of industries </w:t>
      </w:r>
      <w:r w:rsidR="001F3BFE">
        <w:rPr>
          <w:color w:val="000000" w:themeColor="text1"/>
        </w:rPr>
        <w:t xml:space="preserve">in which </w:t>
      </w:r>
      <w:r w:rsidR="00C50746">
        <w:rPr>
          <w:color w:val="000000" w:themeColor="text1"/>
        </w:rPr>
        <w:t>they seek and obtain work</w:t>
      </w:r>
    </w:p>
    <w:p w:rsidR="00C50746" w:rsidRDefault="00C50746" w:rsidP="00A16659">
      <w:pPr>
        <w:pStyle w:val="ListParagraph"/>
        <w:numPr>
          <w:ilvl w:val="0"/>
          <w:numId w:val="37"/>
        </w:numPr>
        <w:rPr>
          <w:color w:val="000000" w:themeColor="text1"/>
        </w:rPr>
      </w:pPr>
      <w:r>
        <w:rPr>
          <w:color w:val="000000" w:themeColor="text1"/>
        </w:rPr>
        <w:t xml:space="preserve">the highest level of education </w:t>
      </w:r>
      <w:r w:rsidR="00EC5BBD">
        <w:rPr>
          <w:color w:val="000000" w:themeColor="text1"/>
        </w:rPr>
        <w:t xml:space="preserve">profile </w:t>
      </w:r>
      <w:r>
        <w:rPr>
          <w:color w:val="000000" w:themeColor="text1"/>
        </w:rPr>
        <w:t>of bonus applicants differs from the general labour force</w:t>
      </w:r>
      <w:r w:rsidR="00EC5BBD">
        <w:rPr>
          <w:color w:val="000000" w:themeColor="text1"/>
        </w:rPr>
        <w:t>.</w:t>
      </w:r>
    </w:p>
    <w:p w:rsidR="00C50746" w:rsidRPr="00262C12" w:rsidRDefault="001F3BFE" w:rsidP="00C50746">
      <w:pPr>
        <w:rPr>
          <w:color w:val="000000" w:themeColor="text1"/>
        </w:rPr>
      </w:pPr>
      <w:r>
        <w:rPr>
          <w:color w:val="000000" w:themeColor="text1"/>
        </w:rPr>
        <w:t>A</w:t>
      </w:r>
      <w:r w:rsidR="00ED50FE">
        <w:rPr>
          <w:color w:val="000000" w:themeColor="text1"/>
        </w:rPr>
        <w:t xml:space="preserve">ll approved </w:t>
      </w:r>
      <w:r w:rsidR="00C50746">
        <w:rPr>
          <w:color w:val="000000" w:themeColor="text1"/>
        </w:rPr>
        <w:t>applicants ha</w:t>
      </w:r>
      <w:r w:rsidR="00ED50FE">
        <w:rPr>
          <w:color w:val="000000" w:themeColor="text1"/>
        </w:rPr>
        <w:t xml:space="preserve">d </w:t>
      </w:r>
      <w:r>
        <w:rPr>
          <w:color w:val="000000" w:themeColor="text1"/>
        </w:rPr>
        <w:t xml:space="preserve">also </w:t>
      </w:r>
      <w:r w:rsidR="00C50746">
        <w:rPr>
          <w:color w:val="000000" w:themeColor="text1"/>
        </w:rPr>
        <w:t>sustained employment for at least 12 months, whereas the Australian average data relates to</w:t>
      </w:r>
      <w:r w:rsidR="00ED50FE">
        <w:rPr>
          <w:color w:val="000000" w:themeColor="text1"/>
        </w:rPr>
        <w:t xml:space="preserve"> </w:t>
      </w:r>
      <w:r>
        <w:rPr>
          <w:color w:val="000000" w:themeColor="text1"/>
        </w:rPr>
        <w:t xml:space="preserve">people </w:t>
      </w:r>
      <w:r w:rsidR="00C50746">
        <w:rPr>
          <w:color w:val="000000" w:themeColor="text1"/>
        </w:rPr>
        <w:t xml:space="preserve">employed in the labour force, not all of </w:t>
      </w:r>
      <w:r>
        <w:rPr>
          <w:color w:val="000000" w:themeColor="text1"/>
        </w:rPr>
        <w:t xml:space="preserve">whom </w:t>
      </w:r>
      <w:r w:rsidR="00C50746">
        <w:rPr>
          <w:color w:val="000000" w:themeColor="text1"/>
        </w:rPr>
        <w:t xml:space="preserve">would be in </w:t>
      </w:r>
      <w:r w:rsidR="000E4A72">
        <w:rPr>
          <w:color w:val="000000" w:themeColor="text1"/>
        </w:rPr>
        <w:t xml:space="preserve">sustained </w:t>
      </w:r>
      <w:r w:rsidR="00C50746">
        <w:rPr>
          <w:color w:val="000000" w:themeColor="text1"/>
        </w:rPr>
        <w:t>employment.</w:t>
      </w:r>
    </w:p>
    <w:p w:rsidR="005A2911" w:rsidRDefault="005A2911" w:rsidP="005A2911">
      <w:pPr>
        <w:spacing w:before="240"/>
        <w:rPr>
          <w:color w:val="000000" w:themeColor="text1"/>
        </w:rPr>
      </w:pPr>
      <w:r>
        <w:rPr>
          <w:color w:val="000000" w:themeColor="text1"/>
        </w:rPr>
        <w:t xml:space="preserve">There </w:t>
      </w:r>
      <w:r w:rsidR="00ED50FE">
        <w:rPr>
          <w:color w:val="000000" w:themeColor="text1"/>
        </w:rPr>
        <w:t>i</w:t>
      </w:r>
      <w:r>
        <w:rPr>
          <w:color w:val="000000" w:themeColor="text1"/>
        </w:rPr>
        <w:t xml:space="preserve">s no statistical difference found in the proportion of claims approved to people employed in service and goods-producing industries compared to the industries </w:t>
      </w:r>
      <w:r w:rsidR="00876306">
        <w:rPr>
          <w:color w:val="000000" w:themeColor="text1"/>
        </w:rPr>
        <w:t xml:space="preserve">in which </w:t>
      </w:r>
      <w:r>
        <w:rPr>
          <w:color w:val="000000" w:themeColor="text1"/>
        </w:rPr>
        <w:t>20 to 29 year old Australians are employed</w:t>
      </w:r>
      <w:r w:rsidR="000E4A72" w:rsidRPr="000E4A72">
        <w:t xml:space="preserve"> </w:t>
      </w:r>
      <w:r w:rsidR="000E4A72" w:rsidRPr="00C67F23">
        <w:t xml:space="preserve">(Attachment </w:t>
      </w:r>
      <w:r w:rsidR="00A63BE1">
        <w:t>F</w:t>
      </w:r>
      <w:r w:rsidR="000E4A72" w:rsidRPr="00C67F23">
        <w:t xml:space="preserve">, </w:t>
      </w:r>
      <w:hyperlink w:anchor="Title_F18" w:history="1">
        <w:r w:rsidR="00E76396" w:rsidRPr="00F84289">
          <w:rPr>
            <w:rStyle w:val="Hyperlink"/>
          </w:rPr>
          <w:t>Table F.19</w:t>
        </w:r>
      </w:hyperlink>
      <w:r w:rsidR="000E4A72" w:rsidRPr="00C67F23">
        <w:t>)</w:t>
      </w:r>
      <w:bookmarkStart w:id="203" w:name="Place_F19a"/>
      <w:bookmarkEnd w:id="203"/>
      <w:r>
        <w:rPr>
          <w:color w:val="000000" w:themeColor="text1"/>
        </w:rPr>
        <w:t>.</w:t>
      </w:r>
    </w:p>
    <w:p w:rsidR="00494422" w:rsidRPr="003A4B00" w:rsidRDefault="00C50746" w:rsidP="00494422">
      <w:pPr>
        <w:pStyle w:val="Heading2"/>
      </w:pPr>
      <w:bookmarkStart w:id="204" w:name="_Toc507600250"/>
      <w:r>
        <w:lastRenderedPageBreak/>
        <w:t>4.</w:t>
      </w:r>
      <w:r w:rsidR="00160A9E">
        <w:t>4</w:t>
      </w:r>
      <w:r w:rsidR="00494422" w:rsidRPr="003A4B00">
        <w:tab/>
      </w:r>
      <w:r w:rsidR="001E0185" w:rsidRPr="003A4B00">
        <w:t>Impact on s</w:t>
      </w:r>
      <w:r w:rsidR="00494422" w:rsidRPr="003A4B00">
        <w:t>ustain</w:t>
      </w:r>
      <w:r w:rsidR="00613901" w:rsidRPr="003A4B00">
        <w:t>ed</w:t>
      </w:r>
      <w:r w:rsidR="00494422" w:rsidRPr="003A4B00">
        <w:t xml:space="preserve"> employment</w:t>
      </w:r>
      <w:bookmarkEnd w:id="196"/>
      <w:bookmarkEnd w:id="204"/>
    </w:p>
    <w:p w:rsidR="00C14DAC" w:rsidRPr="0018315C" w:rsidRDefault="00C14DAC" w:rsidP="00C14DAC">
      <w:pPr>
        <w:keepNext/>
        <w:pBdr>
          <w:top w:val="single" w:sz="4" w:space="1" w:color="auto"/>
          <w:left w:val="single" w:sz="4" w:space="4" w:color="auto"/>
          <w:bottom w:val="single" w:sz="4" w:space="1" w:color="auto"/>
          <w:right w:val="single" w:sz="4" w:space="4" w:color="auto"/>
        </w:pBdr>
        <w:shd w:val="clear" w:color="auto" w:fill="FDCBA0"/>
        <w:spacing w:after="120"/>
        <w:rPr>
          <w:rStyle w:val="Strong"/>
        </w:rPr>
      </w:pPr>
      <w:r w:rsidRPr="0018315C">
        <w:rPr>
          <w:rStyle w:val="Strong"/>
        </w:rPr>
        <w:t>Highlights</w:t>
      </w:r>
    </w:p>
    <w:p w:rsidR="009460B7" w:rsidRDefault="009460B7" w:rsidP="009460B7">
      <w:pPr>
        <w:keepNext/>
        <w:pBdr>
          <w:top w:val="single" w:sz="4" w:space="1" w:color="auto"/>
          <w:left w:val="single" w:sz="4" w:space="4" w:color="auto"/>
          <w:bottom w:val="single" w:sz="4" w:space="1" w:color="auto"/>
          <w:right w:val="single" w:sz="4" w:space="4" w:color="auto"/>
        </w:pBdr>
        <w:shd w:val="clear" w:color="auto" w:fill="FDCBA0"/>
        <w:spacing w:before="120" w:after="0"/>
        <w:rPr>
          <w:color w:val="000000" w:themeColor="text1"/>
        </w:rPr>
      </w:pPr>
      <w:r>
        <w:rPr>
          <w:color w:val="000000" w:themeColor="text1"/>
        </w:rPr>
        <w:t>Qualitative research indicate</w:t>
      </w:r>
      <w:r w:rsidR="00C25494">
        <w:rPr>
          <w:color w:val="000000" w:themeColor="text1"/>
        </w:rPr>
        <w:t>s</w:t>
      </w:r>
      <w:r>
        <w:rPr>
          <w:color w:val="000000" w:themeColor="text1"/>
        </w:rPr>
        <w:t xml:space="preserve"> that the JCB </w:t>
      </w:r>
      <w:r w:rsidR="00C25494">
        <w:rPr>
          <w:color w:val="000000" w:themeColor="text1"/>
        </w:rPr>
        <w:t xml:space="preserve">had </w:t>
      </w:r>
      <w:r w:rsidR="000E4A72">
        <w:rPr>
          <w:color w:val="000000" w:themeColor="text1"/>
        </w:rPr>
        <w:t xml:space="preserve">greater </w:t>
      </w:r>
      <w:r>
        <w:rPr>
          <w:color w:val="000000" w:themeColor="text1"/>
        </w:rPr>
        <w:t xml:space="preserve">potential to </w:t>
      </w:r>
      <w:r w:rsidR="00C720E4">
        <w:rPr>
          <w:color w:val="000000" w:themeColor="text1"/>
        </w:rPr>
        <w:t>affect</w:t>
      </w:r>
      <w:r>
        <w:rPr>
          <w:color w:val="000000" w:themeColor="text1"/>
        </w:rPr>
        <w:t xml:space="preserve"> people’s behaviour in sustaining exits rather than </w:t>
      </w:r>
      <w:r w:rsidR="00C25494">
        <w:rPr>
          <w:color w:val="000000" w:themeColor="text1"/>
        </w:rPr>
        <w:t xml:space="preserve">in </w:t>
      </w:r>
      <w:r>
        <w:rPr>
          <w:color w:val="000000" w:themeColor="text1"/>
        </w:rPr>
        <w:t>job search.</w:t>
      </w:r>
    </w:p>
    <w:p w:rsidR="009460B7" w:rsidRDefault="006B010F" w:rsidP="006B010F">
      <w:pPr>
        <w:keepNext/>
        <w:pBdr>
          <w:top w:val="single" w:sz="4" w:space="1" w:color="auto"/>
          <w:left w:val="single" w:sz="4" w:space="4" w:color="auto"/>
          <w:bottom w:val="single" w:sz="4" w:space="1" w:color="auto"/>
          <w:right w:val="single" w:sz="4" w:space="4" w:color="auto"/>
        </w:pBdr>
        <w:shd w:val="clear" w:color="auto" w:fill="FDCBA0"/>
        <w:spacing w:before="120" w:after="0"/>
      </w:pPr>
      <w:r>
        <w:rPr>
          <w:color w:val="000000" w:themeColor="text1"/>
        </w:rPr>
        <w:t xml:space="preserve">The analyses </w:t>
      </w:r>
      <w:r w:rsidR="006A1048">
        <w:rPr>
          <w:color w:val="000000" w:themeColor="text1"/>
        </w:rPr>
        <w:t>in</w:t>
      </w:r>
      <w:r w:rsidR="00304CC1">
        <w:rPr>
          <w:color w:val="000000" w:themeColor="text1"/>
        </w:rPr>
        <w:t xml:space="preserve"> this section</w:t>
      </w:r>
      <w:r w:rsidR="00904A79">
        <w:rPr>
          <w:color w:val="000000" w:themeColor="text1"/>
        </w:rPr>
        <w:t xml:space="preserve"> </w:t>
      </w:r>
      <w:r>
        <w:rPr>
          <w:color w:val="000000" w:themeColor="text1"/>
        </w:rPr>
        <w:t>do not find</w:t>
      </w:r>
      <w:r w:rsidR="00C5759E">
        <w:rPr>
          <w:color w:val="000000" w:themeColor="text1"/>
        </w:rPr>
        <w:t xml:space="preserve"> evidence</w:t>
      </w:r>
      <w:r w:rsidR="009460B7">
        <w:rPr>
          <w:color w:val="000000" w:themeColor="text1"/>
        </w:rPr>
        <w:t xml:space="preserve"> of</w:t>
      </w:r>
      <w:r w:rsidR="009460B7" w:rsidRPr="009460B7">
        <w:rPr>
          <w:color w:val="000000" w:themeColor="text1"/>
        </w:rPr>
        <w:t xml:space="preserve"> </w:t>
      </w:r>
      <w:r w:rsidR="0014075A">
        <w:rPr>
          <w:color w:val="000000" w:themeColor="text1"/>
        </w:rPr>
        <w:t>a</w:t>
      </w:r>
      <w:r w:rsidR="00C5759E">
        <w:rPr>
          <w:color w:val="000000" w:themeColor="text1"/>
        </w:rPr>
        <w:t xml:space="preserve"> JCB</w:t>
      </w:r>
      <w:r w:rsidR="0014075A">
        <w:rPr>
          <w:color w:val="000000" w:themeColor="text1"/>
        </w:rPr>
        <w:t xml:space="preserve"> </w:t>
      </w:r>
      <w:r w:rsidR="009460B7" w:rsidRPr="009460B7">
        <w:rPr>
          <w:color w:val="000000" w:themeColor="text1"/>
        </w:rPr>
        <w:t>i</w:t>
      </w:r>
      <w:r w:rsidR="009460B7">
        <w:rPr>
          <w:color w:val="000000" w:themeColor="text1"/>
        </w:rPr>
        <w:t xml:space="preserve">mpact on how </w:t>
      </w:r>
      <w:r w:rsidR="00C25494">
        <w:rPr>
          <w:color w:val="000000" w:themeColor="text1"/>
        </w:rPr>
        <w:t xml:space="preserve">long </w:t>
      </w:r>
      <w:r w:rsidR="009460B7">
        <w:rPr>
          <w:color w:val="000000" w:themeColor="text1"/>
        </w:rPr>
        <w:t>exits from income support were sustained</w:t>
      </w:r>
      <w:r w:rsidR="00056364">
        <w:rPr>
          <w:color w:val="000000" w:themeColor="text1"/>
        </w:rPr>
        <w:t>.</w:t>
      </w:r>
      <w:r>
        <w:rPr>
          <w:rStyle w:val="FootnoteReference"/>
          <w:color w:val="000000" w:themeColor="text1"/>
        </w:rPr>
        <w:footnoteReference w:id="78"/>
      </w:r>
    </w:p>
    <w:p w:rsidR="00B901DB" w:rsidRPr="00B83C41" w:rsidRDefault="00B83C41" w:rsidP="00F239FA">
      <w:pPr>
        <w:pStyle w:val="Heading3"/>
        <w:spacing w:after="120"/>
      </w:pPr>
      <w:r w:rsidRPr="00B83C41">
        <w:t>4.</w:t>
      </w:r>
      <w:r w:rsidR="00160A9E">
        <w:t>4</w:t>
      </w:r>
      <w:r w:rsidRPr="00B83C41">
        <w:t>.1</w:t>
      </w:r>
      <w:r w:rsidRPr="00B83C41">
        <w:tab/>
      </w:r>
      <w:r w:rsidR="00B901DB" w:rsidRPr="00B83C41">
        <w:t>Sustained exit from income support</w:t>
      </w:r>
    </w:p>
    <w:p w:rsidR="00ED0715" w:rsidRDefault="0086327A" w:rsidP="00246FFA">
      <w:pPr>
        <w:spacing w:before="120"/>
        <w:rPr>
          <w:color w:val="000000" w:themeColor="text1"/>
        </w:rPr>
      </w:pPr>
      <w:r>
        <w:rPr>
          <w:color w:val="000000" w:themeColor="text1"/>
        </w:rPr>
        <w:t>In this section,</w:t>
      </w:r>
      <w:r w:rsidR="00ED0715">
        <w:rPr>
          <w:color w:val="000000" w:themeColor="text1"/>
        </w:rPr>
        <w:t xml:space="preserve"> quant</w:t>
      </w:r>
      <w:r w:rsidR="00197BC1">
        <w:rPr>
          <w:color w:val="000000" w:themeColor="text1"/>
        </w:rPr>
        <w:t>it</w:t>
      </w:r>
      <w:r w:rsidR="00ED0715">
        <w:rPr>
          <w:color w:val="000000" w:themeColor="text1"/>
        </w:rPr>
        <w:t xml:space="preserve">ative and qualitative evidence </w:t>
      </w:r>
      <w:r w:rsidR="00197BC1">
        <w:rPr>
          <w:color w:val="000000" w:themeColor="text1"/>
        </w:rPr>
        <w:t>are</w:t>
      </w:r>
      <w:r w:rsidR="00ED0715">
        <w:rPr>
          <w:color w:val="000000" w:themeColor="text1"/>
        </w:rPr>
        <w:t xml:space="preserve"> combined to assess the </w:t>
      </w:r>
      <w:r w:rsidR="00C720E4">
        <w:rPr>
          <w:color w:val="000000" w:themeColor="text1"/>
        </w:rPr>
        <w:t xml:space="preserve">effect of the </w:t>
      </w:r>
      <w:r w:rsidR="00ED0715">
        <w:rPr>
          <w:color w:val="000000" w:themeColor="text1"/>
        </w:rPr>
        <w:t>JCB on sustain</w:t>
      </w:r>
      <w:r w:rsidR="00876306">
        <w:rPr>
          <w:color w:val="000000" w:themeColor="text1"/>
        </w:rPr>
        <w:t>ed</w:t>
      </w:r>
      <w:r w:rsidR="00ED0715">
        <w:rPr>
          <w:color w:val="000000" w:themeColor="text1"/>
        </w:rPr>
        <w:t xml:space="preserve"> employment.</w:t>
      </w:r>
    </w:p>
    <w:p w:rsidR="009B7B05" w:rsidRDefault="009B7B05" w:rsidP="009B7B05">
      <w:pPr>
        <w:pStyle w:val="QuotationJCB"/>
      </w:pPr>
      <w:r>
        <w:t>I definitely wouldn’t say it’s an incentive to get a job, but like me, and like him, if we are already in the job, then yeah, we are more likely to stay. But if I wasn’t working now and someone said hey, if I knew about the bonus, I probably wouldn’t rush out having that bonus in mind, it would mor</w:t>
      </w:r>
      <w:r w:rsidR="00F1247B">
        <w:t>e just be my own peace of mind.</w:t>
      </w:r>
    </w:p>
    <w:p w:rsidR="009B7B05" w:rsidRPr="000702DA" w:rsidRDefault="002361DB" w:rsidP="004968D9">
      <w:pPr>
        <w:pStyle w:val="quopteJCB-source"/>
        <w:spacing w:before="0"/>
      </w:pPr>
      <w:r>
        <w:t>October 2016 (Round 3),</w:t>
      </w:r>
      <w:r w:rsidR="00AD60DE">
        <w:t xml:space="preserve"> received JCB</w:t>
      </w:r>
      <w:r w:rsidR="003C2BE5">
        <w:t>, focus group, Sydney</w:t>
      </w:r>
    </w:p>
    <w:p w:rsidR="009A757F" w:rsidRDefault="00B47B3A" w:rsidP="009A757F">
      <w:pPr>
        <w:tabs>
          <w:tab w:val="left" w:pos="227"/>
        </w:tabs>
        <w:suppressAutoHyphens/>
        <w:autoSpaceDE w:val="0"/>
        <w:autoSpaceDN w:val="0"/>
        <w:adjustRightInd w:val="0"/>
        <w:spacing w:before="20" w:after="198" w:line="300" w:lineRule="atLeast"/>
        <w:textAlignment w:val="center"/>
        <w:rPr>
          <w:color w:val="000000" w:themeColor="text1"/>
        </w:rPr>
      </w:pPr>
      <w:r>
        <w:t xml:space="preserve">As in </w:t>
      </w:r>
      <w:r w:rsidR="00EB644B">
        <w:t>S</w:t>
      </w:r>
      <w:r>
        <w:t>ection 4.</w:t>
      </w:r>
      <w:r w:rsidR="00EB644B">
        <w:t>2</w:t>
      </w:r>
      <w:r>
        <w:t>, study populations</w:t>
      </w:r>
      <w:r>
        <w:rPr>
          <w:rStyle w:val="FootnoteReference"/>
        </w:rPr>
        <w:footnoteReference w:id="79"/>
      </w:r>
      <w:r>
        <w:t xml:space="preserve"> are used for th</w:t>
      </w:r>
      <w:r w:rsidR="00876306">
        <w:t>is</w:t>
      </w:r>
      <w:r>
        <w:t xml:space="preserve"> </w:t>
      </w:r>
      <w:r w:rsidR="00A94561">
        <w:rPr>
          <w:color w:val="000000" w:themeColor="text1"/>
        </w:rPr>
        <w:t>analyses</w:t>
      </w:r>
      <w:r w:rsidR="00304CC1">
        <w:rPr>
          <w:color w:val="000000" w:themeColor="text1"/>
        </w:rPr>
        <w:t xml:space="preserve"> to</w:t>
      </w:r>
      <w:r w:rsidR="009A757F">
        <w:rPr>
          <w:color w:val="000000" w:themeColor="text1"/>
        </w:rPr>
        <w:t>:</w:t>
      </w:r>
    </w:p>
    <w:p w:rsidR="009A757F" w:rsidRPr="007921D2" w:rsidRDefault="007921D2" w:rsidP="007921D2">
      <w:pPr>
        <w:tabs>
          <w:tab w:val="left" w:pos="1560"/>
          <w:tab w:val="left" w:pos="1843"/>
        </w:tabs>
        <w:suppressAutoHyphens/>
        <w:autoSpaceDE w:val="0"/>
        <w:autoSpaceDN w:val="0"/>
        <w:adjustRightInd w:val="0"/>
        <w:spacing w:before="120" w:after="198" w:line="300" w:lineRule="atLeast"/>
        <w:ind w:left="1560" w:hanging="1134"/>
        <w:textAlignment w:val="center"/>
        <w:rPr>
          <w:color w:val="000000" w:themeColor="text1"/>
        </w:rPr>
      </w:pPr>
      <w:r>
        <w:rPr>
          <w:b/>
        </w:rPr>
        <w:t>Analysis 1</w:t>
      </w:r>
      <w:r w:rsidR="00E350F7">
        <w:rPr>
          <w:b/>
        </w:rPr>
        <w:t>:</w:t>
      </w:r>
      <w:r>
        <w:rPr>
          <w:b/>
        </w:rPr>
        <w:tab/>
      </w:r>
      <w:r w:rsidR="00FA46E1">
        <w:t xml:space="preserve">Compare the </w:t>
      </w:r>
      <w:r w:rsidR="00A94561">
        <w:t>p</w:t>
      </w:r>
      <w:r w:rsidR="00ED0715" w:rsidRPr="007C4728">
        <w:t xml:space="preserve">ercentage of </w:t>
      </w:r>
      <w:r w:rsidR="0086327A" w:rsidRPr="007C4728">
        <w:t xml:space="preserve">LTU </w:t>
      </w:r>
      <w:r w:rsidR="00A94561">
        <w:t xml:space="preserve">young adults </w:t>
      </w:r>
      <w:r w:rsidR="0086327A" w:rsidRPr="007C4728">
        <w:t>who</w:t>
      </w:r>
      <w:r w:rsidR="00ED0715" w:rsidRPr="007C4728">
        <w:t xml:space="preserve"> were off income support 52</w:t>
      </w:r>
      <w:r w:rsidR="00197BC1" w:rsidRPr="007C4728">
        <w:t> </w:t>
      </w:r>
      <w:r w:rsidR="00ED0715" w:rsidRPr="007C4728">
        <w:t>weeks</w:t>
      </w:r>
      <w:r w:rsidR="009A757F" w:rsidRPr="007C4728">
        <w:t xml:space="preserve"> </w:t>
      </w:r>
      <w:r w:rsidR="00197BC1" w:rsidRPr="007C4728">
        <w:t>after exiting</w:t>
      </w:r>
      <w:r w:rsidR="00197BC1" w:rsidRPr="007921D2">
        <w:rPr>
          <w:color w:val="000000" w:themeColor="text1"/>
        </w:rPr>
        <w:t xml:space="preserve"> in</w:t>
      </w:r>
      <w:r w:rsidR="00A94561" w:rsidRPr="007921D2">
        <w:rPr>
          <w:color w:val="000000" w:themeColor="text1"/>
        </w:rPr>
        <w:t>come support</w:t>
      </w:r>
      <w:r w:rsidR="00FA46E1" w:rsidRPr="00FA46E1">
        <w:t xml:space="preserve"> </w:t>
      </w:r>
      <w:r w:rsidR="00FA46E1">
        <w:t xml:space="preserve">for young adults at the lower and higher JCB age range boundaries with those slightly older and younger using a </w:t>
      </w:r>
      <w:r w:rsidR="00BC5796">
        <w:t xml:space="preserve">Regression Discontinuity Design </w:t>
      </w:r>
      <w:r w:rsidR="00FA46E1">
        <w:t>(RDD)</w:t>
      </w:r>
      <w:r w:rsidR="00A94561" w:rsidRPr="007921D2">
        <w:rPr>
          <w:color w:val="000000" w:themeColor="text1"/>
        </w:rPr>
        <w:t>.</w:t>
      </w:r>
    </w:p>
    <w:p w:rsidR="009A757F" w:rsidRPr="007921D2" w:rsidRDefault="007921D2" w:rsidP="007921D2">
      <w:pPr>
        <w:tabs>
          <w:tab w:val="left" w:pos="1560"/>
        </w:tabs>
        <w:suppressAutoHyphens/>
        <w:autoSpaceDE w:val="0"/>
        <w:autoSpaceDN w:val="0"/>
        <w:adjustRightInd w:val="0"/>
        <w:spacing w:before="120" w:after="198" w:line="300" w:lineRule="atLeast"/>
        <w:ind w:left="1560" w:hanging="1134"/>
        <w:textAlignment w:val="center"/>
        <w:rPr>
          <w:color w:val="000000" w:themeColor="text1"/>
        </w:rPr>
      </w:pPr>
      <w:r>
        <w:rPr>
          <w:b/>
        </w:rPr>
        <w:t>Analysis 2</w:t>
      </w:r>
      <w:r w:rsidR="00E350F7">
        <w:rPr>
          <w:b/>
        </w:rPr>
        <w:t>:</w:t>
      </w:r>
      <w:r>
        <w:rPr>
          <w:b/>
        </w:rPr>
        <w:tab/>
      </w:r>
      <w:r w:rsidR="00FA46E1" w:rsidRPr="007921D2">
        <w:rPr>
          <w:color w:val="000000" w:themeColor="text1"/>
        </w:rPr>
        <w:t xml:space="preserve">Compare the </w:t>
      </w:r>
      <w:r w:rsidR="00A94561" w:rsidRPr="007921D2">
        <w:rPr>
          <w:color w:val="000000" w:themeColor="text1"/>
        </w:rPr>
        <w:t>p</w:t>
      </w:r>
      <w:r w:rsidR="009A757F" w:rsidRPr="007921D2">
        <w:rPr>
          <w:color w:val="000000" w:themeColor="text1"/>
        </w:rPr>
        <w:t xml:space="preserve">roportion </w:t>
      </w:r>
      <w:r w:rsidR="0086327A" w:rsidRPr="007921D2">
        <w:rPr>
          <w:color w:val="000000" w:themeColor="text1"/>
        </w:rPr>
        <w:t xml:space="preserve">of LTU </w:t>
      </w:r>
      <w:r w:rsidR="00A94561" w:rsidRPr="007921D2">
        <w:rPr>
          <w:color w:val="000000" w:themeColor="text1"/>
        </w:rPr>
        <w:t xml:space="preserve">young adults </w:t>
      </w:r>
      <w:r w:rsidR="009A757F" w:rsidRPr="007921D2">
        <w:rPr>
          <w:color w:val="000000" w:themeColor="text1"/>
        </w:rPr>
        <w:t xml:space="preserve">that remained off income support for </w:t>
      </w:r>
      <w:r w:rsidR="00325628" w:rsidRPr="007921D2">
        <w:rPr>
          <w:color w:val="000000" w:themeColor="text1"/>
        </w:rPr>
        <w:t>52 weeks</w:t>
      </w:r>
      <w:r w:rsidR="009A757F" w:rsidRPr="007921D2">
        <w:rPr>
          <w:color w:val="000000" w:themeColor="text1"/>
        </w:rPr>
        <w:t xml:space="preserve"> after exiting income support</w:t>
      </w:r>
      <w:r w:rsidR="00EC5BBD" w:rsidRPr="007921D2">
        <w:rPr>
          <w:color w:val="000000" w:themeColor="text1"/>
        </w:rPr>
        <w:t>, before and after the JCB was introduced</w:t>
      </w:r>
      <w:r w:rsidR="00FA46E1" w:rsidRPr="007921D2">
        <w:rPr>
          <w:color w:val="000000" w:themeColor="text1"/>
        </w:rPr>
        <w:t xml:space="preserve"> using </w:t>
      </w:r>
      <w:r w:rsidR="00BC5796">
        <w:rPr>
          <w:color w:val="000000" w:themeColor="text1"/>
        </w:rPr>
        <w:t>D</w:t>
      </w:r>
      <w:r w:rsidR="00BC5796" w:rsidRPr="007921D2">
        <w:rPr>
          <w:color w:val="000000" w:themeColor="text1"/>
        </w:rPr>
        <w:t xml:space="preserve">ifference </w:t>
      </w:r>
      <w:r w:rsidR="00FA46E1" w:rsidRPr="007921D2">
        <w:rPr>
          <w:color w:val="000000" w:themeColor="text1"/>
        </w:rPr>
        <w:t xml:space="preserve">in </w:t>
      </w:r>
      <w:r w:rsidR="00BC5796">
        <w:rPr>
          <w:color w:val="000000" w:themeColor="text1"/>
        </w:rPr>
        <w:t>D</w:t>
      </w:r>
      <w:r w:rsidR="00BC5796" w:rsidRPr="007921D2">
        <w:rPr>
          <w:color w:val="000000" w:themeColor="text1"/>
        </w:rPr>
        <w:t xml:space="preserve">ifference </w:t>
      </w:r>
      <w:r w:rsidR="00FA46E1" w:rsidRPr="007921D2">
        <w:rPr>
          <w:color w:val="000000" w:themeColor="text1"/>
        </w:rPr>
        <w:t>regression (DID)</w:t>
      </w:r>
      <w:r w:rsidR="009A757F" w:rsidRPr="007921D2">
        <w:rPr>
          <w:color w:val="000000" w:themeColor="text1"/>
        </w:rPr>
        <w:t>.</w:t>
      </w:r>
    </w:p>
    <w:p w:rsidR="00FA46E1" w:rsidRDefault="00612103" w:rsidP="00622A43">
      <w:pPr>
        <w:pStyle w:val="ListParagraph"/>
        <w:ind w:left="1560" w:hanging="1134"/>
      </w:pPr>
      <w:r>
        <w:rPr>
          <w:b/>
        </w:rPr>
        <w:t xml:space="preserve">Analysis </w:t>
      </w:r>
      <w:r w:rsidR="007921D2">
        <w:rPr>
          <w:b/>
        </w:rPr>
        <w:t>3</w:t>
      </w:r>
      <w:r w:rsidR="00FA46E1" w:rsidRPr="00622A43">
        <w:rPr>
          <w:b/>
        </w:rPr>
        <w:t>:</w:t>
      </w:r>
      <w:r w:rsidR="00FA46E1" w:rsidRPr="00622A43">
        <w:rPr>
          <w:b/>
        </w:rPr>
        <w:tab/>
      </w:r>
      <w:r w:rsidR="00EB644B" w:rsidRPr="00BC5796">
        <w:t>C</w:t>
      </w:r>
      <w:r w:rsidR="00325628" w:rsidRPr="00622A43">
        <w:t>ompare the proportion of LTU young adults that remained off income support for 104 weeks after exiting income support, before and after the JCB was introduced</w:t>
      </w:r>
      <w:r w:rsidR="00EB644B">
        <w:t xml:space="preserve"> using DID</w:t>
      </w:r>
      <w:r w:rsidR="00FA46E1" w:rsidRPr="00622A43">
        <w:t>.</w:t>
      </w:r>
    </w:p>
    <w:p w:rsidR="00BC5796" w:rsidRDefault="00BC5796" w:rsidP="00BC5796">
      <w:pPr>
        <w:spacing w:before="240"/>
      </w:pPr>
      <w:r>
        <w:t>For th</w:t>
      </w:r>
      <w:r w:rsidR="0008285C">
        <w:t xml:space="preserve">e reasons </w:t>
      </w:r>
      <w:r w:rsidR="00904A79">
        <w:t>discuss</w:t>
      </w:r>
      <w:r w:rsidR="0008285C">
        <w:t>ed in S</w:t>
      </w:r>
      <w:r>
        <w:t>ection 4.2.1 no conclusions could be drawn from analyses at the lower age boundary.</w:t>
      </w:r>
    </w:p>
    <w:p w:rsidR="00B47B3A" w:rsidRPr="003F4992" w:rsidRDefault="003F4992" w:rsidP="003F4992">
      <w:pPr>
        <w:pStyle w:val="Heading3"/>
      </w:pPr>
      <w:r>
        <w:t>4.</w:t>
      </w:r>
      <w:r w:rsidR="00160A9E">
        <w:t>4</w:t>
      </w:r>
      <w:r>
        <w:t>.2</w:t>
      </w:r>
      <w:r>
        <w:tab/>
      </w:r>
      <w:r w:rsidR="00904951">
        <w:t>O</w:t>
      </w:r>
      <w:r w:rsidR="00A94561" w:rsidRPr="003F4992">
        <w:t>ff income support 52 weeks after exiting</w:t>
      </w:r>
    </w:p>
    <w:p w:rsidR="007C4728" w:rsidRPr="007C4728" w:rsidRDefault="00B47B3A" w:rsidP="00B83C41">
      <w:r>
        <w:t>No statistically significant discontinuity is found a</w:t>
      </w:r>
      <w:r w:rsidR="007C4728" w:rsidRPr="007C4728">
        <w:t>t the</w:t>
      </w:r>
      <w:r w:rsidR="007C4728">
        <w:t xml:space="preserve"> </w:t>
      </w:r>
      <w:r w:rsidR="00BC37C7">
        <w:t>higher end of the JCB age</w:t>
      </w:r>
      <w:r w:rsidR="007C05BC">
        <w:t xml:space="preserve"> range</w:t>
      </w:r>
      <w:r w:rsidR="007C4728">
        <w:t xml:space="preserve">, indicating no </w:t>
      </w:r>
      <w:r w:rsidR="007C4728" w:rsidRPr="007C4728">
        <w:t xml:space="preserve">effect </w:t>
      </w:r>
      <w:r w:rsidR="007C4728">
        <w:t>from</w:t>
      </w:r>
      <w:r w:rsidR="007C4728" w:rsidRPr="007C4728">
        <w:t xml:space="preserve"> </w:t>
      </w:r>
      <w:r w:rsidR="00B60E3B">
        <w:t xml:space="preserve">the </w:t>
      </w:r>
      <w:r w:rsidR="007C4728" w:rsidRPr="007C4728">
        <w:t>JCB</w:t>
      </w:r>
      <w:r w:rsidR="007C4728">
        <w:t xml:space="preserve"> </w:t>
      </w:r>
      <w:r w:rsidR="00D656F8">
        <w:t>against</w:t>
      </w:r>
      <w:r w:rsidR="007C4728">
        <w:t xml:space="preserve"> this measure</w:t>
      </w:r>
      <w:r w:rsidR="00C75C61">
        <w:t>.</w:t>
      </w:r>
      <w:r w:rsidR="00EC5BBD">
        <w:t xml:space="preserve"> </w:t>
      </w:r>
      <w:r w:rsidR="00904951">
        <w:t>The measure uses RDD</w:t>
      </w:r>
      <w:r w:rsidR="00904951">
        <w:rPr>
          <w:rStyle w:val="FootnoteReference"/>
        </w:rPr>
        <w:footnoteReference w:id="80"/>
      </w:r>
      <w:r w:rsidR="00904951">
        <w:t xml:space="preserve"> to compare </w:t>
      </w:r>
      <w:r w:rsidR="00B60E3B">
        <w:t>outcome</w:t>
      </w:r>
      <w:r w:rsidR="00904951">
        <w:t xml:space="preserve"> rates of </w:t>
      </w:r>
      <w:r w:rsidR="00B60E3B">
        <w:lastRenderedPageBreak/>
        <w:t xml:space="preserve">young long-term unemployed job seekers </w:t>
      </w:r>
      <w:r w:rsidR="00904951">
        <w:t>just above and just below the age range for JCB</w:t>
      </w:r>
      <w:r w:rsidR="00F1247B">
        <w:t>.</w:t>
      </w:r>
      <w:r w:rsidR="00904951">
        <w:t>(</w:t>
      </w:r>
      <w:r w:rsidR="00764799">
        <w:t>Figure </w:t>
      </w:r>
      <w:r w:rsidR="00904951">
        <w:t>4.</w:t>
      </w:r>
      <w:r w:rsidR="00B94B93">
        <w:t>1</w:t>
      </w:r>
      <w:r w:rsidR="00E76396">
        <w:t>1</w:t>
      </w:r>
      <w:r w:rsidR="00904951">
        <w:t xml:space="preserve">) </w:t>
      </w:r>
      <w:r w:rsidR="00EC5BBD">
        <w:t>(</w:t>
      </w:r>
      <w:r w:rsidR="0072509E">
        <w:t>Attachment F</w:t>
      </w:r>
      <w:r w:rsidR="00EC5BBD">
        <w:t xml:space="preserve">, </w:t>
      </w:r>
      <w:r w:rsidR="00965FBD">
        <w:t xml:space="preserve">Table </w:t>
      </w:r>
      <w:r w:rsidR="00BC5796">
        <w:t>F</w:t>
      </w:r>
      <w:r w:rsidR="00BB1226">
        <w:t>.</w:t>
      </w:r>
      <w:r w:rsidR="00E76396">
        <w:t>20</w:t>
      </w:r>
      <w:r w:rsidR="00EC5BBD">
        <w:t>)</w:t>
      </w:r>
    </w:p>
    <w:p w:rsidR="009A757F" w:rsidRPr="00D83A7E" w:rsidRDefault="007C4728" w:rsidP="005314B7">
      <w:pPr>
        <w:pStyle w:val="FigureCaption"/>
      </w:pPr>
      <w:bookmarkStart w:id="205" w:name="_Toc507600292"/>
      <w:r>
        <w:t>Figure 4.</w:t>
      </w:r>
      <w:r w:rsidR="00B94B93">
        <w:t>1</w:t>
      </w:r>
      <w:r w:rsidR="00E76396">
        <w:t>1</w:t>
      </w:r>
      <w:r>
        <w:t xml:space="preserve">: </w:t>
      </w:r>
      <w:r w:rsidR="009A757F" w:rsidRPr="00D83A7E">
        <w:t>Percentage of young long</w:t>
      </w:r>
      <w:r w:rsidR="00B60E3B">
        <w:t>-</w:t>
      </w:r>
      <w:r w:rsidR="009A757F" w:rsidRPr="00D83A7E">
        <w:t xml:space="preserve">term unemployed job seekers </w:t>
      </w:r>
      <w:r w:rsidR="00904951">
        <w:t>who</w:t>
      </w:r>
      <w:r w:rsidR="00904951" w:rsidRPr="00D83A7E">
        <w:t xml:space="preserve"> </w:t>
      </w:r>
      <w:r w:rsidR="009A757F" w:rsidRPr="00D83A7E">
        <w:t>were off income support 52 weeks</w:t>
      </w:r>
      <w:r w:rsidR="00ED6C3C" w:rsidRPr="00D83A7E">
        <w:t xml:space="preserve"> </w:t>
      </w:r>
      <w:r w:rsidR="00197BC1" w:rsidRPr="00D83A7E">
        <w:t>after exiting income support</w:t>
      </w:r>
      <w:r w:rsidRPr="00D83A7E">
        <w:t xml:space="preserve">, </w:t>
      </w:r>
      <w:r>
        <w:t xml:space="preserve">modelled at </w:t>
      </w:r>
      <w:r w:rsidR="007C05BC">
        <w:t xml:space="preserve">the </w:t>
      </w:r>
      <w:r w:rsidR="00BC37C7">
        <w:t>higher end of the JCB age</w:t>
      </w:r>
      <w:r w:rsidR="007C05BC">
        <w:t xml:space="preserve"> range</w:t>
      </w:r>
      <w:r w:rsidRPr="00D83A7E">
        <w:t xml:space="preserve"> </w:t>
      </w:r>
      <w:r w:rsidR="0086327A" w:rsidRPr="00D83A7E">
        <w:t>(per cent)</w:t>
      </w:r>
      <w:bookmarkEnd w:id="205"/>
    </w:p>
    <w:p w:rsidR="009A757F" w:rsidRDefault="00B47B3A" w:rsidP="00B83C41">
      <w:pPr>
        <w:rPr>
          <w:color w:val="000000" w:themeColor="text1"/>
        </w:rPr>
      </w:pPr>
      <w:r w:rsidRPr="00B47B3A">
        <w:rPr>
          <w:noProof/>
          <w:lang w:eastAsia="en-AU"/>
        </w:rPr>
        <w:drawing>
          <wp:inline distT="0" distB="0" distL="0" distR="0" wp14:anchorId="5DB0077D" wp14:editId="451C4111">
            <wp:extent cx="5669280" cy="4183380"/>
            <wp:effectExtent l="0" t="0" r="7620" b="7620"/>
            <wp:docPr id="30" name="Picture 30" descr="Figure showing the linear model fit to the results (shown by the bars) of the proportion of people that were still off income support 52 weeks after exiting income support, by the age of the person when they became LTU. The linear model regression line does not vary significantly at the JCB age boundary (31 years) meaning a regression discontinuity (between those in and outside of the JCB age cohort range) was not found at this cut-off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669280" cy="4183380"/>
                    </a:xfrm>
                    <a:prstGeom prst="rect">
                      <a:avLst/>
                    </a:prstGeom>
                    <a:noFill/>
                    <a:ln>
                      <a:noFill/>
                    </a:ln>
                  </pic:spPr>
                </pic:pic>
              </a:graphicData>
            </a:graphic>
          </wp:inline>
        </w:drawing>
      </w:r>
    </w:p>
    <w:p w:rsidR="00695457" w:rsidRPr="00D322C8" w:rsidRDefault="00695457" w:rsidP="00695457">
      <w:pPr>
        <w:pStyle w:val="Source"/>
        <w:rPr>
          <w:b w:val="0"/>
        </w:rPr>
      </w:pPr>
      <w:r>
        <w:t xml:space="preserve">Note: </w:t>
      </w:r>
      <w:r>
        <w:rPr>
          <w:b w:val="0"/>
        </w:rPr>
        <w:t xml:space="preserve">Results are in Attachment F, </w:t>
      </w:r>
      <w:hyperlink w:anchor="Title_F19" w:history="1">
        <w:r w:rsidR="00E76396" w:rsidRPr="006A5B97">
          <w:rPr>
            <w:rStyle w:val="Hyperlink"/>
            <w:b w:val="0"/>
          </w:rPr>
          <w:t>Table F.</w:t>
        </w:r>
        <w:r w:rsidR="00E76396">
          <w:rPr>
            <w:rStyle w:val="Hyperlink"/>
            <w:b w:val="0"/>
          </w:rPr>
          <w:t>20</w:t>
        </w:r>
      </w:hyperlink>
      <w:r>
        <w:rPr>
          <w:b w:val="0"/>
        </w:rPr>
        <w:t>.</w:t>
      </w:r>
      <w:bookmarkStart w:id="206" w:name="Place_F19"/>
      <w:bookmarkEnd w:id="206"/>
    </w:p>
    <w:p w:rsidR="007F2BBB" w:rsidRPr="007F2BBB" w:rsidRDefault="007F2BBB" w:rsidP="007F2BBB">
      <w:pPr>
        <w:pStyle w:val="Source"/>
        <w:rPr>
          <w:b w:val="0"/>
        </w:rPr>
      </w:pPr>
      <w:r w:rsidRPr="007F2BBB">
        <w:t>Source:</w:t>
      </w:r>
      <w:r w:rsidRPr="007F2BBB">
        <w:rPr>
          <w:b w:val="0"/>
        </w:rPr>
        <w:t xml:space="preserve"> Department of Employment administrative data and Research and Evaluation dataset (RED).</w:t>
      </w:r>
    </w:p>
    <w:p w:rsidR="00F0396D" w:rsidRPr="003F4992" w:rsidRDefault="003F4992" w:rsidP="003F4992">
      <w:pPr>
        <w:pStyle w:val="Heading3"/>
      </w:pPr>
      <w:r>
        <w:t>4.</w:t>
      </w:r>
      <w:r w:rsidR="00160A9E">
        <w:t>4</w:t>
      </w:r>
      <w:r>
        <w:t>.3</w:t>
      </w:r>
      <w:r>
        <w:tab/>
      </w:r>
      <w:r w:rsidR="00904951">
        <w:t>O</w:t>
      </w:r>
      <w:r w:rsidR="00F0396D" w:rsidRPr="003F4992">
        <w:t xml:space="preserve">ff income support for </w:t>
      </w:r>
      <w:r w:rsidR="00325628" w:rsidRPr="003F4992">
        <w:t>52 weeks</w:t>
      </w:r>
    </w:p>
    <w:p w:rsidR="004272D4" w:rsidRDefault="004A325D" w:rsidP="00F0396D">
      <w:r>
        <w:t>Figure 4.</w:t>
      </w:r>
      <w:r w:rsidR="001145DC">
        <w:t>1</w:t>
      </w:r>
      <w:r w:rsidR="00E76396">
        <w:t>2</w:t>
      </w:r>
      <w:r w:rsidR="001145DC">
        <w:t xml:space="preserve"> </w:t>
      </w:r>
      <w:r>
        <w:t xml:space="preserve">shows the proportions of the study population </w:t>
      </w:r>
      <w:r w:rsidR="008065DC">
        <w:t xml:space="preserve">who </w:t>
      </w:r>
      <w:r>
        <w:t>exited income support within 180</w:t>
      </w:r>
      <w:r w:rsidR="00ED222A">
        <w:t> </w:t>
      </w:r>
      <w:r>
        <w:t xml:space="preserve">days of becoming LTU </w:t>
      </w:r>
      <w:r w:rsidR="00F0396D">
        <w:t xml:space="preserve">and </w:t>
      </w:r>
      <w:r>
        <w:t>sustained their exit for 52 weeks or more. There was an overall 2.3</w:t>
      </w:r>
      <w:r w:rsidR="00ED222A">
        <w:t> </w:t>
      </w:r>
      <w:r>
        <w:t xml:space="preserve">percentage point difference in </w:t>
      </w:r>
      <w:r w:rsidR="00B60E3B">
        <w:t xml:space="preserve">these </w:t>
      </w:r>
      <w:r>
        <w:t>rates for the overall study population (aged 18 to 65 years)</w:t>
      </w:r>
      <w:r w:rsidR="00115677">
        <w:t xml:space="preserve"> but t</w:t>
      </w:r>
      <w:r>
        <w:t>he differential was 3.4</w:t>
      </w:r>
      <w:r w:rsidR="00ED222A">
        <w:t> </w:t>
      </w:r>
      <w:r>
        <w:t>percentage points for those in the JCB age cohort.</w:t>
      </w:r>
    </w:p>
    <w:p w:rsidR="00F1247B" w:rsidRPr="00F1247B" w:rsidRDefault="004A325D" w:rsidP="00F1247B">
      <w:pPr>
        <w:pStyle w:val="FigureCaption"/>
      </w:pPr>
      <w:bookmarkStart w:id="207" w:name="_Toc507600293"/>
      <w:r w:rsidRPr="00F1247B">
        <w:lastRenderedPageBreak/>
        <w:t>Figure 4.</w:t>
      </w:r>
      <w:r w:rsidR="001145DC">
        <w:t>1</w:t>
      </w:r>
      <w:r w:rsidR="00E76396">
        <w:t>2</w:t>
      </w:r>
      <w:r w:rsidR="001145DC">
        <w:t>:</w:t>
      </w:r>
      <w:r w:rsidR="004272D4" w:rsidRPr="00F1247B">
        <w:t xml:space="preserve"> Proportion </w:t>
      </w:r>
      <w:r w:rsidRPr="00F1247B">
        <w:t>that</w:t>
      </w:r>
      <w:r w:rsidR="004272D4" w:rsidRPr="00F1247B">
        <w:t xml:space="preserve"> sustained exit</w:t>
      </w:r>
      <w:r w:rsidRPr="00F1247B">
        <w:t xml:space="preserve"> from income support for 52 weeks</w:t>
      </w:r>
      <w:r w:rsidR="004272D4" w:rsidRPr="00F1247B">
        <w:t xml:space="preserve">, before and after </w:t>
      </w:r>
      <w:r w:rsidR="00B60E3B" w:rsidRPr="00F1247B">
        <w:t xml:space="preserve">the introduction of the </w:t>
      </w:r>
      <w:r w:rsidR="004272D4" w:rsidRPr="00F1247B">
        <w:t>JCB</w:t>
      </w:r>
      <w:bookmarkEnd w:id="207"/>
    </w:p>
    <w:p w:rsidR="004272D4" w:rsidRPr="00D83A7E" w:rsidRDefault="00480100" w:rsidP="00F1247B">
      <w:r w:rsidRPr="00F1247B">
        <w:rPr>
          <w:noProof/>
          <w:lang w:eastAsia="en-AU"/>
        </w:rPr>
        <w:drawing>
          <wp:inline distT="0" distB="0" distL="0" distR="0" wp14:anchorId="67F91046" wp14:editId="58F24B3C">
            <wp:extent cx="5731510" cy="3690410"/>
            <wp:effectExtent l="0" t="0" r="2540" b="5715"/>
            <wp:docPr id="14" name="Picture 14" descr="Bar chart showing the proportion that sustained their exit from income support for 52 weeks, for those in different age groups:&#10;• Under 19 years.&#10;• 19 to 22 years.&#10;• 22 years to under 25.&#10;• 25 to 31 years.&#10;• Total for the JCB target range. &#10;• 31 to 35 years.&#10;• 35+ years.&#10;• Overall total. &#10;For each age group shown the after JCB introduction sustained exit rate was lower than the before JCB introduction sustained exit rate. For most age groups the difference between the before and after rates was noticeable, apart from those aged 19 to 22 years and 35+ years where the two rates were quite similar. There is a hyperlink to the data for this figure in the notes belo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1510" cy="3690410"/>
                    </a:xfrm>
                    <a:prstGeom prst="rect">
                      <a:avLst/>
                    </a:prstGeom>
                    <a:noFill/>
                    <a:ln>
                      <a:noFill/>
                    </a:ln>
                  </pic:spPr>
                </pic:pic>
              </a:graphicData>
            </a:graphic>
          </wp:inline>
        </w:drawing>
      </w:r>
    </w:p>
    <w:p w:rsidR="008B4BC0" w:rsidRPr="00935604" w:rsidRDefault="008B4BC0" w:rsidP="008B4BC0">
      <w:pPr>
        <w:pStyle w:val="Source"/>
        <w:rPr>
          <w:rStyle w:val="Hyperlink"/>
          <w:b w:val="0"/>
          <w:color w:val="auto"/>
          <w:u w:val="none"/>
        </w:rPr>
      </w:pPr>
      <w:r w:rsidRPr="00935604">
        <w:t xml:space="preserve">Note: </w:t>
      </w:r>
      <w:r w:rsidRPr="00935604">
        <w:rPr>
          <w:b w:val="0"/>
        </w:rPr>
        <w:t xml:space="preserve">Refer to Attachment F, </w:t>
      </w:r>
      <w:hyperlink w:anchor="Title_F20" w:history="1">
        <w:r w:rsidR="00E76396" w:rsidRPr="006A5B97">
          <w:rPr>
            <w:rStyle w:val="Hyperlink"/>
            <w:b w:val="0"/>
          </w:rPr>
          <w:t>Table F.2</w:t>
        </w:r>
        <w:r w:rsidR="00E76396">
          <w:rPr>
            <w:rStyle w:val="Hyperlink"/>
            <w:b w:val="0"/>
          </w:rPr>
          <w:t>1</w:t>
        </w:r>
      </w:hyperlink>
      <w:r>
        <w:rPr>
          <w:b w:val="0"/>
        </w:rPr>
        <w:t>.</w:t>
      </w:r>
      <w:bookmarkStart w:id="208" w:name="Place_F20"/>
      <w:bookmarkEnd w:id="208"/>
    </w:p>
    <w:p w:rsidR="00FC753A" w:rsidRPr="007F2BBB" w:rsidRDefault="00FC753A" w:rsidP="007F2BBB">
      <w:pPr>
        <w:pStyle w:val="Source"/>
        <w:rPr>
          <w:b w:val="0"/>
        </w:rPr>
      </w:pPr>
      <w:r w:rsidRPr="007F2BBB">
        <w:t>Source:</w:t>
      </w:r>
      <w:r w:rsidRPr="007F2BBB">
        <w:rPr>
          <w:b w:val="0"/>
        </w:rPr>
        <w:t xml:space="preserve"> Department of Employment administrative data and Research and Evaluation dataset (RED).</w:t>
      </w:r>
    </w:p>
    <w:p w:rsidR="004F0ADD" w:rsidRDefault="004F0ADD" w:rsidP="005C2B87">
      <w:pPr>
        <w:spacing w:before="240"/>
      </w:pPr>
      <w:r>
        <w:t xml:space="preserve">Regression analysis is used to determine if these </w:t>
      </w:r>
      <w:r w:rsidR="00115677">
        <w:t>differences are a result of differing</w:t>
      </w:r>
      <w:r>
        <w:t xml:space="preserve"> demographic </w:t>
      </w:r>
      <w:r w:rsidR="00115677">
        <w:t>profiles</w:t>
      </w:r>
      <w:r>
        <w:t xml:space="preserve"> and macro-economic conditions. Difference in difference analysis compar</w:t>
      </w:r>
      <w:r w:rsidR="00904A79">
        <w:t>es</w:t>
      </w:r>
      <w:r w:rsidR="0069351E">
        <w:t xml:space="preserve"> </w:t>
      </w:r>
      <w:r w:rsidR="007B40F6">
        <w:t>those</w:t>
      </w:r>
      <w:r>
        <w:t xml:space="preserve"> in the higher JCB age </w:t>
      </w:r>
      <w:r w:rsidR="00F0396D">
        <w:t>range</w:t>
      </w:r>
      <w:r>
        <w:t xml:space="preserve"> (25 to 30 years) to those slightly older (31 to 35 years).</w:t>
      </w:r>
    </w:p>
    <w:p w:rsidR="004F0ADD" w:rsidRDefault="004F0ADD" w:rsidP="004F0ADD">
      <w:pPr>
        <w:spacing w:before="240"/>
      </w:pPr>
      <w:r>
        <w:t>The interaction variable included in the regressions</w:t>
      </w:r>
      <w:r w:rsidR="00115677">
        <w:rPr>
          <w:rStyle w:val="FootnoteReference"/>
        </w:rPr>
        <w:footnoteReference w:id="81"/>
      </w:r>
      <w:r>
        <w:t xml:space="preserve"> is </w:t>
      </w:r>
      <w:r w:rsidR="007B40F6">
        <w:t xml:space="preserve">not </w:t>
      </w:r>
      <w:r>
        <w:t xml:space="preserve">found to be significant in terms of the probability that someone who had exited income support would sustain that exit for at least </w:t>
      </w:r>
      <w:r w:rsidR="00521A17">
        <w:t>52 </w:t>
      </w:r>
      <w:r>
        <w:t>weeks. (Attachment</w:t>
      </w:r>
      <w:r w:rsidR="00CA5CE3">
        <w:t> </w:t>
      </w:r>
      <w:r w:rsidR="0072509E">
        <w:t>F</w:t>
      </w:r>
      <w:r>
        <w:t xml:space="preserve">, </w:t>
      </w:r>
      <w:hyperlink w:anchor="Title_F21" w:history="1">
        <w:r w:rsidR="00E76396" w:rsidRPr="006A5B97">
          <w:rPr>
            <w:rStyle w:val="Hyperlink"/>
          </w:rPr>
          <w:t>Table F.2</w:t>
        </w:r>
        <w:r w:rsidR="00E76396">
          <w:rPr>
            <w:rStyle w:val="Hyperlink"/>
          </w:rPr>
          <w:t>2</w:t>
        </w:r>
      </w:hyperlink>
      <w:r w:rsidRPr="00D322C8">
        <w:t>)</w:t>
      </w:r>
      <w:bookmarkStart w:id="209" w:name="Place_F21"/>
      <w:bookmarkEnd w:id="209"/>
      <w:r w:rsidR="00115677">
        <w:t xml:space="preserve"> This indicates that the differences in proportions shown in </w:t>
      </w:r>
      <w:r w:rsidR="00296D72">
        <w:t>Figure </w:t>
      </w:r>
      <w:r w:rsidR="00115677">
        <w:t>4.</w:t>
      </w:r>
      <w:r w:rsidR="001145DC">
        <w:t>1</w:t>
      </w:r>
      <w:r w:rsidR="00E76396">
        <w:t>2</w:t>
      </w:r>
      <w:r w:rsidR="001145DC">
        <w:t xml:space="preserve"> </w:t>
      </w:r>
      <w:r w:rsidR="00115677">
        <w:t>are likely a result of different cohort composition and macroeconomic conditions.</w:t>
      </w:r>
    </w:p>
    <w:p w:rsidR="00325628" w:rsidRPr="003F4992" w:rsidRDefault="003F4992" w:rsidP="003F4992">
      <w:pPr>
        <w:pStyle w:val="Heading3"/>
      </w:pPr>
      <w:r>
        <w:t>4</w:t>
      </w:r>
      <w:r w:rsidR="00160A9E">
        <w:t>.4.</w:t>
      </w:r>
      <w:r>
        <w:t>4</w:t>
      </w:r>
      <w:r>
        <w:tab/>
      </w:r>
      <w:r w:rsidR="00115677">
        <w:t>O</w:t>
      </w:r>
      <w:r w:rsidR="00325628" w:rsidRPr="003F4992">
        <w:t>ff income support for 104 weeks</w:t>
      </w:r>
    </w:p>
    <w:p w:rsidR="007C443E" w:rsidRDefault="009449AD" w:rsidP="004F0ADD">
      <w:pPr>
        <w:spacing w:before="240"/>
        <w:rPr>
          <w:color w:val="000000" w:themeColor="text1"/>
        </w:rPr>
      </w:pPr>
      <w:r>
        <w:rPr>
          <w:color w:val="000000" w:themeColor="text1"/>
        </w:rPr>
        <w:t>An analysis s</w:t>
      </w:r>
      <w:r w:rsidR="004F0ADD">
        <w:rPr>
          <w:color w:val="000000" w:themeColor="text1"/>
        </w:rPr>
        <w:t xml:space="preserve">imilar </w:t>
      </w:r>
      <w:r>
        <w:rPr>
          <w:color w:val="000000" w:themeColor="text1"/>
        </w:rPr>
        <w:t>to that above examines whether</w:t>
      </w:r>
      <w:r w:rsidR="004F0ADD">
        <w:rPr>
          <w:color w:val="000000" w:themeColor="text1"/>
        </w:rPr>
        <w:t xml:space="preserve"> there was any </w:t>
      </w:r>
      <w:r>
        <w:rPr>
          <w:color w:val="000000" w:themeColor="text1"/>
        </w:rPr>
        <w:t>effect on</w:t>
      </w:r>
      <w:r w:rsidR="00B60E3B">
        <w:rPr>
          <w:color w:val="000000" w:themeColor="text1"/>
        </w:rPr>
        <w:t xml:space="preserve"> </w:t>
      </w:r>
      <w:r w:rsidR="004F0ADD">
        <w:rPr>
          <w:color w:val="000000" w:themeColor="text1"/>
        </w:rPr>
        <w:t xml:space="preserve">the probability that </w:t>
      </w:r>
      <w:r w:rsidR="00B60E3B">
        <w:rPr>
          <w:color w:val="000000" w:themeColor="text1"/>
        </w:rPr>
        <w:t xml:space="preserve">a young adult </w:t>
      </w:r>
      <w:r w:rsidR="004F0ADD">
        <w:rPr>
          <w:color w:val="000000" w:themeColor="text1"/>
        </w:rPr>
        <w:t>(who had been LTU)</w:t>
      </w:r>
      <w:r w:rsidR="00EE4E95">
        <w:rPr>
          <w:color w:val="000000" w:themeColor="text1"/>
        </w:rPr>
        <w:t>,</w:t>
      </w:r>
      <w:r w:rsidR="004F0ADD">
        <w:rPr>
          <w:color w:val="000000" w:themeColor="text1"/>
        </w:rPr>
        <w:t xml:space="preserve"> who had exited income support would have sustained the exit for </w:t>
      </w:r>
      <w:r w:rsidR="004F0ADD">
        <w:rPr>
          <w:color w:val="000000" w:themeColor="text1"/>
        </w:rPr>
        <w:lastRenderedPageBreak/>
        <w:t>at least two years.</w:t>
      </w:r>
      <w:r w:rsidR="009208E3">
        <w:rPr>
          <w:rStyle w:val="FootnoteReference"/>
          <w:color w:val="000000" w:themeColor="text1"/>
        </w:rPr>
        <w:footnoteReference w:id="82"/>
      </w:r>
      <w:r w:rsidR="004F0ADD">
        <w:rPr>
          <w:color w:val="000000" w:themeColor="text1"/>
        </w:rPr>
        <w:t xml:space="preserve"> For this analysis the study population was reduced to </w:t>
      </w:r>
      <w:r w:rsidR="008065DC">
        <w:rPr>
          <w:color w:val="000000" w:themeColor="text1"/>
        </w:rPr>
        <w:t xml:space="preserve">a smaller group who commenced income support in the first three months of the analysis period who </w:t>
      </w:r>
      <w:r w:rsidR="004F0ADD">
        <w:rPr>
          <w:color w:val="000000" w:themeColor="text1"/>
        </w:rPr>
        <w:t xml:space="preserve">exited income support within </w:t>
      </w:r>
      <w:r w:rsidR="008065DC">
        <w:rPr>
          <w:color w:val="000000" w:themeColor="text1"/>
        </w:rPr>
        <w:t>90 days</w:t>
      </w:r>
      <w:r w:rsidR="004F0ADD">
        <w:rPr>
          <w:color w:val="000000" w:themeColor="text1"/>
        </w:rPr>
        <w:t xml:space="preserve"> of becoming LTU</w:t>
      </w:r>
      <w:r w:rsidR="00EE4E95">
        <w:rPr>
          <w:color w:val="000000" w:themeColor="text1"/>
        </w:rPr>
        <w:t>.</w:t>
      </w:r>
      <w:r w:rsidR="004F0ADD">
        <w:rPr>
          <w:color w:val="000000" w:themeColor="text1"/>
        </w:rPr>
        <w:t xml:space="preserve"> (</w:t>
      </w:r>
      <w:r w:rsidR="00EE4E95">
        <w:rPr>
          <w:color w:val="000000" w:themeColor="text1"/>
        </w:rPr>
        <w:t>T</w:t>
      </w:r>
      <w:r>
        <w:rPr>
          <w:color w:val="000000" w:themeColor="text1"/>
        </w:rPr>
        <w:t xml:space="preserve">his was in order </w:t>
      </w:r>
      <w:r w:rsidR="004F0ADD">
        <w:rPr>
          <w:color w:val="000000" w:themeColor="text1"/>
        </w:rPr>
        <w:t>to leave a sufficiently long analysis period for two year exits from income support).</w:t>
      </w:r>
      <w:r w:rsidR="008065DC">
        <w:rPr>
          <w:rStyle w:val="FootnoteReference"/>
          <w:color w:val="000000" w:themeColor="text1"/>
        </w:rPr>
        <w:footnoteReference w:id="83"/>
      </w:r>
    </w:p>
    <w:p w:rsidR="004F0ADD" w:rsidRPr="007C443E" w:rsidRDefault="007C443E" w:rsidP="004F0ADD">
      <w:pPr>
        <w:spacing w:before="240"/>
      </w:pPr>
      <w:r>
        <w:t xml:space="preserve">There was an overall 2.9 percentage point difference in </w:t>
      </w:r>
      <w:r w:rsidR="00EE4E95">
        <w:t xml:space="preserve">these </w:t>
      </w:r>
      <w:r>
        <w:t xml:space="preserve">rates for the overall study population (aged 18 to 65 years). The differential was 3.0 percentage points for those in the JCB age cohort. </w:t>
      </w:r>
      <w:r w:rsidR="001616A0">
        <w:t>(Figure 4.</w:t>
      </w:r>
      <w:r w:rsidR="001145DC">
        <w:t>1</w:t>
      </w:r>
      <w:r w:rsidR="00E76396">
        <w:t>3</w:t>
      </w:r>
      <w:r w:rsidR="009208E3">
        <w:t>)</w:t>
      </w:r>
    </w:p>
    <w:p w:rsidR="00FC753A" w:rsidRPr="008452D0" w:rsidRDefault="001616A0" w:rsidP="009449AD">
      <w:pPr>
        <w:pStyle w:val="FigureCaption"/>
      </w:pPr>
      <w:bookmarkStart w:id="210" w:name="_Toc507600294"/>
      <w:r>
        <w:t>Figure 4.</w:t>
      </w:r>
      <w:r w:rsidR="001145DC">
        <w:t>1</w:t>
      </w:r>
      <w:r w:rsidR="00E76396">
        <w:t>3</w:t>
      </w:r>
      <w:r w:rsidR="00FC753A" w:rsidRPr="008452D0">
        <w:t>: Proportion that sustained exit from income support for 104 weeks, before and after JCB introduction</w:t>
      </w:r>
      <w:bookmarkEnd w:id="210"/>
    </w:p>
    <w:p w:rsidR="00846615" w:rsidRDefault="008065DC" w:rsidP="00622A43">
      <w:pPr>
        <w:pStyle w:val="Source"/>
        <w:keepNext/>
        <w:keepLines/>
      </w:pPr>
      <w:r w:rsidRPr="008065DC">
        <w:rPr>
          <w:noProof/>
          <w:lang w:eastAsia="en-AU"/>
        </w:rPr>
        <w:drawing>
          <wp:inline distT="0" distB="0" distL="0" distR="0" wp14:anchorId="623D15A9" wp14:editId="5C74DE91">
            <wp:extent cx="5149516" cy="3312430"/>
            <wp:effectExtent l="0" t="0" r="0" b="2540"/>
            <wp:docPr id="32" name="Picture 32" descr="Bar chart showing the proportion that sustained their exit from income support for 104 weeks, for those in different age groups:&#10;• Under 19 years.&#10;• 19 to 22 years.&#10;• 22 years to under 25.&#10;• 25 to 31 years.&#10;• Total for the JCB target range. &#10;• 31 to 35 years.&#10;• 35+ years.&#10;• Overall total. &#10;For each age group shown sustained exit rate was lower the after JCB introduction than before. For all age groups the difference between the before and after rates was noticeable. There is a hyperlink to the data for this figure in the notes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156698" cy="3317050"/>
                    </a:xfrm>
                    <a:prstGeom prst="rect">
                      <a:avLst/>
                    </a:prstGeom>
                    <a:noFill/>
                    <a:ln>
                      <a:noFill/>
                    </a:ln>
                  </pic:spPr>
                </pic:pic>
              </a:graphicData>
            </a:graphic>
          </wp:inline>
        </w:drawing>
      </w:r>
      <w:r w:rsidR="007F2BBB" w:rsidRPr="007F2BBB">
        <w:t xml:space="preserve"> </w:t>
      </w:r>
    </w:p>
    <w:p w:rsidR="007F2BBB" w:rsidRPr="007F2BBB" w:rsidRDefault="007F2BBB" w:rsidP="00622A43">
      <w:pPr>
        <w:pStyle w:val="Source"/>
        <w:keepNext/>
        <w:keepLines/>
        <w:rPr>
          <w:b w:val="0"/>
        </w:rPr>
      </w:pPr>
      <w:r>
        <w:t>Note:</w:t>
      </w:r>
      <w:r w:rsidRPr="0063681D">
        <w:t xml:space="preserve"> </w:t>
      </w:r>
      <w:r w:rsidR="006B010F">
        <w:rPr>
          <w:b w:val="0"/>
        </w:rPr>
        <w:t xml:space="preserve">Refer to </w:t>
      </w:r>
      <w:r w:rsidRPr="00FC2B2C">
        <w:rPr>
          <w:b w:val="0"/>
        </w:rPr>
        <w:t>Attachment </w:t>
      </w:r>
      <w:r w:rsidR="0072509E" w:rsidRPr="00FC2B2C">
        <w:rPr>
          <w:b w:val="0"/>
        </w:rPr>
        <w:t>F</w:t>
      </w:r>
      <w:r w:rsidRPr="00FC2B2C">
        <w:rPr>
          <w:b w:val="0"/>
        </w:rPr>
        <w:t xml:space="preserve">, </w:t>
      </w:r>
      <w:hyperlink w:anchor="Title_F22" w:history="1">
        <w:r w:rsidR="00E76396" w:rsidRPr="006A5B97">
          <w:rPr>
            <w:rStyle w:val="Hyperlink"/>
            <w:b w:val="0"/>
          </w:rPr>
          <w:t>Table F.2</w:t>
        </w:r>
        <w:r w:rsidR="00E76396">
          <w:rPr>
            <w:rStyle w:val="Hyperlink"/>
            <w:b w:val="0"/>
          </w:rPr>
          <w:t>3</w:t>
        </w:r>
      </w:hyperlink>
      <w:r w:rsidR="006B010F">
        <w:rPr>
          <w:b w:val="0"/>
        </w:rPr>
        <w:t>.</w:t>
      </w:r>
      <w:bookmarkStart w:id="211" w:name="Place_F22"/>
      <w:bookmarkEnd w:id="211"/>
    </w:p>
    <w:p w:rsidR="007F2BBB" w:rsidRPr="007F2BBB" w:rsidRDefault="007F2BBB" w:rsidP="00622A43">
      <w:pPr>
        <w:pStyle w:val="Source"/>
        <w:keepNext/>
        <w:keepLines/>
        <w:rPr>
          <w:b w:val="0"/>
        </w:rPr>
      </w:pPr>
      <w:r w:rsidRPr="007F2BBB">
        <w:t>Source:</w:t>
      </w:r>
      <w:r w:rsidRPr="007F2BBB">
        <w:rPr>
          <w:b w:val="0"/>
        </w:rPr>
        <w:t xml:space="preserve"> Department of Employment administrative data and Research and Evaluation dataset (RED).</w:t>
      </w:r>
    </w:p>
    <w:p w:rsidR="007C443E" w:rsidRPr="007F2BBB" w:rsidRDefault="009449AD" w:rsidP="007F2BBB">
      <w:pPr>
        <w:spacing w:before="240"/>
        <w:rPr>
          <w:color w:val="000000" w:themeColor="text1"/>
        </w:rPr>
      </w:pPr>
      <w:r>
        <w:rPr>
          <w:color w:val="000000" w:themeColor="text1"/>
        </w:rPr>
        <w:t>Once regressed, t</w:t>
      </w:r>
      <w:r w:rsidR="007C443E" w:rsidRPr="007F2BBB">
        <w:rPr>
          <w:color w:val="000000" w:themeColor="text1"/>
        </w:rPr>
        <w:t xml:space="preserve">he interaction variable is </w:t>
      </w:r>
      <w:r w:rsidR="007B40F6">
        <w:rPr>
          <w:color w:val="000000" w:themeColor="text1"/>
        </w:rPr>
        <w:t xml:space="preserve">again not found to be </w:t>
      </w:r>
      <w:r w:rsidR="007C443E" w:rsidRPr="007F2BBB">
        <w:rPr>
          <w:color w:val="000000" w:themeColor="text1"/>
        </w:rPr>
        <w:t>significant in terms of its impact on the probability that someone who had exited income support would sustain that exit for a</w:t>
      </w:r>
      <w:r w:rsidR="0072509E">
        <w:rPr>
          <w:color w:val="000000" w:themeColor="text1"/>
        </w:rPr>
        <w:t>t least 104</w:t>
      </w:r>
      <w:r w:rsidR="00521A17">
        <w:rPr>
          <w:color w:val="000000" w:themeColor="text1"/>
        </w:rPr>
        <w:t> </w:t>
      </w:r>
      <w:r w:rsidR="0072509E">
        <w:rPr>
          <w:color w:val="000000" w:themeColor="text1"/>
        </w:rPr>
        <w:t xml:space="preserve">weeks. (Attachment F, </w:t>
      </w:r>
      <w:hyperlink w:anchor="Title_F23" w:history="1">
        <w:r w:rsidR="00597B98" w:rsidRPr="00597B98">
          <w:rPr>
            <w:rStyle w:val="Hyperlink"/>
          </w:rPr>
          <w:t>Table F.2</w:t>
        </w:r>
        <w:r w:rsidR="000D4E88">
          <w:rPr>
            <w:rStyle w:val="Hyperlink"/>
          </w:rPr>
          <w:t>4</w:t>
        </w:r>
      </w:hyperlink>
      <w:r w:rsidR="007C443E" w:rsidRPr="007F2BBB">
        <w:rPr>
          <w:color w:val="000000" w:themeColor="text1"/>
        </w:rPr>
        <w:t>)</w:t>
      </w:r>
      <w:bookmarkStart w:id="212" w:name="Place_F23"/>
      <w:bookmarkEnd w:id="212"/>
    </w:p>
    <w:p w:rsidR="009460B7" w:rsidRDefault="004F0ADD" w:rsidP="00622A43">
      <w:pPr>
        <w:spacing w:before="240"/>
        <w:rPr>
          <w:color w:val="000000" w:themeColor="text1"/>
        </w:rPr>
      </w:pPr>
      <w:r>
        <w:rPr>
          <w:color w:val="000000" w:themeColor="text1"/>
        </w:rPr>
        <w:lastRenderedPageBreak/>
        <w:t xml:space="preserve">These analyses took in to </w:t>
      </w:r>
      <w:r w:rsidR="007B40F6">
        <w:rPr>
          <w:color w:val="000000" w:themeColor="text1"/>
        </w:rPr>
        <w:t xml:space="preserve">account differences in </w:t>
      </w:r>
      <w:r>
        <w:rPr>
          <w:color w:val="000000" w:themeColor="text1"/>
        </w:rPr>
        <w:t>demographic characteristics</w:t>
      </w:r>
      <w:r w:rsidR="007B40F6">
        <w:rPr>
          <w:color w:val="000000" w:themeColor="text1"/>
        </w:rPr>
        <w:t xml:space="preserve"> and</w:t>
      </w:r>
      <w:r>
        <w:rPr>
          <w:color w:val="000000" w:themeColor="text1"/>
        </w:rPr>
        <w:t xml:space="preserve"> macro-economic conditions and were not </w:t>
      </w:r>
      <w:r w:rsidR="009449AD">
        <w:rPr>
          <w:color w:val="000000" w:themeColor="text1"/>
        </w:rPr>
        <w:t xml:space="preserve">affected </w:t>
      </w:r>
      <w:r>
        <w:rPr>
          <w:color w:val="000000" w:themeColor="text1"/>
        </w:rPr>
        <w:t>by the change from JSA to jobactive.</w:t>
      </w:r>
      <w:r w:rsidR="009449AD">
        <w:rPr>
          <w:color w:val="000000" w:themeColor="text1"/>
        </w:rPr>
        <w:t xml:space="preserve"> </w:t>
      </w:r>
      <w:r w:rsidR="009460B7" w:rsidRPr="009460B7">
        <w:rPr>
          <w:color w:val="000000" w:themeColor="text1"/>
        </w:rPr>
        <w:t xml:space="preserve">The </w:t>
      </w:r>
      <w:r w:rsidR="00521A17">
        <w:rPr>
          <w:color w:val="000000" w:themeColor="text1"/>
        </w:rPr>
        <w:t xml:space="preserve">quantitative </w:t>
      </w:r>
      <w:r w:rsidR="00325628">
        <w:rPr>
          <w:color w:val="000000" w:themeColor="text1"/>
        </w:rPr>
        <w:t>analyses</w:t>
      </w:r>
      <w:r w:rsidR="009460B7">
        <w:rPr>
          <w:color w:val="000000" w:themeColor="text1"/>
        </w:rPr>
        <w:t xml:space="preserve"> considered </w:t>
      </w:r>
      <w:r w:rsidR="00325628">
        <w:rPr>
          <w:color w:val="000000" w:themeColor="text1"/>
        </w:rPr>
        <w:t>in this section</w:t>
      </w:r>
      <w:r w:rsidR="009460B7">
        <w:rPr>
          <w:color w:val="000000" w:themeColor="text1"/>
        </w:rPr>
        <w:t xml:space="preserve"> </w:t>
      </w:r>
      <w:r w:rsidR="00521A17">
        <w:rPr>
          <w:color w:val="000000" w:themeColor="text1"/>
        </w:rPr>
        <w:t xml:space="preserve">do not </w:t>
      </w:r>
      <w:r w:rsidR="00FF2ABF">
        <w:rPr>
          <w:color w:val="000000" w:themeColor="text1"/>
        </w:rPr>
        <w:t xml:space="preserve">indicate </w:t>
      </w:r>
      <w:r w:rsidR="00521A17">
        <w:rPr>
          <w:color w:val="000000" w:themeColor="text1"/>
        </w:rPr>
        <w:t>any impact of the</w:t>
      </w:r>
      <w:r w:rsidR="00FF2ABF">
        <w:rPr>
          <w:color w:val="000000" w:themeColor="text1"/>
        </w:rPr>
        <w:t xml:space="preserve"> </w:t>
      </w:r>
      <w:r w:rsidR="009460B7">
        <w:rPr>
          <w:color w:val="000000" w:themeColor="text1"/>
        </w:rPr>
        <w:t xml:space="preserve">JCB </w:t>
      </w:r>
      <w:r w:rsidR="00833920">
        <w:rPr>
          <w:color w:val="000000" w:themeColor="text1"/>
        </w:rPr>
        <w:t>on</w:t>
      </w:r>
      <w:r w:rsidR="00FC2B2C">
        <w:rPr>
          <w:color w:val="000000" w:themeColor="text1"/>
        </w:rPr>
        <w:t xml:space="preserve"> sustained</w:t>
      </w:r>
      <w:r w:rsidR="009460B7">
        <w:rPr>
          <w:color w:val="000000" w:themeColor="text1"/>
        </w:rPr>
        <w:t xml:space="preserve"> income support </w:t>
      </w:r>
      <w:r w:rsidR="00FC2B2C">
        <w:rPr>
          <w:color w:val="000000" w:themeColor="text1"/>
        </w:rPr>
        <w:t>exit</w:t>
      </w:r>
      <w:r w:rsidR="00521A17">
        <w:rPr>
          <w:color w:val="000000" w:themeColor="text1"/>
        </w:rPr>
        <w:t xml:space="preserve"> rates</w:t>
      </w:r>
      <w:r w:rsidR="009460B7">
        <w:rPr>
          <w:color w:val="000000" w:themeColor="text1"/>
        </w:rPr>
        <w:t>.</w:t>
      </w:r>
      <w:r w:rsidR="00521A17">
        <w:rPr>
          <w:rStyle w:val="FootnoteReference"/>
          <w:color w:val="000000" w:themeColor="text1"/>
        </w:rPr>
        <w:footnoteReference w:id="84"/>
      </w:r>
    </w:p>
    <w:p w:rsidR="001145DC" w:rsidRDefault="00D92C4B" w:rsidP="004968D9">
      <w:pPr>
        <w:pStyle w:val="Heading3"/>
      </w:pPr>
      <w:r>
        <w:t>4.4.</w:t>
      </w:r>
      <w:r w:rsidR="00E34CB3">
        <w:t>4</w:t>
      </w:r>
      <w:r>
        <w:tab/>
      </w:r>
      <w:r w:rsidR="001145DC">
        <w:t>Other q</w:t>
      </w:r>
      <w:r w:rsidR="001145DC" w:rsidRPr="002C6886">
        <w:t>ua</w:t>
      </w:r>
      <w:r w:rsidR="00993AFF">
        <w:t>n</w:t>
      </w:r>
      <w:r w:rsidR="001145DC" w:rsidRPr="002C6886">
        <w:t>t</w:t>
      </w:r>
      <w:r w:rsidR="00993AFF">
        <w:t>it</w:t>
      </w:r>
      <w:r w:rsidR="001145DC" w:rsidRPr="002C6886">
        <w:t>ative evidence</w:t>
      </w:r>
    </w:p>
    <w:p w:rsidR="0071160E" w:rsidRDefault="00EC1721" w:rsidP="001145DC">
      <w:pPr>
        <w:spacing w:before="120"/>
        <w:rPr>
          <w:color w:val="000000" w:themeColor="text1"/>
        </w:rPr>
      </w:pPr>
      <w:r>
        <w:t xml:space="preserve">Quantitative survey data suggests that an appropriately designed and well promoted bonus program might encourage sustained employment. </w:t>
      </w:r>
      <w:r w:rsidR="0071160E">
        <w:t>M</w:t>
      </w:r>
      <w:r w:rsidR="0071160E">
        <w:rPr>
          <w:color w:val="000000" w:themeColor="text1"/>
        </w:rPr>
        <w:t xml:space="preserve">any factors influence people’s behaviour and response to financial incentives, not only demographic factors but also job seekers’ attitudes to work, their perceived likelihood of obtaining work and motivation. Designing a program that targets a specific cohort </w:t>
      </w:r>
      <w:r w:rsidR="002C1BE3">
        <w:rPr>
          <w:color w:val="000000" w:themeColor="text1"/>
        </w:rPr>
        <w:t>should</w:t>
      </w:r>
      <w:r w:rsidR="0071160E">
        <w:rPr>
          <w:color w:val="000000" w:themeColor="text1"/>
        </w:rPr>
        <w:t xml:space="preserve"> to consider all such dimensions that influence people’s behaviour.</w:t>
      </w:r>
    </w:p>
    <w:p w:rsidR="00734C70" w:rsidRDefault="00E34CB3" w:rsidP="001145DC">
      <w:pPr>
        <w:spacing w:before="120"/>
        <w:rPr>
          <w:color w:val="000000" w:themeColor="text1"/>
        </w:rPr>
      </w:pPr>
      <w:r>
        <w:t xml:space="preserve">In </w:t>
      </w:r>
      <w:r>
        <w:rPr>
          <w:color w:val="000000" w:themeColor="text1"/>
        </w:rPr>
        <w:t>the Job Seeker Experiences of Employment Services survey</w:t>
      </w:r>
      <w:r w:rsidR="00CE48EC">
        <w:rPr>
          <w:color w:val="000000" w:themeColor="text1"/>
        </w:rPr>
        <w:t xml:space="preserve"> (2017)</w:t>
      </w:r>
      <w:r>
        <w:rPr>
          <w:color w:val="000000" w:themeColor="text1"/>
        </w:rPr>
        <w:t>,</w:t>
      </w:r>
      <w:r>
        <w:t xml:space="preserve"> job seekers were asked if they thought a financial bonus might encourage them to try to stay in a job rather than returning to income support. </w:t>
      </w:r>
      <w:r w:rsidR="001145DC">
        <w:rPr>
          <w:color w:val="000000" w:themeColor="text1"/>
        </w:rPr>
        <w:t>A slightly lower proportion of females than males (56.1 per cent compared with 56.8 per cent)</w:t>
      </w:r>
      <w:r w:rsidR="00833EF0">
        <w:rPr>
          <w:rStyle w:val="FootnoteReference"/>
          <w:color w:val="000000" w:themeColor="text1"/>
        </w:rPr>
        <w:footnoteReference w:id="85"/>
      </w:r>
      <w:r w:rsidR="001145DC">
        <w:rPr>
          <w:color w:val="000000" w:themeColor="text1"/>
        </w:rPr>
        <w:t xml:space="preserve"> stated</w:t>
      </w:r>
      <w:r>
        <w:rPr>
          <w:color w:val="000000" w:themeColor="text1"/>
        </w:rPr>
        <w:t xml:space="preserve"> </w:t>
      </w:r>
      <w:r w:rsidR="001145DC">
        <w:rPr>
          <w:color w:val="000000" w:themeColor="text1"/>
        </w:rPr>
        <w:t>that the offer of a financial bonus would encourage them ‘a lot’ to stay in a job rather than going back on to</w:t>
      </w:r>
      <w:r w:rsidR="00734C70">
        <w:rPr>
          <w:color w:val="000000" w:themeColor="text1"/>
        </w:rPr>
        <w:t xml:space="preserve"> benefits. </w:t>
      </w:r>
    </w:p>
    <w:p w:rsidR="001145DC" w:rsidRDefault="00734C70" w:rsidP="001145DC">
      <w:pPr>
        <w:spacing w:before="120"/>
        <w:rPr>
          <w:color w:val="000000" w:themeColor="text1"/>
        </w:rPr>
      </w:pPr>
      <w:r>
        <w:rPr>
          <w:color w:val="000000" w:themeColor="text1"/>
        </w:rPr>
        <w:t>There was</w:t>
      </w:r>
      <w:r w:rsidR="001145DC">
        <w:rPr>
          <w:color w:val="000000" w:themeColor="text1"/>
        </w:rPr>
        <w:t xml:space="preserve"> </w:t>
      </w:r>
      <w:r w:rsidR="00E34CB3">
        <w:rPr>
          <w:color w:val="000000" w:themeColor="text1"/>
        </w:rPr>
        <w:t xml:space="preserve">a </w:t>
      </w:r>
      <w:r w:rsidR="001145DC">
        <w:rPr>
          <w:color w:val="000000" w:themeColor="text1"/>
        </w:rPr>
        <w:t xml:space="preserve">marked difference in opinion for those in the JCB age cohort compared to older </w:t>
      </w:r>
      <w:r>
        <w:rPr>
          <w:color w:val="000000" w:themeColor="text1"/>
        </w:rPr>
        <w:t xml:space="preserve">job seekers </w:t>
      </w:r>
      <w:r w:rsidR="001145DC">
        <w:rPr>
          <w:color w:val="000000" w:themeColor="text1"/>
        </w:rPr>
        <w:t xml:space="preserve">(60.5 per cent of </w:t>
      </w:r>
      <w:r w:rsidR="00CE48EC">
        <w:rPr>
          <w:color w:val="000000" w:themeColor="text1"/>
        </w:rPr>
        <w:t xml:space="preserve">job seekers </w:t>
      </w:r>
      <w:r w:rsidR="001145DC">
        <w:rPr>
          <w:color w:val="000000" w:themeColor="text1"/>
        </w:rPr>
        <w:t xml:space="preserve">aged 18 to 30 years compared with 53.8 per cent of </w:t>
      </w:r>
      <w:r w:rsidR="00CE48EC">
        <w:rPr>
          <w:color w:val="000000" w:themeColor="text1"/>
        </w:rPr>
        <w:t>older job seekers</w:t>
      </w:r>
      <w:r w:rsidR="001145DC">
        <w:rPr>
          <w:color w:val="000000" w:themeColor="text1"/>
        </w:rPr>
        <w:t>).</w:t>
      </w:r>
      <w:r>
        <w:rPr>
          <w:color w:val="000000" w:themeColor="text1"/>
        </w:rPr>
        <w:t xml:space="preserve"> This suggests that </w:t>
      </w:r>
      <w:r w:rsidR="00070918">
        <w:rPr>
          <w:color w:val="000000" w:themeColor="text1"/>
        </w:rPr>
        <w:t xml:space="preserve">(all other things being equal) </w:t>
      </w:r>
      <w:r>
        <w:rPr>
          <w:color w:val="000000" w:themeColor="text1"/>
        </w:rPr>
        <w:t>a financial incentive program trying to encourage sustained employment might be more effective if targeting younger rather than older job seekers.</w:t>
      </w:r>
      <w:r w:rsidR="001145DC">
        <w:rPr>
          <w:color w:val="000000" w:themeColor="text1"/>
        </w:rPr>
        <w:t xml:space="preserve"> (Figure 4.1</w:t>
      </w:r>
      <w:r w:rsidR="00E76396">
        <w:rPr>
          <w:color w:val="000000" w:themeColor="text1"/>
        </w:rPr>
        <w:t>4</w:t>
      </w:r>
      <w:r w:rsidR="001145DC">
        <w:rPr>
          <w:color w:val="000000" w:themeColor="text1"/>
        </w:rPr>
        <w:t>)</w:t>
      </w:r>
    </w:p>
    <w:p w:rsidR="00042293" w:rsidRDefault="00042293" w:rsidP="00042293">
      <w:pPr>
        <w:rPr>
          <w:color w:val="000000" w:themeColor="text1"/>
        </w:rPr>
      </w:pPr>
      <w:r>
        <w:rPr>
          <w:color w:val="000000" w:themeColor="text1"/>
        </w:rPr>
        <w:t xml:space="preserve">Job seekers who thought they were likely or very likely to find a job in the next 12 months were more likely to indicate that a bonus would encourage them ‘a lot’ to stay in a job rather than return to benefit (63.1 per cent said it would encourage them ‘a lot’ compared with 48.6 per cent who thought it unlikely/very unlikely they would find a job). Job seeker attitudes to work affected views as to how likely a bonus would encourage sustained employment. </w:t>
      </w:r>
    </w:p>
    <w:p w:rsidR="00042293" w:rsidRDefault="00042293" w:rsidP="00042293">
      <w:pPr>
        <w:rPr>
          <w:color w:val="000000" w:themeColor="text1"/>
        </w:rPr>
      </w:pPr>
      <w:r>
        <w:rPr>
          <w:color w:val="000000" w:themeColor="text1"/>
        </w:rPr>
        <w:t>The job seekers who were asked these ‘theoretical’ questions were yet to secure employment, whereas the preceding analysis is based on employment data for those who gained employment during the period that the JCB was operating.</w:t>
      </w:r>
    </w:p>
    <w:p w:rsidR="001145DC" w:rsidRPr="00D83A7E" w:rsidRDefault="001145DC" w:rsidP="001145DC">
      <w:pPr>
        <w:pStyle w:val="FigureCaption"/>
      </w:pPr>
      <w:bookmarkStart w:id="213" w:name="_Toc507600295"/>
      <w:r>
        <w:lastRenderedPageBreak/>
        <w:t>Figure</w:t>
      </w:r>
      <w:r w:rsidRPr="00D83A7E">
        <w:t xml:space="preserve"> </w:t>
      </w:r>
      <w:r>
        <w:t>4.1</w:t>
      </w:r>
      <w:r w:rsidR="00E76396">
        <w:t>4</w:t>
      </w:r>
      <w:r w:rsidRPr="00D83A7E">
        <w:t xml:space="preserve">: </w:t>
      </w:r>
      <w:r>
        <w:t>Job seeker views of the potential effect of a bonus to encourage them to sustain employment (per cent)</w:t>
      </w:r>
      <w:bookmarkEnd w:id="213"/>
    </w:p>
    <w:tbl>
      <w:tblPr>
        <w:tblW w:w="8040" w:type="dxa"/>
        <w:tblInd w:w="113" w:type="dxa"/>
        <w:shd w:val="clear" w:color="auto" w:fill="FFFFFF" w:themeFill="background2"/>
        <w:tblLook w:val="04A0" w:firstRow="1" w:lastRow="0" w:firstColumn="1" w:lastColumn="0" w:noHBand="0" w:noVBand="1"/>
      </w:tblPr>
      <w:tblGrid>
        <w:gridCol w:w="2356"/>
        <w:gridCol w:w="1436"/>
        <w:gridCol w:w="1616"/>
        <w:gridCol w:w="1656"/>
        <w:gridCol w:w="976"/>
      </w:tblGrid>
      <w:tr w:rsidR="001066E6" w:rsidRPr="001066E6" w:rsidTr="00B41B94">
        <w:trPr>
          <w:trHeight w:val="300"/>
          <w:tblHeader/>
        </w:trPr>
        <w:tc>
          <w:tcPr>
            <w:tcW w:w="2356" w:type="dxa"/>
            <w:shd w:val="clear" w:color="auto" w:fill="FFFFFF" w:themeFill="background2"/>
            <w:noWrap/>
            <w:vAlign w:val="bottom"/>
            <w:hideMark/>
          </w:tcPr>
          <w:p w:rsidR="001066E6" w:rsidRPr="001E7B45" w:rsidRDefault="001066E6" w:rsidP="001E7B45">
            <w:pPr>
              <w:keepNext/>
              <w:spacing w:after="0" w:line="240" w:lineRule="auto"/>
              <w:rPr>
                <w:rFonts w:ascii="Calibri" w:eastAsia="Times New Roman" w:hAnsi="Calibri" w:cs="Calibri"/>
                <w:b/>
                <w:bCs/>
                <w:color w:val="000000" w:themeColor="text1"/>
                <w:lang w:eastAsia="en-AU"/>
              </w:rPr>
            </w:pPr>
            <w:r w:rsidRPr="001E7B45">
              <w:rPr>
                <w:rFonts w:ascii="Calibri" w:eastAsia="Times New Roman" w:hAnsi="Calibri" w:cs="Calibri"/>
                <w:b/>
                <w:bCs/>
                <w:color w:val="000000" w:themeColor="text1"/>
                <w:lang w:eastAsia="en-AU"/>
              </w:rPr>
              <w:t> </w:t>
            </w:r>
            <w:bookmarkStart w:id="214" w:name="Title_f413"/>
            <w:bookmarkEnd w:id="214"/>
          </w:p>
        </w:tc>
        <w:tc>
          <w:tcPr>
            <w:tcW w:w="1436" w:type="dxa"/>
            <w:shd w:val="clear" w:color="auto" w:fill="FFFFFF" w:themeFill="background2"/>
            <w:noWrap/>
            <w:vAlign w:val="center"/>
            <w:hideMark/>
          </w:tcPr>
          <w:p w:rsidR="001066E6" w:rsidRPr="001E7B45" w:rsidRDefault="001066E6" w:rsidP="001E7B45">
            <w:pPr>
              <w:keepNext/>
              <w:spacing w:after="0" w:line="240" w:lineRule="auto"/>
              <w:jc w:val="center"/>
              <w:rPr>
                <w:rFonts w:ascii="Calibri" w:eastAsia="Times New Roman" w:hAnsi="Calibri" w:cs="Calibri"/>
                <w:b/>
                <w:bCs/>
                <w:color w:val="000000" w:themeColor="text1"/>
                <w:lang w:eastAsia="en-AU"/>
              </w:rPr>
            </w:pPr>
            <w:r w:rsidRPr="001E7B45">
              <w:rPr>
                <w:rFonts w:ascii="Calibri" w:eastAsia="Times New Roman" w:hAnsi="Calibri" w:cs="Calibri"/>
                <w:b/>
                <w:bCs/>
                <w:color w:val="000000" w:themeColor="text1"/>
                <w:lang w:eastAsia="en-AU"/>
              </w:rPr>
              <w:t>A lot</w:t>
            </w:r>
          </w:p>
        </w:tc>
        <w:tc>
          <w:tcPr>
            <w:tcW w:w="1616" w:type="dxa"/>
            <w:shd w:val="clear" w:color="auto" w:fill="FFFFFF" w:themeFill="background2"/>
            <w:noWrap/>
            <w:vAlign w:val="center"/>
            <w:hideMark/>
          </w:tcPr>
          <w:p w:rsidR="001066E6" w:rsidRPr="001E7B45" w:rsidRDefault="001066E6" w:rsidP="001E7B45">
            <w:pPr>
              <w:keepNext/>
              <w:spacing w:after="0" w:line="240" w:lineRule="auto"/>
              <w:jc w:val="center"/>
              <w:rPr>
                <w:rFonts w:ascii="Calibri" w:eastAsia="Times New Roman" w:hAnsi="Calibri" w:cs="Calibri"/>
                <w:b/>
                <w:bCs/>
                <w:color w:val="000000" w:themeColor="text1"/>
                <w:lang w:eastAsia="en-AU"/>
              </w:rPr>
            </w:pPr>
            <w:r w:rsidRPr="001E7B45">
              <w:rPr>
                <w:rFonts w:ascii="Calibri" w:eastAsia="Times New Roman" w:hAnsi="Calibri" w:cs="Calibri"/>
                <w:b/>
                <w:bCs/>
                <w:color w:val="000000" w:themeColor="text1"/>
                <w:lang w:eastAsia="en-AU"/>
              </w:rPr>
              <w:t>A little</w:t>
            </w:r>
          </w:p>
        </w:tc>
        <w:tc>
          <w:tcPr>
            <w:tcW w:w="1656" w:type="dxa"/>
            <w:shd w:val="clear" w:color="auto" w:fill="FFFFFF" w:themeFill="background2"/>
            <w:noWrap/>
            <w:vAlign w:val="center"/>
            <w:hideMark/>
          </w:tcPr>
          <w:p w:rsidR="001066E6" w:rsidRPr="001E7B45" w:rsidRDefault="001066E6" w:rsidP="001E7B45">
            <w:pPr>
              <w:keepNext/>
              <w:spacing w:after="0" w:line="240" w:lineRule="auto"/>
              <w:jc w:val="center"/>
              <w:rPr>
                <w:rFonts w:ascii="Calibri" w:eastAsia="Times New Roman" w:hAnsi="Calibri" w:cs="Calibri"/>
                <w:b/>
                <w:bCs/>
                <w:color w:val="000000" w:themeColor="text1"/>
                <w:lang w:eastAsia="en-AU"/>
              </w:rPr>
            </w:pPr>
            <w:r w:rsidRPr="001E7B45">
              <w:rPr>
                <w:rFonts w:ascii="Calibri" w:eastAsia="Times New Roman" w:hAnsi="Calibri" w:cs="Calibri"/>
                <w:b/>
                <w:bCs/>
                <w:color w:val="000000" w:themeColor="text1"/>
                <w:lang w:eastAsia="en-AU"/>
              </w:rPr>
              <w:t>Not at all</w:t>
            </w:r>
          </w:p>
        </w:tc>
        <w:tc>
          <w:tcPr>
            <w:tcW w:w="976" w:type="dxa"/>
            <w:shd w:val="clear" w:color="auto" w:fill="FFFFFF" w:themeFill="background2"/>
            <w:noWrap/>
            <w:vAlign w:val="center"/>
            <w:hideMark/>
          </w:tcPr>
          <w:p w:rsidR="001066E6" w:rsidRPr="001E7B45" w:rsidRDefault="001066E6" w:rsidP="001E7B45">
            <w:pPr>
              <w:keepNext/>
              <w:spacing w:after="0" w:line="240" w:lineRule="auto"/>
              <w:rPr>
                <w:rFonts w:ascii="Calibri" w:eastAsia="Times New Roman" w:hAnsi="Calibri" w:cs="Calibri"/>
                <w:b/>
                <w:bCs/>
                <w:color w:val="000000" w:themeColor="text1"/>
                <w:lang w:eastAsia="en-AU"/>
              </w:rPr>
            </w:pPr>
            <w:r w:rsidRPr="001E7B45">
              <w:rPr>
                <w:rFonts w:ascii="Calibri" w:eastAsia="Times New Roman" w:hAnsi="Calibri" w:cs="Calibri"/>
                <w:b/>
                <w:bCs/>
                <w:color w:val="000000" w:themeColor="text1"/>
                <w:lang w:eastAsia="en-AU"/>
              </w:rPr>
              <w:t>Total</w:t>
            </w:r>
          </w:p>
        </w:tc>
      </w:tr>
      <w:tr w:rsidR="001066E6" w:rsidRPr="001066E6" w:rsidTr="001E7B45">
        <w:trPr>
          <w:trHeight w:val="300"/>
        </w:trPr>
        <w:tc>
          <w:tcPr>
            <w:tcW w:w="2356" w:type="dxa"/>
            <w:shd w:val="clear" w:color="auto" w:fill="FFFFFF" w:themeFill="background2"/>
            <w:noWrap/>
            <w:hideMark/>
          </w:tcPr>
          <w:p w:rsidR="001066E6" w:rsidRPr="001E7B45" w:rsidRDefault="00864E02" w:rsidP="001E7B45">
            <w:pPr>
              <w:keepNext/>
              <w:spacing w:after="0" w:line="240" w:lineRule="auto"/>
              <w:rPr>
                <w:rFonts w:ascii="Calibri" w:eastAsia="Times New Roman" w:hAnsi="Calibri" w:cs="Calibri"/>
                <w:color w:val="000000" w:themeColor="text1"/>
                <w:lang w:eastAsia="en-AU"/>
              </w:rPr>
            </w:pPr>
            <w:r w:rsidRPr="007F2BCA">
              <w:rPr>
                <w:rFonts w:ascii="Calibri" w:eastAsia="Times New Roman" w:hAnsi="Calibri" w:cs="Calibri"/>
                <w:b/>
                <w:bCs/>
                <w:noProof/>
                <w:color w:val="000000" w:themeColor="text1"/>
                <w:lang w:eastAsia="en-AU"/>
              </w:rPr>
              <w:drawing>
                <wp:anchor distT="0" distB="0" distL="114300" distR="114300" simplePos="0" relativeHeight="251658240" behindDoc="0" locked="0" layoutInCell="1" allowOverlap="1" wp14:anchorId="0A8B4947" wp14:editId="1C86F226">
                  <wp:simplePos x="0" y="0"/>
                  <wp:positionH relativeFrom="column">
                    <wp:posOffset>-69850</wp:posOffset>
                  </wp:positionH>
                  <wp:positionV relativeFrom="paragraph">
                    <wp:posOffset>-180975</wp:posOffset>
                  </wp:positionV>
                  <wp:extent cx="5725160" cy="2989580"/>
                  <wp:effectExtent l="0" t="0" r="8890" b="1270"/>
                  <wp:wrapNone/>
                  <wp:docPr id="39" name="Picture 39" descr="Data in graph as described in the following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25160" cy="2989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66E6" w:rsidRPr="001E7B45">
              <w:rPr>
                <w:rFonts w:ascii="Calibri" w:eastAsia="Times New Roman" w:hAnsi="Calibri" w:cs="Calibri"/>
                <w:color w:val="000000" w:themeColor="text1"/>
                <w:lang w:eastAsia="en-AU"/>
              </w:rPr>
              <w:t>Female</w:t>
            </w:r>
          </w:p>
        </w:tc>
        <w:tc>
          <w:tcPr>
            <w:tcW w:w="1436" w:type="dxa"/>
            <w:shd w:val="clear" w:color="auto" w:fill="FFFFFF" w:themeFill="background2"/>
            <w:noWrap/>
            <w:vAlign w:val="bottom"/>
            <w:hideMark/>
          </w:tcPr>
          <w:p w:rsidR="001066E6" w:rsidRPr="001E7B45" w:rsidRDefault="001066E6" w:rsidP="001E7B45">
            <w:pPr>
              <w:keepNext/>
              <w:spacing w:after="0" w:line="240" w:lineRule="auto"/>
              <w:jc w:val="right"/>
              <w:rPr>
                <w:rFonts w:ascii="Calibri" w:eastAsia="Times New Roman" w:hAnsi="Calibri" w:cs="Calibri"/>
                <w:color w:val="000000" w:themeColor="text1"/>
                <w:lang w:eastAsia="en-AU"/>
              </w:rPr>
            </w:pPr>
            <w:r w:rsidRPr="001E7B45">
              <w:rPr>
                <w:rFonts w:ascii="Calibri" w:eastAsia="Times New Roman" w:hAnsi="Calibri" w:cs="Calibri"/>
                <w:color w:val="000000" w:themeColor="text1"/>
                <w:lang w:eastAsia="en-AU"/>
              </w:rPr>
              <w:t>56.1</w:t>
            </w:r>
          </w:p>
        </w:tc>
        <w:tc>
          <w:tcPr>
            <w:tcW w:w="1616" w:type="dxa"/>
            <w:shd w:val="clear" w:color="auto" w:fill="FFFFFF" w:themeFill="background2"/>
            <w:noWrap/>
            <w:vAlign w:val="bottom"/>
            <w:hideMark/>
          </w:tcPr>
          <w:p w:rsidR="001066E6" w:rsidRPr="001E7B45" w:rsidRDefault="001066E6" w:rsidP="001E7B45">
            <w:pPr>
              <w:keepNext/>
              <w:spacing w:after="0" w:line="240" w:lineRule="auto"/>
              <w:jc w:val="right"/>
              <w:rPr>
                <w:rFonts w:ascii="Calibri" w:eastAsia="Times New Roman" w:hAnsi="Calibri" w:cs="Calibri"/>
                <w:color w:val="000000" w:themeColor="text1"/>
                <w:lang w:eastAsia="en-AU"/>
              </w:rPr>
            </w:pPr>
            <w:r w:rsidRPr="001E7B45">
              <w:rPr>
                <w:rFonts w:ascii="Calibri" w:eastAsia="Times New Roman" w:hAnsi="Calibri" w:cs="Calibri"/>
                <w:color w:val="000000" w:themeColor="text1"/>
                <w:lang w:eastAsia="en-AU"/>
              </w:rPr>
              <w:t>17.0</w:t>
            </w:r>
          </w:p>
        </w:tc>
        <w:tc>
          <w:tcPr>
            <w:tcW w:w="1656" w:type="dxa"/>
            <w:shd w:val="clear" w:color="auto" w:fill="FFFFFF" w:themeFill="background2"/>
            <w:noWrap/>
            <w:vAlign w:val="bottom"/>
            <w:hideMark/>
          </w:tcPr>
          <w:p w:rsidR="001066E6" w:rsidRPr="001E7B45" w:rsidRDefault="001066E6" w:rsidP="001E7B45">
            <w:pPr>
              <w:keepNext/>
              <w:spacing w:after="0" w:line="240" w:lineRule="auto"/>
              <w:jc w:val="right"/>
              <w:rPr>
                <w:rFonts w:ascii="Calibri" w:eastAsia="Times New Roman" w:hAnsi="Calibri" w:cs="Calibri"/>
                <w:color w:val="000000" w:themeColor="text1"/>
                <w:lang w:eastAsia="en-AU"/>
              </w:rPr>
            </w:pPr>
            <w:r w:rsidRPr="001E7B45">
              <w:rPr>
                <w:rFonts w:ascii="Calibri" w:eastAsia="Times New Roman" w:hAnsi="Calibri" w:cs="Calibri"/>
                <w:color w:val="000000" w:themeColor="text1"/>
                <w:lang w:eastAsia="en-AU"/>
              </w:rPr>
              <w:t>26.9</w:t>
            </w:r>
          </w:p>
        </w:tc>
        <w:tc>
          <w:tcPr>
            <w:tcW w:w="976" w:type="dxa"/>
            <w:shd w:val="clear" w:color="auto" w:fill="FFFFFF" w:themeFill="background2"/>
            <w:noWrap/>
            <w:vAlign w:val="bottom"/>
            <w:hideMark/>
          </w:tcPr>
          <w:p w:rsidR="001066E6" w:rsidRPr="001E7B45" w:rsidRDefault="001066E6" w:rsidP="001E7B45">
            <w:pPr>
              <w:keepNext/>
              <w:spacing w:after="0" w:line="240" w:lineRule="auto"/>
              <w:jc w:val="right"/>
              <w:rPr>
                <w:rFonts w:ascii="Calibri" w:eastAsia="Times New Roman" w:hAnsi="Calibri" w:cs="Calibri"/>
                <w:color w:val="000000" w:themeColor="text1"/>
                <w:lang w:eastAsia="en-AU"/>
              </w:rPr>
            </w:pPr>
            <w:r w:rsidRPr="001E7B45">
              <w:rPr>
                <w:rFonts w:ascii="Calibri" w:eastAsia="Times New Roman" w:hAnsi="Calibri" w:cs="Calibri"/>
                <w:color w:val="000000" w:themeColor="text1"/>
                <w:lang w:eastAsia="en-AU"/>
              </w:rPr>
              <w:t>100.0</w:t>
            </w:r>
          </w:p>
        </w:tc>
      </w:tr>
      <w:tr w:rsidR="001066E6" w:rsidRPr="001066E6" w:rsidTr="001E7B45">
        <w:trPr>
          <w:trHeight w:val="300"/>
        </w:trPr>
        <w:tc>
          <w:tcPr>
            <w:tcW w:w="2356" w:type="dxa"/>
            <w:shd w:val="clear" w:color="auto" w:fill="FFFFFF" w:themeFill="background2"/>
            <w:noWrap/>
            <w:hideMark/>
          </w:tcPr>
          <w:p w:rsidR="001066E6" w:rsidRPr="001E7B45" w:rsidRDefault="001066E6" w:rsidP="001E7B45">
            <w:pPr>
              <w:keepNext/>
              <w:spacing w:after="0" w:line="240" w:lineRule="auto"/>
              <w:rPr>
                <w:rFonts w:ascii="Calibri" w:eastAsia="Times New Roman" w:hAnsi="Calibri" w:cs="Calibri"/>
                <w:color w:val="000000" w:themeColor="text1"/>
                <w:lang w:eastAsia="en-AU"/>
              </w:rPr>
            </w:pPr>
            <w:r w:rsidRPr="001E7B45">
              <w:rPr>
                <w:rFonts w:ascii="Calibri" w:eastAsia="Times New Roman" w:hAnsi="Calibri" w:cs="Calibri"/>
                <w:color w:val="000000" w:themeColor="text1"/>
                <w:lang w:eastAsia="en-AU"/>
              </w:rPr>
              <w:t>Male</w:t>
            </w:r>
          </w:p>
        </w:tc>
        <w:tc>
          <w:tcPr>
            <w:tcW w:w="1436" w:type="dxa"/>
            <w:shd w:val="clear" w:color="auto" w:fill="FFFFFF" w:themeFill="background2"/>
            <w:noWrap/>
            <w:vAlign w:val="bottom"/>
            <w:hideMark/>
          </w:tcPr>
          <w:p w:rsidR="001066E6" w:rsidRPr="001E7B45" w:rsidRDefault="001066E6" w:rsidP="001E7B45">
            <w:pPr>
              <w:keepNext/>
              <w:spacing w:after="0" w:line="240" w:lineRule="auto"/>
              <w:jc w:val="right"/>
              <w:rPr>
                <w:rFonts w:ascii="Calibri" w:eastAsia="Times New Roman" w:hAnsi="Calibri" w:cs="Calibri"/>
                <w:color w:val="000000" w:themeColor="text1"/>
                <w:lang w:eastAsia="en-AU"/>
              </w:rPr>
            </w:pPr>
            <w:r w:rsidRPr="001E7B45">
              <w:rPr>
                <w:rFonts w:ascii="Calibri" w:eastAsia="Times New Roman" w:hAnsi="Calibri" w:cs="Calibri"/>
                <w:color w:val="000000" w:themeColor="text1"/>
                <w:lang w:eastAsia="en-AU"/>
              </w:rPr>
              <w:t>56.8</w:t>
            </w:r>
          </w:p>
        </w:tc>
        <w:tc>
          <w:tcPr>
            <w:tcW w:w="1616" w:type="dxa"/>
            <w:shd w:val="clear" w:color="auto" w:fill="FFFFFF" w:themeFill="background2"/>
            <w:noWrap/>
            <w:vAlign w:val="bottom"/>
            <w:hideMark/>
          </w:tcPr>
          <w:p w:rsidR="001066E6" w:rsidRPr="001E7B45" w:rsidRDefault="001066E6" w:rsidP="001E7B45">
            <w:pPr>
              <w:keepNext/>
              <w:spacing w:after="0" w:line="240" w:lineRule="auto"/>
              <w:jc w:val="right"/>
              <w:rPr>
                <w:rFonts w:ascii="Calibri" w:eastAsia="Times New Roman" w:hAnsi="Calibri" w:cs="Calibri"/>
                <w:color w:val="000000" w:themeColor="text1"/>
                <w:lang w:eastAsia="en-AU"/>
              </w:rPr>
            </w:pPr>
            <w:r w:rsidRPr="001E7B45">
              <w:rPr>
                <w:rFonts w:ascii="Calibri" w:eastAsia="Times New Roman" w:hAnsi="Calibri" w:cs="Calibri"/>
                <w:color w:val="000000" w:themeColor="text1"/>
                <w:lang w:eastAsia="en-AU"/>
              </w:rPr>
              <w:t>19.2</w:t>
            </w:r>
          </w:p>
        </w:tc>
        <w:tc>
          <w:tcPr>
            <w:tcW w:w="1656" w:type="dxa"/>
            <w:shd w:val="clear" w:color="auto" w:fill="FFFFFF" w:themeFill="background2"/>
            <w:noWrap/>
            <w:vAlign w:val="bottom"/>
            <w:hideMark/>
          </w:tcPr>
          <w:p w:rsidR="001066E6" w:rsidRPr="001E7B45" w:rsidRDefault="001066E6" w:rsidP="001E7B45">
            <w:pPr>
              <w:keepNext/>
              <w:spacing w:after="0" w:line="240" w:lineRule="auto"/>
              <w:jc w:val="right"/>
              <w:rPr>
                <w:rFonts w:ascii="Calibri" w:eastAsia="Times New Roman" w:hAnsi="Calibri" w:cs="Calibri"/>
                <w:color w:val="000000" w:themeColor="text1"/>
                <w:lang w:eastAsia="en-AU"/>
              </w:rPr>
            </w:pPr>
            <w:r w:rsidRPr="001E7B45">
              <w:rPr>
                <w:rFonts w:ascii="Calibri" w:eastAsia="Times New Roman" w:hAnsi="Calibri" w:cs="Calibri"/>
                <w:color w:val="000000" w:themeColor="text1"/>
                <w:lang w:eastAsia="en-AU"/>
              </w:rPr>
              <w:t>24.0</w:t>
            </w:r>
          </w:p>
        </w:tc>
        <w:tc>
          <w:tcPr>
            <w:tcW w:w="976" w:type="dxa"/>
            <w:shd w:val="clear" w:color="auto" w:fill="FFFFFF" w:themeFill="background2"/>
            <w:noWrap/>
            <w:vAlign w:val="bottom"/>
            <w:hideMark/>
          </w:tcPr>
          <w:p w:rsidR="001066E6" w:rsidRPr="001E7B45" w:rsidRDefault="001066E6" w:rsidP="001E7B45">
            <w:pPr>
              <w:keepNext/>
              <w:spacing w:after="0" w:line="240" w:lineRule="auto"/>
              <w:jc w:val="right"/>
              <w:rPr>
                <w:rFonts w:ascii="Calibri" w:eastAsia="Times New Roman" w:hAnsi="Calibri" w:cs="Calibri"/>
                <w:color w:val="000000" w:themeColor="text1"/>
                <w:lang w:eastAsia="en-AU"/>
              </w:rPr>
            </w:pPr>
            <w:r w:rsidRPr="001E7B45">
              <w:rPr>
                <w:rFonts w:ascii="Calibri" w:eastAsia="Times New Roman" w:hAnsi="Calibri" w:cs="Calibri"/>
                <w:color w:val="000000" w:themeColor="text1"/>
                <w:lang w:eastAsia="en-AU"/>
              </w:rPr>
              <w:t>100.0</w:t>
            </w:r>
          </w:p>
        </w:tc>
      </w:tr>
      <w:tr w:rsidR="001066E6" w:rsidRPr="001066E6" w:rsidTr="001E7B45">
        <w:trPr>
          <w:trHeight w:val="300"/>
        </w:trPr>
        <w:tc>
          <w:tcPr>
            <w:tcW w:w="2356" w:type="dxa"/>
            <w:shd w:val="clear" w:color="auto" w:fill="FFFFFF" w:themeFill="background2"/>
            <w:noWrap/>
            <w:hideMark/>
          </w:tcPr>
          <w:p w:rsidR="001066E6" w:rsidRPr="001E7B45" w:rsidRDefault="001066E6" w:rsidP="001E7B45">
            <w:pPr>
              <w:keepNext/>
              <w:spacing w:after="0" w:line="240" w:lineRule="auto"/>
              <w:rPr>
                <w:rFonts w:ascii="Calibri" w:eastAsia="Times New Roman" w:hAnsi="Calibri" w:cs="Calibri"/>
                <w:color w:val="000000" w:themeColor="text1"/>
                <w:lang w:eastAsia="en-AU"/>
              </w:rPr>
            </w:pPr>
            <w:r w:rsidRPr="001E7B45">
              <w:rPr>
                <w:rFonts w:ascii="Calibri" w:eastAsia="Times New Roman" w:hAnsi="Calibri" w:cs="Calibri"/>
                <w:color w:val="000000" w:themeColor="text1"/>
                <w:lang w:eastAsia="en-AU"/>
              </w:rPr>
              <w:t>JCB age cohort</w:t>
            </w:r>
          </w:p>
        </w:tc>
        <w:tc>
          <w:tcPr>
            <w:tcW w:w="1436" w:type="dxa"/>
            <w:shd w:val="clear" w:color="auto" w:fill="FFFFFF" w:themeFill="background2"/>
            <w:noWrap/>
            <w:vAlign w:val="bottom"/>
            <w:hideMark/>
          </w:tcPr>
          <w:p w:rsidR="001066E6" w:rsidRPr="001E7B45" w:rsidRDefault="001066E6" w:rsidP="001E7B45">
            <w:pPr>
              <w:keepNext/>
              <w:spacing w:after="0" w:line="240" w:lineRule="auto"/>
              <w:jc w:val="right"/>
              <w:rPr>
                <w:rFonts w:ascii="Calibri" w:eastAsia="Times New Roman" w:hAnsi="Calibri" w:cs="Calibri"/>
                <w:color w:val="000000" w:themeColor="text1"/>
                <w:lang w:eastAsia="en-AU"/>
              </w:rPr>
            </w:pPr>
            <w:r w:rsidRPr="001E7B45">
              <w:rPr>
                <w:rFonts w:ascii="Calibri" w:eastAsia="Times New Roman" w:hAnsi="Calibri" w:cs="Calibri"/>
                <w:color w:val="000000" w:themeColor="text1"/>
                <w:lang w:eastAsia="en-AU"/>
              </w:rPr>
              <w:t>60.5</w:t>
            </w:r>
          </w:p>
        </w:tc>
        <w:tc>
          <w:tcPr>
            <w:tcW w:w="1616" w:type="dxa"/>
            <w:shd w:val="clear" w:color="auto" w:fill="FFFFFF" w:themeFill="background2"/>
            <w:noWrap/>
            <w:vAlign w:val="bottom"/>
            <w:hideMark/>
          </w:tcPr>
          <w:p w:rsidR="001066E6" w:rsidRPr="001E7B45" w:rsidRDefault="001066E6" w:rsidP="001E7B45">
            <w:pPr>
              <w:keepNext/>
              <w:spacing w:after="0" w:line="240" w:lineRule="auto"/>
              <w:jc w:val="right"/>
              <w:rPr>
                <w:rFonts w:ascii="Calibri" w:eastAsia="Times New Roman" w:hAnsi="Calibri" w:cs="Calibri"/>
                <w:color w:val="000000" w:themeColor="text1"/>
                <w:lang w:eastAsia="en-AU"/>
              </w:rPr>
            </w:pPr>
            <w:r w:rsidRPr="001E7B45">
              <w:rPr>
                <w:rFonts w:ascii="Calibri" w:eastAsia="Times New Roman" w:hAnsi="Calibri" w:cs="Calibri"/>
                <w:color w:val="000000" w:themeColor="text1"/>
                <w:lang w:eastAsia="en-AU"/>
              </w:rPr>
              <w:t>22.4</w:t>
            </w:r>
          </w:p>
        </w:tc>
        <w:tc>
          <w:tcPr>
            <w:tcW w:w="1656" w:type="dxa"/>
            <w:shd w:val="clear" w:color="auto" w:fill="FFFFFF" w:themeFill="background2"/>
            <w:noWrap/>
            <w:vAlign w:val="bottom"/>
            <w:hideMark/>
          </w:tcPr>
          <w:p w:rsidR="001066E6" w:rsidRPr="001E7B45" w:rsidRDefault="001066E6" w:rsidP="001E7B45">
            <w:pPr>
              <w:keepNext/>
              <w:spacing w:after="0" w:line="240" w:lineRule="auto"/>
              <w:jc w:val="right"/>
              <w:rPr>
                <w:rFonts w:ascii="Calibri" w:eastAsia="Times New Roman" w:hAnsi="Calibri" w:cs="Calibri"/>
                <w:color w:val="000000" w:themeColor="text1"/>
                <w:lang w:eastAsia="en-AU"/>
              </w:rPr>
            </w:pPr>
            <w:r w:rsidRPr="001E7B45">
              <w:rPr>
                <w:rFonts w:ascii="Calibri" w:eastAsia="Times New Roman" w:hAnsi="Calibri" w:cs="Calibri"/>
                <w:color w:val="000000" w:themeColor="text1"/>
                <w:lang w:eastAsia="en-AU"/>
              </w:rPr>
              <w:t>17.2</w:t>
            </w:r>
          </w:p>
        </w:tc>
        <w:tc>
          <w:tcPr>
            <w:tcW w:w="976" w:type="dxa"/>
            <w:shd w:val="clear" w:color="auto" w:fill="FFFFFF" w:themeFill="background2"/>
            <w:noWrap/>
            <w:vAlign w:val="bottom"/>
            <w:hideMark/>
          </w:tcPr>
          <w:p w:rsidR="001066E6" w:rsidRPr="001E7B45" w:rsidRDefault="001066E6" w:rsidP="001E7B45">
            <w:pPr>
              <w:keepNext/>
              <w:spacing w:after="0" w:line="240" w:lineRule="auto"/>
              <w:jc w:val="right"/>
              <w:rPr>
                <w:rFonts w:ascii="Calibri" w:eastAsia="Times New Roman" w:hAnsi="Calibri" w:cs="Calibri"/>
                <w:color w:val="000000" w:themeColor="text1"/>
                <w:lang w:eastAsia="en-AU"/>
              </w:rPr>
            </w:pPr>
            <w:r w:rsidRPr="001E7B45">
              <w:rPr>
                <w:rFonts w:ascii="Calibri" w:eastAsia="Times New Roman" w:hAnsi="Calibri" w:cs="Calibri"/>
                <w:color w:val="000000" w:themeColor="text1"/>
                <w:lang w:eastAsia="en-AU"/>
              </w:rPr>
              <w:t>100.0</w:t>
            </w:r>
          </w:p>
        </w:tc>
      </w:tr>
      <w:tr w:rsidR="001066E6" w:rsidRPr="001066E6" w:rsidTr="001E7B45">
        <w:trPr>
          <w:trHeight w:val="300"/>
        </w:trPr>
        <w:tc>
          <w:tcPr>
            <w:tcW w:w="2356" w:type="dxa"/>
            <w:shd w:val="clear" w:color="auto" w:fill="FFFFFF" w:themeFill="background2"/>
            <w:noWrap/>
            <w:hideMark/>
          </w:tcPr>
          <w:p w:rsidR="001066E6" w:rsidRPr="001E7B45" w:rsidRDefault="001066E6" w:rsidP="001E7B45">
            <w:pPr>
              <w:keepNext/>
              <w:spacing w:after="0" w:line="240" w:lineRule="auto"/>
              <w:rPr>
                <w:rFonts w:ascii="Calibri" w:eastAsia="Times New Roman" w:hAnsi="Calibri" w:cs="Calibri"/>
                <w:color w:val="000000" w:themeColor="text1"/>
                <w:lang w:eastAsia="en-AU"/>
              </w:rPr>
            </w:pPr>
            <w:r w:rsidRPr="001E7B45">
              <w:rPr>
                <w:rFonts w:ascii="Calibri" w:eastAsia="Times New Roman" w:hAnsi="Calibri" w:cs="Calibri"/>
                <w:color w:val="000000" w:themeColor="text1"/>
                <w:lang w:eastAsia="en-AU"/>
              </w:rPr>
              <w:t>Older than JCB age range</w:t>
            </w:r>
          </w:p>
        </w:tc>
        <w:tc>
          <w:tcPr>
            <w:tcW w:w="1436" w:type="dxa"/>
            <w:shd w:val="clear" w:color="auto" w:fill="FFFFFF" w:themeFill="background2"/>
            <w:noWrap/>
            <w:vAlign w:val="bottom"/>
            <w:hideMark/>
          </w:tcPr>
          <w:p w:rsidR="001066E6" w:rsidRPr="001E7B45" w:rsidRDefault="001066E6" w:rsidP="001E7B45">
            <w:pPr>
              <w:keepNext/>
              <w:spacing w:after="0" w:line="240" w:lineRule="auto"/>
              <w:jc w:val="right"/>
              <w:rPr>
                <w:rFonts w:ascii="Calibri" w:eastAsia="Times New Roman" w:hAnsi="Calibri" w:cs="Calibri"/>
                <w:color w:val="000000" w:themeColor="text1"/>
                <w:lang w:eastAsia="en-AU"/>
              </w:rPr>
            </w:pPr>
            <w:r w:rsidRPr="001E7B45">
              <w:rPr>
                <w:rFonts w:ascii="Calibri" w:eastAsia="Times New Roman" w:hAnsi="Calibri" w:cs="Calibri"/>
                <w:color w:val="000000" w:themeColor="text1"/>
                <w:lang w:eastAsia="en-AU"/>
              </w:rPr>
              <w:t>53.8</w:t>
            </w:r>
          </w:p>
        </w:tc>
        <w:tc>
          <w:tcPr>
            <w:tcW w:w="1616" w:type="dxa"/>
            <w:shd w:val="clear" w:color="auto" w:fill="FFFFFF" w:themeFill="background2"/>
            <w:noWrap/>
            <w:vAlign w:val="bottom"/>
            <w:hideMark/>
          </w:tcPr>
          <w:p w:rsidR="001066E6" w:rsidRPr="001E7B45" w:rsidRDefault="001066E6" w:rsidP="001E7B45">
            <w:pPr>
              <w:keepNext/>
              <w:spacing w:after="0" w:line="240" w:lineRule="auto"/>
              <w:jc w:val="right"/>
              <w:rPr>
                <w:rFonts w:ascii="Calibri" w:eastAsia="Times New Roman" w:hAnsi="Calibri" w:cs="Calibri"/>
                <w:color w:val="000000" w:themeColor="text1"/>
                <w:lang w:eastAsia="en-AU"/>
              </w:rPr>
            </w:pPr>
            <w:r w:rsidRPr="001E7B45">
              <w:rPr>
                <w:rFonts w:ascii="Calibri" w:eastAsia="Times New Roman" w:hAnsi="Calibri" w:cs="Calibri"/>
                <w:color w:val="000000" w:themeColor="text1"/>
                <w:lang w:eastAsia="en-AU"/>
              </w:rPr>
              <w:t>15.9</w:t>
            </w:r>
          </w:p>
        </w:tc>
        <w:tc>
          <w:tcPr>
            <w:tcW w:w="1656" w:type="dxa"/>
            <w:shd w:val="clear" w:color="auto" w:fill="FFFFFF" w:themeFill="background2"/>
            <w:noWrap/>
            <w:vAlign w:val="bottom"/>
            <w:hideMark/>
          </w:tcPr>
          <w:p w:rsidR="001066E6" w:rsidRPr="001E7B45" w:rsidRDefault="001066E6" w:rsidP="001E7B45">
            <w:pPr>
              <w:keepNext/>
              <w:spacing w:after="0" w:line="240" w:lineRule="auto"/>
              <w:jc w:val="right"/>
              <w:rPr>
                <w:rFonts w:ascii="Calibri" w:eastAsia="Times New Roman" w:hAnsi="Calibri" w:cs="Calibri"/>
                <w:color w:val="000000" w:themeColor="text1"/>
                <w:lang w:eastAsia="en-AU"/>
              </w:rPr>
            </w:pPr>
            <w:r w:rsidRPr="001E7B45">
              <w:rPr>
                <w:rFonts w:ascii="Calibri" w:eastAsia="Times New Roman" w:hAnsi="Calibri" w:cs="Calibri"/>
                <w:color w:val="000000" w:themeColor="text1"/>
                <w:lang w:eastAsia="en-AU"/>
              </w:rPr>
              <w:t>30.2</w:t>
            </w:r>
          </w:p>
        </w:tc>
        <w:tc>
          <w:tcPr>
            <w:tcW w:w="976" w:type="dxa"/>
            <w:shd w:val="clear" w:color="auto" w:fill="FFFFFF" w:themeFill="background2"/>
            <w:noWrap/>
            <w:vAlign w:val="bottom"/>
            <w:hideMark/>
          </w:tcPr>
          <w:p w:rsidR="001066E6" w:rsidRPr="001E7B45" w:rsidRDefault="001066E6" w:rsidP="001E7B45">
            <w:pPr>
              <w:keepNext/>
              <w:spacing w:after="0" w:line="240" w:lineRule="auto"/>
              <w:jc w:val="right"/>
              <w:rPr>
                <w:rFonts w:ascii="Calibri" w:eastAsia="Times New Roman" w:hAnsi="Calibri" w:cs="Calibri"/>
                <w:color w:val="000000" w:themeColor="text1"/>
                <w:lang w:eastAsia="en-AU"/>
              </w:rPr>
            </w:pPr>
            <w:r w:rsidRPr="001E7B45">
              <w:rPr>
                <w:rFonts w:ascii="Calibri" w:eastAsia="Times New Roman" w:hAnsi="Calibri" w:cs="Calibri"/>
                <w:color w:val="000000" w:themeColor="text1"/>
                <w:lang w:eastAsia="en-AU"/>
              </w:rPr>
              <w:t>100.0</w:t>
            </w:r>
          </w:p>
        </w:tc>
      </w:tr>
    </w:tbl>
    <w:p w:rsidR="001145DC" w:rsidRDefault="001145DC" w:rsidP="001E7B45">
      <w:pPr>
        <w:spacing w:before="3200"/>
        <w:rPr>
          <w:rFonts w:cstheme="minorHAnsi"/>
          <w:sz w:val="20"/>
          <w:szCs w:val="20"/>
        </w:rPr>
      </w:pPr>
      <w:r w:rsidRPr="00AA2118">
        <w:rPr>
          <w:rFonts w:cstheme="minorHAnsi"/>
          <w:b/>
          <w:sz w:val="20"/>
          <w:szCs w:val="20"/>
        </w:rPr>
        <w:t>Source:</w:t>
      </w:r>
      <w:r w:rsidRPr="004C5B83">
        <w:rPr>
          <w:b/>
        </w:rPr>
        <w:t xml:space="preserve"> </w:t>
      </w:r>
      <w:r w:rsidRPr="00AA2118">
        <w:rPr>
          <w:rFonts w:cstheme="minorHAnsi"/>
          <w:sz w:val="20"/>
          <w:szCs w:val="20"/>
        </w:rPr>
        <w:t xml:space="preserve">Department of Employment </w:t>
      </w:r>
      <w:r>
        <w:rPr>
          <w:rFonts w:cstheme="minorHAnsi"/>
          <w:sz w:val="20"/>
          <w:szCs w:val="20"/>
        </w:rPr>
        <w:t>2017 Job Seeker Experiences of Employment Services</w:t>
      </w:r>
      <w:r w:rsidRPr="00AA2118">
        <w:rPr>
          <w:rFonts w:cstheme="minorHAnsi"/>
          <w:sz w:val="20"/>
          <w:szCs w:val="20"/>
        </w:rPr>
        <w:t xml:space="preserve"> survey</w:t>
      </w:r>
      <w:r>
        <w:rPr>
          <w:rFonts w:cstheme="minorHAnsi"/>
          <w:sz w:val="20"/>
          <w:szCs w:val="20"/>
        </w:rPr>
        <w:t>.</w:t>
      </w:r>
    </w:p>
    <w:p w:rsidR="00E34CB3" w:rsidRPr="002C6886" w:rsidRDefault="00E34CB3" w:rsidP="00E34CB3">
      <w:pPr>
        <w:pStyle w:val="Heading3"/>
      </w:pPr>
      <w:r>
        <w:t>4.4.6</w:t>
      </w:r>
      <w:r>
        <w:tab/>
      </w:r>
      <w:r w:rsidRPr="002C6886">
        <w:t>Qualitative evidence</w:t>
      </w:r>
    </w:p>
    <w:p w:rsidR="00E34CB3" w:rsidRPr="00812CFB" w:rsidRDefault="00E34CB3" w:rsidP="00E34CB3">
      <w:pPr>
        <w:spacing w:before="120"/>
        <w:rPr>
          <w:color w:val="000000" w:themeColor="text1"/>
        </w:rPr>
      </w:pPr>
      <w:r>
        <w:rPr>
          <w:color w:val="000000" w:themeColor="text1"/>
        </w:rPr>
        <w:t>Q</w:t>
      </w:r>
      <w:r w:rsidRPr="00812CFB">
        <w:rPr>
          <w:color w:val="000000" w:themeColor="text1"/>
        </w:rPr>
        <w:t xml:space="preserve">ualitative </w:t>
      </w:r>
      <w:r>
        <w:rPr>
          <w:color w:val="000000" w:themeColor="text1"/>
        </w:rPr>
        <w:t>evidence</w:t>
      </w:r>
      <w:r w:rsidRPr="00812CFB">
        <w:rPr>
          <w:color w:val="000000" w:themeColor="text1"/>
        </w:rPr>
        <w:t xml:space="preserve"> suggests that the JCB had greater potential to impact behaviour in terms of </w:t>
      </w:r>
      <w:r>
        <w:rPr>
          <w:color w:val="000000" w:themeColor="text1"/>
        </w:rPr>
        <w:t>staying</w:t>
      </w:r>
      <w:r w:rsidRPr="00812CFB">
        <w:rPr>
          <w:color w:val="000000" w:themeColor="text1"/>
        </w:rPr>
        <w:t xml:space="preserve"> off income support than</w:t>
      </w:r>
      <w:r>
        <w:rPr>
          <w:color w:val="000000" w:themeColor="text1"/>
        </w:rPr>
        <w:t xml:space="preserve"> it did</w:t>
      </w:r>
      <w:r w:rsidRPr="00812CFB">
        <w:rPr>
          <w:color w:val="000000" w:themeColor="text1"/>
        </w:rPr>
        <w:t xml:space="preserve"> </w:t>
      </w:r>
      <w:r>
        <w:rPr>
          <w:color w:val="000000" w:themeColor="text1"/>
        </w:rPr>
        <w:t>on</w:t>
      </w:r>
      <w:r w:rsidRPr="00812CFB">
        <w:rPr>
          <w:color w:val="000000" w:themeColor="text1"/>
        </w:rPr>
        <w:t xml:space="preserve"> </w:t>
      </w:r>
      <w:r>
        <w:rPr>
          <w:color w:val="000000" w:themeColor="text1"/>
        </w:rPr>
        <w:t xml:space="preserve">influencing </w:t>
      </w:r>
      <w:r w:rsidRPr="00812CFB">
        <w:rPr>
          <w:color w:val="000000" w:themeColor="text1"/>
        </w:rPr>
        <w:t xml:space="preserve">job search behaviour. This was not a </w:t>
      </w:r>
      <w:r>
        <w:rPr>
          <w:color w:val="000000" w:themeColor="text1"/>
        </w:rPr>
        <w:t xml:space="preserve">consequence of the lack of an effective </w:t>
      </w:r>
      <w:r w:rsidRPr="00812CFB">
        <w:rPr>
          <w:color w:val="000000" w:themeColor="text1"/>
        </w:rPr>
        <w:t xml:space="preserve">communication </w:t>
      </w:r>
      <w:r>
        <w:rPr>
          <w:color w:val="000000" w:themeColor="text1"/>
        </w:rPr>
        <w:t xml:space="preserve">strategy. Rather once aware, the JCB target group </w:t>
      </w:r>
      <w:r w:rsidR="005949E4">
        <w:rPr>
          <w:color w:val="000000" w:themeColor="text1"/>
        </w:rPr>
        <w:t xml:space="preserve">was </w:t>
      </w:r>
      <w:r>
        <w:rPr>
          <w:color w:val="000000" w:themeColor="text1"/>
        </w:rPr>
        <w:t xml:space="preserve">affected by </w:t>
      </w:r>
      <w:r w:rsidRPr="00812CFB">
        <w:rPr>
          <w:color w:val="000000" w:themeColor="text1"/>
        </w:rPr>
        <w:t>pre-existing motivations and</w:t>
      </w:r>
      <w:r>
        <w:rPr>
          <w:color w:val="000000" w:themeColor="text1"/>
        </w:rPr>
        <w:t xml:space="preserve"> </w:t>
      </w:r>
      <w:r w:rsidR="006E55B1">
        <w:rPr>
          <w:color w:val="000000" w:themeColor="text1"/>
        </w:rPr>
        <w:t>whether they saw the bonus as of ‘sufficient’ value</w:t>
      </w:r>
      <w:r w:rsidRPr="00812CFB">
        <w:rPr>
          <w:color w:val="000000" w:themeColor="text1"/>
        </w:rPr>
        <w:t xml:space="preserve">. </w:t>
      </w:r>
      <w:r>
        <w:rPr>
          <w:color w:val="000000" w:themeColor="text1"/>
        </w:rPr>
        <w:t>Research</w:t>
      </w:r>
      <w:r w:rsidRPr="00812CFB">
        <w:rPr>
          <w:color w:val="000000" w:themeColor="text1"/>
        </w:rPr>
        <w:t xml:space="preserve"> participants who were currently working were more motivated by the idea of the bonus than </w:t>
      </w:r>
      <w:r>
        <w:rPr>
          <w:color w:val="000000" w:themeColor="text1"/>
        </w:rPr>
        <w:t>people</w:t>
      </w:r>
      <w:r w:rsidRPr="00812CFB">
        <w:rPr>
          <w:color w:val="000000" w:themeColor="text1"/>
        </w:rPr>
        <w:t xml:space="preserve"> who were unemployed</w:t>
      </w:r>
      <w:r>
        <w:rPr>
          <w:color w:val="000000" w:themeColor="text1"/>
        </w:rPr>
        <w:t>. This was</w:t>
      </w:r>
      <w:r w:rsidRPr="00812CFB">
        <w:rPr>
          <w:color w:val="000000" w:themeColor="text1"/>
        </w:rPr>
        <w:t xml:space="preserve"> presumably because the bonus</w:t>
      </w:r>
      <w:r>
        <w:rPr>
          <w:color w:val="000000" w:themeColor="text1"/>
        </w:rPr>
        <w:t xml:space="preserve"> seemed more attainable </w:t>
      </w:r>
      <w:r w:rsidRPr="00812CFB">
        <w:rPr>
          <w:color w:val="000000" w:themeColor="text1"/>
        </w:rPr>
        <w:t>as they were closer to qualifying</w:t>
      </w:r>
      <w:r>
        <w:rPr>
          <w:color w:val="000000" w:themeColor="text1"/>
        </w:rPr>
        <w:t xml:space="preserve">. They would therefore assign </w:t>
      </w:r>
      <w:r w:rsidRPr="00812CFB">
        <w:rPr>
          <w:color w:val="000000" w:themeColor="text1"/>
        </w:rPr>
        <w:t xml:space="preserve">a higher </w:t>
      </w:r>
      <w:r>
        <w:rPr>
          <w:color w:val="000000" w:themeColor="text1"/>
        </w:rPr>
        <w:t xml:space="preserve">discounted </w:t>
      </w:r>
      <w:r w:rsidRPr="00812CFB">
        <w:rPr>
          <w:color w:val="000000" w:themeColor="text1"/>
        </w:rPr>
        <w:t xml:space="preserve">future value </w:t>
      </w:r>
      <w:r>
        <w:rPr>
          <w:color w:val="000000" w:themeColor="text1"/>
        </w:rPr>
        <w:t xml:space="preserve">to the bonus </w:t>
      </w:r>
      <w:r w:rsidRPr="00812CFB">
        <w:rPr>
          <w:color w:val="000000" w:themeColor="text1"/>
        </w:rPr>
        <w:t>(</w:t>
      </w:r>
      <w:r>
        <w:rPr>
          <w:color w:val="000000" w:themeColor="text1"/>
        </w:rPr>
        <w:t>Section 4.1.2</w:t>
      </w:r>
      <w:r w:rsidRPr="00812CFB">
        <w:rPr>
          <w:color w:val="000000" w:themeColor="text1"/>
        </w:rPr>
        <w:t>).</w:t>
      </w:r>
    </w:p>
    <w:p w:rsidR="00E34CB3" w:rsidRDefault="00E34CB3" w:rsidP="00E34CB3">
      <w:pPr>
        <w:tabs>
          <w:tab w:val="left" w:pos="227"/>
        </w:tabs>
        <w:suppressAutoHyphens/>
        <w:autoSpaceDE w:val="0"/>
        <w:autoSpaceDN w:val="0"/>
        <w:adjustRightInd w:val="0"/>
        <w:spacing w:before="120" w:after="198" w:line="300" w:lineRule="atLeast"/>
        <w:textAlignment w:val="center"/>
        <w:rPr>
          <w:color w:val="000000" w:themeColor="text1"/>
        </w:rPr>
      </w:pPr>
      <w:r>
        <w:rPr>
          <w:color w:val="000000" w:themeColor="text1"/>
        </w:rPr>
        <w:t>Combined qualitative evidence indicates that,</w:t>
      </w:r>
      <w:r w:rsidRPr="00A00FF8">
        <w:rPr>
          <w:color w:val="000000" w:themeColor="text1"/>
        </w:rPr>
        <w:t xml:space="preserve"> </w:t>
      </w:r>
      <w:r>
        <w:rPr>
          <w:color w:val="000000" w:themeColor="text1"/>
        </w:rPr>
        <w:t>especially for those who act impulsively, the bonus had potential to encourage people to:</w:t>
      </w:r>
    </w:p>
    <w:p w:rsidR="00E34CB3" w:rsidRDefault="00E34CB3" w:rsidP="00E34CB3">
      <w:pPr>
        <w:pStyle w:val="ListParagraph"/>
        <w:numPr>
          <w:ilvl w:val="0"/>
          <w:numId w:val="51"/>
        </w:numPr>
        <w:tabs>
          <w:tab w:val="left" w:pos="227"/>
        </w:tabs>
        <w:suppressAutoHyphens/>
        <w:autoSpaceDE w:val="0"/>
        <w:autoSpaceDN w:val="0"/>
        <w:adjustRightInd w:val="0"/>
        <w:spacing w:before="120" w:after="198" w:line="300" w:lineRule="atLeast"/>
        <w:textAlignment w:val="center"/>
        <w:rPr>
          <w:color w:val="000000" w:themeColor="text1"/>
        </w:rPr>
      </w:pPr>
      <w:r w:rsidRPr="00B93939">
        <w:rPr>
          <w:color w:val="000000" w:themeColor="text1"/>
        </w:rPr>
        <w:t xml:space="preserve">stay in work and persist with a job they may not have </w:t>
      </w:r>
      <w:r>
        <w:rPr>
          <w:color w:val="000000" w:themeColor="text1"/>
        </w:rPr>
        <w:t>liked in order to qualify, but only within reasonable limits</w:t>
      </w:r>
    </w:p>
    <w:p w:rsidR="00E34CB3" w:rsidRPr="003F6CD3" w:rsidRDefault="00E34CB3" w:rsidP="00E34CB3">
      <w:pPr>
        <w:pStyle w:val="QuotationJCB"/>
        <w:ind w:left="709"/>
      </w:pPr>
      <w:r w:rsidRPr="003F6CD3">
        <w:t>Because I actually knew about it, the JCB, and it made me stay at my job until I found something better when it was really tough, to be honest</w:t>
      </w:r>
      <w:r>
        <w:t>.</w:t>
      </w:r>
    </w:p>
    <w:p w:rsidR="00E34CB3" w:rsidRPr="00BA52DF" w:rsidRDefault="00E34CB3" w:rsidP="00E34CB3">
      <w:pPr>
        <w:pStyle w:val="quopteJCB-source"/>
        <w:spacing w:before="0"/>
      </w:pPr>
      <w:r>
        <w:t>October 2016 (Round 3), received JCB, focus group, Melbourne</w:t>
      </w:r>
    </w:p>
    <w:p w:rsidR="00E34CB3" w:rsidRPr="00B07341" w:rsidRDefault="00E34CB3" w:rsidP="00E34CB3">
      <w:pPr>
        <w:pStyle w:val="QuotationJCB"/>
        <w:ind w:left="709"/>
      </w:pPr>
      <w:r w:rsidRPr="00B07341">
        <w:t>My mentality was if I don’t like a job, I’d just leave and I wouldn’t even line up a job, and then I’d just be like I’m going and I’ll figure it out in the future. But with that in the back of my mind, I was just like okay, just grind it out, until I hit the two years, and then go back. It kept me there, and I’m not regretting it and I’m liking my job now and so I guess if that motivation hadn’t have been there, I probably would have left this company.</w:t>
      </w:r>
    </w:p>
    <w:p w:rsidR="00E34CB3" w:rsidRPr="00B07341" w:rsidRDefault="00E34CB3" w:rsidP="00E34CB3">
      <w:pPr>
        <w:pStyle w:val="quopteJCB-source"/>
        <w:spacing w:before="0"/>
      </w:pPr>
      <w:r>
        <w:t>October 2016 (Round 3), received JCB, focus group, Melbourne</w:t>
      </w:r>
    </w:p>
    <w:p w:rsidR="00E34CB3" w:rsidRDefault="00E34CB3" w:rsidP="00E34CB3">
      <w:pPr>
        <w:pStyle w:val="QuotationJCB"/>
        <w:ind w:left="709"/>
      </w:pPr>
      <w:r>
        <w:lastRenderedPageBreak/>
        <w:t>If there was sexual harassment, I wouldn’t care about a lump sum; I’d be like goodbye, or bullying, really bad bullying.</w:t>
      </w:r>
    </w:p>
    <w:p w:rsidR="00E34CB3" w:rsidRDefault="00E34CB3" w:rsidP="00E34CB3">
      <w:pPr>
        <w:pStyle w:val="quopteJCB-source"/>
        <w:spacing w:before="0"/>
      </w:pPr>
      <w:r>
        <w:t>October 2016 (Round 3), not yet claimed, focus group, Gold Coast</w:t>
      </w:r>
    </w:p>
    <w:p w:rsidR="00E34CB3" w:rsidRDefault="00E34CB3" w:rsidP="00E34CB3">
      <w:pPr>
        <w:pStyle w:val="ListParagraph"/>
        <w:numPr>
          <w:ilvl w:val="0"/>
          <w:numId w:val="51"/>
        </w:numPr>
        <w:tabs>
          <w:tab w:val="left" w:pos="227"/>
        </w:tabs>
        <w:suppressAutoHyphens/>
        <w:autoSpaceDE w:val="0"/>
        <w:autoSpaceDN w:val="0"/>
        <w:adjustRightInd w:val="0"/>
        <w:spacing w:before="120" w:after="198" w:line="300" w:lineRule="atLeast"/>
        <w:textAlignment w:val="center"/>
        <w:rPr>
          <w:color w:val="000000" w:themeColor="text1"/>
        </w:rPr>
      </w:pPr>
      <w:r w:rsidRPr="00B93939">
        <w:rPr>
          <w:color w:val="000000" w:themeColor="text1"/>
        </w:rPr>
        <w:t>transition from one job to another and actively avoid becoming unemployed.</w:t>
      </w:r>
    </w:p>
    <w:p w:rsidR="00E34CB3" w:rsidRDefault="00E34CB3" w:rsidP="00E34CB3">
      <w:pPr>
        <w:pStyle w:val="QuotationJCB"/>
        <w:ind w:left="709"/>
      </w:pPr>
      <w:r>
        <w:t>It would be a good idea to go and look, just to make sure that you do have a job before you leave.</w:t>
      </w:r>
    </w:p>
    <w:p w:rsidR="00E34CB3" w:rsidRPr="002B45FD" w:rsidRDefault="00E34CB3" w:rsidP="00E34CB3">
      <w:pPr>
        <w:pStyle w:val="quopteJCB-source"/>
        <w:spacing w:before="0"/>
      </w:pPr>
      <w:r>
        <w:t>October 2016 (Round 3), not yet claimed, interview, regional NSW</w:t>
      </w:r>
    </w:p>
    <w:p w:rsidR="00E34CB3" w:rsidRPr="00C27676" w:rsidRDefault="00E34CB3" w:rsidP="00E34CB3">
      <w:pPr>
        <w:spacing w:before="120"/>
        <w:rPr>
          <w:color w:val="000000" w:themeColor="text1"/>
        </w:rPr>
      </w:pPr>
      <w:r>
        <w:rPr>
          <w:color w:val="000000" w:themeColor="text1"/>
        </w:rPr>
        <w:t>R</w:t>
      </w:r>
      <w:r w:rsidRPr="00C27676">
        <w:rPr>
          <w:color w:val="000000" w:themeColor="text1"/>
        </w:rPr>
        <w:t xml:space="preserve">espondents in the </w:t>
      </w:r>
      <w:r>
        <w:rPr>
          <w:color w:val="000000" w:themeColor="text1"/>
        </w:rPr>
        <w:t>PPM JCB</w:t>
      </w:r>
      <w:r w:rsidRPr="00C27676">
        <w:rPr>
          <w:color w:val="000000" w:themeColor="text1"/>
        </w:rPr>
        <w:t xml:space="preserve"> survey </w:t>
      </w:r>
      <w:r>
        <w:rPr>
          <w:color w:val="000000" w:themeColor="text1"/>
        </w:rPr>
        <w:t xml:space="preserve">also </w:t>
      </w:r>
      <w:r w:rsidRPr="00C27676">
        <w:rPr>
          <w:color w:val="000000" w:themeColor="text1"/>
        </w:rPr>
        <w:t xml:space="preserve">reported that the increase in motivation to sustain a job was greater than its impact on job search </w:t>
      </w:r>
      <w:r w:rsidRPr="00EC5BBD">
        <w:rPr>
          <w:color w:val="000000" w:themeColor="text1"/>
        </w:rPr>
        <w:t>(</w:t>
      </w:r>
      <w:r w:rsidRPr="008E07C7">
        <w:rPr>
          <w:color w:val="000000" w:themeColor="text1"/>
        </w:rPr>
        <w:t>Figure 4.</w:t>
      </w:r>
      <w:r>
        <w:rPr>
          <w:color w:val="000000" w:themeColor="text1"/>
        </w:rPr>
        <w:t>5</w:t>
      </w:r>
      <w:r w:rsidRPr="008E07C7">
        <w:rPr>
          <w:color w:val="000000" w:themeColor="text1"/>
        </w:rPr>
        <w:t>).</w:t>
      </w:r>
    </w:p>
    <w:p w:rsidR="00E34CB3" w:rsidRPr="00DF3827" w:rsidRDefault="00E34CB3" w:rsidP="00E34CB3">
      <w:pPr>
        <w:spacing w:before="120"/>
        <w:rPr>
          <w:color w:val="000000" w:themeColor="text1"/>
        </w:rPr>
      </w:pPr>
      <w:r w:rsidRPr="00DF3827">
        <w:rPr>
          <w:color w:val="000000" w:themeColor="text1"/>
        </w:rPr>
        <w:t>Most participants who had successfully claimed the JCB1, were aware of the 24 months bonus, and they intended to claim the JCB2.</w:t>
      </w:r>
    </w:p>
    <w:p w:rsidR="00E34CB3" w:rsidRPr="00DF3827" w:rsidRDefault="00E34CB3" w:rsidP="00E34CB3">
      <w:pPr>
        <w:pStyle w:val="QuotationJCB"/>
        <w:rPr>
          <w:rFonts w:eastAsia="Times New Roman"/>
          <w:lang w:eastAsia="en-AU"/>
        </w:rPr>
      </w:pPr>
      <w:r w:rsidRPr="00DF3827">
        <w:rPr>
          <w:rFonts w:eastAsia="Times New Roman"/>
          <w:lang w:eastAsia="en-AU"/>
        </w:rPr>
        <w:t>So I think, yes, it’s, the reason why: I’m eligible, but it helps out financially in terms of being a year off unemployed has really sucked into your finances quite heavily. And so this commitment bonus really fits in terms of rectifying bills and cashing up and actually starting to save again.</w:t>
      </w:r>
    </w:p>
    <w:p w:rsidR="00E34CB3" w:rsidRPr="00DF3827" w:rsidRDefault="00E34CB3" w:rsidP="00E34CB3">
      <w:pPr>
        <w:pStyle w:val="quopteJCB-source"/>
        <w:spacing w:before="0"/>
        <w:rPr>
          <w:rFonts w:eastAsia="Times New Roman"/>
          <w:lang w:eastAsia="en-AU"/>
        </w:rPr>
      </w:pPr>
      <w:r>
        <w:rPr>
          <w:rFonts w:eastAsia="Times New Roman"/>
          <w:lang w:eastAsia="en-AU"/>
        </w:rPr>
        <w:t>November 2015 (Round 2),</w:t>
      </w:r>
      <w:r w:rsidRPr="004A774E">
        <w:rPr>
          <w:rFonts w:eastAsia="Times New Roman"/>
          <w:lang w:eastAsia="en-AU"/>
        </w:rPr>
        <w:t xml:space="preserve"> </w:t>
      </w:r>
      <w:r>
        <w:rPr>
          <w:rFonts w:eastAsia="Times New Roman"/>
          <w:lang w:eastAsia="en-AU"/>
        </w:rPr>
        <w:t>received JCB, m</w:t>
      </w:r>
      <w:r w:rsidRPr="00DF3827">
        <w:rPr>
          <w:rFonts w:eastAsia="Times New Roman"/>
          <w:lang w:eastAsia="en-AU"/>
        </w:rPr>
        <w:t>ale, 25 years or more, metropolitan</w:t>
      </w:r>
    </w:p>
    <w:p w:rsidR="00E34CB3" w:rsidRDefault="00E34CB3" w:rsidP="00E34CB3">
      <w:pPr>
        <w:spacing w:before="120"/>
        <w:rPr>
          <w:color w:val="000000" w:themeColor="text1"/>
        </w:rPr>
      </w:pPr>
      <w:r w:rsidRPr="00DF3827">
        <w:rPr>
          <w:color w:val="000000" w:themeColor="text1"/>
        </w:rPr>
        <w:t>They also stated that it was of little significance to stay employed, as nearly all wanted to continue working and stay off income support regardless. None saw any reason that they would not qualify for the 24 month</w:t>
      </w:r>
      <w:r w:rsidR="004C38DD">
        <w:rPr>
          <w:color w:val="000000" w:themeColor="text1"/>
        </w:rPr>
        <w:t>s</w:t>
      </w:r>
      <w:r w:rsidRPr="00DF3827">
        <w:rPr>
          <w:color w:val="000000" w:themeColor="text1"/>
        </w:rPr>
        <w:t xml:space="preserve"> bonus, in either their current job or another, unless some unexpected circumstances arose.</w:t>
      </w:r>
    </w:p>
    <w:p w:rsidR="00E34CB3" w:rsidRDefault="00E34CB3" w:rsidP="00E34CB3">
      <w:pPr>
        <w:spacing w:before="120"/>
        <w:rPr>
          <w:color w:val="000000" w:themeColor="text1"/>
        </w:rPr>
      </w:pPr>
      <w:r>
        <w:rPr>
          <w:color w:val="000000" w:themeColor="text1"/>
        </w:rPr>
        <w:t>People who had received JCB1 saw JCB2 as more attainable, and therefore were highly motivated to achieve it.</w:t>
      </w:r>
      <w:r>
        <w:rPr>
          <w:rStyle w:val="FootnoteReference"/>
          <w:color w:val="000000" w:themeColor="text1"/>
        </w:rPr>
        <w:footnoteReference w:id="86"/>
      </w:r>
    </w:p>
    <w:p w:rsidR="00E34CB3" w:rsidRDefault="00E34CB3" w:rsidP="00E34CB3">
      <w:pPr>
        <w:pStyle w:val="QuotationJCB"/>
      </w:pPr>
      <w:r>
        <w:t>Especially getting that first amount in your account and knowing how much it helped you and going alright, this was money I wasn’t able to save, wasn’t able to get ahead, alright, all I’ve got to do is push for another twelve and I can get this again.</w:t>
      </w:r>
    </w:p>
    <w:p w:rsidR="00E34CB3" w:rsidRPr="000702DA" w:rsidRDefault="00E34CB3" w:rsidP="00E34CB3">
      <w:pPr>
        <w:pStyle w:val="quopteJCB-source"/>
        <w:spacing w:before="0"/>
      </w:pPr>
      <w:r>
        <w:t>October 2016 (Round 3), received JCB, focus group, Sydney</w:t>
      </w:r>
    </w:p>
    <w:p w:rsidR="00E34CB3" w:rsidRDefault="00E34CB3" w:rsidP="00E34CB3">
      <w:pPr>
        <w:spacing w:before="120"/>
        <w:rPr>
          <w:color w:val="000000" w:themeColor="text1"/>
        </w:rPr>
      </w:pPr>
      <w:r>
        <w:rPr>
          <w:color w:val="000000" w:themeColor="text1"/>
        </w:rPr>
        <w:t>People who were closer to qualifying for the bonus displayed greater motivation to obtain it, again relating to the discounted future value (Section 4.1.2).</w:t>
      </w:r>
    </w:p>
    <w:p w:rsidR="00E34CB3" w:rsidRDefault="00E34CB3" w:rsidP="00E34CB3">
      <w:pPr>
        <w:pStyle w:val="QuotationJCB"/>
      </w:pPr>
      <w:r>
        <w:t>That only became a factor when it became almost time to claim it. Like oh, I can almost get this money. And I’m like, may as well stick it out.</w:t>
      </w:r>
    </w:p>
    <w:p w:rsidR="00E34CB3" w:rsidRPr="000702DA" w:rsidRDefault="00E34CB3" w:rsidP="00E34CB3">
      <w:pPr>
        <w:pStyle w:val="quopteJCB-source"/>
        <w:spacing w:before="0"/>
      </w:pPr>
      <w:r>
        <w:t>October 2016 (Round 3), received JCB, focus group, Sydney</w:t>
      </w:r>
    </w:p>
    <w:p w:rsidR="00F1447C" w:rsidRDefault="00F1447C" w:rsidP="004968D9">
      <w:r>
        <w:t xml:space="preserve">The quantitative </w:t>
      </w:r>
      <w:r w:rsidR="00FA6E45">
        <w:t xml:space="preserve">analyses </w:t>
      </w:r>
      <w:r>
        <w:t>presented in this section do not corroborate this finding however in the next section,</w:t>
      </w:r>
      <w:r w:rsidR="006E55B1">
        <w:t xml:space="preserve"> (Section 4.5.1)</w:t>
      </w:r>
      <w:r>
        <w:t xml:space="preserve"> some quantitative evidence is found that does lend support to the qualitative research.</w:t>
      </w:r>
    </w:p>
    <w:p w:rsidR="003F4992" w:rsidRDefault="003F4992" w:rsidP="00622A43">
      <w:pPr>
        <w:pStyle w:val="Heading2"/>
      </w:pPr>
      <w:bookmarkStart w:id="215" w:name="_Toc507600251"/>
      <w:r>
        <w:lastRenderedPageBreak/>
        <w:t>4.</w:t>
      </w:r>
      <w:r w:rsidR="008D79E1">
        <w:t>5</w:t>
      </w:r>
      <w:r>
        <w:tab/>
        <w:t>Other effectiveness and efficiency measures</w:t>
      </w:r>
      <w:bookmarkEnd w:id="215"/>
    </w:p>
    <w:p w:rsidR="00C14DAC" w:rsidRPr="0018315C" w:rsidRDefault="00C14DAC" w:rsidP="00C14DAC">
      <w:pPr>
        <w:keepNext/>
        <w:pBdr>
          <w:top w:val="single" w:sz="4" w:space="1" w:color="auto"/>
          <w:left w:val="single" w:sz="4" w:space="4" w:color="auto"/>
          <w:bottom w:val="single" w:sz="4" w:space="1" w:color="auto"/>
          <w:right w:val="single" w:sz="4" w:space="4" w:color="auto"/>
        </w:pBdr>
        <w:shd w:val="clear" w:color="auto" w:fill="FDCBA0"/>
        <w:spacing w:after="120"/>
        <w:rPr>
          <w:rStyle w:val="Strong"/>
        </w:rPr>
      </w:pPr>
      <w:r w:rsidRPr="0018315C">
        <w:rPr>
          <w:rStyle w:val="Strong"/>
        </w:rPr>
        <w:t>Highlights</w:t>
      </w:r>
    </w:p>
    <w:p w:rsidR="00521A17" w:rsidRDefault="00C5759E" w:rsidP="00C5759E">
      <w:pPr>
        <w:keepNext/>
        <w:pBdr>
          <w:top w:val="single" w:sz="4" w:space="1" w:color="auto"/>
          <w:left w:val="single" w:sz="4" w:space="4" w:color="auto"/>
          <w:bottom w:val="single" w:sz="4" w:space="1" w:color="auto"/>
          <w:right w:val="single" w:sz="4" w:space="4" w:color="auto"/>
        </w:pBdr>
        <w:shd w:val="clear" w:color="auto" w:fill="FDCBA0"/>
        <w:spacing w:before="120" w:after="0"/>
        <w:rPr>
          <w:color w:val="000000" w:themeColor="text1"/>
        </w:rPr>
      </w:pPr>
      <w:r>
        <w:rPr>
          <w:color w:val="000000" w:themeColor="text1"/>
        </w:rPr>
        <w:t>Deadweight for JCB1</w:t>
      </w:r>
      <w:r w:rsidR="00521A17">
        <w:rPr>
          <w:color w:val="000000" w:themeColor="text1"/>
        </w:rPr>
        <w:t xml:space="preserve"> is estimated to have been </w:t>
      </w:r>
      <w:r w:rsidR="00904A79">
        <w:rPr>
          <w:color w:val="000000" w:themeColor="text1"/>
        </w:rPr>
        <w:t>close to</w:t>
      </w:r>
      <w:r w:rsidR="00521A17">
        <w:rPr>
          <w:color w:val="000000" w:themeColor="text1"/>
        </w:rPr>
        <w:t xml:space="preserve"> 100 per cent.</w:t>
      </w:r>
    </w:p>
    <w:p w:rsidR="00C5759E" w:rsidRDefault="00521A17" w:rsidP="00EC1721">
      <w:pPr>
        <w:pBdr>
          <w:top w:val="single" w:sz="4" w:space="1" w:color="auto"/>
          <w:left w:val="single" w:sz="4" w:space="4" w:color="auto"/>
          <w:bottom w:val="single" w:sz="4" w:space="1" w:color="auto"/>
          <w:right w:val="single" w:sz="4" w:space="4" w:color="auto"/>
        </w:pBdr>
        <w:shd w:val="clear" w:color="auto" w:fill="FDCBA0"/>
        <w:spacing w:before="120" w:after="0"/>
      </w:pPr>
      <w:r>
        <w:rPr>
          <w:color w:val="000000" w:themeColor="text1"/>
        </w:rPr>
        <w:t>There is some evidence that JCB2 de</w:t>
      </w:r>
      <w:r w:rsidR="00833920">
        <w:rPr>
          <w:color w:val="000000" w:themeColor="text1"/>
        </w:rPr>
        <w:t>adweight was slightly lower (ar</w:t>
      </w:r>
      <w:r>
        <w:rPr>
          <w:color w:val="000000" w:themeColor="text1"/>
        </w:rPr>
        <w:t>ound 95 to 96 per cent)</w:t>
      </w:r>
      <w:r w:rsidR="00F26F6F">
        <w:rPr>
          <w:color w:val="000000" w:themeColor="text1"/>
        </w:rPr>
        <w:t>. While</w:t>
      </w:r>
      <w:r>
        <w:rPr>
          <w:color w:val="000000" w:themeColor="text1"/>
        </w:rPr>
        <w:t xml:space="preserve"> </w:t>
      </w:r>
      <w:r w:rsidR="00833920">
        <w:rPr>
          <w:color w:val="000000" w:themeColor="text1"/>
        </w:rPr>
        <w:t xml:space="preserve">slightly lower for most </w:t>
      </w:r>
      <w:r w:rsidR="00C5759E">
        <w:rPr>
          <w:color w:val="000000" w:themeColor="text1"/>
        </w:rPr>
        <w:t>demographic</w:t>
      </w:r>
      <w:r w:rsidR="00833920">
        <w:rPr>
          <w:color w:val="000000" w:themeColor="text1"/>
        </w:rPr>
        <w:t xml:space="preserve"> groups,</w:t>
      </w:r>
      <w:r w:rsidR="000950E1">
        <w:rPr>
          <w:color w:val="000000" w:themeColor="text1"/>
        </w:rPr>
        <w:t xml:space="preserve"> the deadweight appears to be lowest for</w:t>
      </w:r>
      <w:r w:rsidR="00833920">
        <w:rPr>
          <w:color w:val="000000" w:themeColor="text1"/>
        </w:rPr>
        <w:t xml:space="preserve"> </w:t>
      </w:r>
      <w:r w:rsidR="00C5759E">
        <w:rPr>
          <w:color w:val="000000" w:themeColor="text1"/>
        </w:rPr>
        <w:t xml:space="preserve">single parents, </w:t>
      </w:r>
      <w:r w:rsidR="006573FA">
        <w:rPr>
          <w:color w:val="000000" w:themeColor="text1"/>
        </w:rPr>
        <w:t xml:space="preserve">Indigenous </w:t>
      </w:r>
      <w:r w:rsidR="00C5759E">
        <w:rPr>
          <w:color w:val="000000" w:themeColor="text1"/>
        </w:rPr>
        <w:t>people and ex-offenders.</w:t>
      </w:r>
    </w:p>
    <w:p w:rsidR="00B901DB" w:rsidRDefault="00090ACA" w:rsidP="00F239FA">
      <w:pPr>
        <w:pStyle w:val="Heading3"/>
        <w:spacing w:after="120"/>
      </w:pPr>
      <w:r>
        <w:t xml:space="preserve"> </w:t>
      </w:r>
      <w:r w:rsidR="00B83C41">
        <w:t>4.</w:t>
      </w:r>
      <w:r w:rsidR="008D79E1">
        <w:t>5</w:t>
      </w:r>
      <w:r w:rsidR="003F4992">
        <w:t>.1</w:t>
      </w:r>
      <w:r w:rsidR="00B83C41">
        <w:tab/>
      </w:r>
      <w:r w:rsidR="00B901DB">
        <w:t>Deadweight</w:t>
      </w:r>
    </w:p>
    <w:p w:rsidR="00090ACA" w:rsidRDefault="00F359F5" w:rsidP="00B901DB">
      <w:pPr>
        <w:spacing w:before="240"/>
        <w:rPr>
          <w:color w:val="000000" w:themeColor="text1"/>
        </w:rPr>
      </w:pPr>
      <w:r>
        <w:rPr>
          <w:color w:val="000000" w:themeColor="text1"/>
        </w:rPr>
        <w:t>D</w:t>
      </w:r>
      <w:r w:rsidR="00B901DB">
        <w:rPr>
          <w:color w:val="000000" w:themeColor="text1"/>
        </w:rPr>
        <w:t xml:space="preserve">eadweight </w:t>
      </w:r>
      <w:r>
        <w:rPr>
          <w:color w:val="000000" w:themeColor="text1"/>
        </w:rPr>
        <w:t xml:space="preserve">for the JCB </w:t>
      </w:r>
      <w:r w:rsidR="004B3237">
        <w:rPr>
          <w:color w:val="000000" w:themeColor="text1"/>
        </w:rPr>
        <w:t>refers to t</w:t>
      </w:r>
      <w:r>
        <w:rPr>
          <w:color w:val="000000" w:themeColor="text1"/>
        </w:rPr>
        <w:t>he</w:t>
      </w:r>
      <w:r w:rsidR="00003221">
        <w:rPr>
          <w:color w:val="000000" w:themeColor="text1"/>
        </w:rPr>
        <w:t xml:space="preserve"> p</w:t>
      </w:r>
      <w:r w:rsidR="00B901DB">
        <w:rPr>
          <w:color w:val="000000" w:themeColor="text1"/>
        </w:rPr>
        <w:t xml:space="preserve">roportion of </w:t>
      </w:r>
      <w:r w:rsidR="00003221">
        <w:rPr>
          <w:color w:val="000000" w:themeColor="text1"/>
        </w:rPr>
        <w:t xml:space="preserve">people who sustained their </w:t>
      </w:r>
      <w:r w:rsidR="00B901DB">
        <w:rPr>
          <w:color w:val="000000" w:themeColor="text1"/>
        </w:rPr>
        <w:t>exit from income support</w:t>
      </w:r>
      <w:r>
        <w:rPr>
          <w:color w:val="000000" w:themeColor="text1"/>
        </w:rPr>
        <w:t>, who</w:t>
      </w:r>
      <w:r w:rsidR="00B901DB">
        <w:rPr>
          <w:color w:val="000000" w:themeColor="text1"/>
        </w:rPr>
        <w:t xml:space="preserve"> </w:t>
      </w:r>
      <w:r w:rsidR="00003221">
        <w:rPr>
          <w:color w:val="000000" w:themeColor="text1"/>
        </w:rPr>
        <w:t>would have do</w:t>
      </w:r>
      <w:r w:rsidR="00090ACA">
        <w:rPr>
          <w:color w:val="000000" w:themeColor="text1"/>
        </w:rPr>
        <w:t>ne</w:t>
      </w:r>
      <w:r w:rsidR="00003221">
        <w:rPr>
          <w:color w:val="000000" w:themeColor="text1"/>
        </w:rPr>
        <w:t xml:space="preserve"> so </w:t>
      </w:r>
      <w:r w:rsidR="00B901DB">
        <w:rPr>
          <w:color w:val="000000" w:themeColor="text1"/>
        </w:rPr>
        <w:t>without the JCB</w:t>
      </w:r>
      <w:r w:rsidR="00EC5BBD">
        <w:rPr>
          <w:color w:val="000000" w:themeColor="text1"/>
        </w:rPr>
        <w:t xml:space="preserve"> incentive</w:t>
      </w:r>
      <w:r w:rsidR="00B901DB">
        <w:rPr>
          <w:color w:val="000000" w:themeColor="text1"/>
        </w:rPr>
        <w:t>.</w:t>
      </w:r>
      <w:r w:rsidR="00090ACA">
        <w:rPr>
          <w:color w:val="000000" w:themeColor="text1"/>
        </w:rPr>
        <w:t xml:space="preserve"> </w:t>
      </w:r>
      <w:r w:rsidR="004B3237">
        <w:rPr>
          <w:color w:val="000000" w:themeColor="text1"/>
        </w:rPr>
        <w:t>The level of JCB d</w:t>
      </w:r>
      <w:r w:rsidR="002322A2">
        <w:rPr>
          <w:color w:val="000000" w:themeColor="text1"/>
        </w:rPr>
        <w:t xml:space="preserve">eadweight </w:t>
      </w:r>
      <w:r w:rsidR="00090ACA">
        <w:rPr>
          <w:color w:val="000000" w:themeColor="text1"/>
        </w:rPr>
        <w:t xml:space="preserve">is </w:t>
      </w:r>
      <w:r w:rsidR="000950E1">
        <w:rPr>
          <w:color w:val="000000" w:themeColor="text1"/>
        </w:rPr>
        <w:t xml:space="preserve">confirmed </w:t>
      </w:r>
      <w:r w:rsidR="00090ACA">
        <w:rPr>
          <w:color w:val="000000" w:themeColor="text1"/>
        </w:rPr>
        <w:t>in this evaluation using predictive modelling</w:t>
      </w:r>
      <w:r w:rsidR="00101A38">
        <w:rPr>
          <w:color w:val="000000" w:themeColor="text1"/>
        </w:rPr>
        <w:t>.</w:t>
      </w:r>
      <w:r w:rsidR="00101A38">
        <w:rPr>
          <w:rStyle w:val="FootnoteReference"/>
          <w:color w:val="000000" w:themeColor="text1"/>
        </w:rPr>
        <w:footnoteReference w:id="87"/>
      </w:r>
    </w:p>
    <w:p w:rsidR="00B901DB" w:rsidRDefault="00F359F5" w:rsidP="00B901DB">
      <w:pPr>
        <w:spacing w:before="240"/>
        <w:rPr>
          <w:color w:val="000000" w:themeColor="text1"/>
        </w:rPr>
      </w:pPr>
      <w:r>
        <w:rPr>
          <w:color w:val="000000" w:themeColor="text1"/>
        </w:rPr>
        <w:t xml:space="preserve">The </w:t>
      </w:r>
      <w:r w:rsidR="00B901DB">
        <w:rPr>
          <w:color w:val="000000" w:themeColor="text1"/>
        </w:rPr>
        <w:t>probability that a person</w:t>
      </w:r>
      <w:r w:rsidR="00090ACA">
        <w:rPr>
          <w:color w:val="000000" w:themeColor="text1"/>
        </w:rPr>
        <w:t xml:space="preserve"> who would be potentially eligible fo</w:t>
      </w:r>
      <w:r w:rsidR="00F30BD6">
        <w:rPr>
          <w:color w:val="000000" w:themeColor="text1"/>
        </w:rPr>
        <w:t>r the JCB</w:t>
      </w:r>
      <w:r w:rsidR="00090ACA">
        <w:rPr>
          <w:rStyle w:val="FootnoteReference"/>
          <w:color w:val="000000" w:themeColor="text1"/>
        </w:rPr>
        <w:footnoteReference w:id="88"/>
      </w:r>
      <w:r w:rsidR="00B901DB">
        <w:rPr>
          <w:color w:val="000000" w:themeColor="text1"/>
        </w:rPr>
        <w:t xml:space="preserve"> remained off income support for 12 months is </w:t>
      </w:r>
      <w:r w:rsidR="006A6C39">
        <w:rPr>
          <w:color w:val="000000" w:themeColor="text1"/>
        </w:rPr>
        <w:t xml:space="preserve">calculated </w:t>
      </w:r>
      <w:r w:rsidR="00090ACA">
        <w:rPr>
          <w:color w:val="000000" w:themeColor="text1"/>
        </w:rPr>
        <w:t xml:space="preserve">before the JCB program commenced (1 July 2013 to </w:t>
      </w:r>
      <w:r w:rsidR="00101A38">
        <w:rPr>
          <w:color w:val="000000" w:themeColor="text1"/>
        </w:rPr>
        <w:t>30 </w:t>
      </w:r>
      <w:r w:rsidR="000063E0">
        <w:rPr>
          <w:color w:val="000000" w:themeColor="text1"/>
        </w:rPr>
        <w:t>June </w:t>
      </w:r>
      <w:r w:rsidR="00090ACA">
        <w:rPr>
          <w:color w:val="000000" w:themeColor="text1"/>
        </w:rPr>
        <w:t>2014)</w:t>
      </w:r>
      <w:r w:rsidR="00B901DB">
        <w:rPr>
          <w:color w:val="000000" w:themeColor="text1"/>
        </w:rPr>
        <w:t xml:space="preserve">. </w:t>
      </w:r>
      <w:r w:rsidR="006A6C39">
        <w:rPr>
          <w:color w:val="000000" w:themeColor="text1"/>
        </w:rPr>
        <w:t xml:space="preserve">The </w:t>
      </w:r>
      <w:r w:rsidR="00090ACA">
        <w:rPr>
          <w:color w:val="000000" w:themeColor="text1"/>
        </w:rPr>
        <w:t xml:space="preserve">generated </w:t>
      </w:r>
      <w:r w:rsidR="00B901DB">
        <w:rPr>
          <w:color w:val="000000" w:themeColor="text1"/>
        </w:rPr>
        <w:t xml:space="preserve">model </w:t>
      </w:r>
      <w:r w:rsidR="00EC5BBD">
        <w:rPr>
          <w:color w:val="000000" w:themeColor="text1"/>
        </w:rPr>
        <w:t>i</w:t>
      </w:r>
      <w:r w:rsidR="00B901DB">
        <w:rPr>
          <w:color w:val="000000" w:themeColor="text1"/>
        </w:rPr>
        <w:t>s then applied to similar job seekers who exited income support in the first 12 months of the JCB program (1 July 2014 to 30 June 2015)</w:t>
      </w:r>
      <w:r w:rsidR="007B148C">
        <w:rPr>
          <w:color w:val="000000" w:themeColor="text1"/>
        </w:rPr>
        <w:t xml:space="preserve">. The </w:t>
      </w:r>
      <w:r w:rsidR="00B901DB">
        <w:rPr>
          <w:color w:val="000000" w:themeColor="text1"/>
        </w:rPr>
        <w:t xml:space="preserve">difference between predicted and actual results for this latter group </w:t>
      </w:r>
      <w:r w:rsidR="007B148C">
        <w:rPr>
          <w:color w:val="000000" w:themeColor="text1"/>
        </w:rPr>
        <w:t xml:space="preserve">is shown below </w:t>
      </w:r>
      <w:r w:rsidR="00B901DB">
        <w:rPr>
          <w:color w:val="000000" w:themeColor="text1"/>
        </w:rPr>
        <w:t>(Figure 4.</w:t>
      </w:r>
      <w:r w:rsidR="000D4E88">
        <w:rPr>
          <w:color w:val="000000" w:themeColor="text1"/>
        </w:rPr>
        <w:t>15</w:t>
      </w:r>
      <w:r w:rsidR="00B901DB">
        <w:rPr>
          <w:color w:val="000000" w:themeColor="text1"/>
        </w:rPr>
        <w:t>)</w:t>
      </w:r>
      <w:r w:rsidR="00EC5BBD">
        <w:rPr>
          <w:color w:val="000000" w:themeColor="text1"/>
        </w:rPr>
        <w:t>.</w:t>
      </w:r>
    </w:p>
    <w:p w:rsidR="00684670" w:rsidRDefault="007B148C" w:rsidP="00B901DB">
      <w:pPr>
        <w:spacing w:before="240"/>
        <w:rPr>
          <w:color w:val="000000" w:themeColor="text1"/>
        </w:rPr>
      </w:pPr>
      <w:r>
        <w:rPr>
          <w:color w:val="000000" w:themeColor="text1"/>
        </w:rPr>
        <w:t>A</w:t>
      </w:r>
      <w:r w:rsidR="00684670">
        <w:rPr>
          <w:color w:val="000000" w:themeColor="text1"/>
        </w:rPr>
        <w:t xml:space="preserve">ssuming the differing economic conditions are </w:t>
      </w:r>
      <w:r w:rsidR="00101A38">
        <w:rPr>
          <w:color w:val="000000" w:themeColor="text1"/>
        </w:rPr>
        <w:t xml:space="preserve">well </w:t>
      </w:r>
      <w:r w:rsidR="00684670">
        <w:rPr>
          <w:color w:val="000000" w:themeColor="text1"/>
        </w:rPr>
        <w:t xml:space="preserve">accounted for, and no other external factors that might </w:t>
      </w:r>
      <w:r w:rsidR="00B711EA">
        <w:rPr>
          <w:color w:val="000000" w:themeColor="text1"/>
        </w:rPr>
        <w:t>a</w:t>
      </w:r>
      <w:r w:rsidR="00684670">
        <w:rPr>
          <w:color w:val="000000" w:themeColor="text1"/>
        </w:rPr>
        <w:t>ffect outcomes have been overlooked, any differential between predicted and actual outcome rates can be attributed to the JCB.</w:t>
      </w:r>
    </w:p>
    <w:p w:rsidR="00B901DB" w:rsidRDefault="005145F0" w:rsidP="00003221">
      <w:pPr>
        <w:rPr>
          <w:color w:val="000000" w:themeColor="text1"/>
        </w:rPr>
      </w:pPr>
      <w:r>
        <w:rPr>
          <w:color w:val="000000" w:themeColor="text1"/>
        </w:rPr>
        <w:t xml:space="preserve">Results show </w:t>
      </w:r>
      <w:r w:rsidR="00B901DB">
        <w:rPr>
          <w:color w:val="000000" w:themeColor="text1"/>
        </w:rPr>
        <w:t xml:space="preserve">a predicted rate of sustained exits </w:t>
      </w:r>
      <w:r w:rsidR="00833920">
        <w:rPr>
          <w:color w:val="000000" w:themeColor="text1"/>
        </w:rPr>
        <w:t xml:space="preserve">not statistically different to </w:t>
      </w:r>
      <w:r w:rsidR="00E3583A">
        <w:rPr>
          <w:color w:val="000000" w:themeColor="text1"/>
        </w:rPr>
        <w:t xml:space="preserve">the actual </w:t>
      </w:r>
      <w:r w:rsidR="00833920">
        <w:rPr>
          <w:color w:val="000000" w:themeColor="text1"/>
        </w:rPr>
        <w:t xml:space="preserve">observed </w:t>
      </w:r>
      <w:r w:rsidR="00E3583A">
        <w:rPr>
          <w:color w:val="000000" w:themeColor="text1"/>
        </w:rPr>
        <w:t>rate</w:t>
      </w:r>
      <w:r w:rsidR="00B901DB">
        <w:rPr>
          <w:color w:val="000000" w:themeColor="text1"/>
        </w:rPr>
        <w:t xml:space="preserve"> (with</w:t>
      </w:r>
      <w:r w:rsidR="00EC5BBD">
        <w:rPr>
          <w:color w:val="000000" w:themeColor="text1"/>
        </w:rPr>
        <w:t xml:space="preserve"> </w:t>
      </w:r>
      <w:r w:rsidR="00B901DB">
        <w:rPr>
          <w:color w:val="000000" w:themeColor="text1"/>
        </w:rPr>
        <w:t>a 0.3 per cent higher rate predicted)</w:t>
      </w:r>
      <w:r>
        <w:rPr>
          <w:color w:val="000000" w:themeColor="text1"/>
        </w:rPr>
        <w:t xml:space="preserve">, </w:t>
      </w:r>
      <w:r w:rsidR="00B901DB">
        <w:rPr>
          <w:color w:val="000000" w:themeColor="text1"/>
        </w:rPr>
        <w:t>suggest</w:t>
      </w:r>
      <w:r>
        <w:rPr>
          <w:color w:val="000000" w:themeColor="text1"/>
        </w:rPr>
        <w:t>ing</w:t>
      </w:r>
      <w:r w:rsidR="00B901DB">
        <w:rPr>
          <w:color w:val="000000" w:themeColor="text1"/>
        </w:rPr>
        <w:t xml:space="preserve"> that the deadweight for JCB1 was </w:t>
      </w:r>
      <w:r w:rsidR="00833920">
        <w:rPr>
          <w:color w:val="000000" w:themeColor="text1"/>
        </w:rPr>
        <w:t>basically</w:t>
      </w:r>
      <w:r w:rsidR="00DE78A6">
        <w:rPr>
          <w:color w:val="000000" w:themeColor="text1"/>
        </w:rPr>
        <w:t xml:space="preserve"> 100 </w:t>
      </w:r>
      <w:r w:rsidR="00B901DB">
        <w:rPr>
          <w:color w:val="000000" w:themeColor="text1"/>
        </w:rPr>
        <w:t xml:space="preserve">per </w:t>
      </w:r>
      <w:r w:rsidR="00EC5BBD">
        <w:rPr>
          <w:color w:val="000000" w:themeColor="text1"/>
        </w:rPr>
        <w:t>cent</w:t>
      </w:r>
      <w:r w:rsidR="00003221">
        <w:rPr>
          <w:color w:val="000000" w:themeColor="text1"/>
        </w:rPr>
        <w:t>.</w:t>
      </w:r>
    </w:p>
    <w:p w:rsidR="00042293" w:rsidRPr="00E3583A" w:rsidRDefault="00042293" w:rsidP="00042293">
      <w:pPr>
        <w:spacing w:before="240"/>
        <w:rPr>
          <w:color w:val="000000" w:themeColor="text1"/>
        </w:rPr>
      </w:pPr>
      <w:r>
        <w:rPr>
          <w:color w:val="000000" w:themeColor="text1"/>
        </w:rPr>
        <w:t>Predicted and actual sustained 12 months income support exit rates were not significantly different for most groups examined, with a significant difference only found for CALD people (1.8 percentage point lower predicted rate than actual).</w:t>
      </w:r>
    </w:p>
    <w:p w:rsidR="003021B0" w:rsidRDefault="003021B0" w:rsidP="007B148C">
      <w:pPr>
        <w:pStyle w:val="FigureCaption"/>
      </w:pPr>
      <w:bookmarkStart w:id="216" w:name="_Toc507600296"/>
      <w:r w:rsidRPr="00E81783">
        <w:lastRenderedPageBreak/>
        <w:t>Figure 4.</w:t>
      </w:r>
      <w:r w:rsidR="00E76396">
        <w:t>15</w:t>
      </w:r>
      <w:r>
        <w:t xml:space="preserve">: </w:t>
      </w:r>
      <w:r w:rsidR="000E6612">
        <w:t>Actual versus predicted</w:t>
      </w:r>
      <w:r>
        <w:t xml:space="preserve"> sustained </w:t>
      </w:r>
      <w:r w:rsidR="009B2BEC">
        <w:t xml:space="preserve">12 month </w:t>
      </w:r>
      <w:r>
        <w:t xml:space="preserve">exits from income support by </w:t>
      </w:r>
      <w:r w:rsidR="00FD56B5">
        <w:t xml:space="preserve">selected demographic characteristics </w:t>
      </w:r>
      <w:r>
        <w:t>(per cent)</w:t>
      </w:r>
      <w:bookmarkEnd w:id="216"/>
    </w:p>
    <w:p w:rsidR="004B3237" w:rsidRDefault="004B3237" w:rsidP="005C2B87">
      <w:pPr>
        <w:keepNext/>
        <w:keepLines/>
        <w:rPr>
          <w:b/>
        </w:rPr>
      </w:pPr>
      <w:r w:rsidRPr="004B3237">
        <w:rPr>
          <w:noProof/>
          <w:lang w:eastAsia="en-AU"/>
        </w:rPr>
        <w:drawing>
          <wp:inline distT="0" distB="0" distL="0" distR="0" wp14:anchorId="00046EFB" wp14:editId="45223820">
            <wp:extent cx="5731510" cy="3905424"/>
            <wp:effectExtent l="0" t="0" r="2540" b="0"/>
            <wp:docPr id="15" name="Picture 15" descr="Bar chart showing actual and predicted sustained income support exit rates. Actual exit rates are within one to two percentage points of predicted exit rates for most demographic groups considered. There is a hyperlink to the data for this figure in the notes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31510" cy="3905424"/>
                    </a:xfrm>
                    <a:prstGeom prst="rect">
                      <a:avLst/>
                    </a:prstGeom>
                    <a:noFill/>
                    <a:ln>
                      <a:noFill/>
                    </a:ln>
                  </pic:spPr>
                </pic:pic>
              </a:graphicData>
            </a:graphic>
          </wp:inline>
        </w:drawing>
      </w:r>
    </w:p>
    <w:p w:rsidR="000C30B2" w:rsidRDefault="008B4BC0" w:rsidP="00344ADF">
      <w:pPr>
        <w:pStyle w:val="Source"/>
        <w:keepNext/>
        <w:rPr>
          <w:b w:val="0"/>
        </w:rPr>
      </w:pPr>
      <w:r w:rsidRPr="00935604">
        <w:t xml:space="preserve">Note: </w:t>
      </w:r>
      <w:r w:rsidRPr="00935604">
        <w:rPr>
          <w:b w:val="0"/>
        </w:rPr>
        <w:t xml:space="preserve">Refer to Attachment F, </w:t>
      </w:r>
      <w:hyperlink w:anchor="Title_F25" w:history="1">
        <w:r w:rsidR="00332C1B" w:rsidRPr="005D44E6">
          <w:rPr>
            <w:rStyle w:val="Hyperlink"/>
            <w:b w:val="0"/>
          </w:rPr>
          <w:t>Table</w:t>
        </w:r>
        <w:r w:rsidR="00332C1B" w:rsidRPr="00332C1B">
          <w:rPr>
            <w:rStyle w:val="Hyperlink"/>
            <w:b w:val="0"/>
          </w:rPr>
          <w:t xml:space="preserve"> F.25</w:t>
        </w:r>
      </w:hyperlink>
      <w:r w:rsidR="00332C1B">
        <w:rPr>
          <w:b w:val="0"/>
        </w:rPr>
        <w:t>.</w:t>
      </w:r>
      <w:bookmarkStart w:id="217" w:name="Place_F25a"/>
      <w:bookmarkEnd w:id="217"/>
    </w:p>
    <w:p w:rsidR="00A27026" w:rsidRPr="007F2BBB" w:rsidRDefault="00A27026" w:rsidP="00344ADF">
      <w:pPr>
        <w:pStyle w:val="Source"/>
        <w:keepNext/>
        <w:rPr>
          <w:b w:val="0"/>
        </w:rPr>
      </w:pPr>
      <w:r w:rsidRPr="007F2BBB">
        <w:t>Source:</w:t>
      </w:r>
      <w:r w:rsidRPr="007F2BBB">
        <w:rPr>
          <w:b w:val="0"/>
        </w:rPr>
        <w:t xml:space="preserve"> Department of Employment administrative data and Research and Evaluation dataset (RED).</w:t>
      </w:r>
    </w:p>
    <w:p w:rsidR="00E73092" w:rsidRPr="001537C9" w:rsidRDefault="00E73092" w:rsidP="00042293">
      <w:pPr>
        <w:spacing w:before="240"/>
        <w:rPr>
          <w:color w:val="000000" w:themeColor="text1"/>
        </w:rPr>
      </w:pPr>
      <w:r w:rsidRPr="001537C9">
        <w:rPr>
          <w:color w:val="000000" w:themeColor="text1"/>
        </w:rPr>
        <w:t xml:space="preserve">Had the JCB program continued then secondary benefits may have been realised from bonus recipients by their promotion of the program to family and friends, increasing awareness of the program. If increased awareness of the </w:t>
      </w:r>
      <w:r w:rsidR="005145F0">
        <w:rPr>
          <w:color w:val="000000" w:themeColor="text1"/>
        </w:rPr>
        <w:t>JCB</w:t>
      </w:r>
      <w:r w:rsidR="005145F0" w:rsidRPr="001537C9">
        <w:rPr>
          <w:color w:val="000000" w:themeColor="text1"/>
        </w:rPr>
        <w:t xml:space="preserve"> </w:t>
      </w:r>
      <w:r w:rsidRPr="001537C9">
        <w:rPr>
          <w:color w:val="000000" w:themeColor="text1"/>
        </w:rPr>
        <w:t xml:space="preserve">translated into the desired </w:t>
      </w:r>
      <w:r>
        <w:rPr>
          <w:color w:val="000000" w:themeColor="text1"/>
        </w:rPr>
        <w:t xml:space="preserve">increased motivation </w:t>
      </w:r>
      <w:r w:rsidRPr="001537C9">
        <w:rPr>
          <w:color w:val="000000" w:themeColor="text1"/>
        </w:rPr>
        <w:t xml:space="preserve">on job search behaviour </w:t>
      </w:r>
      <w:r>
        <w:rPr>
          <w:color w:val="000000" w:themeColor="text1"/>
        </w:rPr>
        <w:t>and consequential sustained exits from income support</w:t>
      </w:r>
      <w:r w:rsidRPr="001537C9">
        <w:rPr>
          <w:color w:val="000000" w:themeColor="text1"/>
        </w:rPr>
        <w:t xml:space="preserve"> then deadweight </w:t>
      </w:r>
      <w:r w:rsidR="00DE78A6">
        <w:rPr>
          <w:color w:val="000000" w:themeColor="text1"/>
        </w:rPr>
        <w:t xml:space="preserve">for JCB1 </w:t>
      </w:r>
      <w:r w:rsidRPr="001537C9">
        <w:rPr>
          <w:color w:val="000000" w:themeColor="text1"/>
        </w:rPr>
        <w:t xml:space="preserve">would </w:t>
      </w:r>
      <w:r w:rsidR="005145F0">
        <w:rPr>
          <w:color w:val="000000" w:themeColor="text1"/>
        </w:rPr>
        <w:t xml:space="preserve">have </w:t>
      </w:r>
      <w:r w:rsidRPr="001537C9">
        <w:rPr>
          <w:color w:val="000000" w:themeColor="text1"/>
        </w:rPr>
        <w:t>decrease</w:t>
      </w:r>
      <w:r w:rsidR="005145F0">
        <w:rPr>
          <w:color w:val="000000" w:themeColor="text1"/>
        </w:rPr>
        <w:t>d</w:t>
      </w:r>
      <w:r w:rsidRPr="001537C9">
        <w:rPr>
          <w:color w:val="000000" w:themeColor="text1"/>
        </w:rPr>
        <w:t>. Evidence from this evaluation suggests that was not likely to occur</w:t>
      </w:r>
      <w:r w:rsidR="007D03E5">
        <w:rPr>
          <w:color w:val="000000" w:themeColor="text1"/>
        </w:rPr>
        <w:t xml:space="preserve"> (</w:t>
      </w:r>
      <w:r w:rsidR="00DE78A6">
        <w:rPr>
          <w:color w:val="000000" w:themeColor="text1"/>
        </w:rPr>
        <w:t>Section </w:t>
      </w:r>
      <w:r w:rsidR="007D03E5">
        <w:rPr>
          <w:color w:val="000000" w:themeColor="text1"/>
        </w:rPr>
        <w:t>5)</w:t>
      </w:r>
      <w:r w:rsidRPr="001537C9">
        <w:rPr>
          <w:color w:val="000000" w:themeColor="text1"/>
        </w:rPr>
        <w:t>.</w:t>
      </w:r>
    </w:p>
    <w:p w:rsidR="00EC5BBD" w:rsidRDefault="00101A38" w:rsidP="007F2BBB">
      <w:pPr>
        <w:spacing w:before="240"/>
        <w:rPr>
          <w:color w:val="000000" w:themeColor="text1"/>
        </w:rPr>
      </w:pPr>
      <w:r>
        <w:t>Another</w:t>
      </w:r>
      <w:r w:rsidR="00684670">
        <w:t xml:space="preserve"> comparison </w:t>
      </w:r>
      <w:r>
        <w:t xml:space="preserve">made </w:t>
      </w:r>
      <w:r w:rsidR="005145F0">
        <w:t>is</w:t>
      </w:r>
      <w:r w:rsidR="00684670">
        <w:t xml:space="preserve"> actual to predicted sustained 24 month</w:t>
      </w:r>
      <w:r w:rsidR="001A38BC">
        <w:t>s</w:t>
      </w:r>
      <w:r w:rsidR="00684670">
        <w:t xml:space="preserve"> off income support rates, </w:t>
      </w:r>
      <w:r w:rsidR="00DE78A6">
        <w:t xml:space="preserve">considering only </w:t>
      </w:r>
      <w:r w:rsidR="00684670">
        <w:t xml:space="preserve">those who had sustained </w:t>
      </w:r>
      <w:r w:rsidR="00EC5BBD">
        <w:t xml:space="preserve">exits from income support </w:t>
      </w:r>
      <w:r w:rsidR="00DE78A6">
        <w:t xml:space="preserve">for </w:t>
      </w:r>
      <w:r w:rsidR="00684670">
        <w:t xml:space="preserve">12 months. This </w:t>
      </w:r>
      <w:r>
        <w:t xml:space="preserve">analysis </w:t>
      </w:r>
      <w:r w:rsidR="008942A2">
        <w:t>explores whether there</w:t>
      </w:r>
      <w:r w:rsidR="00DE78A6">
        <w:t xml:space="preserve"> is evidence of</w:t>
      </w:r>
      <w:r w:rsidR="008942A2">
        <w:t xml:space="preserve"> </w:t>
      </w:r>
      <w:r w:rsidR="00684670">
        <w:t xml:space="preserve">higher sustained rates once people became aware of the JCB (which appears to have occurred for many after 12 months off income support when the myGov notification was sent). </w:t>
      </w:r>
      <w:r w:rsidR="006806CC">
        <w:rPr>
          <w:color w:val="000000" w:themeColor="text1"/>
        </w:rPr>
        <w:t>Qualitative research indicates</w:t>
      </w:r>
      <w:r w:rsidR="00EC5BBD">
        <w:rPr>
          <w:color w:val="000000" w:themeColor="text1"/>
        </w:rPr>
        <w:t xml:space="preserve"> that the JCB may have had more of an impact on susta</w:t>
      </w:r>
      <w:r w:rsidR="006806CC">
        <w:rPr>
          <w:color w:val="000000" w:themeColor="text1"/>
        </w:rPr>
        <w:t>ining exits for JCB2</w:t>
      </w:r>
      <w:r w:rsidR="00A60BCB">
        <w:rPr>
          <w:color w:val="000000" w:themeColor="text1"/>
        </w:rPr>
        <w:t xml:space="preserve"> (S</w:t>
      </w:r>
      <w:r w:rsidR="00833920">
        <w:rPr>
          <w:color w:val="000000" w:themeColor="text1"/>
        </w:rPr>
        <w:t>ection 4.4.</w:t>
      </w:r>
      <w:r w:rsidR="000D4E88">
        <w:rPr>
          <w:color w:val="000000" w:themeColor="text1"/>
        </w:rPr>
        <w:t>6</w:t>
      </w:r>
      <w:r w:rsidR="00833920">
        <w:rPr>
          <w:color w:val="000000" w:themeColor="text1"/>
        </w:rPr>
        <w:t>)</w:t>
      </w:r>
      <w:r w:rsidR="00EC5BBD">
        <w:rPr>
          <w:color w:val="000000" w:themeColor="text1"/>
        </w:rPr>
        <w:t>.</w:t>
      </w:r>
    </w:p>
    <w:p w:rsidR="00684670" w:rsidRDefault="00684670" w:rsidP="003C0089">
      <w:pPr>
        <w:keepNext/>
      </w:pPr>
      <w:r>
        <w:t>For this conditional analysis, predicted exit rates are lower than actual.</w:t>
      </w:r>
      <w:r w:rsidR="003C0089">
        <w:t xml:space="preserve"> This provides some evidence of an effect of the JCB on sustained outcomes in the 12 to 24 month period off income support</w:t>
      </w:r>
      <w:r w:rsidR="004B3237">
        <w:rPr>
          <w:color w:val="000000" w:themeColor="text1"/>
        </w:rPr>
        <w:t xml:space="preserve"> </w:t>
      </w:r>
      <w:r w:rsidR="00EC5BBD">
        <w:rPr>
          <w:color w:val="000000" w:themeColor="text1"/>
        </w:rPr>
        <w:lastRenderedPageBreak/>
        <w:t>(</w:t>
      </w:r>
      <w:r w:rsidR="000367FC">
        <w:rPr>
          <w:color w:val="000000" w:themeColor="text1"/>
        </w:rPr>
        <w:t xml:space="preserve">Attachment </w:t>
      </w:r>
      <w:r w:rsidR="0072509E">
        <w:rPr>
          <w:color w:val="000000" w:themeColor="text1"/>
        </w:rPr>
        <w:t>F</w:t>
      </w:r>
      <w:r w:rsidR="00EC5BBD">
        <w:rPr>
          <w:color w:val="000000" w:themeColor="text1"/>
        </w:rPr>
        <w:t xml:space="preserve">, </w:t>
      </w:r>
      <w:r w:rsidR="00965FBD">
        <w:rPr>
          <w:color w:val="000000" w:themeColor="text1"/>
        </w:rPr>
        <w:t xml:space="preserve">Table </w:t>
      </w:r>
      <w:r w:rsidR="0072509E">
        <w:rPr>
          <w:color w:val="000000" w:themeColor="text1"/>
        </w:rPr>
        <w:t>F</w:t>
      </w:r>
      <w:r w:rsidR="00965FBD">
        <w:rPr>
          <w:color w:val="000000" w:themeColor="text1"/>
        </w:rPr>
        <w:t>.</w:t>
      </w:r>
      <w:r w:rsidR="00E76396">
        <w:rPr>
          <w:color w:val="000000" w:themeColor="text1"/>
        </w:rPr>
        <w:t>25</w:t>
      </w:r>
      <w:r w:rsidR="00EC5BBD">
        <w:rPr>
          <w:color w:val="000000" w:themeColor="text1"/>
        </w:rPr>
        <w:t>)</w:t>
      </w:r>
      <w:r w:rsidR="003C0089">
        <w:t xml:space="preserve">. Overall, predicted rates are 4.4 percentage points lower than actual, with the following demographic groups appearing to be </w:t>
      </w:r>
      <w:r w:rsidR="006A6C39">
        <w:t>more strongly affected</w:t>
      </w:r>
      <w:r w:rsidR="003C0089">
        <w:t xml:space="preserve"> by the JCB</w:t>
      </w:r>
      <w:r w:rsidR="00EF0373">
        <w:t>:</w:t>
      </w:r>
      <w:r w:rsidR="00BD740C">
        <w:rPr>
          <w:rStyle w:val="FootnoteReference"/>
        </w:rPr>
        <w:footnoteReference w:id="89"/>
      </w:r>
    </w:p>
    <w:p w:rsidR="005D7EEA" w:rsidRDefault="005D7EEA" w:rsidP="00E3205B">
      <w:pPr>
        <w:pStyle w:val="ListParagraph"/>
        <w:numPr>
          <w:ilvl w:val="0"/>
          <w:numId w:val="63"/>
        </w:numPr>
        <w:tabs>
          <w:tab w:val="left" w:pos="4820"/>
        </w:tabs>
        <w:rPr>
          <w:color w:val="000000" w:themeColor="text1"/>
        </w:rPr>
      </w:pPr>
      <w:r>
        <w:rPr>
          <w:color w:val="000000" w:themeColor="text1"/>
        </w:rPr>
        <w:t>those aged 25 to 30 years</w:t>
      </w:r>
      <w:r>
        <w:rPr>
          <w:color w:val="000000" w:themeColor="text1"/>
        </w:rPr>
        <w:tab/>
        <w:t xml:space="preserve">5.3 </w:t>
      </w:r>
      <w:r w:rsidRPr="001B0096">
        <w:rPr>
          <w:color w:val="000000" w:themeColor="text1"/>
        </w:rPr>
        <w:t>percentag</w:t>
      </w:r>
      <w:r>
        <w:rPr>
          <w:color w:val="000000" w:themeColor="text1"/>
        </w:rPr>
        <w:t>e point difference</w:t>
      </w:r>
    </w:p>
    <w:p w:rsidR="005D7EEA" w:rsidRDefault="005D7EEA" w:rsidP="00E3205B">
      <w:pPr>
        <w:pStyle w:val="ListParagraph"/>
        <w:numPr>
          <w:ilvl w:val="0"/>
          <w:numId w:val="63"/>
        </w:numPr>
        <w:tabs>
          <w:tab w:val="left" w:pos="4820"/>
        </w:tabs>
        <w:rPr>
          <w:color w:val="000000" w:themeColor="text1"/>
        </w:rPr>
      </w:pPr>
      <w:r>
        <w:rPr>
          <w:color w:val="000000" w:themeColor="text1"/>
        </w:rPr>
        <w:t>females</w:t>
      </w:r>
      <w:r>
        <w:rPr>
          <w:color w:val="000000" w:themeColor="text1"/>
        </w:rPr>
        <w:tab/>
        <w:t>5.3 percentage point difference</w:t>
      </w:r>
    </w:p>
    <w:p w:rsidR="003C0089" w:rsidRDefault="003C0089" w:rsidP="00E3205B">
      <w:pPr>
        <w:pStyle w:val="ListParagraph"/>
        <w:numPr>
          <w:ilvl w:val="0"/>
          <w:numId w:val="63"/>
        </w:numPr>
        <w:tabs>
          <w:tab w:val="left" w:pos="4820"/>
        </w:tabs>
        <w:rPr>
          <w:color w:val="000000" w:themeColor="text1"/>
        </w:rPr>
      </w:pPr>
      <w:r>
        <w:rPr>
          <w:color w:val="000000" w:themeColor="text1"/>
        </w:rPr>
        <w:t>s</w:t>
      </w:r>
      <w:r w:rsidRPr="003C0089">
        <w:rPr>
          <w:color w:val="000000" w:themeColor="text1"/>
        </w:rPr>
        <w:t>ingle parents</w:t>
      </w:r>
      <w:r>
        <w:rPr>
          <w:color w:val="000000" w:themeColor="text1"/>
        </w:rPr>
        <w:tab/>
        <w:t>12.8</w:t>
      </w:r>
      <w:r w:rsidRPr="001B0096">
        <w:rPr>
          <w:color w:val="000000" w:themeColor="text1"/>
        </w:rPr>
        <w:t xml:space="preserve"> percentage point difference</w:t>
      </w:r>
    </w:p>
    <w:p w:rsidR="003C0089" w:rsidRDefault="003C0089" w:rsidP="00E3205B">
      <w:pPr>
        <w:pStyle w:val="ListParagraph"/>
        <w:numPr>
          <w:ilvl w:val="0"/>
          <w:numId w:val="63"/>
        </w:numPr>
        <w:tabs>
          <w:tab w:val="left" w:pos="4820"/>
        </w:tabs>
        <w:rPr>
          <w:color w:val="000000" w:themeColor="text1"/>
        </w:rPr>
      </w:pPr>
      <w:r>
        <w:rPr>
          <w:color w:val="000000" w:themeColor="text1"/>
        </w:rPr>
        <w:t>Indigenous</w:t>
      </w:r>
      <w:r>
        <w:rPr>
          <w:color w:val="000000" w:themeColor="text1"/>
        </w:rPr>
        <w:tab/>
        <w:t xml:space="preserve">7.6 </w:t>
      </w:r>
      <w:r w:rsidRPr="001B0096">
        <w:rPr>
          <w:color w:val="000000" w:themeColor="text1"/>
        </w:rPr>
        <w:t>percentage point difference</w:t>
      </w:r>
    </w:p>
    <w:p w:rsidR="005D7EEA" w:rsidRDefault="005D7EEA" w:rsidP="00E3205B">
      <w:pPr>
        <w:pStyle w:val="ListParagraph"/>
        <w:numPr>
          <w:ilvl w:val="0"/>
          <w:numId w:val="63"/>
        </w:numPr>
        <w:tabs>
          <w:tab w:val="left" w:pos="4820"/>
        </w:tabs>
        <w:rPr>
          <w:color w:val="000000" w:themeColor="text1"/>
        </w:rPr>
      </w:pPr>
      <w:r>
        <w:rPr>
          <w:color w:val="000000" w:themeColor="text1"/>
        </w:rPr>
        <w:t>ex-offenders</w:t>
      </w:r>
      <w:r>
        <w:rPr>
          <w:color w:val="000000" w:themeColor="text1"/>
        </w:rPr>
        <w:tab/>
        <w:t xml:space="preserve">6.2 </w:t>
      </w:r>
      <w:r w:rsidRPr="001B0096">
        <w:rPr>
          <w:color w:val="000000" w:themeColor="text1"/>
        </w:rPr>
        <w:t>percentag</w:t>
      </w:r>
      <w:r>
        <w:rPr>
          <w:color w:val="000000" w:themeColor="text1"/>
        </w:rPr>
        <w:t>e point difference</w:t>
      </w:r>
      <w:r w:rsidR="004716BB">
        <w:rPr>
          <w:color w:val="000000" w:themeColor="text1"/>
        </w:rPr>
        <w:t>,</w:t>
      </w:r>
    </w:p>
    <w:p w:rsidR="005D7EEA" w:rsidRPr="005D7EEA" w:rsidRDefault="004716BB" w:rsidP="005D7EEA">
      <w:pPr>
        <w:tabs>
          <w:tab w:val="left" w:pos="4820"/>
        </w:tabs>
        <w:rPr>
          <w:color w:val="000000" w:themeColor="text1"/>
        </w:rPr>
      </w:pPr>
      <w:r>
        <w:rPr>
          <w:color w:val="000000" w:themeColor="text1"/>
        </w:rPr>
        <w:t>while</w:t>
      </w:r>
      <w:r w:rsidR="005D7EEA" w:rsidRPr="005D7EEA">
        <w:rPr>
          <w:color w:val="000000" w:themeColor="text1"/>
        </w:rPr>
        <w:t xml:space="preserve"> the following </w:t>
      </w:r>
      <w:r>
        <w:rPr>
          <w:color w:val="000000" w:themeColor="text1"/>
        </w:rPr>
        <w:t xml:space="preserve">were less </w:t>
      </w:r>
      <w:r w:rsidR="006A6C39">
        <w:rPr>
          <w:color w:val="000000" w:themeColor="text1"/>
        </w:rPr>
        <w:t xml:space="preserve">affected </w:t>
      </w:r>
      <w:r w:rsidR="005D7EEA" w:rsidRPr="005D7EEA">
        <w:rPr>
          <w:color w:val="000000" w:themeColor="text1"/>
        </w:rPr>
        <w:t>by the JCB:</w:t>
      </w:r>
    </w:p>
    <w:p w:rsidR="005D7EEA" w:rsidRDefault="005D7EEA" w:rsidP="00E3205B">
      <w:pPr>
        <w:pStyle w:val="ListParagraph"/>
        <w:numPr>
          <w:ilvl w:val="0"/>
          <w:numId w:val="63"/>
        </w:numPr>
        <w:tabs>
          <w:tab w:val="left" w:pos="4820"/>
        </w:tabs>
        <w:rPr>
          <w:color w:val="000000" w:themeColor="text1"/>
        </w:rPr>
      </w:pPr>
      <w:r>
        <w:rPr>
          <w:color w:val="000000" w:themeColor="text1"/>
        </w:rPr>
        <w:t>those aged 19 to 24 years</w:t>
      </w:r>
      <w:r>
        <w:rPr>
          <w:color w:val="000000" w:themeColor="text1"/>
        </w:rPr>
        <w:tab/>
        <w:t xml:space="preserve">3.7 </w:t>
      </w:r>
      <w:r w:rsidRPr="001B0096">
        <w:rPr>
          <w:color w:val="000000" w:themeColor="text1"/>
        </w:rPr>
        <w:t>percentag</w:t>
      </w:r>
      <w:r>
        <w:rPr>
          <w:color w:val="000000" w:themeColor="text1"/>
        </w:rPr>
        <w:t>e point difference</w:t>
      </w:r>
    </w:p>
    <w:p w:rsidR="005D7EEA" w:rsidRDefault="005D7EEA" w:rsidP="00E3205B">
      <w:pPr>
        <w:pStyle w:val="ListParagraph"/>
        <w:numPr>
          <w:ilvl w:val="0"/>
          <w:numId w:val="63"/>
        </w:numPr>
        <w:tabs>
          <w:tab w:val="left" w:pos="4820"/>
        </w:tabs>
        <w:rPr>
          <w:color w:val="000000" w:themeColor="text1"/>
        </w:rPr>
      </w:pPr>
      <w:r>
        <w:rPr>
          <w:color w:val="000000" w:themeColor="text1"/>
        </w:rPr>
        <w:t>males</w:t>
      </w:r>
      <w:r>
        <w:rPr>
          <w:color w:val="000000" w:themeColor="text1"/>
        </w:rPr>
        <w:tab/>
        <w:t xml:space="preserve">3.9 </w:t>
      </w:r>
      <w:r w:rsidRPr="001B0096">
        <w:rPr>
          <w:color w:val="000000" w:themeColor="text1"/>
        </w:rPr>
        <w:t>percentag</w:t>
      </w:r>
      <w:r>
        <w:rPr>
          <w:color w:val="000000" w:themeColor="text1"/>
        </w:rPr>
        <w:t>e point difference</w:t>
      </w:r>
    </w:p>
    <w:p w:rsidR="005D7EEA" w:rsidRDefault="005D7EEA" w:rsidP="00E3205B">
      <w:pPr>
        <w:pStyle w:val="ListParagraph"/>
        <w:numPr>
          <w:ilvl w:val="0"/>
          <w:numId w:val="63"/>
        </w:numPr>
        <w:tabs>
          <w:tab w:val="left" w:pos="4820"/>
        </w:tabs>
        <w:rPr>
          <w:color w:val="000000" w:themeColor="text1"/>
        </w:rPr>
      </w:pPr>
      <w:r>
        <w:rPr>
          <w:color w:val="000000" w:themeColor="text1"/>
        </w:rPr>
        <w:t>those with degree or higher education</w:t>
      </w:r>
      <w:r>
        <w:rPr>
          <w:color w:val="000000" w:themeColor="text1"/>
        </w:rPr>
        <w:tab/>
        <w:t>3.6 percentage point difference</w:t>
      </w:r>
      <w:r w:rsidRPr="00933E04">
        <w:rPr>
          <w:color w:val="000000" w:themeColor="text1"/>
        </w:rPr>
        <w:t>.</w:t>
      </w:r>
    </w:p>
    <w:p w:rsidR="002322A2" w:rsidRPr="004B3237" w:rsidRDefault="002322A2" w:rsidP="004B3237">
      <w:pPr>
        <w:tabs>
          <w:tab w:val="left" w:pos="4820"/>
        </w:tabs>
        <w:rPr>
          <w:color w:val="000000" w:themeColor="text1"/>
        </w:rPr>
      </w:pPr>
      <w:r>
        <w:rPr>
          <w:color w:val="000000" w:themeColor="text1"/>
        </w:rPr>
        <w:t>This conditional analysis suggests that while deadweight for JCB1 was close to 100 per cent, deadweight, while still high, was lower for JCB2</w:t>
      </w:r>
      <w:r w:rsidR="00DE78A6">
        <w:rPr>
          <w:color w:val="000000" w:themeColor="text1"/>
        </w:rPr>
        <w:t>, estimated to be around 95 to 96 per cent</w:t>
      </w:r>
      <w:r>
        <w:rPr>
          <w:color w:val="000000" w:themeColor="text1"/>
        </w:rPr>
        <w:t>.</w:t>
      </w:r>
    </w:p>
    <w:p w:rsidR="009B2BEC" w:rsidRDefault="009B2BEC" w:rsidP="005314B7">
      <w:pPr>
        <w:pStyle w:val="FigureCaption"/>
      </w:pPr>
      <w:bookmarkStart w:id="218" w:name="_Toc507600297"/>
      <w:r w:rsidRPr="00E81783">
        <w:t>Figure 4.</w:t>
      </w:r>
      <w:r w:rsidR="00E76396">
        <w:t>16</w:t>
      </w:r>
      <w:r>
        <w:t xml:space="preserve">: Actual versus predicted sustained 24 month exits from income support given </w:t>
      </w:r>
      <w:r w:rsidR="00F40D8F">
        <w:t>the person</w:t>
      </w:r>
      <w:r>
        <w:t xml:space="preserve"> had sustained exit to 12 months, by selected demographic characteristics (per cent)</w:t>
      </w:r>
      <w:bookmarkEnd w:id="218"/>
    </w:p>
    <w:p w:rsidR="00BC2E73" w:rsidRDefault="00BC2E73" w:rsidP="00283B0A">
      <w:r w:rsidRPr="00283B0A">
        <w:rPr>
          <w:noProof/>
          <w:lang w:eastAsia="en-AU"/>
        </w:rPr>
        <w:drawing>
          <wp:inline distT="0" distB="0" distL="0" distR="0" wp14:anchorId="4CCFEC28" wp14:editId="5FA39BA3">
            <wp:extent cx="5553075" cy="3745913"/>
            <wp:effectExtent l="0" t="0" r="0" b="6985"/>
            <wp:docPr id="40" name="Picture 40" descr="Bar chart showing actual and predicted sustained income support exit rates. Actual exit rates are generally higher than predicted exit rates for most demographic groups considered, especially for single parents where the actual rate is 12.8 percentage points higher than predicted. Differential for other demographic groups is around four to five percentage points. There is a hyperlink to the data for this figure in the notes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558129" cy="3749322"/>
                    </a:xfrm>
                    <a:prstGeom prst="rect">
                      <a:avLst/>
                    </a:prstGeom>
                    <a:noFill/>
                    <a:ln>
                      <a:noFill/>
                    </a:ln>
                  </pic:spPr>
                </pic:pic>
              </a:graphicData>
            </a:graphic>
          </wp:inline>
        </w:drawing>
      </w:r>
    </w:p>
    <w:p w:rsidR="00695457" w:rsidRPr="00935604" w:rsidRDefault="00695457" w:rsidP="00695457">
      <w:pPr>
        <w:pStyle w:val="Source"/>
        <w:keepNext/>
        <w:rPr>
          <w:rStyle w:val="Hyperlink"/>
          <w:b w:val="0"/>
          <w:color w:val="auto"/>
          <w:u w:val="none"/>
        </w:rPr>
      </w:pPr>
      <w:r w:rsidRPr="00935604">
        <w:t xml:space="preserve">Note: </w:t>
      </w:r>
      <w:r w:rsidRPr="00935604">
        <w:rPr>
          <w:b w:val="0"/>
        </w:rPr>
        <w:t xml:space="preserve">Refer to Attachment F, </w:t>
      </w:r>
      <w:hyperlink w:anchor="Title_F25" w:history="1">
        <w:r w:rsidR="00332C1B" w:rsidRPr="005D44E6">
          <w:rPr>
            <w:rStyle w:val="Hyperlink"/>
            <w:b w:val="0"/>
          </w:rPr>
          <w:t>Table F.25</w:t>
        </w:r>
      </w:hyperlink>
      <w:r>
        <w:rPr>
          <w:b w:val="0"/>
        </w:rPr>
        <w:t>.</w:t>
      </w:r>
      <w:bookmarkStart w:id="219" w:name="Place_F25b"/>
      <w:bookmarkEnd w:id="219"/>
    </w:p>
    <w:p w:rsidR="003021B0" w:rsidRPr="007F2BBB" w:rsidRDefault="003021B0" w:rsidP="007F2BBB">
      <w:pPr>
        <w:pStyle w:val="Source"/>
        <w:rPr>
          <w:b w:val="0"/>
        </w:rPr>
      </w:pPr>
      <w:r w:rsidRPr="007F2BBB">
        <w:t>Source:</w:t>
      </w:r>
      <w:r w:rsidRPr="007F2BBB">
        <w:rPr>
          <w:b w:val="0"/>
        </w:rPr>
        <w:t xml:space="preserve"> Department of Employment administrative data and Research and Evaluation dataset (RED).</w:t>
      </w:r>
    </w:p>
    <w:p w:rsidR="00B07341" w:rsidRDefault="005B35BC" w:rsidP="005B35BC">
      <w:pPr>
        <w:pStyle w:val="Heading3"/>
      </w:pPr>
      <w:r>
        <w:lastRenderedPageBreak/>
        <w:t>4.</w:t>
      </w:r>
      <w:r w:rsidR="008D79E1">
        <w:t>5</w:t>
      </w:r>
      <w:r w:rsidR="003F4992">
        <w:t>.2</w:t>
      </w:r>
      <w:r>
        <w:tab/>
      </w:r>
      <w:r w:rsidR="00B07341">
        <w:t>Cost per outcome</w:t>
      </w:r>
    </w:p>
    <w:p w:rsidR="00666F83" w:rsidRDefault="005B35BC" w:rsidP="005B35BC">
      <w:pPr>
        <w:spacing w:before="120"/>
        <w:rPr>
          <w:color w:val="000000" w:themeColor="text1"/>
        </w:rPr>
      </w:pPr>
      <w:r w:rsidRPr="005B35BC">
        <w:rPr>
          <w:color w:val="000000" w:themeColor="text1"/>
        </w:rPr>
        <w:t xml:space="preserve">While the original budget for </w:t>
      </w:r>
      <w:r>
        <w:rPr>
          <w:color w:val="000000" w:themeColor="text1"/>
        </w:rPr>
        <w:t xml:space="preserve">the first five years of </w:t>
      </w:r>
      <w:r w:rsidRPr="005B35BC">
        <w:rPr>
          <w:color w:val="000000" w:themeColor="text1"/>
        </w:rPr>
        <w:t xml:space="preserve">the JCB program </w:t>
      </w:r>
      <w:r w:rsidR="0061339D">
        <w:rPr>
          <w:color w:val="000000" w:themeColor="text1"/>
        </w:rPr>
        <w:t>(2013</w:t>
      </w:r>
      <w:r w:rsidR="0061339D">
        <w:rPr>
          <w:rFonts w:cstheme="minorHAnsi"/>
          <w:color w:val="000000" w:themeColor="text1"/>
        </w:rPr>
        <w:t>─</w:t>
      </w:r>
      <w:r w:rsidR="0061339D">
        <w:rPr>
          <w:color w:val="000000" w:themeColor="text1"/>
        </w:rPr>
        <w:t>2014 to 2017</w:t>
      </w:r>
      <w:r w:rsidR="0061339D">
        <w:rPr>
          <w:rFonts w:cstheme="minorHAnsi"/>
          <w:color w:val="000000" w:themeColor="text1"/>
        </w:rPr>
        <w:t>─</w:t>
      </w:r>
      <w:r w:rsidR="0061339D">
        <w:rPr>
          <w:color w:val="000000" w:themeColor="text1"/>
        </w:rPr>
        <w:t xml:space="preserve">2018) </w:t>
      </w:r>
      <w:r w:rsidRPr="005B35BC">
        <w:rPr>
          <w:color w:val="000000" w:themeColor="text1"/>
        </w:rPr>
        <w:t>was $157.1 million</w:t>
      </w:r>
      <w:r>
        <w:rPr>
          <w:color w:val="000000" w:themeColor="text1"/>
        </w:rPr>
        <w:t xml:space="preserve">, actual </w:t>
      </w:r>
      <w:r w:rsidR="0061339D">
        <w:rPr>
          <w:color w:val="000000" w:themeColor="text1"/>
        </w:rPr>
        <w:t xml:space="preserve">program </w:t>
      </w:r>
      <w:r>
        <w:rPr>
          <w:color w:val="000000" w:themeColor="text1"/>
        </w:rPr>
        <w:t xml:space="preserve">expenditure was far lower </w:t>
      </w:r>
      <w:r w:rsidR="006A6C39">
        <w:rPr>
          <w:color w:val="000000" w:themeColor="text1"/>
        </w:rPr>
        <w:t xml:space="preserve">due to </w:t>
      </w:r>
      <w:r>
        <w:rPr>
          <w:color w:val="000000" w:themeColor="text1"/>
        </w:rPr>
        <w:t xml:space="preserve">lower </w:t>
      </w:r>
      <w:r w:rsidR="006A6C39">
        <w:rPr>
          <w:color w:val="000000" w:themeColor="text1"/>
        </w:rPr>
        <w:t>program take-up</w:t>
      </w:r>
      <w:r w:rsidR="00666F83">
        <w:rPr>
          <w:color w:val="000000" w:themeColor="text1"/>
        </w:rPr>
        <w:t xml:space="preserve"> </w:t>
      </w:r>
      <w:r w:rsidR="006E55B1">
        <w:rPr>
          <w:color w:val="000000" w:themeColor="text1"/>
        </w:rPr>
        <w:t>and cessation of the</w:t>
      </w:r>
      <w:r w:rsidR="0061339D">
        <w:rPr>
          <w:color w:val="000000" w:themeColor="text1"/>
        </w:rPr>
        <w:t xml:space="preserve"> </w:t>
      </w:r>
      <w:r w:rsidR="00666F83">
        <w:rPr>
          <w:color w:val="000000" w:themeColor="text1"/>
        </w:rPr>
        <w:t>program</w:t>
      </w:r>
      <w:r w:rsidR="0061339D">
        <w:rPr>
          <w:color w:val="000000" w:themeColor="text1"/>
        </w:rPr>
        <w:t xml:space="preserve"> in December 2016</w:t>
      </w:r>
      <w:r w:rsidR="00666F83">
        <w:rPr>
          <w:color w:val="000000" w:themeColor="text1"/>
        </w:rPr>
        <w:t>.</w:t>
      </w:r>
    </w:p>
    <w:p w:rsidR="00666F83" w:rsidRPr="00666F83" w:rsidRDefault="00666F83" w:rsidP="005466FD">
      <w:pPr>
        <w:spacing w:before="120"/>
        <w:rPr>
          <w:color w:val="000000" w:themeColor="text1"/>
        </w:rPr>
      </w:pPr>
      <w:r>
        <w:rPr>
          <w:color w:val="000000" w:themeColor="text1"/>
        </w:rPr>
        <w:t xml:space="preserve">Given bonus payments </w:t>
      </w:r>
      <w:r w:rsidR="0061339D">
        <w:rPr>
          <w:color w:val="000000" w:themeColor="text1"/>
        </w:rPr>
        <w:t>were set at</w:t>
      </w:r>
      <w:r>
        <w:rPr>
          <w:color w:val="000000" w:themeColor="text1"/>
        </w:rPr>
        <w:t xml:space="preserve"> $2500 for JCB1 and $4000 for JCB2, based on the monitoring data used in this report, the amount paid to approved applicants was $21.33 million. </w:t>
      </w:r>
      <w:r w:rsidR="001B3EAB">
        <w:rPr>
          <w:color w:val="000000" w:themeColor="text1"/>
        </w:rPr>
        <w:t xml:space="preserve">The 6584 people who received bonus payments </w:t>
      </w:r>
      <w:r w:rsidR="0061339D">
        <w:rPr>
          <w:color w:val="000000" w:themeColor="text1"/>
        </w:rPr>
        <w:t xml:space="preserve">therefore </w:t>
      </w:r>
      <w:r>
        <w:rPr>
          <w:color w:val="000000" w:themeColor="text1"/>
        </w:rPr>
        <w:t>received $2734</w:t>
      </w:r>
      <w:r w:rsidR="001B3EAB">
        <w:rPr>
          <w:color w:val="000000" w:themeColor="text1"/>
        </w:rPr>
        <w:t xml:space="preserve"> on average</w:t>
      </w:r>
      <w:r>
        <w:rPr>
          <w:color w:val="000000" w:themeColor="text1"/>
        </w:rPr>
        <w:t>.</w:t>
      </w:r>
      <w:r w:rsidR="0061339D">
        <w:rPr>
          <w:color w:val="000000" w:themeColor="text1"/>
        </w:rPr>
        <w:t xml:space="preserve"> </w:t>
      </w:r>
      <w:r>
        <w:rPr>
          <w:color w:val="000000" w:themeColor="text1"/>
        </w:rPr>
        <w:t>This</w:t>
      </w:r>
      <w:r w:rsidR="001B3EAB">
        <w:rPr>
          <w:color w:val="000000" w:themeColor="text1"/>
        </w:rPr>
        <w:t xml:space="preserve"> however</w:t>
      </w:r>
      <w:r>
        <w:rPr>
          <w:color w:val="000000" w:themeColor="text1"/>
        </w:rPr>
        <w:t xml:space="preserve"> is not the </w:t>
      </w:r>
      <w:r w:rsidR="001B3EAB">
        <w:rPr>
          <w:color w:val="000000" w:themeColor="text1"/>
        </w:rPr>
        <w:t>‘</w:t>
      </w:r>
      <w:r>
        <w:rPr>
          <w:color w:val="000000" w:themeColor="text1"/>
        </w:rPr>
        <w:t>true</w:t>
      </w:r>
      <w:r w:rsidR="001B3EAB">
        <w:rPr>
          <w:color w:val="000000" w:themeColor="text1"/>
        </w:rPr>
        <w:t>’</w:t>
      </w:r>
      <w:r>
        <w:rPr>
          <w:color w:val="000000" w:themeColor="text1"/>
        </w:rPr>
        <w:t xml:space="preserve"> cost </w:t>
      </w:r>
      <w:r w:rsidR="001B3EAB">
        <w:rPr>
          <w:color w:val="000000" w:themeColor="text1"/>
        </w:rPr>
        <w:t>per</w:t>
      </w:r>
      <w:r>
        <w:rPr>
          <w:color w:val="000000" w:themeColor="text1"/>
        </w:rPr>
        <w:t xml:space="preserve"> outcome (</w:t>
      </w:r>
      <w:r w:rsidR="0061339D">
        <w:rPr>
          <w:color w:val="000000" w:themeColor="text1"/>
        </w:rPr>
        <w:t xml:space="preserve">outcome being a </w:t>
      </w:r>
      <w:r>
        <w:rPr>
          <w:color w:val="000000" w:themeColor="text1"/>
        </w:rPr>
        <w:t>sustain</w:t>
      </w:r>
      <w:r w:rsidR="008942A2">
        <w:rPr>
          <w:color w:val="000000" w:themeColor="text1"/>
        </w:rPr>
        <w:t>ed</w:t>
      </w:r>
      <w:r>
        <w:rPr>
          <w:color w:val="000000" w:themeColor="text1"/>
        </w:rPr>
        <w:t xml:space="preserve"> exit off income support)</w:t>
      </w:r>
      <w:r w:rsidR="008942A2">
        <w:rPr>
          <w:color w:val="000000" w:themeColor="text1"/>
        </w:rPr>
        <w:t>. T</w:t>
      </w:r>
      <w:r>
        <w:rPr>
          <w:color w:val="000000" w:themeColor="text1"/>
        </w:rPr>
        <w:t>o arrive at a more accurate figure</w:t>
      </w:r>
      <w:r w:rsidR="00316189">
        <w:rPr>
          <w:color w:val="000000" w:themeColor="text1"/>
        </w:rPr>
        <w:t xml:space="preserve"> </w:t>
      </w:r>
      <w:r>
        <w:rPr>
          <w:color w:val="000000" w:themeColor="text1"/>
        </w:rPr>
        <w:t>savings in income support payments</w:t>
      </w:r>
      <w:r w:rsidR="001B3EAB">
        <w:rPr>
          <w:color w:val="000000" w:themeColor="text1"/>
        </w:rPr>
        <w:t xml:space="preserve"> </w:t>
      </w:r>
      <w:r w:rsidR="008942A2">
        <w:rPr>
          <w:color w:val="000000" w:themeColor="text1"/>
        </w:rPr>
        <w:t xml:space="preserve">should also </w:t>
      </w:r>
      <w:r w:rsidR="005276BC">
        <w:rPr>
          <w:color w:val="000000" w:themeColor="text1"/>
        </w:rPr>
        <w:t>be considered</w:t>
      </w:r>
      <w:r>
        <w:rPr>
          <w:color w:val="000000" w:themeColor="text1"/>
        </w:rPr>
        <w:t>.</w:t>
      </w:r>
    </w:p>
    <w:p w:rsidR="001B3EAB" w:rsidRDefault="005276BC" w:rsidP="00666F83">
      <w:pPr>
        <w:spacing w:before="120"/>
        <w:rPr>
          <w:color w:val="000000" w:themeColor="text1"/>
        </w:rPr>
      </w:pPr>
      <w:r>
        <w:rPr>
          <w:color w:val="000000" w:themeColor="text1"/>
        </w:rPr>
        <w:t xml:space="preserve">The previous section demonstrated that </w:t>
      </w:r>
      <w:r w:rsidR="001B3EAB">
        <w:rPr>
          <w:color w:val="000000" w:themeColor="text1"/>
        </w:rPr>
        <w:t xml:space="preserve">there was a very high deadweight component to this program. Predicted outcome rates were very close to the actual rates observed. </w:t>
      </w:r>
      <w:r>
        <w:rPr>
          <w:color w:val="000000" w:themeColor="text1"/>
        </w:rPr>
        <w:t xml:space="preserve">As we cannot demonstrate an effect on income support from the program, no savings can be </w:t>
      </w:r>
      <w:r w:rsidR="007B148C">
        <w:rPr>
          <w:color w:val="000000" w:themeColor="text1"/>
        </w:rPr>
        <w:t xml:space="preserve">reasonably </w:t>
      </w:r>
      <w:r>
        <w:rPr>
          <w:color w:val="000000" w:themeColor="text1"/>
        </w:rPr>
        <w:t>attributed</w:t>
      </w:r>
      <w:r w:rsidR="001B3EAB">
        <w:rPr>
          <w:color w:val="000000" w:themeColor="text1"/>
        </w:rPr>
        <w:t xml:space="preserve"> to </w:t>
      </w:r>
      <w:r w:rsidR="0061339D">
        <w:rPr>
          <w:color w:val="000000" w:themeColor="text1"/>
        </w:rPr>
        <w:t xml:space="preserve">sensibly </w:t>
      </w:r>
      <w:r w:rsidR="001B3EAB">
        <w:rPr>
          <w:color w:val="000000" w:themeColor="text1"/>
        </w:rPr>
        <w:t>amend the cost per outcome figure.</w:t>
      </w:r>
    </w:p>
    <w:p w:rsidR="008B20A4" w:rsidRPr="005B35BC" w:rsidRDefault="008B20A4" w:rsidP="005B35BC">
      <w:pPr>
        <w:spacing w:before="120"/>
        <w:rPr>
          <w:color w:val="000000" w:themeColor="text1"/>
        </w:rPr>
      </w:pPr>
      <w:r w:rsidRPr="005B35BC">
        <w:rPr>
          <w:color w:val="000000" w:themeColor="text1"/>
        </w:rPr>
        <w:br w:type="page"/>
      </w:r>
    </w:p>
    <w:p w:rsidR="00FD5074" w:rsidRDefault="008926B3" w:rsidP="004457DE">
      <w:pPr>
        <w:pStyle w:val="Heading1"/>
      </w:pPr>
      <w:bookmarkStart w:id="220" w:name="_Toc478117589"/>
      <w:bookmarkStart w:id="221" w:name="_Toc507600252"/>
      <w:r>
        <w:lastRenderedPageBreak/>
        <w:t>5</w:t>
      </w:r>
      <w:r w:rsidR="004457DE">
        <w:tab/>
      </w:r>
      <w:r w:rsidR="006F1EE2">
        <w:t>Discussion</w:t>
      </w:r>
      <w:bookmarkEnd w:id="220"/>
      <w:bookmarkEnd w:id="221"/>
    </w:p>
    <w:p w:rsidR="00C14DAC" w:rsidRPr="0018315C" w:rsidRDefault="00C14DAC" w:rsidP="00C14DAC">
      <w:pPr>
        <w:keepNext/>
        <w:pBdr>
          <w:top w:val="single" w:sz="4" w:space="1" w:color="auto"/>
          <w:left w:val="single" w:sz="4" w:space="4" w:color="auto"/>
          <w:bottom w:val="single" w:sz="4" w:space="1" w:color="auto"/>
          <w:right w:val="single" w:sz="4" w:space="4" w:color="auto"/>
        </w:pBdr>
        <w:shd w:val="clear" w:color="auto" w:fill="FDCBA0"/>
        <w:spacing w:after="120"/>
        <w:rPr>
          <w:rStyle w:val="Strong"/>
        </w:rPr>
      </w:pPr>
      <w:r w:rsidRPr="0018315C">
        <w:rPr>
          <w:rStyle w:val="Strong"/>
        </w:rPr>
        <w:t>Highlights</w:t>
      </w:r>
    </w:p>
    <w:p w:rsidR="002B36A4" w:rsidRDefault="00AF66B8" w:rsidP="00A84937">
      <w:pPr>
        <w:keepNext/>
        <w:pBdr>
          <w:top w:val="single" w:sz="4" w:space="1" w:color="auto"/>
          <w:left w:val="single" w:sz="4" w:space="4" w:color="auto"/>
          <w:bottom w:val="single" w:sz="4" w:space="1" w:color="auto"/>
          <w:right w:val="single" w:sz="4" w:space="4" w:color="auto"/>
        </w:pBdr>
        <w:shd w:val="clear" w:color="auto" w:fill="FDCBA0"/>
        <w:spacing w:before="120" w:after="0"/>
      </w:pPr>
      <w:r>
        <w:t>Quantitative and qualitative evidence suggest</w:t>
      </w:r>
      <w:r w:rsidR="00BD7911">
        <w:t>s</w:t>
      </w:r>
      <w:r>
        <w:t xml:space="preserve"> that </w:t>
      </w:r>
      <w:r w:rsidRPr="007E1661">
        <w:t xml:space="preserve">JCB had greater potential to </w:t>
      </w:r>
      <w:r>
        <w:t>affect</w:t>
      </w:r>
      <w:r w:rsidRPr="007E1661">
        <w:t xml:space="preserve"> people’s behaviour in terms of remaining off income support than it did for job search behaviour</w:t>
      </w:r>
      <w:r>
        <w:t>.</w:t>
      </w:r>
    </w:p>
    <w:p w:rsidR="00AF66B8" w:rsidRDefault="00D72D9B" w:rsidP="00A84937">
      <w:pPr>
        <w:keepNext/>
        <w:pBdr>
          <w:top w:val="single" w:sz="4" w:space="1" w:color="auto"/>
          <w:left w:val="single" w:sz="4" w:space="4" w:color="auto"/>
          <w:bottom w:val="single" w:sz="4" w:space="1" w:color="auto"/>
          <w:right w:val="single" w:sz="4" w:space="4" w:color="auto"/>
        </w:pBdr>
        <w:shd w:val="clear" w:color="auto" w:fill="FDCBA0"/>
        <w:spacing w:before="120" w:after="0"/>
      </w:pPr>
      <w:r>
        <w:t>Considering</w:t>
      </w:r>
      <w:r w:rsidR="0027776A">
        <w:t xml:space="preserve"> </w:t>
      </w:r>
      <w:r>
        <w:t xml:space="preserve">people’s responses to </w:t>
      </w:r>
      <w:r w:rsidR="0027776A">
        <w:t xml:space="preserve">the JCB </w:t>
      </w:r>
      <w:r>
        <w:t>using</w:t>
      </w:r>
      <w:r w:rsidR="0027776A">
        <w:t xml:space="preserve"> the </w:t>
      </w:r>
      <w:r w:rsidR="009E316B" w:rsidRPr="006A1048">
        <w:rPr>
          <w:i/>
        </w:rPr>
        <w:t>Trans-theoretical</w:t>
      </w:r>
      <w:r w:rsidR="009E316B">
        <w:t xml:space="preserve"> </w:t>
      </w:r>
      <w:r w:rsidR="009E316B" w:rsidRPr="004968D9">
        <w:rPr>
          <w:i/>
        </w:rPr>
        <w:t xml:space="preserve">Stages of </w:t>
      </w:r>
      <w:r w:rsidR="009E316B">
        <w:rPr>
          <w:i/>
        </w:rPr>
        <w:t xml:space="preserve">Change </w:t>
      </w:r>
      <w:r w:rsidR="009E316B" w:rsidRPr="00264090">
        <w:t>model</w:t>
      </w:r>
      <w:r w:rsidR="009E316B">
        <w:t xml:space="preserve"> </w:t>
      </w:r>
      <w:r w:rsidR="0027776A">
        <w:t xml:space="preserve">of behaviour change suggests that increased motivation is probably not the </w:t>
      </w:r>
      <w:r>
        <w:t xml:space="preserve">primary </w:t>
      </w:r>
      <w:r w:rsidR="00BC6234">
        <w:t xml:space="preserve">challenge </w:t>
      </w:r>
      <w:r>
        <w:t>for most LTU</w:t>
      </w:r>
      <w:r w:rsidR="0027776A">
        <w:t>.</w:t>
      </w:r>
      <w:r w:rsidR="00AF66B8">
        <w:t xml:space="preserve"> </w:t>
      </w:r>
    </w:p>
    <w:p w:rsidR="008F1D3C" w:rsidRPr="00647AF9" w:rsidRDefault="00AF66B8" w:rsidP="00647AF9">
      <w:pPr>
        <w:keepNext/>
        <w:pBdr>
          <w:top w:val="single" w:sz="4" w:space="1" w:color="auto"/>
          <w:left w:val="single" w:sz="4" w:space="4" w:color="auto"/>
          <w:bottom w:val="single" w:sz="4" w:space="1" w:color="auto"/>
          <w:right w:val="single" w:sz="4" w:space="4" w:color="auto"/>
        </w:pBdr>
        <w:shd w:val="clear" w:color="auto" w:fill="FDCBA0"/>
        <w:spacing w:before="120" w:after="0"/>
      </w:pPr>
      <w:r>
        <w:rPr>
          <w:color w:val="000000" w:themeColor="text1"/>
        </w:rPr>
        <w:t>T</w:t>
      </w:r>
      <w:r w:rsidRPr="004C4EF9">
        <w:rPr>
          <w:color w:val="000000" w:themeColor="text1"/>
        </w:rPr>
        <w:t>ailoring interventions to individuals</w:t>
      </w:r>
      <w:r w:rsidR="00C41A44">
        <w:rPr>
          <w:color w:val="000000" w:themeColor="text1"/>
        </w:rPr>
        <w:t>’</w:t>
      </w:r>
      <w:r w:rsidRPr="004C4EF9">
        <w:rPr>
          <w:color w:val="000000" w:themeColor="text1"/>
        </w:rPr>
        <w:t xml:space="preserve"> motivational needs</w:t>
      </w:r>
      <w:r>
        <w:rPr>
          <w:color w:val="000000" w:themeColor="text1"/>
        </w:rPr>
        <w:t>, to help them remove their b</w:t>
      </w:r>
      <w:r w:rsidRPr="004C4EF9">
        <w:rPr>
          <w:color w:val="000000" w:themeColor="text1"/>
        </w:rPr>
        <w:t>arriers</w:t>
      </w:r>
      <w:r>
        <w:rPr>
          <w:color w:val="000000" w:themeColor="text1"/>
        </w:rPr>
        <w:t xml:space="preserve"> or increase their</w:t>
      </w:r>
      <w:r w:rsidRPr="004C4EF9">
        <w:rPr>
          <w:color w:val="000000" w:themeColor="text1"/>
        </w:rPr>
        <w:t xml:space="preserve"> confidence in their </w:t>
      </w:r>
      <w:r>
        <w:rPr>
          <w:color w:val="000000" w:themeColor="text1"/>
        </w:rPr>
        <w:t xml:space="preserve">own </w:t>
      </w:r>
      <w:r w:rsidRPr="004C4EF9">
        <w:rPr>
          <w:color w:val="000000" w:themeColor="text1"/>
        </w:rPr>
        <w:t xml:space="preserve">ability </w:t>
      </w:r>
      <w:r>
        <w:rPr>
          <w:color w:val="000000" w:themeColor="text1"/>
        </w:rPr>
        <w:t>to do so would</w:t>
      </w:r>
      <w:r w:rsidR="00BC6234">
        <w:rPr>
          <w:color w:val="000000" w:themeColor="text1"/>
        </w:rPr>
        <w:t xml:space="preserve">, </w:t>
      </w:r>
      <w:r w:rsidR="007B148C">
        <w:rPr>
          <w:color w:val="000000" w:themeColor="text1"/>
        </w:rPr>
        <w:t xml:space="preserve">in the context of the </w:t>
      </w:r>
      <w:r w:rsidR="00BC6234">
        <w:rPr>
          <w:color w:val="000000" w:themeColor="text1"/>
        </w:rPr>
        <w:t>TTM,</w:t>
      </w:r>
      <w:r>
        <w:rPr>
          <w:color w:val="000000" w:themeColor="text1"/>
        </w:rPr>
        <w:t xml:space="preserve"> be a more effective approach</w:t>
      </w:r>
      <w:r w:rsidR="008F1D3C">
        <w:rPr>
          <w:color w:val="000000" w:themeColor="text1"/>
        </w:rPr>
        <w:t>.</w:t>
      </w:r>
    </w:p>
    <w:p w:rsidR="008F1D3C" w:rsidRDefault="003F4992" w:rsidP="00CF7AE5">
      <w:pPr>
        <w:pStyle w:val="Heading2"/>
      </w:pPr>
      <w:bookmarkStart w:id="222" w:name="_Toc507600253"/>
      <w:r>
        <w:t>5.1</w:t>
      </w:r>
      <w:r>
        <w:tab/>
      </w:r>
      <w:r w:rsidR="008F1D3C">
        <w:t>Find</w:t>
      </w:r>
      <w:r w:rsidR="00802E62">
        <w:t>ing</w:t>
      </w:r>
      <w:r w:rsidR="008F1D3C">
        <w:t xml:space="preserve"> work</w:t>
      </w:r>
      <w:bookmarkEnd w:id="222"/>
    </w:p>
    <w:p w:rsidR="008F1D3C" w:rsidRDefault="00EC03D3" w:rsidP="00A84937">
      <w:pPr>
        <w:spacing w:before="240"/>
        <w:rPr>
          <w:color w:val="000000" w:themeColor="text1"/>
        </w:rPr>
      </w:pPr>
      <w:r>
        <w:rPr>
          <w:color w:val="000000" w:themeColor="text1"/>
        </w:rPr>
        <w:t>There is n</w:t>
      </w:r>
      <w:r w:rsidR="008F1D3C">
        <w:rPr>
          <w:color w:val="000000" w:themeColor="text1"/>
        </w:rPr>
        <w:t xml:space="preserve">o evidence of any impact </w:t>
      </w:r>
      <w:r w:rsidR="00BC6234">
        <w:rPr>
          <w:color w:val="000000" w:themeColor="text1"/>
        </w:rPr>
        <w:t xml:space="preserve">of the JCB </w:t>
      </w:r>
      <w:r w:rsidR="008F1D3C">
        <w:rPr>
          <w:color w:val="000000" w:themeColor="text1"/>
        </w:rPr>
        <w:t xml:space="preserve">on </w:t>
      </w:r>
      <w:r w:rsidR="00C41A44">
        <w:rPr>
          <w:color w:val="000000" w:themeColor="text1"/>
        </w:rPr>
        <w:t xml:space="preserve">the effectiveness of </w:t>
      </w:r>
      <w:r w:rsidR="008F1D3C">
        <w:rPr>
          <w:color w:val="000000" w:themeColor="text1"/>
        </w:rPr>
        <w:t>job search behaviour, with qualitative evidence providing explanations for the quantitative results:</w:t>
      </w:r>
    </w:p>
    <w:p w:rsidR="0027776A" w:rsidRDefault="0027776A" w:rsidP="00846615">
      <w:pPr>
        <w:pStyle w:val="ListParagraph"/>
        <w:numPr>
          <w:ilvl w:val="0"/>
          <w:numId w:val="51"/>
        </w:numPr>
        <w:spacing w:before="240"/>
        <w:rPr>
          <w:color w:val="000000" w:themeColor="text1"/>
        </w:rPr>
      </w:pPr>
      <w:r>
        <w:rPr>
          <w:color w:val="000000" w:themeColor="text1"/>
        </w:rPr>
        <w:t>the lack of an effective communication strategy and designated funding for promotion compromised the program</w:t>
      </w:r>
    </w:p>
    <w:p w:rsidR="0027776A" w:rsidRDefault="0027776A" w:rsidP="00846615">
      <w:pPr>
        <w:pStyle w:val="ListParagraph"/>
        <w:numPr>
          <w:ilvl w:val="0"/>
          <w:numId w:val="51"/>
        </w:numPr>
        <w:spacing w:before="240"/>
        <w:rPr>
          <w:color w:val="000000" w:themeColor="text1"/>
        </w:rPr>
      </w:pPr>
      <w:r>
        <w:rPr>
          <w:color w:val="000000" w:themeColor="text1"/>
        </w:rPr>
        <w:t xml:space="preserve">low awareness can be attributed to the </w:t>
      </w:r>
      <w:r w:rsidR="00077C6B">
        <w:rPr>
          <w:color w:val="000000" w:themeColor="text1"/>
        </w:rPr>
        <w:t xml:space="preserve">type and </w:t>
      </w:r>
      <w:r>
        <w:rPr>
          <w:color w:val="000000" w:themeColor="text1"/>
        </w:rPr>
        <w:t>timing of communications</w:t>
      </w:r>
      <w:r w:rsidR="007649B9">
        <w:rPr>
          <w:color w:val="000000" w:themeColor="text1"/>
        </w:rPr>
        <w:t xml:space="preserve">, with DHS having issues contacting </w:t>
      </w:r>
      <w:r w:rsidR="00BC6234">
        <w:rPr>
          <w:color w:val="000000" w:themeColor="text1"/>
        </w:rPr>
        <w:t>people</w:t>
      </w:r>
      <w:r w:rsidR="007649B9">
        <w:rPr>
          <w:color w:val="000000" w:themeColor="text1"/>
        </w:rPr>
        <w:t xml:space="preserve"> after they had left the income support system</w:t>
      </w:r>
    </w:p>
    <w:p w:rsidR="0027776A" w:rsidRDefault="00BC6234" w:rsidP="00846615">
      <w:pPr>
        <w:pStyle w:val="ListParagraph"/>
        <w:numPr>
          <w:ilvl w:val="0"/>
          <w:numId w:val="51"/>
        </w:numPr>
        <w:spacing w:before="240"/>
        <w:rPr>
          <w:color w:val="000000" w:themeColor="text1"/>
        </w:rPr>
      </w:pPr>
      <w:r>
        <w:rPr>
          <w:color w:val="000000" w:themeColor="text1"/>
        </w:rPr>
        <w:t>along with</w:t>
      </w:r>
      <w:r w:rsidR="0027776A">
        <w:rPr>
          <w:color w:val="000000" w:themeColor="text1"/>
        </w:rPr>
        <w:t xml:space="preserve"> communication issues</w:t>
      </w:r>
      <w:r>
        <w:rPr>
          <w:color w:val="000000" w:themeColor="text1"/>
        </w:rPr>
        <w:t>,</w:t>
      </w:r>
      <w:r w:rsidR="0027776A">
        <w:rPr>
          <w:color w:val="000000" w:themeColor="text1"/>
        </w:rPr>
        <w:t xml:space="preserve"> </w:t>
      </w:r>
      <w:r w:rsidR="009954CF">
        <w:rPr>
          <w:color w:val="000000" w:themeColor="text1"/>
        </w:rPr>
        <w:t xml:space="preserve">other factors </w:t>
      </w:r>
      <w:r w:rsidR="00B07341">
        <w:rPr>
          <w:color w:val="000000" w:themeColor="text1"/>
        </w:rPr>
        <w:t>also affected take-up</w:t>
      </w:r>
      <w:r w:rsidR="005A07B6">
        <w:rPr>
          <w:color w:val="000000" w:themeColor="text1"/>
        </w:rPr>
        <w:t xml:space="preserve">. </w:t>
      </w:r>
      <w:r w:rsidR="007649B9">
        <w:rPr>
          <w:color w:val="000000" w:themeColor="text1"/>
        </w:rPr>
        <w:t>Some of t</w:t>
      </w:r>
      <w:r w:rsidR="008323B4">
        <w:rPr>
          <w:color w:val="000000" w:themeColor="text1"/>
        </w:rPr>
        <w:t>hese</w:t>
      </w:r>
      <w:r w:rsidR="005A07B6">
        <w:rPr>
          <w:color w:val="000000" w:themeColor="text1"/>
        </w:rPr>
        <w:t xml:space="preserve"> </w:t>
      </w:r>
      <w:r w:rsidR="00077C6B">
        <w:rPr>
          <w:color w:val="000000" w:themeColor="text1"/>
        </w:rPr>
        <w:t xml:space="preserve">may </w:t>
      </w:r>
      <w:r w:rsidR="005A07B6">
        <w:rPr>
          <w:color w:val="000000" w:themeColor="text1"/>
        </w:rPr>
        <w:t xml:space="preserve">have been addressed </w:t>
      </w:r>
      <w:r w:rsidR="008323B4">
        <w:rPr>
          <w:color w:val="000000" w:themeColor="text1"/>
        </w:rPr>
        <w:t xml:space="preserve">by </w:t>
      </w:r>
      <w:r w:rsidR="005A07B6">
        <w:rPr>
          <w:color w:val="000000" w:themeColor="text1"/>
        </w:rPr>
        <w:t xml:space="preserve">a </w:t>
      </w:r>
      <w:r w:rsidR="008323B4">
        <w:rPr>
          <w:color w:val="000000" w:themeColor="text1"/>
        </w:rPr>
        <w:t xml:space="preserve">well-designed and implemented </w:t>
      </w:r>
      <w:r w:rsidR="005A07B6">
        <w:rPr>
          <w:color w:val="000000" w:themeColor="text1"/>
        </w:rPr>
        <w:t xml:space="preserve">communication </w:t>
      </w:r>
      <w:r w:rsidR="00FD3DC8">
        <w:rPr>
          <w:color w:val="000000" w:themeColor="text1"/>
        </w:rPr>
        <w:t>campaign</w:t>
      </w:r>
      <w:r>
        <w:rPr>
          <w:color w:val="000000" w:themeColor="text1"/>
        </w:rPr>
        <w:t>. These challenges included</w:t>
      </w:r>
      <w:r w:rsidR="005A07B6">
        <w:rPr>
          <w:color w:val="000000" w:themeColor="text1"/>
        </w:rPr>
        <w:t>:</w:t>
      </w:r>
    </w:p>
    <w:p w:rsidR="005A07B6" w:rsidRDefault="00077C6B" w:rsidP="00846615">
      <w:pPr>
        <w:pStyle w:val="ListParagraph"/>
        <w:numPr>
          <w:ilvl w:val="1"/>
          <w:numId w:val="51"/>
        </w:numPr>
        <w:spacing w:before="240"/>
        <w:rPr>
          <w:color w:val="000000" w:themeColor="text1"/>
        </w:rPr>
      </w:pPr>
      <w:r>
        <w:rPr>
          <w:color w:val="000000" w:themeColor="text1"/>
        </w:rPr>
        <w:t>a</w:t>
      </w:r>
      <w:r w:rsidR="005A07B6">
        <w:rPr>
          <w:color w:val="000000" w:themeColor="text1"/>
        </w:rPr>
        <w:t xml:space="preserve"> general mistrust of government and </w:t>
      </w:r>
      <w:r>
        <w:rPr>
          <w:color w:val="000000" w:themeColor="text1"/>
        </w:rPr>
        <w:t>suspicion</w:t>
      </w:r>
      <w:r w:rsidR="005A07B6">
        <w:rPr>
          <w:color w:val="000000" w:themeColor="text1"/>
        </w:rPr>
        <w:t xml:space="preserve"> as to the genuineness of the positive financial incentive on offer, believing it too</w:t>
      </w:r>
      <w:r w:rsidR="00BC6234">
        <w:rPr>
          <w:color w:val="000000" w:themeColor="text1"/>
        </w:rPr>
        <w:t xml:space="preserve"> good to be true</w:t>
      </w:r>
    </w:p>
    <w:p w:rsidR="007649B9" w:rsidRDefault="005A07B6" w:rsidP="00846615">
      <w:pPr>
        <w:pStyle w:val="ListParagraph"/>
        <w:numPr>
          <w:ilvl w:val="1"/>
          <w:numId w:val="51"/>
        </w:numPr>
        <w:spacing w:before="240"/>
        <w:rPr>
          <w:color w:val="000000" w:themeColor="text1"/>
        </w:rPr>
      </w:pPr>
      <w:r>
        <w:rPr>
          <w:color w:val="000000" w:themeColor="text1"/>
        </w:rPr>
        <w:t>a complex program design meant some found it difficult to qualify, while others were confused about requirements</w:t>
      </w:r>
    </w:p>
    <w:p w:rsidR="007649B9" w:rsidRDefault="007649B9" w:rsidP="00846615">
      <w:pPr>
        <w:pStyle w:val="ListParagraph"/>
        <w:numPr>
          <w:ilvl w:val="1"/>
          <w:numId w:val="51"/>
        </w:numPr>
        <w:spacing w:before="240"/>
        <w:rPr>
          <w:color w:val="000000" w:themeColor="text1"/>
        </w:rPr>
      </w:pPr>
      <w:r>
        <w:rPr>
          <w:color w:val="000000" w:themeColor="text1"/>
        </w:rPr>
        <w:t>a weak labour market</w:t>
      </w:r>
    </w:p>
    <w:p w:rsidR="005A07B6" w:rsidRPr="00647AF9" w:rsidRDefault="007649B9" w:rsidP="00846615">
      <w:pPr>
        <w:pStyle w:val="ListParagraph"/>
        <w:numPr>
          <w:ilvl w:val="1"/>
          <w:numId w:val="51"/>
        </w:numPr>
        <w:spacing w:before="240"/>
        <w:rPr>
          <w:color w:val="000000" w:themeColor="text1"/>
        </w:rPr>
      </w:pPr>
      <w:r>
        <w:rPr>
          <w:color w:val="000000" w:themeColor="text1"/>
        </w:rPr>
        <w:t xml:space="preserve">the </w:t>
      </w:r>
      <w:r w:rsidR="00EA55F3">
        <w:rPr>
          <w:color w:val="000000" w:themeColor="text1"/>
        </w:rPr>
        <w:t xml:space="preserve">discounted </w:t>
      </w:r>
      <w:r w:rsidR="00647AF9">
        <w:rPr>
          <w:color w:val="000000" w:themeColor="text1"/>
        </w:rPr>
        <w:t>future value young adults</w:t>
      </w:r>
      <w:r w:rsidR="00EA55F3" w:rsidRPr="00647AF9">
        <w:rPr>
          <w:color w:val="000000" w:themeColor="text1"/>
        </w:rPr>
        <w:t xml:space="preserve"> </w:t>
      </w:r>
      <w:r w:rsidRPr="00647AF9">
        <w:rPr>
          <w:color w:val="000000" w:themeColor="text1"/>
        </w:rPr>
        <w:t>assigned to the bonus amount</w:t>
      </w:r>
      <w:r w:rsidR="00FD3DC8" w:rsidRPr="00647AF9">
        <w:rPr>
          <w:color w:val="000000" w:themeColor="text1"/>
        </w:rPr>
        <w:t>.</w:t>
      </w:r>
    </w:p>
    <w:p w:rsidR="00BC6234" w:rsidRDefault="00FD3DC8" w:rsidP="00FD3DC8">
      <w:pPr>
        <w:spacing w:before="240"/>
        <w:rPr>
          <w:color w:val="000000" w:themeColor="text1"/>
        </w:rPr>
      </w:pPr>
      <w:r>
        <w:rPr>
          <w:color w:val="000000" w:themeColor="text1"/>
        </w:rPr>
        <w:t>These findings are not surprising</w:t>
      </w:r>
      <w:r w:rsidR="008F1D3C">
        <w:rPr>
          <w:color w:val="000000" w:themeColor="text1"/>
        </w:rPr>
        <w:t xml:space="preserve">. </w:t>
      </w:r>
      <w:r w:rsidR="006F1EE2" w:rsidRPr="00FD3DC8">
        <w:rPr>
          <w:color w:val="000000" w:themeColor="text1"/>
        </w:rPr>
        <w:t xml:space="preserve">Martinson and Hamilton (2011) present </w:t>
      </w:r>
      <w:r w:rsidR="00C502F0">
        <w:rPr>
          <w:color w:val="000000" w:themeColor="text1"/>
        </w:rPr>
        <w:t>similar</w:t>
      </w:r>
      <w:r w:rsidR="006F1EE2" w:rsidRPr="00FD3DC8">
        <w:rPr>
          <w:color w:val="000000" w:themeColor="text1"/>
        </w:rPr>
        <w:t xml:space="preserve"> findings from evaluations of five earning supplement programs in Canada, USA and the UK. </w:t>
      </w:r>
      <w:r w:rsidR="00B07341">
        <w:rPr>
          <w:color w:val="000000" w:themeColor="text1"/>
        </w:rPr>
        <w:t>They</w:t>
      </w:r>
      <w:r w:rsidR="006F1EE2" w:rsidRPr="00FD3DC8">
        <w:rPr>
          <w:color w:val="000000" w:themeColor="text1"/>
        </w:rPr>
        <w:t xml:space="preserve"> found that not only program design but also program management and marketing had an effect on take-up. Some common reasons for non-participation in programs were:</w:t>
      </w:r>
    </w:p>
    <w:p w:rsidR="00BC6234" w:rsidRPr="00622A43" w:rsidRDefault="006F1EE2" w:rsidP="00E3205B">
      <w:pPr>
        <w:pStyle w:val="ListParagraph"/>
        <w:numPr>
          <w:ilvl w:val="0"/>
          <w:numId w:val="90"/>
        </w:numPr>
        <w:spacing w:before="240"/>
        <w:rPr>
          <w:color w:val="000000" w:themeColor="text1"/>
        </w:rPr>
      </w:pPr>
      <w:r w:rsidRPr="00622A43">
        <w:rPr>
          <w:color w:val="000000" w:themeColor="text1"/>
        </w:rPr>
        <w:t>low awareness of the program</w:t>
      </w:r>
    </w:p>
    <w:p w:rsidR="00BC6234" w:rsidRPr="00622A43" w:rsidRDefault="006F1EE2" w:rsidP="00E3205B">
      <w:pPr>
        <w:pStyle w:val="ListParagraph"/>
        <w:numPr>
          <w:ilvl w:val="0"/>
          <w:numId w:val="90"/>
        </w:numPr>
        <w:spacing w:before="240"/>
        <w:rPr>
          <w:color w:val="000000" w:themeColor="text1"/>
        </w:rPr>
      </w:pPr>
      <w:r w:rsidRPr="00622A43">
        <w:rPr>
          <w:color w:val="000000" w:themeColor="text1"/>
        </w:rPr>
        <w:t>a desire to leave the stigma of welfare behind</w:t>
      </w:r>
    </w:p>
    <w:p w:rsidR="00BC6234" w:rsidRPr="00622A43" w:rsidRDefault="006F1EE2" w:rsidP="00E3205B">
      <w:pPr>
        <w:pStyle w:val="ListParagraph"/>
        <w:numPr>
          <w:ilvl w:val="0"/>
          <w:numId w:val="90"/>
        </w:numPr>
        <w:spacing w:before="240"/>
        <w:rPr>
          <w:color w:val="000000" w:themeColor="text1"/>
        </w:rPr>
      </w:pPr>
      <w:r w:rsidRPr="00622A43">
        <w:rPr>
          <w:color w:val="000000" w:themeColor="text1"/>
        </w:rPr>
        <w:t>a lack of understanding of eligibility requirements</w:t>
      </w:r>
    </w:p>
    <w:p w:rsidR="00BC6234" w:rsidRPr="00622A43" w:rsidRDefault="006F1EE2" w:rsidP="00E3205B">
      <w:pPr>
        <w:pStyle w:val="ListParagraph"/>
        <w:numPr>
          <w:ilvl w:val="0"/>
          <w:numId w:val="90"/>
        </w:numPr>
        <w:spacing w:before="240"/>
        <w:rPr>
          <w:color w:val="000000" w:themeColor="text1"/>
        </w:rPr>
      </w:pPr>
      <w:r w:rsidRPr="00622A43">
        <w:rPr>
          <w:color w:val="000000" w:themeColor="text1"/>
        </w:rPr>
        <w:t>mistrust that the benefit was genuine.</w:t>
      </w:r>
    </w:p>
    <w:p w:rsidR="006F1EE2" w:rsidRPr="00FD3DC8" w:rsidRDefault="006F1EE2" w:rsidP="00FD3DC8">
      <w:pPr>
        <w:spacing w:before="240"/>
        <w:rPr>
          <w:color w:val="000000" w:themeColor="text1"/>
        </w:rPr>
      </w:pPr>
      <w:r w:rsidRPr="00FD3DC8">
        <w:rPr>
          <w:color w:val="000000" w:themeColor="text1"/>
        </w:rPr>
        <w:t xml:space="preserve">Strategies </w:t>
      </w:r>
      <w:r w:rsidR="00FD3DC8" w:rsidRPr="00FD3DC8">
        <w:rPr>
          <w:color w:val="000000" w:themeColor="text1"/>
        </w:rPr>
        <w:t>they</w:t>
      </w:r>
      <w:r w:rsidRPr="00FD3DC8">
        <w:rPr>
          <w:color w:val="000000" w:themeColor="text1"/>
        </w:rPr>
        <w:t xml:space="preserve"> recommended</w:t>
      </w:r>
      <w:r w:rsidR="00BF1E8E">
        <w:rPr>
          <w:color w:val="000000" w:themeColor="text1"/>
        </w:rPr>
        <w:t xml:space="preserve"> </w:t>
      </w:r>
      <w:r w:rsidRPr="00FD3DC8">
        <w:rPr>
          <w:color w:val="000000" w:themeColor="text1"/>
        </w:rPr>
        <w:t>to address non-participation included:</w:t>
      </w:r>
    </w:p>
    <w:p w:rsidR="006F1EE2" w:rsidRPr="00FD3DC8" w:rsidRDefault="006F1EE2" w:rsidP="00846615">
      <w:pPr>
        <w:pStyle w:val="ListParagraph"/>
        <w:numPr>
          <w:ilvl w:val="0"/>
          <w:numId w:val="52"/>
        </w:numPr>
        <w:spacing w:before="240"/>
        <w:rPr>
          <w:color w:val="000000" w:themeColor="text1"/>
        </w:rPr>
      </w:pPr>
      <w:r w:rsidRPr="00FD3DC8">
        <w:rPr>
          <w:color w:val="000000" w:themeColor="text1"/>
        </w:rPr>
        <w:t>market aggressively, early and often during the program</w:t>
      </w:r>
    </w:p>
    <w:p w:rsidR="006F1EE2" w:rsidRPr="00FD3DC8" w:rsidRDefault="006F1EE2" w:rsidP="00846615">
      <w:pPr>
        <w:pStyle w:val="ListParagraph"/>
        <w:numPr>
          <w:ilvl w:val="0"/>
          <w:numId w:val="52"/>
        </w:numPr>
        <w:spacing w:before="240"/>
        <w:rPr>
          <w:color w:val="000000" w:themeColor="text1"/>
        </w:rPr>
      </w:pPr>
      <w:r w:rsidRPr="00FD3DC8">
        <w:rPr>
          <w:color w:val="000000" w:themeColor="text1"/>
        </w:rPr>
        <w:lastRenderedPageBreak/>
        <w:t xml:space="preserve">contact </w:t>
      </w:r>
      <w:r w:rsidR="00565043">
        <w:rPr>
          <w:color w:val="000000" w:themeColor="text1"/>
        </w:rPr>
        <w:t>people</w:t>
      </w:r>
      <w:r w:rsidRPr="00FD3DC8">
        <w:rPr>
          <w:color w:val="000000" w:themeColor="text1"/>
        </w:rPr>
        <w:t xml:space="preserve"> when they are ready to claim</w:t>
      </w:r>
    </w:p>
    <w:p w:rsidR="006F1EE2" w:rsidRPr="00FD3DC8" w:rsidRDefault="007240A9" w:rsidP="00846615">
      <w:pPr>
        <w:pStyle w:val="ListParagraph"/>
        <w:numPr>
          <w:ilvl w:val="0"/>
          <w:numId w:val="52"/>
        </w:numPr>
        <w:spacing w:before="240"/>
        <w:rPr>
          <w:color w:val="000000" w:themeColor="text1"/>
        </w:rPr>
      </w:pPr>
      <w:r>
        <w:rPr>
          <w:color w:val="000000" w:themeColor="text1"/>
        </w:rPr>
        <w:t>avoid</w:t>
      </w:r>
      <w:r w:rsidRPr="00FD3DC8">
        <w:rPr>
          <w:color w:val="000000" w:themeColor="text1"/>
        </w:rPr>
        <w:t xml:space="preserve"> </w:t>
      </w:r>
      <w:r w:rsidR="006F1EE2" w:rsidRPr="00FD3DC8">
        <w:rPr>
          <w:color w:val="000000" w:themeColor="text1"/>
        </w:rPr>
        <w:t>assum</w:t>
      </w:r>
      <w:r>
        <w:rPr>
          <w:color w:val="000000" w:themeColor="text1"/>
        </w:rPr>
        <w:t>ing</w:t>
      </w:r>
      <w:r w:rsidR="006F1EE2" w:rsidRPr="00FD3DC8">
        <w:rPr>
          <w:color w:val="000000" w:themeColor="text1"/>
        </w:rPr>
        <w:t xml:space="preserve"> that </w:t>
      </w:r>
      <w:r w:rsidR="00565043">
        <w:rPr>
          <w:color w:val="000000" w:themeColor="text1"/>
        </w:rPr>
        <w:t>people</w:t>
      </w:r>
      <w:r w:rsidR="006F1EE2" w:rsidRPr="00FD3DC8">
        <w:rPr>
          <w:color w:val="000000" w:themeColor="text1"/>
        </w:rPr>
        <w:t xml:space="preserve"> will remember eligibility requirements later</w:t>
      </w:r>
    </w:p>
    <w:p w:rsidR="006F1EE2" w:rsidRPr="00FD3DC8" w:rsidRDefault="006F1EE2" w:rsidP="00846615">
      <w:pPr>
        <w:pStyle w:val="ListParagraph"/>
        <w:numPr>
          <w:ilvl w:val="0"/>
          <w:numId w:val="52"/>
        </w:numPr>
        <w:spacing w:before="240"/>
        <w:rPr>
          <w:color w:val="000000" w:themeColor="text1"/>
        </w:rPr>
      </w:pPr>
      <w:r w:rsidRPr="00FD3DC8">
        <w:rPr>
          <w:color w:val="000000" w:themeColor="text1"/>
        </w:rPr>
        <w:t>use multifaceted marketing strategies</w:t>
      </w:r>
    </w:p>
    <w:p w:rsidR="006F1EE2" w:rsidRPr="00FD3DC8" w:rsidRDefault="006F1EE2" w:rsidP="00846615">
      <w:pPr>
        <w:pStyle w:val="ListParagraph"/>
        <w:numPr>
          <w:ilvl w:val="0"/>
          <w:numId w:val="52"/>
        </w:numPr>
        <w:spacing w:before="240"/>
        <w:rPr>
          <w:color w:val="000000" w:themeColor="text1"/>
        </w:rPr>
      </w:pPr>
      <w:r w:rsidRPr="00FD3DC8">
        <w:rPr>
          <w:color w:val="000000" w:themeColor="text1"/>
        </w:rPr>
        <w:t>simplify eligibility requirements and non-work rules, program design and administrative requirements</w:t>
      </w:r>
    </w:p>
    <w:p w:rsidR="006F1EE2" w:rsidRPr="00FD3DC8" w:rsidRDefault="006F1EE2" w:rsidP="00846615">
      <w:pPr>
        <w:pStyle w:val="ListParagraph"/>
        <w:numPr>
          <w:ilvl w:val="0"/>
          <w:numId w:val="52"/>
        </w:numPr>
        <w:spacing w:before="240"/>
        <w:ind w:left="714" w:hanging="357"/>
        <w:contextualSpacing w:val="0"/>
        <w:rPr>
          <w:color w:val="000000" w:themeColor="text1"/>
        </w:rPr>
      </w:pPr>
      <w:r w:rsidRPr="00FD3DC8">
        <w:rPr>
          <w:color w:val="000000" w:themeColor="text1"/>
        </w:rPr>
        <w:t xml:space="preserve">explain the program </w:t>
      </w:r>
      <w:r w:rsidR="00E10A78">
        <w:rPr>
          <w:color w:val="000000" w:themeColor="text1"/>
        </w:rPr>
        <w:t xml:space="preserve">clearly </w:t>
      </w:r>
      <w:r w:rsidRPr="00FD3DC8">
        <w:rPr>
          <w:color w:val="000000" w:themeColor="text1"/>
        </w:rPr>
        <w:t xml:space="preserve">so that targeted people believe </w:t>
      </w:r>
      <w:r w:rsidR="00BF1E8E">
        <w:rPr>
          <w:color w:val="000000" w:themeColor="text1"/>
        </w:rPr>
        <w:t>the offer</w:t>
      </w:r>
      <w:r w:rsidRPr="00FD3DC8">
        <w:rPr>
          <w:color w:val="000000" w:themeColor="text1"/>
        </w:rPr>
        <w:t xml:space="preserve"> is genuine, understand the requireme</w:t>
      </w:r>
      <w:r w:rsidR="00647AF9">
        <w:rPr>
          <w:color w:val="000000" w:themeColor="text1"/>
        </w:rPr>
        <w:t>nts, can see the benefits</w:t>
      </w:r>
      <w:r w:rsidRPr="00FD3DC8">
        <w:rPr>
          <w:color w:val="000000" w:themeColor="text1"/>
        </w:rPr>
        <w:t>, and can take the steps needed to receive the incentive.</w:t>
      </w:r>
    </w:p>
    <w:p w:rsidR="00BF1E8E" w:rsidRDefault="00B10510" w:rsidP="00BF1E8E">
      <w:pPr>
        <w:pStyle w:val="ListParagraph"/>
        <w:keepNext/>
        <w:spacing w:before="240" w:after="0"/>
        <w:ind w:left="0"/>
      </w:pPr>
      <w:r>
        <w:t>D</w:t>
      </w:r>
      <w:r w:rsidR="00BF1E8E">
        <w:t xml:space="preserve">iscussions with </w:t>
      </w:r>
      <w:r w:rsidR="00C41A44">
        <w:t xml:space="preserve">JCB </w:t>
      </w:r>
      <w:r w:rsidR="00514F15">
        <w:t xml:space="preserve">research </w:t>
      </w:r>
      <w:r w:rsidR="00BF1E8E">
        <w:t xml:space="preserve">participants </w:t>
      </w:r>
      <w:r w:rsidR="00514F15">
        <w:t xml:space="preserve">who had been LTU and had left income support for at least </w:t>
      </w:r>
      <w:r w:rsidR="00C5759E">
        <w:t>12 </w:t>
      </w:r>
      <w:r w:rsidR="00514F15">
        <w:t>months</w:t>
      </w:r>
      <w:r w:rsidR="00BF1E8E">
        <w:t xml:space="preserve"> </w:t>
      </w:r>
      <w:r w:rsidR="00A27EA6">
        <w:t xml:space="preserve">about their job search experiences </w:t>
      </w:r>
      <w:r>
        <w:t>indicated</w:t>
      </w:r>
      <w:r w:rsidR="00BF1E8E">
        <w:t xml:space="preserve"> that they </w:t>
      </w:r>
      <w:r w:rsidR="00077C6B">
        <w:t>were</w:t>
      </w:r>
      <w:r w:rsidR="00BF1E8E">
        <w:t xml:space="preserve"> motivated to leave the income support system and </w:t>
      </w:r>
      <w:r w:rsidR="00077C6B">
        <w:t>gain</w:t>
      </w:r>
      <w:r w:rsidR="00BF1E8E">
        <w:t xml:space="preserve"> employ</w:t>
      </w:r>
      <w:r w:rsidR="00077C6B">
        <w:t>ment</w:t>
      </w:r>
      <w:r w:rsidR="00BF1E8E">
        <w:t>. Mo</w:t>
      </w:r>
      <w:r w:rsidR="00647AF9">
        <w:t>st</w:t>
      </w:r>
      <w:r w:rsidR="00BF1E8E">
        <w:t xml:space="preserve"> thought that living on unemployment benefits was </w:t>
      </w:r>
      <w:r w:rsidR="00EB6A3F">
        <w:t>un</w:t>
      </w:r>
      <w:r w:rsidR="00BF1E8E">
        <w:t xml:space="preserve">desirable or </w:t>
      </w:r>
      <w:r w:rsidR="00EA55F3">
        <w:t>un</w:t>
      </w:r>
      <w:r w:rsidR="00BF1E8E">
        <w:t xml:space="preserve">sustainable. </w:t>
      </w:r>
      <w:r w:rsidR="00EB6A3F">
        <w:t>Some of th</w:t>
      </w:r>
      <w:r w:rsidR="00BF1E8E">
        <w:t xml:space="preserve">e </w:t>
      </w:r>
      <w:r w:rsidR="00EB6A3F">
        <w:t>factors</w:t>
      </w:r>
      <w:r w:rsidR="00BF1E8E">
        <w:t xml:space="preserve"> </w:t>
      </w:r>
      <w:r w:rsidR="007240A9">
        <w:t xml:space="preserve">participants identified as motivating them </w:t>
      </w:r>
      <w:r w:rsidR="00647AF9">
        <w:t xml:space="preserve">to find employment </w:t>
      </w:r>
      <w:r w:rsidR="00BF1E8E">
        <w:t>included:</w:t>
      </w:r>
    </w:p>
    <w:p w:rsidR="00BF1E8E" w:rsidRPr="00BF1E8E" w:rsidRDefault="00BF1E8E" w:rsidP="00846615">
      <w:pPr>
        <w:pStyle w:val="ListParagraph"/>
        <w:numPr>
          <w:ilvl w:val="0"/>
          <w:numId w:val="52"/>
        </w:numPr>
        <w:spacing w:before="240"/>
        <w:rPr>
          <w:color w:val="000000" w:themeColor="text1"/>
        </w:rPr>
      </w:pPr>
      <w:r w:rsidRPr="00BF1E8E">
        <w:rPr>
          <w:color w:val="000000" w:themeColor="text1"/>
        </w:rPr>
        <w:t>improved self-esteem</w:t>
      </w:r>
    </w:p>
    <w:p w:rsidR="00BF1E8E" w:rsidRPr="00BF1E8E" w:rsidRDefault="00BF1E8E" w:rsidP="00846615">
      <w:pPr>
        <w:pStyle w:val="ListParagraph"/>
        <w:numPr>
          <w:ilvl w:val="0"/>
          <w:numId w:val="52"/>
        </w:numPr>
        <w:spacing w:before="240"/>
        <w:rPr>
          <w:color w:val="000000" w:themeColor="text1"/>
        </w:rPr>
      </w:pPr>
      <w:r w:rsidRPr="00BF1E8E">
        <w:rPr>
          <w:color w:val="000000" w:themeColor="text1"/>
        </w:rPr>
        <w:t>social expectation, pressure and the desire for improved social standing</w:t>
      </w:r>
    </w:p>
    <w:p w:rsidR="00BF1E8E" w:rsidRPr="00BF1E8E" w:rsidRDefault="00BF1E8E" w:rsidP="00846615">
      <w:pPr>
        <w:pStyle w:val="ListParagraph"/>
        <w:numPr>
          <w:ilvl w:val="0"/>
          <w:numId w:val="52"/>
        </w:numPr>
        <w:spacing w:before="240"/>
        <w:rPr>
          <w:color w:val="000000" w:themeColor="text1"/>
        </w:rPr>
      </w:pPr>
      <w:r w:rsidRPr="00BF1E8E">
        <w:rPr>
          <w:color w:val="000000" w:themeColor="text1"/>
        </w:rPr>
        <w:t>a step toward future goals</w:t>
      </w:r>
    </w:p>
    <w:p w:rsidR="00BF1E8E" w:rsidRPr="00BF1E8E" w:rsidRDefault="00BF1E8E" w:rsidP="00846615">
      <w:pPr>
        <w:pStyle w:val="ListParagraph"/>
        <w:numPr>
          <w:ilvl w:val="0"/>
          <w:numId w:val="52"/>
        </w:numPr>
        <w:spacing w:before="240"/>
        <w:rPr>
          <w:color w:val="000000" w:themeColor="text1"/>
        </w:rPr>
      </w:pPr>
      <w:r w:rsidRPr="00BF1E8E">
        <w:rPr>
          <w:color w:val="000000" w:themeColor="text1"/>
        </w:rPr>
        <w:t>avoidance of compliance requirements</w:t>
      </w:r>
    </w:p>
    <w:p w:rsidR="00BF1E8E" w:rsidRPr="00BF1E8E" w:rsidRDefault="007240A9" w:rsidP="00846615">
      <w:pPr>
        <w:pStyle w:val="ListParagraph"/>
        <w:numPr>
          <w:ilvl w:val="0"/>
          <w:numId w:val="52"/>
        </w:numPr>
        <w:spacing w:before="240"/>
        <w:rPr>
          <w:color w:val="000000" w:themeColor="text1"/>
        </w:rPr>
      </w:pPr>
      <w:r>
        <w:rPr>
          <w:color w:val="000000" w:themeColor="text1"/>
        </w:rPr>
        <w:t xml:space="preserve">addressing </w:t>
      </w:r>
      <w:r w:rsidR="00BF1E8E" w:rsidRPr="00BF1E8E">
        <w:rPr>
          <w:color w:val="000000" w:themeColor="text1"/>
        </w:rPr>
        <w:t>boredom / lack of direction / lack of meaning</w:t>
      </w:r>
      <w:r w:rsidR="00EB6A3F">
        <w:rPr>
          <w:color w:val="000000" w:themeColor="text1"/>
        </w:rPr>
        <w:t xml:space="preserve"> living on income support</w:t>
      </w:r>
    </w:p>
    <w:p w:rsidR="007C3049" w:rsidRDefault="00BF1E8E" w:rsidP="00846615">
      <w:pPr>
        <w:pStyle w:val="ListParagraph"/>
        <w:numPr>
          <w:ilvl w:val="0"/>
          <w:numId w:val="52"/>
        </w:numPr>
        <w:spacing w:before="240"/>
        <w:ind w:left="714" w:hanging="357"/>
        <w:contextualSpacing w:val="0"/>
      </w:pPr>
      <w:r w:rsidRPr="00077C6B">
        <w:rPr>
          <w:color w:val="000000" w:themeColor="text1"/>
        </w:rPr>
        <w:t>pressure / support from family and significant others</w:t>
      </w:r>
      <w:r>
        <w:t>.</w:t>
      </w:r>
    </w:p>
    <w:p w:rsidR="00046541" w:rsidRPr="0041700D" w:rsidRDefault="00971AEF" w:rsidP="00B50DFB">
      <w:pPr>
        <w:spacing w:before="240"/>
      </w:pPr>
      <w:r>
        <w:t xml:space="preserve">The evaluation did not test the effect of different job search requirements between JSA and jobactive, </w:t>
      </w:r>
      <w:r w:rsidRPr="00971AEF">
        <w:rPr>
          <w:color w:val="000000"/>
        </w:rPr>
        <w:t>on the effectiveness of the JCB overall</w:t>
      </w:r>
      <w:r>
        <w:t>. That is, the evaluation did not measure the extent to which increased focus on job search requirements under jobactive affected the uptake of jobs and therefore the extent to which the JCB could affect sustainability.</w:t>
      </w:r>
    </w:p>
    <w:p w:rsidR="008F1D3C" w:rsidRPr="00656A3A" w:rsidRDefault="003F4992" w:rsidP="00CF7AE5">
      <w:pPr>
        <w:pStyle w:val="Heading2"/>
        <w:rPr>
          <w:color w:val="000000" w:themeColor="text1"/>
        </w:rPr>
      </w:pPr>
      <w:bookmarkStart w:id="223" w:name="_Toc507600254"/>
      <w:r>
        <w:t>5.2</w:t>
      </w:r>
      <w:r>
        <w:tab/>
      </w:r>
      <w:r w:rsidR="008F1D3C">
        <w:t>R</w:t>
      </w:r>
      <w:r w:rsidR="008F1D3C" w:rsidRPr="003A4B00">
        <w:t>emain</w:t>
      </w:r>
      <w:r w:rsidR="00802E62">
        <w:t>ing</w:t>
      </w:r>
      <w:r w:rsidR="008F1D3C" w:rsidRPr="003A4B00">
        <w:t xml:space="preserve"> off welfare</w:t>
      </w:r>
      <w:bookmarkEnd w:id="223"/>
    </w:p>
    <w:p w:rsidR="008F1D3C" w:rsidRDefault="008F1D3C" w:rsidP="008F1D3C">
      <w:pPr>
        <w:spacing w:before="240"/>
      </w:pPr>
      <w:r w:rsidRPr="00E474C4">
        <w:rPr>
          <w:color w:val="000000" w:themeColor="text1"/>
        </w:rPr>
        <w:t xml:space="preserve">Some quantitative evidence supports </w:t>
      </w:r>
      <w:r>
        <w:rPr>
          <w:color w:val="000000" w:themeColor="text1"/>
        </w:rPr>
        <w:t>the qualitative finding of potential JCB impact on sustained outcomes</w:t>
      </w:r>
      <w:r w:rsidR="00077C6B">
        <w:rPr>
          <w:color w:val="000000" w:themeColor="text1"/>
        </w:rPr>
        <w:t xml:space="preserve"> (</w:t>
      </w:r>
      <w:r w:rsidR="00A60BCB">
        <w:rPr>
          <w:color w:val="000000" w:themeColor="text1"/>
        </w:rPr>
        <w:t>S</w:t>
      </w:r>
      <w:r w:rsidR="00C5759E">
        <w:rPr>
          <w:color w:val="000000" w:themeColor="text1"/>
        </w:rPr>
        <w:t>ection 4.5.1</w:t>
      </w:r>
      <w:r w:rsidR="00077C6B">
        <w:rPr>
          <w:color w:val="000000" w:themeColor="text1"/>
        </w:rPr>
        <w:t>)</w:t>
      </w:r>
      <w:r>
        <w:rPr>
          <w:color w:val="000000" w:themeColor="text1"/>
        </w:rPr>
        <w:t xml:space="preserve">. </w:t>
      </w:r>
      <w:r w:rsidR="00581F4C">
        <w:t>Qualitative evidence indicates that, e</w:t>
      </w:r>
      <w:r w:rsidRPr="007E1661">
        <w:t xml:space="preserve">specially for </w:t>
      </w:r>
      <w:r>
        <w:t xml:space="preserve">people </w:t>
      </w:r>
      <w:r w:rsidRPr="007E1661">
        <w:t xml:space="preserve">who had a </w:t>
      </w:r>
      <w:r w:rsidR="00545418">
        <w:t>history of acting</w:t>
      </w:r>
      <w:r w:rsidR="00545418" w:rsidRPr="007E1661">
        <w:t xml:space="preserve"> impulsively</w:t>
      </w:r>
      <w:r w:rsidR="00545418">
        <w:t xml:space="preserve"> in leaving jobs</w:t>
      </w:r>
      <w:r>
        <w:t xml:space="preserve">, </w:t>
      </w:r>
      <w:r w:rsidRPr="007E1661">
        <w:t xml:space="preserve">the JCB had the potential to encourage </w:t>
      </w:r>
      <w:r w:rsidR="006502FA">
        <w:t>participants</w:t>
      </w:r>
      <w:r w:rsidR="006502FA" w:rsidRPr="007E1661">
        <w:t xml:space="preserve"> </w:t>
      </w:r>
      <w:r w:rsidRPr="007E1661">
        <w:t>to:</w:t>
      </w:r>
    </w:p>
    <w:p w:rsidR="008F1D3C" w:rsidRDefault="008F1D3C" w:rsidP="00E3205B">
      <w:pPr>
        <w:pStyle w:val="ListParagraph"/>
        <w:numPr>
          <w:ilvl w:val="0"/>
          <w:numId w:val="71"/>
        </w:numPr>
        <w:spacing w:before="240"/>
      </w:pPr>
      <w:r w:rsidRPr="007E1661">
        <w:t>stay in work and persist with a job they may not have been happy with in order to qu</w:t>
      </w:r>
      <w:r w:rsidR="00F1247B">
        <w:t>alify, within reasonable limits</w:t>
      </w:r>
    </w:p>
    <w:p w:rsidR="008F1D3C" w:rsidRPr="00D33334" w:rsidRDefault="008F1D3C" w:rsidP="00E3205B">
      <w:pPr>
        <w:pStyle w:val="ListParagraph"/>
        <w:numPr>
          <w:ilvl w:val="0"/>
          <w:numId w:val="71"/>
        </w:numPr>
        <w:spacing w:before="240"/>
        <w:rPr>
          <w:color w:val="000000" w:themeColor="text1"/>
        </w:rPr>
      </w:pPr>
      <w:r w:rsidRPr="007E1661">
        <w:t xml:space="preserve">transition from one job to another </w:t>
      </w:r>
      <w:r>
        <w:t xml:space="preserve">quickly </w:t>
      </w:r>
      <w:r w:rsidRPr="007E1661">
        <w:t>and actively avoid becoming unemployed.</w:t>
      </w:r>
    </w:p>
    <w:p w:rsidR="009905C8" w:rsidRPr="007749E9" w:rsidRDefault="003F4992" w:rsidP="009905C8">
      <w:pPr>
        <w:pStyle w:val="Heading2"/>
        <w:rPr>
          <w:color w:val="000000" w:themeColor="text1"/>
        </w:rPr>
      </w:pPr>
      <w:bookmarkStart w:id="224" w:name="_Toc507600255"/>
      <w:r>
        <w:t>5.3</w:t>
      </w:r>
      <w:r>
        <w:tab/>
      </w:r>
      <w:r w:rsidR="00EA55F3">
        <w:t>The b</w:t>
      </w:r>
      <w:r w:rsidR="009905C8">
        <w:t xml:space="preserve">ehavioural </w:t>
      </w:r>
      <w:r w:rsidR="00EA55F3">
        <w:t>context</w:t>
      </w:r>
      <w:bookmarkEnd w:id="224"/>
      <w:r w:rsidR="00A6477C">
        <w:t xml:space="preserve"> </w:t>
      </w:r>
    </w:p>
    <w:p w:rsidR="000F4F63" w:rsidRDefault="000F4F63" w:rsidP="000F4F63">
      <w:r>
        <w:t>According to the</w:t>
      </w:r>
      <w:r w:rsidR="006502FA" w:rsidRPr="006502FA">
        <w:t xml:space="preserve"> </w:t>
      </w:r>
      <w:r w:rsidR="009E316B" w:rsidRPr="006A1048">
        <w:rPr>
          <w:i/>
        </w:rPr>
        <w:t>Trans-theoretical</w:t>
      </w:r>
      <w:r w:rsidR="009E316B">
        <w:t xml:space="preserve"> </w:t>
      </w:r>
      <w:r w:rsidR="009E316B" w:rsidRPr="004968D9">
        <w:rPr>
          <w:i/>
        </w:rPr>
        <w:t xml:space="preserve">Stages of </w:t>
      </w:r>
      <w:r w:rsidR="009E316B">
        <w:rPr>
          <w:i/>
        </w:rPr>
        <w:t xml:space="preserve">Change </w:t>
      </w:r>
      <w:r w:rsidR="009E316B" w:rsidRPr="00264090">
        <w:t>model</w:t>
      </w:r>
      <w:r w:rsidR="009E316B">
        <w:t xml:space="preserve"> </w:t>
      </w:r>
      <w:r w:rsidR="006502FA">
        <w:t>of behaviour change</w:t>
      </w:r>
      <w:r>
        <w:t xml:space="preserve"> </w:t>
      </w:r>
      <w:r w:rsidR="006502FA">
        <w:t>(</w:t>
      </w:r>
      <w:r>
        <w:t>TTM</w:t>
      </w:r>
      <w:r w:rsidR="006502FA">
        <w:t>)</w:t>
      </w:r>
      <w:r>
        <w:t>, people move through a series of stages when modifying their behaviour. The five Stages of Change are:</w:t>
      </w:r>
    </w:p>
    <w:p w:rsidR="000F4F63" w:rsidRDefault="000F4F63" w:rsidP="000F4F63">
      <w:pPr>
        <w:pStyle w:val="ListParagraph"/>
        <w:numPr>
          <w:ilvl w:val="0"/>
          <w:numId w:val="43"/>
        </w:numPr>
      </w:pPr>
      <w:r>
        <w:t>Pre-contemplation</w:t>
      </w:r>
    </w:p>
    <w:p w:rsidR="000F4F63" w:rsidRDefault="000F4F63" w:rsidP="000F4F63">
      <w:pPr>
        <w:pStyle w:val="ListParagraph"/>
        <w:numPr>
          <w:ilvl w:val="0"/>
          <w:numId w:val="43"/>
        </w:numPr>
      </w:pPr>
      <w:r>
        <w:t>Contemplation</w:t>
      </w:r>
    </w:p>
    <w:p w:rsidR="000F4F63" w:rsidRDefault="000F4F63" w:rsidP="000F4F63">
      <w:pPr>
        <w:pStyle w:val="ListParagraph"/>
        <w:numPr>
          <w:ilvl w:val="0"/>
          <w:numId w:val="43"/>
        </w:numPr>
      </w:pPr>
      <w:r>
        <w:t>Preparation</w:t>
      </w:r>
    </w:p>
    <w:p w:rsidR="000F4F63" w:rsidRDefault="000F4F63" w:rsidP="000F4F63">
      <w:pPr>
        <w:pStyle w:val="ListParagraph"/>
        <w:numPr>
          <w:ilvl w:val="0"/>
          <w:numId w:val="43"/>
        </w:numPr>
      </w:pPr>
      <w:r>
        <w:t>Action</w:t>
      </w:r>
    </w:p>
    <w:p w:rsidR="000F4F63" w:rsidRPr="00F1247B" w:rsidRDefault="000F4F63" w:rsidP="000F4F63">
      <w:pPr>
        <w:pStyle w:val="ListParagraph"/>
        <w:numPr>
          <w:ilvl w:val="0"/>
          <w:numId w:val="43"/>
        </w:numPr>
      </w:pPr>
      <w:r>
        <w:lastRenderedPageBreak/>
        <w:t>Maintenance.</w:t>
      </w:r>
      <w:r w:rsidR="00EA55F3">
        <w:rPr>
          <w:rStyle w:val="FootnoteReference"/>
        </w:rPr>
        <w:footnoteReference w:id="90"/>
      </w:r>
    </w:p>
    <w:p w:rsidR="000F4F63" w:rsidRPr="00F1247B" w:rsidRDefault="000F4F63" w:rsidP="000F4F63">
      <w:r>
        <w:t xml:space="preserve">People do not necessarily move through these stages in a linear progression, but can move in an upward, spiral process, regressing back to earlier stages when experiencing relapses. Further detail on </w:t>
      </w:r>
      <w:r w:rsidR="009E316B">
        <w:t>the TTM</w:t>
      </w:r>
      <w:r>
        <w:t xml:space="preserve"> can be found in </w:t>
      </w:r>
      <w:r w:rsidR="00335572">
        <w:t xml:space="preserve">Attachment </w:t>
      </w:r>
      <w:r w:rsidR="00C41A44">
        <w:t>A.</w:t>
      </w:r>
    </w:p>
    <w:p w:rsidR="000F4F63" w:rsidRPr="00A30F7E" w:rsidRDefault="000F4F63" w:rsidP="000F4F63">
      <w:pPr>
        <w:keepNext/>
      </w:pPr>
      <w:r w:rsidRPr="00A30F7E">
        <w:t xml:space="preserve">The </w:t>
      </w:r>
      <w:r w:rsidR="009E316B">
        <w:t>TTM</w:t>
      </w:r>
      <w:r w:rsidRPr="00A30F7E">
        <w:t xml:space="preserve"> explains intentional behaviour change </w:t>
      </w:r>
      <w:r>
        <w:t>over time</w:t>
      </w:r>
      <w:r w:rsidRPr="00A30F7E">
        <w:t>, using both cognitive and performance-based components, including:</w:t>
      </w:r>
    </w:p>
    <w:p w:rsidR="000F4F63" w:rsidRPr="009F3334" w:rsidRDefault="000F4F63" w:rsidP="000F4F63">
      <w:pPr>
        <w:pStyle w:val="ListParagraph"/>
        <w:numPr>
          <w:ilvl w:val="0"/>
          <w:numId w:val="34"/>
        </w:numPr>
        <w:rPr>
          <w:rFonts w:eastAsia="Times New Roman" w:cstheme="minorHAnsi"/>
          <w:lang w:val="en-US" w:eastAsia="en-AU"/>
        </w:rPr>
      </w:pPr>
      <w:r w:rsidRPr="009F3334">
        <w:rPr>
          <w:b/>
          <w:i/>
        </w:rPr>
        <w:t>Processes of change</w:t>
      </w:r>
      <w:r>
        <w:br/>
        <w:t>Covert and overt processes (cognitive and behavioural) are used to describe how a person changes to progress through the stages of change and to attain the desired behaviour change.</w:t>
      </w:r>
    </w:p>
    <w:p w:rsidR="000F4F63" w:rsidRDefault="000F4F63" w:rsidP="000F4F63">
      <w:pPr>
        <w:pStyle w:val="ListParagraph"/>
        <w:numPr>
          <w:ilvl w:val="0"/>
          <w:numId w:val="32"/>
        </w:numPr>
        <w:spacing w:before="120"/>
        <w:ind w:left="714" w:hanging="357"/>
      </w:pPr>
      <w:r w:rsidRPr="00CA0892">
        <w:rPr>
          <w:b/>
          <w:i/>
        </w:rPr>
        <w:t>Motivational balance</w:t>
      </w:r>
      <w:r w:rsidRPr="00A30F7E">
        <w:t xml:space="preserve"> </w:t>
      </w:r>
      <w:r>
        <w:br/>
        <w:t xml:space="preserve">As people progress through these five stages the decisional or motivational balance of the comparative </w:t>
      </w:r>
      <w:r w:rsidRPr="00A30F7E">
        <w:t xml:space="preserve">pros and cons </w:t>
      </w:r>
      <w:r>
        <w:t>shift</w:t>
      </w:r>
      <w:r w:rsidR="00EA55F3">
        <w:t>s</w:t>
      </w:r>
      <w:r>
        <w:t xml:space="preserve">. Engagement in a specific behaviour requires the pros to outweigh the cons. </w:t>
      </w:r>
    </w:p>
    <w:p w:rsidR="000F4F63" w:rsidRDefault="000F4F63" w:rsidP="000F4F63">
      <w:pPr>
        <w:pStyle w:val="ListParagraph"/>
        <w:numPr>
          <w:ilvl w:val="0"/>
          <w:numId w:val="32"/>
        </w:numPr>
        <w:ind w:left="714" w:hanging="357"/>
      </w:pPr>
      <w:r w:rsidRPr="00CA0892">
        <w:rPr>
          <w:b/>
          <w:i/>
        </w:rPr>
        <w:t xml:space="preserve">Self-efficacy </w:t>
      </w:r>
      <w:r w:rsidRPr="00CA0892">
        <w:rPr>
          <w:b/>
          <w:i/>
        </w:rPr>
        <w:br/>
      </w:r>
      <w:r>
        <w:t xml:space="preserve">This concept reflects </w:t>
      </w:r>
      <w:r w:rsidRPr="00A30F7E">
        <w:t>the individual’s confidence in their ability to change</w:t>
      </w:r>
      <w:r>
        <w:t xml:space="preserve"> and maintain their desired behaviour when situations change that may trigger a relapse or in high-risk situations when they may be tempted to return to old behaviour patterns</w:t>
      </w:r>
      <w:r w:rsidRPr="00A30F7E">
        <w:t>.</w:t>
      </w:r>
      <w:r w:rsidRPr="00CA0892">
        <w:t xml:space="preserve"> </w:t>
      </w:r>
      <w:r>
        <w:t>Behavioural change is more likely for people whose confidence is higher as they are less likely to ‘give up’. Eliminating barriers, minimising the impact of barriers and maintaining confidence in the face of barriers is critical. With high confidence, there is a greater likelihood of a succe</w:t>
      </w:r>
      <w:r w:rsidR="008477D2">
        <w:t>ssful behaviour change outcome.</w:t>
      </w:r>
    </w:p>
    <w:p w:rsidR="000F4F63" w:rsidRDefault="000F4F63" w:rsidP="000F4F63">
      <w:pPr>
        <w:ind w:left="53"/>
      </w:pPr>
      <w:r>
        <w:t xml:space="preserve">Figure </w:t>
      </w:r>
      <w:r w:rsidR="00C7006E">
        <w:t>5.1</w:t>
      </w:r>
      <w:r>
        <w:t xml:space="preserve"> shows how motivational balance and self-efficacy increase across the five stages of the </w:t>
      </w:r>
      <w:r w:rsidR="009E316B">
        <w:t>TTM</w:t>
      </w:r>
      <w:r>
        <w:t>.</w:t>
      </w:r>
    </w:p>
    <w:p w:rsidR="000F4F63" w:rsidRPr="00D83A7E" w:rsidRDefault="000F4F63" w:rsidP="000F4F63">
      <w:pPr>
        <w:pStyle w:val="FigureCaption"/>
      </w:pPr>
      <w:bookmarkStart w:id="225" w:name="_Toc507600298"/>
      <w:r w:rsidRPr="00D83A7E">
        <w:lastRenderedPageBreak/>
        <w:t xml:space="preserve">Figure </w:t>
      </w:r>
      <w:r w:rsidR="00C7006E">
        <w:t>5</w:t>
      </w:r>
      <w:r w:rsidRPr="00D83A7E">
        <w:t>.</w:t>
      </w:r>
      <w:r w:rsidR="00C7006E">
        <w:t>1</w:t>
      </w:r>
      <w:r w:rsidRPr="00D83A7E">
        <w:t xml:space="preserve">: Motivational balance and self-efficacy across the </w:t>
      </w:r>
      <w:r w:rsidR="009E316B" w:rsidRPr="006A1048">
        <w:rPr>
          <w:i/>
        </w:rPr>
        <w:t>Trans-theoretical</w:t>
      </w:r>
      <w:r w:rsidR="009E316B">
        <w:t xml:space="preserve"> </w:t>
      </w:r>
      <w:r w:rsidR="009E316B" w:rsidRPr="004968D9">
        <w:rPr>
          <w:i/>
        </w:rPr>
        <w:t xml:space="preserve">Stages of </w:t>
      </w:r>
      <w:r w:rsidR="009E316B">
        <w:rPr>
          <w:i/>
        </w:rPr>
        <w:t xml:space="preserve">Change </w:t>
      </w:r>
      <w:r w:rsidR="009E316B" w:rsidRPr="00264090">
        <w:t>model</w:t>
      </w:r>
      <w:bookmarkEnd w:id="225"/>
    </w:p>
    <w:p w:rsidR="0034528E" w:rsidRDefault="000F4F63" w:rsidP="000F4F63">
      <w:pPr>
        <w:pStyle w:val="Source"/>
      </w:pPr>
      <w:r>
        <w:rPr>
          <w:noProof/>
          <w:lang w:eastAsia="en-AU"/>
        </w:rPr>
        <w:drawing>
          <wp:inline distT="0" distB="0" distL="0" distR="0" wp14:anchorId="2296A5A4" wp14:editId="085D4DDD">
            <wp:extent cx="5314950" cy="3134443"/>
            <wp:effectExtent l="0" t="0" r="0" b="8890"/>
            <wp:docPr id="25" name="Picture 25" descr="Diagrammatic representation of the Stages of Change model showing the relationship between the five stages, motivational balance and self-efficacy.&#10;In the Pre-contemplation stage both motivational and self-efficacy are low. This figure shows motivational (decision) balance increasing from low (cons) to higher (pros) as people move through the Contemplation stage and beyond, while self-efficacy also improves from low (cons) to higher (pros) as people move through and beyond the Preparation stage, with both motivational and self-efficacy remaining positive in the Action and Maintenance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8.png"/>
                    <pic:cNvPicPr/>
                  </pic:nvPicPr>
                  <pic:blipFill>
                    <a:blip r:embed="rId48">
                      <a:extLst>
                        <a:ext uri="{28A0092B-C50C-407E-A947-70E740481C1C}">
                          <a14:useLocalDpi xmlns:a14="http://schemas.microsoft.com/office/drawing/2010/main" val="0"/>
                        </a:ext>
                      </a:extLst>
                    </a:blip>
                    <a:stretch>
                      <a:fillRect/>
                    </a:stretch>
                  </pic:blipFill>
                  <pic:spPr>
                    <a:xfrm>
                      <a:off x="0" y="0"/>
                      <a:ext cx="5328804" cy="3142613"/>
                    </a:xfrm>
                    <a:prstGeom prst="rect">
                      <a:avLst/>
                    </a:prstGeom>
                  </pic:spPr>
                </pic:pic>
              </a:graphicData>
            </a:graphic>
          </wp:inline>
        </w:drawing>
      </w:r>
    </w:p>
    <w:p w:rsidR="000F4F63" w:rsidRPr="008477D2" w:rsidRDefault="000F4F63" w:rsidP="000F4F63">
      <w:pPr>
        <w:pStyle w:val="Source"/>
        <w:rPr>
          <w:b w:val="0"/>
          <w:color w:val="000000" w:themeColor="text1"/>
        </w:rPr>
      </w:pPr>
      <w:r w:rsidRPr="00EE1616">
        <w:t>Source</w:t>
      </w:r>
      <w:r w:rsidRPr="00DA156A">
        <w:rPr>
          <w:color w:val="000000" w:themeColor="text1"/>
        </w:rPr>
        <w:t xml:space="preserve">: </w:t>
      </w:r>
      <w:r w:rsidRPr="004C5B83">
        <w:rPr>
          <w:b w:val="0"/>
        </w:rPr>
        <w:t>This diagrammatic representation was originally developed by Market Access from the literature of Prochaska and DiClemente</w:t>
      </w:r>
      <w:r>
        <w:t>.</w:t>
      </w:r>
    </w:p>
    <w:p w:rsidR="000F4F63" w:rsidRDefault="000F4F63" w:rsidP="000F4F63">
      <w:pPr>
        <w:keepNext/>
        <w:keepLines/>
        <w:shd w:val="clear" w:color="auto" w:fill="FFFFFF" w:themeFill="background2"/>
        <w:spacing w:before="240"/>
      </w:pPr>
      <w:r>
        <w:t>The JCB program sought to influence the behaviour of long-term unemployed job seekers, encouraging them to: increase job search efforts; obtain employment</w:t>
      </w:r>
      <w:r w:rsidR="00EA55F3">
        <w:t xml:space="preserve">; </w:t>
      </w:r>
      <w:r>
        <w:t>exit income support</w:t>
      </w:r>
      <w:r w:rsidR="00EA55F3">
        <w:t xml:space="preserve">; </w:t>
      </w:r>
      <w:r>
        <w:t>and consequently sustain employment</w:t>
      </w:r>
      <w:r w:rsidR="008477D2">
        <w:t xml:space="preserve"> and remain off income support.</w:t>
      </w:r>
    </w:p>
    <w:p w:rsidR="000F4F63" w:rsidRDefault="000F4F63" w:rsidP="000F4F63">
      <w:pPr>
        <w:keepNext/>
        <w:keepLines/>
        <w:shd w:val="clear" w:color="auto" w:fill="FFFFFF" w:themeFill="background2"/>
      </w:pPr>
      <w:r>
        <w:t>Motivation is the key change element in the early stages of change (Pre-contemplation and Contemplation). Motivation remains important in Preparation and continues to have some relevance in Action. For the JCB to have had an effect on job seeker behaviour it had to contribute to job seekers shifting from a negative motivational balance (where the cons outweighed the pros) to a positive one (where the pros outweighed the cons).</w:t>
      </w:r>
    </w:p>
    <w:p w:rsidR="000F4F63" w:rsidRDefault="000F4F63" w:rsidP="000F4F63">
      <w:pPr>
        <w:keepNext/>
        <w:keepLines/>
        <w:shd w:val="clear" w:color="auto" w:fill="FFFFFF" w:themeFill="background2"/>
      </w:pPr>
      <w:r>
        <w:t>Barriers and confidence (self-efficacy) are more critical in the Preparation and Action stages, but are also important in the Contemplation and Maintenance stages. Once a job seeker is sufficiently motivated to become employed they also need to have sufficient confidence in their own ab</w:t>
      </w:r>
      <w:r w:rsidR="008477D2">
        <w:t>ility to overcome the barriers.</w:t>
      </w:r>
    </w:p>
    <w:p w:rsidR="00947294" w:rsidRPr="007749E9" w:rsidRDefault="003F4992" w:rsidP="007749E9">
      <w:pPr>
        <w:pStyle w:val="Heading3"/>
      </w:pPr>
      <w:r>
        <w:t>5.3.1</w:t>
      </w:r>
      <w:r>
        <w:tab/>
      </w:r>
      <w:r w:rsidR="00947294" w:rsidRPr="007749E9">
        <w:t>Discounted future value</w:t>
      </w:r>
    </w:p>
    <w:p w:rsidR="00CF7AE5" w:rsidRDefault="00CF7AE5" w:rsidP="007749E9">
      <w:pPr>
        <w:spacing w:before="240"/>
        <w:rPr>
          <w:color w:val="000000" w:themeColor="text1"/>
        </w:rPr>
      </w:pPr>
      <w:r w:rsidRPr="004029F8">
        <w:rPr>
          <w:rFonts w:ascii="Calibri" w:eastAsia="Times New Roman" w:hAnsi="Calibri" w:cs="Calibri"/>
          <w:color w:val="000000"/>
          <w:lang w:eastAsia="en-AU"/>
        </w:rPr>
        <w:t xml:space="preserve">Given the long </w:t>
      </w:r>
      <w:r w:rsidR="00947294" w:rsidRPr="004029F8">
        <w:rPr>
          <w:rFonts w:ascii="Calibri" w:eastAsia="Times New Roman" w:hAnsi="Calibri" w:cs="Calibri"/>
          <w:color w:val="000000"/>
          <w:lang w:eastAsia="en-AU"/>
        </w:rPr>
        <w:t>qualif</w:t>
      </w:r>
      <w:r w:rsidR="00947294">
        <w:rPr>
          <w:rFonts w:ascii="Calibri" w:eastAsia="Times New Roman" w:hAnsi="Calibri" w:cs="Calibri"/>
          <w:color w:val="000000"/>
          <w:lang w:eastAsia="en-AU"/>
        </w:rPr>
        <w:t xml:space="preserve">ication </w:t>
      </w:r>
      <w:r w:rsidRPr="004029F8">
        <w:rPr>
          <w:rFonts w:ascii="Calibri" w:eastAsia="Times New Roman" w:hAnsi="Calibri" w:cs="Calibri"/>
          <w:color w:val="000000"/>
          <w:lang w:eastAsia="en-AU"/>
        </w:rPr>
        <w:t xml:space="preserve">period for the </w:t>
      </w:r>
      <w:r>
        <w:rPr>
          <w:rFonts w:ascii="Calibri" w:eastAsia="Times New Roman" w:hAnsi="Calibri" w:cs="Calibri"/>
          <w:color w:val="000000"/>
          <w:lang w:eastAsia="en-AU"/>
        </w:rPr>
        <w:t>JCB (12 months)</w:t>
      </w:r>
      <w:r w:rsidRPr="004029F8">
        <w:rPr>
          <w:rFonts w:ascii="Calibri" w:eastAsia="Times New Roman" w:hAnsi="Calibri" w:cs="Calibri"/>
          <w:color w:val="000000"/>
          <w:lang w:eastAsia="en-AU"/>
        </w:rPr>
        <w:t xml:space="preserve"> job seekers tended to </w:t>
      </w:r>
      <w:r>
        <w:rPr>
          <w:rFonts w:ascii="Calibri" w:eastAsia="Times New Roman" w:hAnsi="Calibri" w:cs="Calibri"/>
          <w:color w:val="000000"/>
          <w:lang w:eastAsia="en-AU"/>
        </w:rPr>
        <w:t xml:space="preserve">discount the future value of the bonus </w:t>
      </w:r>
      <w:r w:rsidRPr="00CF7AE5">
        <w:rPr>
          <w:rFonts w:ascii="Calibri" w:eastAsia="Times New Roman" w:hAnsi="Calibri" w:cs="Calibri"/>
          <w:color w:val="000000"/>
          <w:lang w:eastAsia="en-AU"/>
        </w:rPr>
        <w:t>depend</w:t>
      </w:r>
      <w:r>
        <w:rPr>
          <w:rFonts w:ascii="Calibri" w:eastAsia="Times New Roman" w:hAnsi="Calibri" w:cs="Calibri"/>
          <w:color w:val="000000"/>
          <w:lang w:eastAsia="en-AU"/>
        </w:rPr>
        <w:t>ing</w:t>
      </w:r>
      <w:r w:rsidRPr="00CF7AE5">
        <w:rPr>
          <w:rFonts w:ascii="Calibri" w:eastAsia="Times New Roman" w:hAnsi="Calibri" w:cs="Calibri"/>
          <w:color w:val="000000"/>
          <w:lang w:eastAsia="en-AU"/>
        </w:rPr>
        <w:t xml:space="preserve"> on</w:t>
      </w:r>
      <w:r w:rsidR="008A1C3E">
        <w:rPr>
          <w:rFonts w:ascii="Calibri" w:eastAsia="Times New Roman" w:hAnsi="Calibri" w:cs="Calibri"/>
          <w:color w:val="000000"/>
          <w:lang w:eastAsia="en-AU"/>
        </w:rPr>
        <w:t xml:space="preserve"> the</w:t>
      </w:r>
      <w:r w:rsidRPr="00CF7AE5">
        <w:rPr>
          <w:rFonts w:ascii="Calibri" w:eastAsia="Times New Roman" w:hAnsi="Calibri" w:cs="Calibri"/>
          <w:color w:val="000000"/>
          <w:lang w:eastAsia="en-AU"/>
        </w:rPr>
        <w:t xml:space="preserve"> likel</w:t>
      </w:r>
      <w:r w:rsidR="008567AF">
        <w:rPr>
          <w:rFonts w:ascii="Calibri" w:eastAsia="Times New Roman" w:hAnsi="Calibri" w:cs="Calibri"/>
          <w:color w:val="000000"/>
          <w:lang w:eastAsia="en-AU"/>
        </w:rPr>
        <w:t>ihood</w:t>
      </w:r>
      <w:r w:rsidRPr="00CF7AE5">
        <w:rPr>
          <w:rFonts w:ascii="Calibri" w:eastAsia="Times New Roman" w:hAnsi="Calibri" w:cs="Calibri"/>
          <w:color w:val="000000"/>
          <w:lang w:eastAsia="en-AU"/>
        </w:rPr>
        <w:t xml:space="preserve"> they could attain it</w:t>
      </w:r>
      <w:r w:rsidRPr="004029F8">
        <w:rPr>
          <w:rFonts w:ascii="Calibri" w:eastAsia="Times New Roman" w:hAnsi="Calibri" w:cs="Calibri"/>
          <w:color w:val="000000"/>
          <w:lang w:eastAsia="en-AU"/>
        </w:rPr>
        <w:t xml:space="preserve">. </w:t>
      </w:r>
      <w:r w:rsidR="00712ED3">
        <w:rPr>
          <w:color w:val="000000" w:themeColor="text1"/>
        </w:rPr>
        <w:t xml:space="preserve">People </w:t>
      </w:r>
      <w:r w:rsidR="00947294" w:rsidRPr="004029F8">
        <w:rPr>
          <w:rFonts w:ascii="Calibri" w:eastAsia="Times New Roman" w:hAnsi="Calibri" w:cs="Calibri"/>
          <w:color w:val="000000"/>
          <w:lang w:eastAsia="en-AU"/>
        </w:rPr>
        <w:t xml:space="preserve">closer to qualifying </w:t>
      </w:r>
      <w:r w:rsidR="00947294">
        <w:rPr>
          <w:rFonts w:ascii="Calibri" w:eastAsia="Times New Roman" w:hAnsi="Calibri" w:cs="Calibri"/>
          <w:color w:val="000000"/>
          <w:lang w:eastAsia="en-AU"/>
        </w:rPr>
        <w:t>considered the</w:t>
      </w:r>
      <w:r w:rsidR="00947294" w:rsidRPr="004029F8">
        <w:rPr>
          <w:rFonts w:ascii="Calibri" w:eastAsia="Times New Roman" w:hAnsi="Calibri" w:cs="Calibri"/>
          <w:color w:val="000000"/>
          <w:lang w:eastAsia="en-AU"/>
        </w:rPr>
        <w:t xml:space="preserve"> bonus more attainable </w:t>
      </w:r>
      <w:r w:rsidR="00947294">
        <w:rPr>
          <w:rFonts w:ascii="Calibri" w:eastAsia="Times New Roman" w:hAnsi="Calibri" w:cs="Calibri"/>
          <w:color w:val="000000"/>
          <w:lang w:eastAsia="en-AU"/>
        </w:rPr>
        <w:t>than those still seeking work or having just commenced employment</w:t>
      </w:r>
      <w:r w:rsidR="00712ED3">
        <w:rPr>
          <w:rFonts w:ascii="Calibri" w:eastAsia="Times New Roman" w:hAnsi="Calibri" w:cs="Calibri"/>
          <w:color w:val="000000"/>
          <w:lang w:eastAsia="en-AU"/>
        </w:rPr>
        <w:t>. It also meant that the likelihood of getting a job also affected the motivational value of the bonus. If people do not believe they can get a job at all then they will discount the</w:t>
      </w:r>
      <w:r w:rsidR="00B4217D">
        <w:rPr>
          <w:rFonts w:ascii="Calibri" w:eastAsia="Times New Roman" w:hAnsi="Calibri" w:cs="Calibri"/>
          <w:color w:val="000000"/>
          <w:lang w:eastAsia="en-AU"/>
        </w:rPr>
        <w:t xml:space="preserve"> value of the </w:t>
      </w:r>
      <w:r w:rsidR="00712ED3">
        <w:rPr>
          <w:rFonts w:ascii="Calibri" w:eastAsia="Times New Roman" w:hAnsi="Calibri" w:cs="Calibri"/>
          <w:color w:val="000000"/>
          <w:lang w:eastAsia="en-AU"/>
        </w:rPr>
        <w:t xml:space="preserve">entire bonus. </w:t>
      </w:r>
      <w:r w:rsidR="008567AF">
        <w:rPr>
          <w:rFonts w:ascii="Calibri" w:eastAsia="Times New Roman" w:hAnsi="Calibri" w:cs="Calibri"/>
          <w:color w:val="000000"/>
          <w:lang w:eastAsia="en-AU"/>
        </w:rPr>
        <w:t xml:space="preserve">Consequently, </w:t>
      </w:r>
      <w:r w:rsidR="008567AF">
        <w:rPr>
          <w:color w:val="000000" w:themeColor="text1"/>
        </w:rPr>
        <w:t>the bonus</w:t>
      </w:r>
      <w:r w:rsidRPr="0039037D">
        <w:rPr>
          <w:color w:val="000000" w:themeColor="text1"/>
        </w:rPr>
        <w:t xml:space="preserve"> had very little motivational potential </w:t>
      </w:r>
      <w:r>
        <w:rPr>
          <w:color w:val="000000" w:themeColor="text1"/>
        </w:rPr>
        <w:t>for job seekers</w:t>
      </w:r>
      <w:r w:rsidRPr="0039037D">
        <w:rPr>
          <w:color w:val="000000" w:themeColor="text1"/>
        </w:rPr>
        <w:t xml:space="preserve"> in a weak labour market, with employment barriers to be addressed</w:t>
      </w:r>
      <w:r>
        <w:rPr>
          <w:color w:val="000000" w:themeColor="text1"/>
        </w:rPr>
        <w:t xml:space="preserve"> (</w:t>
      </w:r>
      <w:r w:rsidR="008567AF">
        <w:rPr>
          <w:color w:val="000000" w:themeColor="text1"/>
        </w:rPr>
        <w:t>S</w:t>
      </w:r>
      <w:r>
        <w:rPr>
          <w:color w:val="000000" w:themeColor="text1"/>
        </w:rPr>
        <w:t>ection 3.7.</w:t>
      </w:r>
      <w:r w:rsidR="008567AF">
        <w:rPr>
          <w:color w:val="000000" w:themeColor="text1"/>
        </w:rPr>
        <w:t>4</w:t>
      </w:r>
      <w:r>
        <w:rPr>
          <w:color w:val="000000" w:themeColor="text1"/>
        </w:rPr>
        <w:t>)</w:t>
      </w:r>
      <w:r w:rsidRPr="0039037D">
        <w:rPr>
          <w:color w:val="000000" w:themeColor="text1"/>
        </w:rPr>
        <w:t>.</w:t>
      </w:r>
    </w:p>
    <w:p w:rsidR="00947294" w:rsidRDefault="003F4992" w:rsidP="007749E9">
      <w:pPr>
        <w:pStyle w:val="Heading3"/>
      </w:pPr>
      <w:r>
        <w:lastRenderedPageBreak/>
        <w:t>5.3.2</w:t>
      </w:r>
      <w:r>
        <w:tab/>
      </w:r>
      <w:r w:rsidR="00947294">
        <w:t>Responses to the JCB</w:t>
      </w:r>
    </w:p>
    <w:p w:rsidR="00E3054E" w:rsidRPr="007749E9" w:rsidRDefault="008567AF" w:rsidP="007749E9">
      <w:pPr>
        <w:spacing w:before="240"/>
        <w:rPr>
          <w:color w:val="000000" w:themeColor="text1"/>
        </w:rPr>
      </w:pPr>
      <w:r>
        <w:rPr>
          <w:color w:val="000000" w:themeColor="text1"/>
        </w:rPr>
        <w:t xml:space="preserve">In </w:t>
      </w:r>
      <w:r w:rsidRPr="009E316B">
        <w:rPr>
          <w:color w:val="000000" w:themeColor="text1"/>
        </w:rPr>
        <w:t xml:space="preserve">the </w:t>
      </w:r>
      <w:r w:rsidR="009E316B" w:rsidRPr="005466FD">
        <w:rPr>
          <w:color w:val="000000" w:themeColor="text1"/>
        </w:rPr>
        <w:t>TTM</w:t>
      </w:r>
      <w:r>
        <w:rPr>
          <w:color w:val="000000" w:themeColor="text1"/>
        </w:rPr>
        <w:t xml:space="preserve"> </w:t>
      </w:r>
      <w:r w:rsidR="00512CDF">
        <w:rPr>
          <w:color w:val="000000" w:themeColor="text1"/>
        </w:rPr>
        <w:t>b</w:t>
      </w:r>
      <w:r w:rsidR="00E3054E" w:rsidRPr="007749E9">
        <w:rPr>
          <w:color w:val="000000" w:themeColor="text1"/>
        </w:rPr>
        <w:t>arriers and confidence (self-efficacy) are more critical in the Preparation and Action stages, but are also important in the Contemplation and Maintenance stages</w:t>
      </w:r>
      <w:r w:rsidR="0041700D" w:rsidRPr="007749E9">
        <w:rPr>
          <w:color w:val="000000" w:themeColor="text1"/>
        </w:rPr>
        <w:t xml:space="preserve"> (Section </w:t>
      </w:r>
      <w:r>
        <w:rPr>
          <w:color w:val="000000" w:themeColor="text1"/>
        </w:rPr>
        <w:t>5</w:t>
      </w:r>
      <w:r w:rsidR="0041700D" w:rsidRPr="007749E9">
        <w:rPr>
          <w:color w:val="000000" w:themeColor="text1"/>
        </w:rPr>
        <w:t>.3).</w:t>
      </w:r>
      <w:r w:rsidR="00E3054E" w:rsidRPr="007749E9">
        <w:rPr>
          <w:color w:val="000000" w:themeColor="text1"/>
        </w:rPr>
        <w:t xml:space="preserve"> Once a job seeker is sufficiently motivated to become employed they also need sufficient confidence in their own ability to overcome the barriers.</w:t>
      </w:r>
    </w:p>
    <w:p w:rsidR="009905C8" w:rsidRDefault="009905C8" w:rsidP="007749E9">
      <w:pPr>
        <w:pStyle w:val="ListParagraph"/>
        <w:spacing w:before="120" w:after="0"/>
        <w:ind w:left="0"/>
        <w:contextualSpacing w:val="0"/>
      </w:pPr>
      <w:r>
        <w:t xml:space="preserve">The </w:t>
      </w:r>
      <w:r w:rsidR="008567AF">
        <w:t>Round 1 and 3</w:t>
      </w:r>
      <w:r>
        <w:t xml:space="preserve"> qualitative research</w:t>
      </w:r>
      <w:r w:rsidR="007749E9">
        <w:rPr>
          <w:rStyle w:val="FootnoteReference"/>
          <w:color w:val="000000" w:themeColor="text1"/>
        </w:rPr>
        <w:footnoteReference w:id="91"/>
      </w:r>
      <w:r>
        <w:t xml:space="preserve"> </w:t>
      </w:r>
      <w:r w:rsidR="00B4217D">
        <w:t xml:space="preserve">indicated </w:t>
      </w:r>
      <w:r>
        <w:t xml:space="preserve">that the JCB impact on </w:t>
      </w:r>
      <w:r w:rsidRPr="00E53EE9">
        <w:t>motivation would be minimal</w:t>
      </w:r>
      <w:r>
        <w:t>. Most participants in the fieldwork were at least in the Contemplation stage</w:t>
      </w:r>
      <w:r w:rsidR="0093539C">
        <w:t xml:space="preserve"> of the</w:t>
      </w:r>
      <w:r>
        <w:t xml:space="preserve"> model i.e. t</w:t>
      </w:r>
      <w:r w:rsidRPr="004C2A6F">
        <w:t xml:space="preserve">hey </w:t>
      </w:r>
      <w:r w:rsidR="0041700D">
        <w:t>we</w:t>
      </w:r>
      <w:r>
        <w:t xml:space="preserve">re aware that a problem exists, that they </w:t>
      </w:r>
      <w:r w:rsidR="0041700D">
        <w:t>could</w:t>
      </w:r>
      <w:r>
        <w:t xml:space="preserve"> and should do something to make their lives better, and that their behaviour need</w:t>
      </w:r>
      <w:r w:rsidR="0041700D">
        <w:t>ed to change</w:t>
      </w:r>
      <w:r>
        <w:t xml:space="preserve">. The vast majority of participants listed many pros and only a few cons </w:t>
      </w:r>
      <w:r w:rsidR="00712ED3">
        <w:t>to</w:t>
      </w:r>
      <w:r>
        <w:t xml:space="preserve"> employment. This suggests a positive motivational balance to obtain work without the need for an </w:t>
      </w:r>
      <w:r w:rsidR="0093539C">
        <w:t xml:space="preserve">extra </w:t>
      </w:r>
      <w:r>
        <w:t>incentive to increase motivation for job search. The</w:t>
      </w:r>
      <w:r w:rsidR="00512CDF">
        <w:t xml:space="preserve"> pros</w:t>
      </w:r>
      <w:r>
        <w:t xml:space="preserve"> </w:t>
      </w:r>
      <w:r w:rsidR="00FF19CB">
        <w:t>listed by</w:t>
      </w:r>
      <w:r w:rsidR="00712ED3">
        <w:t xml:space="preserve"> these participants </w:t>
      </w:r>
      <w:r w:rsidR="008477D2">
        <w:t>included:</w:t>
      </w:r>
    </w:p>
    <w:p w:rsidR="009905C8" w:rsidRPr="00927629" w:rsidRDefault="009905C8" w:rsidP="00846615">
      <w:pPr>
        <w:pStyle w:val="ListParagraph"/>
        <w:numPr>
          <w:ilvl w:val="0"/>
          <w:numId w:val="52"/>
        </w:numPr>
        <w:spacing w:before="120"/>
        <w:ind w:left="714" w:hanging="357"/>
        <w:rPr>
          <w:color w:val="000000" w:themeColor="text1"/>
        </w:rPr>
      </w:pPr>
      <w:r w:rsidRPr="00927629">
        <w:rPr>
          <w:color w:val="000000" w:themeColor="text1"/>
        </w:rPr>
        <w:t>improved finances</w:t>
      </w:r>
    </w:p>
    <w:p w:rsidR="009905C8" w:rsidRPr="00927629" w:rsidRDefault="009905C8" w:rsidP="00846615">
      <w:pPr>
        <w:pStyle w:val="ListParagraph"/>
        <w:numPr>
          <w:ilvl w:val="0"/>
          <w:numId w:val="52"/>
        </w:numPr>
        <w:spacing w:before="240"/>
        <w:rPr>
          <w:color w:val="000000" w:themeColor="text1"/>
        </w:rPr>
      </w:pPr>
      <w:r w:rsidRPr="00927629">
        <w:rPr>
          <w:color w:val="000000" w:themeColor="text1"/>
        </w:rPr>
        <w:t xml:space="preserve">opportunity for financial security </w:t>
      </w:r>
    </w:p>
    <w:p w:rsidR="009905C8" w:rsidRPr="00927629" w:rsidRDefault="009905C8" w:rsidP="00846615">
      <w:pPr>
        <w:pStyle w:val="ListParagraph"/>
        <w:numPr>
          <w:ilvl w:val="0"/>
          <w:numId w:val="52"/>
        </w:numPr>
        <w:spacing w:before="240"/>
        <w:rPr>
          <w:color w:val="000000" w:themeColor="text1"/>
        </w:rPr>
      </w:pPr>
      <w:r w:rsidRPr="00927629">
        <w:rPr>
          <w:color w:val="000000" w:themeColor="text1"/>
        </w:rPr>
        <w:t>improved self-esteem</w:t>
      </w:r>
    </w:p>
    <w:p w:rsidR="009905C8" w:rsidRPr="00927629" w:rsidRDefault="009905C8" w:rsidP="00846615">
      <w:pPr>
        <w:pStyle w:val="ListParagraph"/>
        <w:numPr>
          <w:ilvl w:val="0"/>
          <w:numId w:val="52"/>
        </w:numPr>
        <w:spacing w:before="240"/>
        <w:rPr>
          <w:color w:val="000000" w:themeColor="text1"/>
        </w:rPr>
      </w:pPr>
      <w:r w:rsidRPr="00927629">
        <w:rPr>
          <w:color w:val="000000" w:themeColor="text1"/>
        </w:rPr>
        <w:t xml:space="preserve">greater capacity for social interaction and improved social standing </w:t>
      </w:r>
    </w:p>
    <w:p w:rsidR="009905C8" w:rsidRPr="00927629" w:rsidRDefault="009905C8" w:rsidP="00846615">
      <w:pPr>
        <w:pStyle w:val="ListParagraph"/>
        <w:numPr>
          <w:ilvl w:val="0"/>
          <w:numId w:val="52"/>
        </w:numPr>
        <w:spacing w:before="240"/>
        <w:rPr>
          <w:color w:val="000000" w:themeColor="text1"/>
        </w:rPr>
      </w:pPr>
      <w:r w:rsidRPr="00927629">
        <w:rPr>
          <w:color w:val="000000" w:themeColor="text1"/>
        </w:rPr>
        <w:t>a sense of purpose</w:t>
      </w:r>
    </w:p>
    <w:p w:rsidR="009905C8" w:rsidRPr="00927629" w:rsidRDefault="009905C8" w:rsidP="00846615">
      <w:pPr>
        <w:pStyle w:val="ListParagraph"/>
        <w:numPr>
          <w:ilvl w:val="0"/>
          <w:numId w:val="52"/>
        </w:numPr>
        <w:spacing w:before="240"/>
        <w:rPr>
          <w:color w:val="000000" w:themeColor="text1"/>
        </w:rPr>
      </w:pPr>
      <w:r w:rsidRPr="00927629">
        <w:rPr>
          <w:color w:val="000000" w:themeColor="text1"/>
        </w:rPr>
        <w:t>something to do</w:t>
      </w:r>
    </w:p>
    <w:p w:rsidR="009905C8" w:rsidRPr="00927629" w:rsidRDefault="009905C8" w:rsidP="00846615">
      <w:pPr>
        <w:pStyle w:val="ListParagraph"/>
        <w:numPr>
          <w:ilvl w:val="0"/>
          <w:numId w:val="52"/>
        </w:numPr>
        <w:spacing w:before="240"/>
        <w:rPr>
          <w:color w:val="000000" w:themeColor="text1"/>
        </w:rPr>
      </w:pPr>
      <w:r w:rsidRPr="00927629">
        <w:rPr>
          <w:color w:val="000000" w:themeColor="text1"/>
        </w:rPr>
        <w:t>avoidance of compliance requirements</w:t>
      </w:r>
    </w:p>
    <w:p w:rsidR="009905C8" w:rsidRPr="00927629" w:rsidRDefault="009905C8" w:rsidP="00846615">
      <w:pPr>
        <w:pStyle w:val="ListParagraph"/>
        <w:numPr>
          <w:ilvl w:val="0"/>
          <w:numId w:val="52"/>
        </w:numPr>
        <w:spacing w:before="240"/>
        <w:ind w:left="714" w:hanging="357"/>
        <w:contextualSpacing w:val="0"/>
        <w:rPr>
          <w:color w:val="000000" w:themeColor="text1"/>
        </w:rPr>
      </w:pPr>
      <w:r w:rsidRPr="00927629">
        <w:rPr>
          <w:color w:val="000000" w:themeColor="text1"/>
        </w:rPr>
        <w:t>avoidance of dealings with government.</w:t>
      </w:r>
    </w:p>
    <w:p w:rsidR="009905C8" w:rsidRDefault="009905C8" w:rsidP="007749E9">
      <w:pPr>
        <w:pStyle w:val="ListParagraph"/>
        <w:spacing w:before="120" w:after="0"/>
        <w:ind w:left="0"/>
        <w:contextualSpacing w:val="0"/>
      </w:pPr>
      <w:r>
        <w:t>The cons included:</w:t>
      </w:r>
    </w:p>
    <w:p w:rsidR="009905C8" w:rsidRPr="00927629" w:rsidRDefault="009905C8" w:rsidP="00846615">
      <w:pPr>
        <w:pStyle w:val="ListParagraph"/>
        <w:numPr>
          <w:ilvl w:val="0"/>
          <w:numId w:val="52"/>
        </w:numPr>
        <w:spacing w:before="240"/>
        <w:rPr>
          <w:color w:val="000000" w:themeColor="text1"/>
        </w:rPr>
      </w:pPr>
      <w:r w:rsidRPr="00927629">
        <w:rPr>
          <w:color w:val="000000" w:themeColor="text1"/>
        </w:rPr>
        <w:t>having less free time</w:t>
      </w:r>
    </w:p>
    <w:p w:rsidR="009905C8" w:rsidRPr="00927629" w:rsidRDefault="009905C8" w:rsidP="00846615">
      <w:pPr>
        <w:pStyle w:val="ListParagraph"/>
        <w:numPr>
          <w:ilvl w:val="0"/>
          <w:numId w:val="52"/>
        </w:numPr>
        <w:spacing w:before="240"/>
        <w:rPr>
          <w:color w:val="000000" w:themeColor="text1"/>
        </w:rPr>
      </w:pPr>
      <w:r w:rsidRPr="00927629">
        <w:rPr>
          <w:color w:val="000000" w:themeColor="text1"/>
        </w:rPr>
        <w:t>answering to a boss</w:t>
      </w:r>
    </w:p>
    <w:p w:rsidR="009905C8" w:rsidRPr="00927629" w:rsidRDefault="009905C8" w:rsidP="00846615">
      <w:pPr>
        <w:pStyle w:val="ListParagraph"/>
        <w:numPr>
          <w:ilvl w:val="0"/>
          <w:numId w:val="52"/>
        </w:numPr>
        <w:spacing w:before="240"/>
        <w:rPr>
          <w:color w:val="000000" w:themeColor="text1"/>
        </w:rPr>
      </w:pPr>
      <w:r w:rsidRPr="00927629">
        <w:rPr>
          <w:color w:val="000000" w:themeColor="text1"/>
        </w:rPr>
        <w:t>potential physical and mental tiredness</w:t>
      </w:r>
    </w:p>
    <w:p w:rsidR="009905C8" w:rsidRPr="00927629" w:rsidRDefault="009905C8" w:rsidP="00846615">
      <w:pPr>
        <w:pStyle w:val="ListParagraph"/>
        <w:numPr>
          <w:ilvl w:val="0"/>
          <w:numId w:val="52"/>
        </w:numPr>
        <w:spacing w:before="240"/>
        <w:rPr>
          <w:color w:val="000000" w:themeColor="text1"/>
        </w:rPr>
      </w:pPr>
      <w:r w:rsidRPr="00927629">
        <w:rPr>
          <w:color w:val="000000" w:themeColor="text1"/>
        </w:rPr>
        <w:t>potential difficulty of returning to benefits if employment is not successful.</w:t>
      </w:r>
    </w:p>
    <w:p w:rsidR="009905C8" w:rsidRDefault="009905C8" w:rsidP="007749E9">
      <w:r>
        <w:t xml:space="preserve">It is also more probable that participants were past the Contemplation stage and had been in the Preparation or Action stages when looking for work. In these latter stages of the </w:t>
      </w:r>
      <w:r w:rsidR="009E316B">
        <w:t>TTM</w:t>
      </w:r>
      <w:r>
        <w:t xml:space="preserve"> the more critical issues relate to barriers and the confidence to overcome them (self-efficacy) rather than motivational balance</w:t>
      </w:r>
      <w:r w:rsidR="00A1469F">
        <w:t>, which in these stages is already positive</w:t>
      </w:r>
      <w:r>
        <w:t xml:space="preserve">. </w:t>
      </w:r>
      <w:r w:rsidR="00A1469F">
        <w:t>P</w:t>
      </w:r>
      <w:r>
        <w:t xml:space="preserve">articipants perceived their reasons for </w:t>
      </w:r>
      <w:r w:rsidR="00A1469F">
        <w:t>un</w:t>
      </w:r>
      <w:r>
        <w:t xml:space="preserve">employment as being a function of the barriers they faced and their perceived </w:t>
      </w:r>
      <w:r w:rsidR="00A1469F">
        <w:t>in</w:t>
      </w:r>
      <w:r>
        <w:t>ability to overcome those barriers. This suggests the JCB could not achieve its objective of changing behavioural outcomes, as it did not have any components that addressed self-efficacy.</w:t>
      </w:r>
    </w:p>
    <w:p w:rsidR="009905C8" w:rsidRDefault="00A1469F" w:rsidP="007749E9">
      <w:pPr>
        <w:spacing w:before="240"/>
        <w:rPr>
          <w:color w:val="000000" w:themeColor="text1"/>
        </w:rPr>
      </w:pPr>
      <w:r>
        <w:rPr>
          <w:color w:val="000000" w:themeColor="text1"/>
        </w:rPr>
        <w:t>P</w:t>
      </w:r>
      <w:r w:rsidR="009905C8">
        <w:rPr>
          <w:color w:val="000000" w:themeColor="text1"/>
        </w:rPr>
        <w:t>articipa</w:t>
      </w:r>
      <w:r>
        <w:rPr>
          <w:color w:val="000000" w:themeColor="text1"/>
        </w:rPr>
        <w:t>nts</w:t>
      </w:r>
      <w:r w:rsidR="009905C8">
        <w:rPr>
          <w:color w:val="000000" w:themeColor="text1"/>
        </w:rPr>
        <w:t xml:space="preserve"> in the various rounds of qualitative research conducted for this evaluation were not necessarily representative of all LTU job seekers</w:t>
      </w:r>
      <w:r>
        <w:rPr>
          <w:color w:val="000000" w:themeColor="text1"/>
        </w:rPr>
        <w:t xml:space="preserve">. The fact that they participated may indicate they </w:t>
      </w:r>
      <w:r w:rsidR="009905C8">
        <w:rPr>
          <w:color w:val="000000" w:themeColor="text1"/>
        </w:rPr>
        <w:lastRenderedPageBreak/>
        <w:t xml:space="preserve">were those with higher motivation levels than average. </w:t>
      </w:r>
      <w:r>
        <w:rPr>
          <w:color w:val="000000" w:themeColor="text1"/>
        </w:rPr>
        <w:t>The fact that</w:t>
      </w:r>
      <w:r w:rsidR="009905C8">
        <w:rPr>
          <w:color w:val="000000" w:themeColor="text1"/>
        </w:rPr>
        <w:t xml:space="preserve"> evidence from quantitative analysis in this report </w:t>
      </w:r>
      <w:r w:rsidR="0093539C">
        <w:rPr>
          <w:color w:val="000000" w:themeColor="text1"/>
        </w:rPr>
        <w:t>supports</w:t>
      </w:r>
      <w:r w:rsidR="009905C8">
        <w:rPr>
          <w:color w:val="000000" w:themeColor="text1"/>
        </w:rPr>
        <w:t xml:space="preserve"> the qualitative findings </w:t>
      </w:r>
      <w:r w:rsidR="007749E9">
        <w:rPr>
          <w:color w:val="000000" w:themeColor="text1"/>
        </w:rPr>
        <w:t xml:space="preserve">reinforces </w:t>
      </w:r>
      <w:r w:rsidR="009905C8">
        <w:rPr>
          <w:color w:val="000000" w:themeColor="text1"/>
        </w:rPr>
        <w:t>the conclusions.</w:t>
      </w:r>
    </w:p>
    <w:p w:rsidR="007749E9" w:rsidRDefault="00A1469F" w:rsidP="007749E9">
      <w:pPr>
        <w:spacing w:before="240"/>
        <w:rPr>
          <w:color w:val="000000" w:themeColor="text1"/>
        </w:rPr>
      </w:pPr>
      <w:r>
        <w:rPr>
          <w:color w:val="000000" w:themeColor="text1"/>
        </w:rPr>
        <w:t>A</w:t>
      </w:r>
      <w:r w:rsidR="009905C8" w:rsidRPr="00E86D92">
        <w:rPr>
          <w:color w:val="000000" w:themeColor="text1"/>
        </w:rPr>
        <w:t xml:space="preserve">s motivation to obtain employment is already high </w:t>
      </w:r>
      <w:r w:rsidR="009905C8">
        <w:rPr>
          <w:color w:val="000000" w:themeColor="text1"/>
        </w:rPr>
        <w:t>for</w:t>
      </w:r>
      <w:r w:rsidR="009905C8" w:rsidRPr="00E86D92">
        <w:rPr>
          <w:color w:val="000000" w:themeColor="text1"/>
        </w:rPr>
        <w:t xml:space="preserve"> many LTU yo</w:t>
      </w:r>
      <w:r w:rsidR="009905C8">
        <w:rPr>
          <w:color w:val="000000" w:themeColor="text1"/>
        </w:rPr>
        <w:t>ung adults,</w:t>
      </w:r>
      <w:r w:rsidR="009905C8" w:rsidRPr="00E86D92">
        <w:rPr>
          <w:color w:val="000000" w:themeColor="text1"/>
        </w:rPr>
        <w:t xml:space="preserve"> a program that attempts to increase motivation</w:t>
      </w:r>
      <w:r w:rsidR="0093539C">
        <w:rPr>
          <w:color w:val="000000" w:themeColor="text1"/>
        </w:rPr>
        <w:t>,</w:t>
      </w:r>
      <w:r w:rsidR="009905C8" w:rsidRPr="00E86D92">
        <w:rPr>
          <w:color w:val="000000" w:themeColor="text1"/>
        </w:rPr>
        <w:t xml:space="preserve"> without complementary efforts to address employment</w:t>
      </w:r>
      <w:r w:rsidR="00293702">
        <w:rPr>
          <w:color w:val="000000" w:themeColor="text1"/>
        </w:rPr>
        <w:t xml:space="preserve"> barriers</w:t>
      </w:r>
      <w:r w:rsidR="0093539C">
        <w:rPr>
          <w:color w:val="000000" w:themeColor="text1"/>
        </w:rPr>
        <w:t>,</w:t>
      </w:r>
      <w:r w:rsidR="00293702">
        <w:rPr>
          <w:color w:val="000000" w:themeColor="text1"/>
        </w:rPr>
        <w:t xml:space="preserve"> </w:t>
      </w:r>
      <w:r>
        <w:rPr>
          <w:color w:val="000000" w:themeColor="text1"/>
        </w:rPr>
        <w:t xml:space="preserve">(increasing self-efficacy) </w:t>
      </w:r>
      <w:r w:rsidR="009905C8">
        <w:rPr>
          <w:color w:val="000000" w:themeColor="text1"/>
        </w:rPr>
        <w:t xml:space="preserve">will be ineffective. </w:t>
      </w:r>
      <w:r w:rsidR="0093539C">
        <w:rPr>
          <w:color w:val="000000" w:themeColor="text1"/>
        </w:rPr>
        <w:t>E</w:t>
      </w:r>
      <w:r w:rsidR="009905C8">
        <w:rPr>
          <w:color w:val="000000" w:themeColor="text1"/>
        </w:rPr>
        <w:t>mployment services programs</w:t>
      </w:r>
      <w:r w:rsidR="0093539C">
        <w:rPr>
          <w:color w:val="000000" w:themeColor="text1"/>
        </w:rPr>
        <w:t xml:space="preserve"> such as</w:t>
      </w:r>
      <w:r w:rsidR="009905C8">
        <w:rPr>
          <w:color w:val="000000" w:themeColor="text1"/>
        </w:rPr>
        <w:t xml:space="preserve"> JSA, jobactive, DES and CDP</w:t>
      </w:r>
      <w:r w:rsidR="0093539C">
        <w:rPr>
          <w:color w:val="000000" w:themeColor="text1"/>
        </w:rPr>
        <w:t xml:space="preserve"> are designed to </w:t>
      </w:r>
      <w:r w:rsidR="009905C8">
        <w:rPr>
          <w:color w:val="000000" w:themeColor="text1"/>
        </w:rPr>
        <w:t xml:space="preserve">assist job seekers with their barriers. </w:t>
      </w:r>
      <w:r w:rsidR="0093539C">
        <w:rPr>
          <w:color w:val="000000" w:themeColor="text1"/>
        </w:rPr>
        <w:t>B</w:t>
      </w:r>
      <w:r w:rsidR="009905C8">
        <w:rPr>
          <w:color w:val="000000" w:themeColor="text1"/>
        </w:rPr>
        <w:t xml:space="preserve">ased on </w:t>
      </w:r>
      <w:r w:rsidR="0093539C">
        <w:rPr>
          <w:color w:val="000000" w:themeColor="text1"/>
        </w:rPr>
        <w:t xml:space="preserve">the </w:t>
      </w:r>
      <w:r w:rsidR="009905C8">
        <w:rPr>
          <w:color w:val="000000" w:themeColor="text1"/>
        </w:rPr>
        <w:t xml:space="preserve">evidence of low </w:t>
      </w:r>
      <w:r w:rsidR="007749E9">
        <w:rPr>
          <w:color w:val="000000" w:themeColor="text1"/>
        </w:rPr>
        <w:t xml:space="preserve">JCB </w:t>
      </w:r>
      <w:r w:rsidR="009905C8">
        <w:rPr>
          <w:color w:val="000000" w:themeColor="text1"/>
        </w:rPr>
        <w:t>promotion among providers</w:t>
      </w:r>
      <w:r w:rsidR="00512CDF">
        <w:rPr>
          <w:color w:val="000000" w:themeColor="text1"/>
        </w:rPr>
        <w:t>,</w:t>
      </w:r>
      <w:r>
        <w:rPr>
          <w:color w:val="000000" w:themeColor="text1"/>
        </w:rPr>
        <w:t xml:space="preserve"> </w:t>
      </w:r>
      <w:r w:rsidR="00512CDF">
        <w:rPr>
          <w:color w:val="000000" w:themeColor="text1"/>
        </w:rPr>
        <w:t>i</w:t>
      </w:r>
      <w:r w:rsidR="0093539C">
        <w:rPr>
          <w:color w:val="000000" w:themeColor="text1"/>
        </w:rPr>
        <w:t>t appears that i</w:t>
      </w:r>
      <w:r w:rsidR="00512CDF">
        <w:rPr>
          <w:color w:val="000000" w:themeColor="text1"/>
        </w:rPr>
        <w:t xml:space="preserve">n practice </w:t>
      </w:r>
      <w:r>
        <w:rPr>
          <w:color w:val="000000" w:themeColor="text1"/>
        </w:rPr>
        <w:t>the JCB did not work in conjunction with these services.</w:t>
      </w:r>
    </w:p>
    <w:p w:rsidR="009905C8" w:rsidRDefault="009905C8" w:rsidP="007749E9">
      <w:pPr>
        <w:spacing w:before="240"/>
        <w:rPr>
          <w:color w:val="000000" w:themeColor="text1"/>
        </w:rPr>
      </w:pPr>
      <w:r w:rsidRPr="004C4EF9">
        <w:rPr>
          <w:color w:val="000000" w:themeColor="text1"/>
        </w:rPr>
        <w:t>A more effective motivational program to effect behavioural change</w:t>
      </w:r>
      <w:r>
        <w:rPr>
          <w:color w:val="000000" w:themeColor="text1"/>
        </w:rPr>
        <w:t xml:space="preserve"> </w:t>
      </w:r>
      <w:r w:rsidRPr="004C4EF9">
        <w:rPr>
          <w:color w:val="000000" w:themeColor="text1"/>
        </w:rPr>
        <w:t xml:space="preserve">would target people </w:t>
      </w:r>
      <w:r>
        <w:rPr>
          <w:color w:val="000000" w:themeColor="text1"/>
        </w:rPr>
        <w:t>with low</w:t>
      </w:r>
      <w:r w:rsidRPr="004C4EF9">
        <w:rPr>
          <w:color w:val="000000" w:themeColor="text1"/>
        </w:rPr>
        <w:t xml:space="preserve"> self-confidence </w:t>
      </w:r>
      <w:r>
        <w:rPr>
          <w:color w:val="000000" w:themeColor="text1"/>
        </w:rPr>
        <w:t>rather than a universal program like the JCB</w:t>
      </w:r>
      <w:r w:rsidR="00A1469F">
        <w:rPr>
          <w:color w:val="000000" w:themeColor="text1"/>
        </w:rPr>
        <w:t xml:space="preserve">. It would also </w:t>
      </w:r>
      <w:r>
        <w:rPr>
          <w:color w:val="000000" w:themeColor="text1"/>
        </w:rPr>
        <w:t>preferably work in conjunction with employment service providers. T</w:t>
      </w:r>
      <w:r w:rsidRPr="004C4EF9">
        <w:rPr>
          <w:color w:val="000000" w:themeColor="text1"/>
        </w:rPr>
        <w:t>ailoring interventions to</w:t>
      </w:r>
      <w:r w:rsidR="003607DD">
        <w:rPr>
          <w:color w:val="000000" w:themeColor="text1"/>
        </w:rPr>
        <w:t xml:space="preserve"> an</w:t>
      </w:r>
      <w:r w:rsidRPr="004C4EF9">
        <w:rPr>
          <w:color w:val="000000" w:themeColor="text1"/>
        </w:rPr>
        <w:t xml:space="preserve"> individual’s motivational needs</w:t>
      </w:r>
      <w:r>
        <w:rPr>
          <w:color w:val="000000" w:themeColor="text1"/>
        </w:rPr>
        <w:t>, to help them remove b</w:t>
      </w:r>
      <w:r w:rsidRPr="004C4EF9">
        <w:rPr>
          <w:color w:val="000000" w:themeColor="text1"/>
        </w:rPr>
        <w:t>arriers</w:t>
      </w:r>
      <w:r>
        <w:rPr>
          <w:color w:val="000000" w:themeColor="text1"/>
        </w:rPr>
        <w:t xml:space="preserve"> or increase their</w:t>
      </w:r>
      <w:r w:rsidRPr="004C4EF9">
        <w:rPr>
          <w:color w:val="000000" w:themeColor="text1"/>
        </w:rPr>
        <w:t xml:space="preserve"> confidence in </w:t>
      </w:r>
      <w:r w:rsidR="0093539C">
        <w:rPr>
          <w:color w:val="000000" w:themeColor="text1"/>
        </w:rPr>
        <w:t>their</w:t>
      </w:r>
      <w:r w:rsidR="00512CDF">
        <w:rPr>
          <w:color w:val="000000" w:themeColor="text1"/>
        </w:rPr>
        <w:t xml:space="preserve"> </w:t>
      </w:r>
      <w:r w:rsidRPr="004C4EF9">
        <w:rPr>
          <w:color w:val="000000" w:themeColor="text1"/>
        </w:rPr>
        <w:t xml:space="preserve">ability </w:t>
      </w:r>
      <w:r>
        <w:rPr>
          <w:color w:val="000000" w:themeColor="text1"/>
        </w:rPr>
        <w:t>to do so would be a more effective approach</w:t>
      </w:r>
      <w:r w:rsidRPr="004C4EF9">
        <w:rPr>
          <w:color w:val="000000" w:themeColor="text1"/>
        </w:rPr>
        <w:t>.</w:t>
      </w:r>
    </w:p>
    <w:p w:rsidR="00CF7AE5" w:rsidRPr="008477D2" w:rsidRDefault="00CF7AE5">
      <w:pPr>
        <w:rPr>
          <w:color w:val="000000" w:themeColor="text1"/>
        </w:rPr>
      </w:pPr>
      <w:r>
        <w:rPr>
          <w:color w:val="FF0000"/>
        </w:rPr>
        <w:br w:type="page"/>
      </w:r>
    </w:p>
    <w:p w:rsidR="00C25EE1" w:rsidRDefault="00C25EE1" w:rsidP="00C25EE1">
      <w:pPr>
        <w:pStyle w:val="Heading1"/>
      </w:pPr>
      <w:bookmarkStart w:id="226" w:name="_Toc507600256"/>
      <w:r>
        <w:lastRenderedPageBreak/>
        <w:t>6</w:t>
      </w:r>
      <w:r>
        <w:tab/>
        <w:t>Recommendations</w:t>
      </w:r>
      <w:bookmarkEnd w:id="226"/>
    </w:p>
    <w:p w:rsidR="00FE199A" w:rsidRDefault="003F4992" w:rsidP="009919C3">
      <w:pPr>
        <w:pStyle w:val="Heading2"/>
      </w:pPr>
      <w:bookmarkStart w:id="227" w:name="_Toc507600257"/>
      <w:r>
        <w:t>6.1</w:t>
      </w:r>
      <w:r>
        <w:tab/>
      </w:r>
      <w:r w:rsidR="00FE199A" w:rsidRPr="00B83C41">
        <w:t>Program design</w:t>
      </w:r>
      <w:bookmarkEnd w:id="227"/>
      <w:r w:rsidR="00E474C4">
        <w:t xml:space="preserve"> </w:t>
      </w:r>
    </w:p>
    <w:p w:rsidR="002F5ABB" w:rsidRPr="002F5ABB" w:rsidRDefault="002F5ABB" w:rsidP="002F5ABB">
      <w:r>
        <w:t>Program design should:</w:t>
      </w:r>
    </w:p>
    <w:p w:rsidR="00FE199A" w:rsidRDefault="00E474C4" w:rsidP="00066793">
      <w:pPr>
        <w:pStyle w:val="ListParagraph"/>
        <w:numPr>
          <w:ilvl w:val="0"/>
          <w:numId w:val="54"/>
        </w:numPr>
        <w:spacing w:before="240"/>
        <w:rPr>
          <w:color w:val="000000" w:themeColor="text1"/>
        </w:rPr>
      </w:pPr>
      <w:r>
        <w:rPr>
          <w:color w:val="000000" w:themeColor="text1"/>
        </w:rPr>
        <w:t xml:space="preserve">be </w:t>
      </w:r>
      <w:r w:rsidR="009919C3">
        <w:rPr>
          <w:color w:val="000000" w:themeColor="text1"/>
        </w:rPr>
        <w:t xml:space="preserve">simple, </w:t>
      </w:r>
      <w:r w:rsidR="00C35BD3">
        <w:rPr>
          <w:color w:val="000000" w:themeColor="text1"/>
        </w:rPr>
        <w:t xml:space="preserve">with </w:t>
      </w:r>
      <w:r w:rsidR="009919C3">
        <w:rPr>
          <w:color w:val="000000" w:themeColor="text1"/>
        </w:rPr>
        <w:t>easy to meet eligibility requirement (not complex and confusing)</w:t>
      </w:r>
    </w:p>
    <w:p w:rsidR="009919C3" w:rsidRDefault="00B352EF" w:rsidP="00066793">
      <w:pPr>
        <w:pStyle w:val="ListParagraph"/>
        <w:numPr>
          <w:ilvl w:val="0"/>
          <w:numId w:val="54"/>
        </w:numPr>
        <w:spacing w:before="240"/>
        <w:rPr>
          <w:color w:val="000000" w:themeColor="text1"/>
        </w:rPr>
      </w:pPr>
      <w:r w:rsidRPr="009919C3">
        <w:rPr>
          <w:color w:val="000000" w:themeColor="text1"/>
        </w:rPr>
        <w:t xml:space="preserve">consider the status of the labour market and how this will </w:t>
      </w:r>
      <w:r w:rsidR="001E679C" w:rsidRPr="009919C3">
        <w:rPr>
          <w:color w:val="000000" w:themeColor="text1"/>
        </w:rPr>
        <w:t>affect</w:t>
      </w:r>
      <w:r w:rsidRPr="009919C3">
        <w:rPr>
          <w:color w:val="000000" w:themeColor="text1"/>
        </w:rPr>
        <w:t xml:space="preserve"> people’s ability to qualify</w:t>
      </w:r>
    </w:p>
    <w:p w:rsidR="00C25EE1" w:rsidRPr="009919C3" w:rsidRDefault="001E679C" w:rsidP="00066793">
      <w:pPr>
        <w:pStyle w:val="ListParagraph"/>
        <w:numPr>
          <w:ilvl w:val="0"/>
          <w:numId w:val="54"/>
        </w:numPr>
        <w:spacing w:before="240"/>
        <w:rPr>
          <w:color w:val="000000" w:themeColor="text1"/>
        </w:rPr>
      </w:pPr>
      <w:r w:rsidRPr="009919C3">
        <w:rPr>
          <w:color w:val="000000" w:themeColor="text1"/>
        </w:rPr>
        <w:t>ensur</w:t>
      </w:r>
      <w:r w:rsidR="009919C3">
        <w:rPr>
          <w:color w:val="000000" w:themeColor="text1"/>
        </w:rPr>
        <w:t>e</w:t>
      </w:r>
      <w:r w:rsidRPr="009919C3">
        <w:rPr>
          <w:color w:val="000000" w:themeColor="text1"/>
        </w:rPr>
        <w:t xml:space="preserve"> </w:t>
      </w:r>
      <w:r w:rsidR="00F06E06" w:rsidRPr="009919C3">
        <w:rPr>
          <w:color w:val="000000" w:themeColor="text1"/>
        </w:rPr>
        <w:t xml:space="preserve">design does not </w:t>
      </w:r>
      <w:r w:rsidR="00B110E9">
        <w:rPr>
          <w:color w:val="000000" w:themeColor="text1"/>
        </w:rPr>
        <w:t>discourage</w:t>
      </w:r>
      <w:r w:rsidR="00B110E9" w:rsidRPr="009919C3">
        <w:rPr>
          <w:color w:val="000000" w:themeColor="text1"/>
        </w:rPr>
        <w:t xml:space="preserve"> </w:t>
      </w:r>
      <w:r w:rsidR="00F06E06" w:rsidRPr="009919C3">
        <w:rPr>
          <w:color w:val="000000" w:themeColor="text1"/>
        </w:rPr>
        <w:t>people who are making genuine progress towards goals</w:t>
      </w:r>
      <w:r w:rsidR="00A438D7">
        <w:rPr>
          <w:color w:val="000000" w:themeColor="text1"/>
        </w:rPr>
        <w:t xml:space="preserve"> </w:t>
      </w:r>
    </w:p>
    <w:p w:rsidR="009919C3" w:rsidRDefault="00FE199A" w:rsidP="00066793">
      <w:pPr>
        <w:pStyle w:val="ListParagraph"/>
        <w:numPr>
          <w:ilvl w:val="0"/>
          <w:numId w:val="54"/>
        </w:numPr>
        <w:spacing w:before="240"/>
      </w:pPr>
      <w:r w:rsidRPr="009919C3">
        <w:rPr>
          <w:color w:val="000000" w:themeColor="text1"/>
        </w:rPr>
        <w:t>consider</w:t>
      </w:r>
      <w:r w:rsidR="001E679C" w:rsidRPr="009919C3">
        <w:rPr>
          <w:color w:val="000000" w:themeColor="text1"/>
        </w:rPr>
        <w:t xml:space="preserve"> </w:t>
      </w:r>
      <w:r w:rsidRPr="009919C3">
        <w:rPr>
          <w:color w:val="000000" w:themeColor="text1"/>
        </w:rPr>
        <w:t>all types of employment (i.e. permanent, contract, casual, seasonal) recognising the types of employment prevalent among the target cohort</w:t>
      </w:r>
      <w:bookmarkStart w:id="228" w:name="_Toc478117590"/>
    </w:p>
    <w:p w:rsidR="00C35BD3" w:rsidRDefault="00C81127" w:rsidP="00066793">
      <w:pPr>
        <w:pStyle w:val="ListParagraph"/>
        <w:numPr>
          <w:ilvl w:val="0"/>
          <w:numId w:val="54"/>
        </w:numPr>
        <w:spacing w:before="240"/>
      </w:pPr>
      <w:r>
        <w:t xml:space="preserve">recognise </w:t>
      </w:r>
      <w:r w:rsidR="00025797">
        <w:t>the</w:t>
      </w:r>
      <w:r w:rsidR="006F6B55">
        <w:t xml:space="preserve"> </w:t>
      </w:r>
      <w:r w:rsidR="001E679C">
        <w:t xml:space="preserve">discounting </w:t>
      </w:r>
      <w:r w:rsidR="006F6B55">
        <w:t>future value issue</w:t>
      </w:r>
      <w:r w:rsidR="00025797">
        <w:t xml:space="preserve"> when designing payment schedules</w:t>
      </w:r>
    </w:p>
    <w:p w:rsidR="009919C3" w:rsidRDefault="00C35BD3" w:rsidP="00066793">
      <w:pPr>
        <w:pStyle w:val="ListParagraph"/>
        <w:numPr>
          <w:ilvl w:val="0"/>
          <w:numId w:val="54"/>
        </w:numPr>
        <w:spacing w:before="240"/>
      </w:pPr>
      <w:r>
        <w:t>c</w:t>
      </w:r>
      <w:r w:rsidR="009919C3">
        <w:t xml:space="preserve">onsider trials </w:t>
      </w:r>
      <w:r>
        <w:t>(</w:t>
      </w:r>
      <w:r w:rsidR="00C81127">
        <w:t xml:space="preserve">preferably </w:t>
      </w:r>
      <w:r>
        <w:t xml:space="preserve">randomised) </w:t>
      </w:r>
      <w:r w:rsidR="001E679C">
        <w:t xml:space="preserve">to determine the </w:t>
      </w:r>
      <w:r>
        <w:t xml:space="preserve">most effective </w:t>
      </w:r>
      <w:r w:rsidR="001E679C">
        <w:t>payment schedule</w:t>
      </w:r>
      <w:r>
        <w:t>s</w:t>
      </w:r>
      <w:r w:rsidR="00025797">
        <w:t xml:space="preserve"> </w:t>
      </w:r>
      <w:r w:rsidR="007240A9">
        <w:t>t</w:t>
      </w:r>
    </w:p>
    <w:p w:rsidR="009919C3" w:rsidRDefault="006F6B55" w:rsidP="00066793">
      <w:pPr>
        <w:pStyle w:val="ListParagraph"/>
        <w:numPr>
          <w:ilvl w:val="0"/>
          <w:numId w:val="54"/>
        </w:numPr>
        <w:spacing w:before="240"/>
      </w:pPr>
      <w:r>
        <w:t xml:space="preserve">target </w:t>
      </w:r>
      <w:r w:rsidR="00C35BD3">
        <w:t xml:space="preserve">financial incentives to </w:t>
      </w:r>
      <w:r w:rsidR="001E679C">
        <w:t xml:space="preserve">people </w:t>
      </w:r>
      <w:r>
        <w:t>with low motivation to seek employment and</w:t>
      </w:r>
      <w:r w:rsidR="00C35BD3">
        <w:t>/or who are a</w:t>
      </w:r>
      <w:r>
        <w:t>t risk of churning back to income support</w:t>
      </w:r>
    </w:p>
    <w:p w:rsidR="006F6B55" w:rsidRDefault="009414F7" w:rsidP="00066793">
      <w:pPr>
        <w:pStyle w:val="ListParagraph"/>
        <w:numPr>
          <w:ilvl w:val="0"/>
          <w:numId w:val="54"/>
        </w:numPr>
        <w:spacing w:before="240"/>
      </w:pPr>
      <w:r>
        <w:t>address self-efficacy aspects of change by providing assistance in overcoming barriers and building self-confidence within the program or through other employment service programs (e.g. jobactive) that work in conjunction</w:t>
      </w:r>
      <w:r w:rsidR="008477D2">
        <w:t>.</w:t>
      </w:r>
    </w:p>
    <w:p w:rsidR="0073317B" w:rsidRDefault="003F4992" w:rsidP="00F239FA">
      <w:pPr>
        <w:pStyle w:val="Heading2"/>
      </w:pPr>
      <w:bookmarkStart w:id="229" w:name="_Toc507600258"/>
      <w:r>
        <w:t>6.2</w:t>
      </w:r>
      <w:r>
        <w:tab/>
      </w:r>
      <w:r w:rsidR="0073317B" w:rsidRPr="00B83C41">
        <w:t>Communication</w:t>
      </w:r>
      <w:bookmarkEnd w:id="229"/>
      <w:r w:rsidR="00E474C4">
        <w:t xml:space="preserve"> </w:t>
      </w:r>
    </w:p>
    <w:p w:rsidR="002F5ABB" w:rsidRPr="002F5ABB" w:rsidRDefault="002F5ABB" w:rsidP="002F5ABB">
      <w:r>
        <w:t xml:space="preserve">Communication </w:t>
      </w:r>
      <w:r w:rsidR="00C81127">
        <w:t>should</w:t>
      </w:r>
      <w:r>
        <w:t>:</w:t>
      </w:r>
    </w:p>
    <w:p w:rsidR="00195E04" w:rsidRDefault="00763F08" w:rsidP="00E3205B">
      <w:pPr>
        <w:pStyle w:val="ListParagraph"/>
        <w:numPr>
          <w:ilvl w:val="0"/>
          <w:numId w:val="94"/>
        </w:numPr>
      </w:pPr>
      <w:r>
        <w:t>ensure s</w:t>
      </w:r>
      <w:r w:rsidR="0073317B">
        <w:t>ufficient</w:t>
      </w:r>
      <w:r w:rsidR="001E679C">
        <w:t xml:space="preserve"> dedicated </w:t>
      </w:r>
      <w:r w:rsidR="0073317B">
        <w:t>resources for a strong, well-designed communication campaign</w:t>
      </w:r>
    </w:p>
    <w:p w:rsidR="00195E04" w:rsidRDefault="0073317B" w:rsidP="00E3205B">
      <w:pPr>
        <w:pStyle w:val="ListParagraph"/>
        <w:numPr>
          <w:ilvl w:val="0"/>
          <w:numId w:val="94"/>
        </w:numPr>
      </w:pPr>
      <w:r>
        <w:t>ensure high levels of awareness in the target cohort</w:t>
      </w:r>
      <w:r w:rsidR="001E679C">
        <w:t xml:space="preserve"> and a </w:t>
      </w:r>
      <w:r>
        <w:t>good understanding of eligibility requirements</w:t>
      </w:r>
      <w:r w:rsidR="001E679C">
        <w:t xml:space="preserve"> </w:t>
      </w:r>
    </w:p>
    <w:p w:rsidR="0073317B" w:rsidRDefault="0073317B" w:rsidP="00E3205B">
      <w:pPr>
        <w:pStyle w:val="ListParagraph"/>
        <w:numPr>
          <w:ilvl w:val="0"/>
          <w:numId w:val="94"/>
        </w:numPr>
      </w:pPr>
      <w:r>
        <w:t>encourage good program take-up</w:t>
      </w:r>
      <w:r w:rsidR="001E679C">
        <w:t xml:space="preserve"> </w:t>
      </w:r>
      <w:r w:rsidR="00195E04">
        <w:t>by</w:t>
      </w:r>
      <w:r>
        <w:t>:</w:t>
      </w:r>
    </w:p>
    <w:p w:rsidR="0073317B" w:rsidRDefault="00195E04" w:rsidP="00066793">
      <w:pPr>
        <w:pStyle w:val="ListParagraph"/>
        <w:numPr>
          <w:ilvl w:val="1"/>
          <w:numId w:val="54"/>
        </w:numPr>
        <w:spacing w:before="240"/>
        <w:rPr>
          <w:color w:val="000000" w:themeColor="text1"/>
        </w:rPr>
      </w:pPr>
      <w:r>
        <w:rPr>
          <w:color w:val="000000" w:themeColor="text1"/>
        </w:rPr>
        <w:t xml:space="preserve">including </w:t>
      </w:r>
      <w:r w:rsidR="0073317B">
        <w:rPr>
          <w:color w:val="000000" w:themeColor="text1"/>
        </w:rPr>
        <w:t>promotion</w:t>
      </w:r>
      <w:r w:rsidR="0073317B" w:rsidRPr="00FD3DC8">
        <w:rPr>
          <w:color w:val="000000" w:themeColor="text1"/>
        </w:rPr>
        <w:t xml:space="preserve"> early and often during the program</w:t>
      </w:r>
    </w:p>
    <w:p w:rsidR="0073317B" w:rsidRPr="00FD3DC8" w:rsidRDefault="0073317B" w:rsidP="00066793">
      <w:pPr>
        <w:pStyle w:val="ListParagraph"/>
        <w:numPr>
          <w:ilvl w:val="1"/>
          <w:numId w:val="54"/>
        </w:numPr>
        <w:spacing w:before="240"/>
        <w:rPr>
          <w:color w:val="000000" w:themeColor="text1"/>
        </w:rPr>
      </w:pPr>
      <w:r>
        <w:rPr>
          <w:color w:val="000000" w:themeColor="text1"/>
        </w:rPr>
        <w:t>clearly identify</w:t>
      </w:r>
      <w:r w:rsidR="00195E04">
        <w:rPr>
          <w:color w:val="000000" w:themeColor="text1"/>
        </w:rPr>
        <w:t>ing</w:t>
      </w:r>
      <w:r>
        <w:rPr>
          <w:color w:val="000000" w:themeColor="text1"/>
        </w:rPr>
        <w:t xml:space="preserve"> key stakeholders</w:t>
      </w:r>
    </w:p>
    <w:p w:rsidR="0073317B" w:rsidRPr="00FD3DC8" w:rsidRDefault="0073317B" w:rsidP="00066793">
      <w:pPr>
        <w:pStyle w:val="ListParagraph"/>
        <w:numPr>
          <w:ilvl w:val="1"/>
          <w:numId w:val="54"/>
        </w:numPr>
        <w:spacing w:before="240"/>
        <w:rPr>
          <w:color w:val="000000" w:themeColor="text1"/>
        </w:rPr>
      </w:pPr>
      <w:r w:rsidRPr="00FD3DC8">
        <w:rPr>
          <w:color w:val="000000" w:themeColor="text1"/>
        </w:rPr>
        <w:t>contact</w:t>
      </w:r>
      <w:r w:rsidR="00195E04">
        <w:rPr>
          <w:color w:val="000000" w:themeColor="text1"/>
        </w:rPr>
        <w:t>ing</w:t>
      </w:r>
      <w:r w:rsidRPr="00FD3DC8">
        <w:rPr>
          <w:color w:val="000000" w:themeColor="text1"/>
        </w:rPr>
        <w:t xml:space="preserve"> </w:t>
      </w:r>
      <w:r>
        <w:rPr>
          <w:color w:val="000000" w:themeColor="text1"/>
        </w:rPr>
        <w:t>people</w:t>
      </w:r>
      <w:r w:rsidRPr="00FD3DC8">
        <w:rPr>
          <w:color w:val="000000" w:themeColor="text1"/>
        </w:rPr>
        <w:t xml:space="preserve"> when they are ready to claim</w:t>
      </w:r>
      <w:r w:rsidR="004E31BA">
        <w:rPr>
          <w:rStyle w:val="FootnoteReference"/>
          <w:color w:val="000000" w:themeColor="text1"/>
        </w:rPr>
        <w:footnoteReference w:id="92"/>
      </w:r>
    </w:p>
    <w:p w:rsidR="0073317B" w:rsidRPr="00FD3DC8" w:rsidRDefault="0073317B" w:rsidP="00066793">
      <w:pPr>
        <w:pStyle w:val="ListParagraph"/>
        <w:numPr>
          <w:ilvl w:val="1"/>
          <w:numId w:val="54"/>
        </w:numPr>
        <w:spacing w:before="240"/>
        <w:rPr>
          <w:color w:val="000000" w:themeColor="text1"/>
        </w:rPr>
      </w:pPr>
      <w:r w:rsidRPr="00FD3DC8">
        <w:rPr>
          <w:color w:val="000000" w:themeColor="text1"/>
        </w:rPr>
        <w:t xml:space="preserve">not </w:t>
      </w:r>
      <w:r w:rsidR="00195E04" w:rsidRPr="00FD3DC8">
        <w:rPr>
          <w:color w:val="000000" w:themeColor="text1"/>
        </w:rPr>
        <w:t>assum</w:t>
      </w:r>
      <w:r w:rsidR="00195E04">
        <w:rPr>
          <w:color w:val="000000" w:themeColor="text1"/>
        </w:rPr>
        <w:t>ing</w:t>
      </w:r>
      <w:r w:rsidR="00195E04" w:rsidRPr="00FD3DC8">
        <w:rPr>
          <w:color w:val="000000" w:themeColor="text1"/>
        </w:rPr>
        <w:t xml:space="preserve"> </w:t>
      </w:r>
      <w:r w:rsidRPr="00FD3DC8">
        <w:rPr>
          <w:color w:val="000000" w:themeColor="text1"/>
        </w:rPr>
        <w:t xml:space="preserve">that </w:t>
      </w:r>
      <w:r>
        <w:rPr>
          <w:color w:val="000000" w:themeColor="text1"/>
        </w:rPr>
        <w:t>people</w:t>
      </w:r>
      <w:r w:rsidRPr="00FD3DC8">
        <w:rPr>
          <w:color w:val="000000" w:themeColor="text1"/>
        </w:rPr>
        <w:t xml:space="preserve"> will remember eligibility requirements later</w:t>
      </w:r>
    </w:p>
    <w:p w:rsidR="0073317B" w:rsidRDefault="00195E04" w:rsidP="00066793">
      <w:pPr>
        <w:pStyle w:val="ListParagraph"/>
        <w:numPr>
          <w:ilvl w:val="1"/>
          <w:numId w:val="54"/>
        </w:numPr>
        <w:spacing w:before="240"/>
        <w:rPr>
          <w:color w:val="000000" w:themeColor="text1"/>
        </w:rPr>
      </w:pPr>
      <w:r w:rsidRPr="00FD3DC8">
        <w:rPr>
          <w:color w:val="000000" w:themeColor="text1"/>
        </w:rPr>
        <w:t>us</w:t>
      </w:r>
      <w:r>
        <w:rPr>
          <w:color w:val="000000" w:themeColor="text1"/>
        </w:rPr>
        <w:t>ing</w:t>
      </w:r>
      <w:r w:rsidRPr="00FD3DC8">
        <w:rPr>
          <w:color w:val="000000" w:themeColor="text1"/>
        </w:rPr>
        <w:t xml:space="preserve"> </w:t>
      </w:r>
      <w:r w:rsidR="0073317B" w:rsidRPr="00FD3DC8">
        <w:rPr>
          <w:color w:val="000000" w:themeColor="text1"/>
        </w:rPr>
        <w:t>multifaceted marketing strategies</w:t>
      </w:r>
      <w:r w:rsidR="0073317B">
        <w:rPr>
          <w:color w:val="000000" w:themeColor="text1"/>
        </w:rPr>
        <w:t xml:space="preserve"> including use of social media and word of mouth</w:t>
      </w:r>
    </w:p>
    <w:p w:rsidR="0073317B" w:rsidRDefault="00195E04" w:rsidP="00066793">
      <w:pPr>
        <w:pStyle w:val="ListParagraph"/>
        <w:numPr>
          <w:ilvl w:val="1"/>
          <w:numId w:val="54"/>
        </w:numPr>
        <w:spacing w:before="240"/>
        <w:rPr>
          <w:color w:val="000000" w:themeColor="text1"/>
        </w:rPr>
      </w:pPr>
      <w:r>
        <w:rPr>
          <w:color w:val="000000" w:themeColor="text1"/>
        </w:rPr>
        <w:t xml:space="preserve">having </w:t>
      </w:r>
      <w:r w:rsidR="0073317B">
        <w:rPr>
          <w:color w:val="000000" w:themeColor="text1"/>
        </w:rPr>
        <w:t>strategies to address known issues that will arise such as:</w:t>
      </w:r>
    </w:p>
    <w:p w:rsidR="0073317B" w:rsidRDefault="0073317B" w:rsidP="00066793">
      <w:pPr>
        <w:pStyle w:val="ListParagraph"/>
        <w:numPr>
          <w:ilvl w:val="2"/>
          <w:numId w:val="53"/>
        </w:numPr>
        <w:spacing w:before="240"/>
        <w:rPr>
          <w:color w:val="000000" w:themeColor="text1"/>
        </w:rPr>
      </w:pPr>
      <w:r>
        <w:rPr>
          <w:color w:val="000000" w:themeColor="text1"/>
        </w:rPr>
        <w:t>mistrust in government</w:t>
      </w:r>
    </w:p>
    <w:p w:rsidR="0073317B" w:rsidRDefault="0073317B" w:rsidP="00066793">
      <w:pPr>
        <w:pStyle w:val="ListParagraph"/>
        <w:numPr>
          <w:ilvl w:val="2"/>
          <w:numId w:val="53"/>
        </w:numPr>
        <w:spacing w:before="240"/>
        <w:rPr>
          <w:color w:val="000000" w:themeColor="text1"/>
        </w:rPr>
      </w:pPr>
      <w:r>
        <w:rPr>
          <w:color w:val="000000" w:themeColor="text1"/>
        </w:rPr>
        <w:t>people’s desire to disengage from the income support system</w:t>
      </w:r>
    </w:p>
    <w:p w:rsidR="0073317B" w:rsidRDefault="001E679C" w:rsidP="00066793">
      <w:pPr>
        <w:pStyle w:val="ListParagraph"/>
        <w:numPr>
          <w:ilvl w:val="2"/>
          <w:numId w:val="53"/>
        </w:numPr>
        <w:spacing w:before="240"/>
        <w:rPr>
          <w:color w:val="000000" w:themeColor="text1"/>
        </w:rPr>
      </w:pPr>
      <w:r>
        <w:rPr>
          <w:color w:val="000000" w:themeColor="text1"/>
        </w:rPr>
        <w:t xml:space="preserve">encouraging </w:t>
      </w:r>
      <w:r w:rsidR="0073317B">
        <w:rPr>
          <w:color w:val="000000" w:themeColor="text1"/>
        </w:rPr>
        <w:t>people to update contact details</w:t>
      </w:r>
    </w:p>
    <w:p w:rsidR="0073317B" w:rsidRPr="00FD3DC8" w:rsidRDefault="0073317B" w:rsidP="00066793">
      <w:pPr>
        <w:pStyle w:val="ListParagraph"/>
        <w:numPr>
          <w:ilvl w:val="2"/>
          <w:numId w:val="53"/>
        </w:numPr>
        <w:spacing w:before="240"/>
        <w:rPr>
          <w:color w:val="000000" w:themeColor="text1"/>
        </w:rPr>
      </w:pPr>
      <w:r>
        <w:rPr>
          <w:color w:val="000000" w:themeColor="text1"/>
        </w:rPr>
        <w:lastRenderedPageBreak/>
        <w:t>ensure as many as</w:t>
      </w:r>
      <w:r w:rsidR="008477D2">
        <w:rPr>
          <w:color w:val="000000" w:themeColor="text1"/>
        </w:rPr>
        <w:t xml:space="preserve"> possible are contacted in the </w:t>
      </w:r>
      <w:r>
        <w:rPr>
          <w:color w:val="000000" w:themeColor="text1"/>
        </w:rPr>
        <w:t>most appropriate and effective manner (time and method).</w:t>
      </w:r>
    </w:p>
    <w:p w:rsidR="0073317B" w:rsidRDefault="003F4992" w:rsidP="00F239FA">
      <w:pPr>
        <w:pStyle w:val="Heading2"/>
      </w:pPr>
      <w:bookmarkStart w:id="230" w:name="_Toc507600259"/>
      <w:r>
        <w:t>6.3</w:t>
      </w:r>
      <w:r>
        <w:tab/>
      </w:r>
      <w:r w:rsidR="0073317B">
        <w:t>Implementation</w:t>
      </w:r>
      <w:bookmarkEnd w:id="230"/>
      <w:r w:rsidR="00E474C4">
        <w:t xml:space="preserve"> </w:t>
      </w:r>
    </w:p>
    <w:p w:rsidR="002F5ABB" w:rsidRPr="002F5ABB" w:rsidRDefault="002F5ABB" w:rsidP="008477D2">
      <w:pPr>
        <w:keepNext/>
      </w:pPr>
      <w:r>
        <w:t xml:space="preserve">Implementation </w:t>
      </w:r>
      <w:r w:rsidR="00C81127">
        <w:t>requires</w:t>
      </w:r>
      <w:r>
        <w:t>:</w:t>
      </w:r>
    </w:p>
    <w:p w:rsidR="00763F08" w:rsidRDefault="00E474C4" w:rsidP="00066793">
      <w:pPr>
        <w:pStyle w:val="ListParagraph"/>
        <w:numPr>
          <w:ilvl w:val="0"/>
          <w:numId w:val="46"/>
        </w:numPr>
        <w:spacing w:before="120"/>
      </w:pPr>
      <w:r>
        <w:t xml:space="preserve">strong </w:t>
      </w:r>
      <w:r w:rsidR="0073317B">
        <w:t xml:space="preserve">communication and relationships between </w:t>
      </w:r>
      <w:r w:rsidR="00E00C9C">
        <w:t>departments</w:t>
      </w:r>
      <w:r w:rsidR="0069351E">
        <w:t>,</w:t>
      </w:r>
      <w:r w:rsidR="00E00C9C">
        <w:t xml:space="preserve"> </w:t>
      </w:r>
      <w:r w:rsidR="000950E1">
        <w:t xml:space="preserve">and </w:t>
      </w:r>
      <w:r w:rsidR="001E679C">
        <w:t xml:space="preserve">a </w:t>
      </w:r>
      <w:r w:rsidR="0073317B">
        <w:t>clear understanding of roles and responsibilities</w:t>
      </w:r>
    </w:p>
    <w:p w:rsidR="00763F08" w:rsidRDefault="0073317B" w:rsidP="00066793">
      <w:pPr>
        <w:pStyle w:val="ListParagraph"/>
        <w:numPr>
          <w:ilvl w:val="0"/>
          <w:numId w:val="46"/>
        </w:numPr>
        <w:spacing w:before="120"/>
      </w:pPr>
      <w:r>
        <w:t>staff training and development</w:t>
      </w:r>
    </w:p>
    <w:p w:rsidR="00F2210C" w:rsidRDefault="0073317B" w:rsidP="00066793">
      <w:pPr>
        <w:pStyle w:val="ListParagraph"/>
        <w:numPr>
          <w:ilvl w:val="0"/>
          <w:numId w:val="46"/>
        </w:numPr>
        <w:spacing w:before="120"/>
      </w:pPr>
      <w:r w:rsidRPr="0043352E">
        <w:t xml:space="preserve">IT staff </w:t>
      </w:r>
      <w:r>
        <w:t>with appropriate</w:t>
      </w:r>
      <w:r w:rsidRPr="0043352E">
        <w:t xml:space="preserve"> expe</w:t>
      </w:r>
      <w:r>
        <w:t>rtise and</w:t>
      </w:r>
      <w:r w:rsidRPr="0043352E">
        <w:t xml:space="preserve"> knowledge</w:t>
      </w:r>
      <w:r>
        <w:t>.</w:t>
      </w:r>
    </w:p>
    <w:p w:rsidR="001E2B44" w:rsidRPr="00656A3A" w:rsidRDefault="001E2B44" w:rsidP="00656A3A">
      <w:pPr>
        <w:pStyle w:val="Heading1Num"/>
        <w:numPr>
          <w:ilvl w:val="0"/>
          <w:numId w:val="0"/>
        </w:numPr>
        <w:pBdr>
          <w:bottom w:val="none" w:sz="0" w:space="0" w:color="auto"/>
        </w:pBdr>
        <w:rPr>
          <w:rFonts w:ascii="Calibri" w:eastAsiaTheme="majorEastAsia" w:hAnsi="Calibri" w:cstheme="majorBidi"/>
          <w:caps w:val="0"/>
          <w:color w:val="1E3D6B"/>
          <w:sz w:val="36"/>
          <w:szCs w:val="28"/>
          <w:lang w:val="en-AU" w:eastAsia="en-US"/>
        </w:rPr>
      </w:pPr>
      <w:bookmarkStart w:id="231" w:name="_Toc507600260"/>
      <w:r w:rsidRPr="00656A3A">
        <w:rPr>
          <w:rFonts w:ascii="Calibri" w:eastAsiaTheme="majorEastAsia" w:hAnsi="Calibri" w:cstheme="majorBidi"/>
          <w:caps w:val="0"/>
          <w:color w:val="1E3D6B"/>
          <w:sz w:val="36"/>
          <w:szCs w:val="28"/>
          <w:lang w:val="en-AU" w:eastAsia="en-US"/>
        </w:rPr>
        <w:lastRenderedPageBreak/>
        <w:t>Bibliography</w:t>
      </w:r>
      <w:bookmarkEnd w:id="228"/>
      <w:bookmarkEnd w:id="231"/>
    </w:p>
    <w:p w:rsidR="00C86CDA" w:rsidRPr="003043F1" w:rsidRDefault="00C86CDA" w:rsidP="00AF27CA">
      <w:pPr>
        <w:spacing w:before="120" w:after="120" w:line="240" w:lineRule="auto"/>
        <w:ind w:hanging="11"/>
        <w:rPr>
          <w:rFonts w:cstheme="minorHAnsi"/>
          <w:sz w:val="20"/>
          <w:szCs w:val="20"/>
        </w:rPr>
      </w:pPr>
      <w:r w:rsidRPr="003043F1">
        <w:rPr>
          <w:rFonts w:cstheme="minorHAnsi"/>
          <w:sz w:val="20"/>
          <w:szCs w:val="20"/>
        </w:rPr>
        <w:t xml:space="preserve">Columbia University Mailman School of Public Health, Difference-in-Difference estimation, </w:t>
      </w:r>
      <w:hyperlink r:id="rId49" w:history="1">
        <w:r w:rsidRPr="003043F1">
          <w:rPr>
            <w:rStyle w:val="Hyperlink"/>
            <w:rFonts w:cstheme="minorHAnsi"/>
            <w:sz w:val="20"/>
            <w:szCs w:val="20"/>
          </w:rPr>
          <w:t>https://www.mailman.columbia.edu/research/population-health-methods/difference-difference-estimation</w:t>
        </w:r>
      </w:hyperlink>
      <w:r w:rsidRPr="003043F1">
        <w:rPr>
          <w:rFonts w:cstheme="minorHAnsi"/>
          <w:sz w:val="20"/>
          <w:szCs w:val="20"/>
        </w:rPr>
        <w:t>, accessed 20 April 2017</w:t>
      </w:r>
    </w:p>
    <w:p w:rsidR="00CD2D33" w:rsidRPr="005466FD" w:rsidRDefault="00CD2D33" w:rsidP="00AF27CA">
      <w:pPr>
        <w:spacing w:before="120" w:after="120"/>
        <w:ind w:hanging="11"/>
        <w:rPr>
          <w:sz w:val="20"/>
          <w:szCs w:val="20"/>
        </w:rPr>
      </w:pPr>
      <w:r w:rsidRPr="00DB2169">
        <w:rPr>
          <w:sz w:val="20"/>
          <w:szCs w:val="20"/>
        </w:rPr>
        <w:t xml:space="preserve">Department of Health, 2004. Module 9: working with young people on AOD issues: Learner’s workbook - 3.3 The stages-of-change model, </w:t>
      </w:r>
      <w:hyperlink r:id="rId50" w:history="1">
        <w:r w:rsidRPr="003043F1">
          <w:rPr>
            <w:rStyle w:val="Hyperlink"/>
            <w:sz w:val="20"/>
            <w:szCs w:val="20"/>
          </w:rPr>
          <w:t>http://www.health.gov.au/internet/publications/publishing.nsf/Content/drugtreat-pubs-front9-wk-toc~drugtreat-pubs-front9-wk-secb~drugtreat-pubs-front9-wk-secb-3~drugtreat-pubs-front9-wk-secb-3-3</w:t>
        </w:r>
      </w:hyperlink>
      <w:r w:rsidRPr="003043F1">
        <w:rPr>
          <w:sz w:val="20"/>
          <w:szCs w:val="20"/>
        </w:rPr>
        <w:t xml:space="preserve">, </w:t>
      </w:r>
      <w:r w:rsidRPr="005466FD">
        <w:rPr>
          <w:sz w:val="20"/>
          <w:szCs w:val="20"/>
        </w:rPr>
        <w:t>accessed 20 March 2017.</w:t>
      </w:r>
    </w:p>
    <w:p w:rsidR="003043F1" w:rsidRPr="00DB2169" w:rsidRDefault="003043F1" w:rsidP="00AF27CA">
      <w:pPr>
        <w:spacing w:before="120" w:after="120"/>
        <w:rPr>
          <w:sz w:val="20"/>
          <w:szCs w:val="20"/>
        </w:rPr>
      </w:pPr>
      <w:r w:rsidRPr="005466FD">
        <w:rPr>
          <w:sz w:val="20"/>
          <w:szCs w:val="20"/>
        </w:rPr>
        <w:t>Frederick, S., Loewenstein, G. and O’Donoghue, T., 2002.</w:t>
      </w:r>
      <w:r>
        <w:rPr>
          <w:sz w:val="20"/>
          <w:szCs w:val="20"/>
        </w:rPr>
        <w:t xml:space="preserve"> Time Discounting and Time Preference: A Critical Review, Journal of Economic Literature, Volume 40 (June 2002), pp 351 – 401.</w:t>
      </w:r>
    </w:p>
    <w:p w:rsidR="009C5784" w:rsidRPr="00042293" w:rsidRDefault="009C5784" w:rsidP="00AF27CA">
      <w:pPr>
        <w:spacing w:before="120" w:after="120"/>
        <w:rPr>
          <w:sz w:val="20"/>
          <w:szCs w:val="20"/>
        </w:rPr>
      </w:pPr>
      <w:r w:rsidRPr="005466FD">
        <w:rPr>
          <w:sz w:val="20"/>
          <w:szCs w:val="20"/>
        </w:rPr>
        <w:t>Health Promotion Unit, 2007. Stages of behaviour change: Queensland Stay On Your Feet</w:t>
      </w:r>
      <w:r w:rsidRPr="005466FD">
        <w:rPr>
          <w:rFonts w:cstheme="minorHAnsi"/>
          <w:sz w:val="20"/>
          <w:szCs w:val="20"/>
        </w:rPr>
        <w:t>®</w:t>
      </w:r>
      <w:r w:rsidRPr="005466FD">
        <w:rPr>
          <w:sz w:val="20"/>
          <w:szCs w:val="20"/>
        </w:rPr>
        <w:t xml:space="preserve"> Community Good Practice Toolkit. Division of Chief Health Officer, Queensland H</w:t>
      </w:r>
      <w:r w:rsidRPr="00042293">
        <w:rPr>
          <w:sz w:val="20"/>
          <w:szCs w:val="20"/>
        </w:rPr>
        <w:t>ealth.</w:t>
      </w:r>
    </w:p>
    <w:p w:rsidR="00141341" w:rsidRPr="003043F1" w:rsidRDefault="00D86661" w:rsidP="00141341">
      <w:pPr>
        <w:spacing w:before="120" w:after="120"/>
        <w:rPr>
          <w:sz w:val="20"/>
          <w:szCs w:val="20"/>
        </w:rPr>
      </w:pPr>
      <w:r w:rsidRPr="00042293">
        <w:rPr>
          <w:sz w:val="20"/>
          <w:szCs w:val="20"/>
        </w:rPr>
        <w:t>Immervo</w:t>
      </w:r>
      <w:r>
        <w:rPr>
          <w:sz w:val="20"/>
          <w:szCs w:val="20"/>
        </w:rPr>
        <w:t>ll</w:t>
      </w:r>
      <w:r w:rsidR="00141341" w:rsidRPr="00042293">
        <w:rPr>
          <w:sz w:val="20"/>
          <w:szCs w:val="20"/>
        </w:rPr>
        <w:t>, H. and Scarpetta, S.</w:t>
      </w:r>
      <w:r w:rsidR="003C4F60" w:rsidRPr="00042293">
        <w:rPr>
          <w:sz w:val="20"/>
          <w:szCs w:val="20"/>
        </w:rPr>
        <w:t xml:space="preserve">, </w:t>
      </w:r>
      <w:r w:rsidR="00141341" w:rsidRPr="00042293">
        <w:rPr>
          <w:sz w:val="20"/>
          <w:szCs w:val="20"/>
        </w:rPr>
        <w:t>2012</w:t>
      </w:r>
      <w:r w:rsidR="003C4F60" w:rsidRPr="00567E5D">
        <w:rPr>
          <w:sz w:val="20"/>
          <w:szCs w:val="20"/>
        </w:rPr>
        <w:t>.</w:t>
      </w:r>
      <w:r w:rsidR="00141341" w:rsidRPr="002B07CB">
        <w:rPr>
          <w:sz w:val="20"/>
          <w:szCs w:val="20"/>
        </w:rPr>
        <w:t xml:space="preserve"> </w:t>
      </w:r>
      <w:r w:rsidR="00141341" w:rsidRPr="003043F1">
        <w:rPr>
          <w:rFonts w:cstheme="minorHAnsi"/>
          <w:sz w:val="20"/>
          <w:szCs w:val="20"/>
        </w:rPr>
        <w:t xml:space="preserve">Activation and employment support policies in OECD countries. An overview of current approaches </w:t>
      </w:r>
      <w:r w:rsidR="00141341" w:rsidRPr="003043F1">
        <w:rPr>
          <w:sz w:val="20"/>
          <w:szCs w:val="20"/>
        </w:rPr>
        <w:t>IZA Journal of Labor Policy, Volume 1, No 9, Springer</w:t>
      </w:r>
    </w:p>
    <w:p w:rsidR="00FD0C83" w:rsidRPr="00DB2169" w:rsidRDefault="00177D01" w:rsidP="00AF27CA">
      <w:pPr>
        <w:spacing w:before="120" w:after="120"/>
        <w:rPr>
          <w:sz w:val="20"/>
          <w:szCs w:val="20"/>
        </w:rPr>
      </w:pPr>
      <w:r w:rsidRPr="00DB2169">
        <w:rPr>
          <w:sz w:val="20"/>
          <w:szCs w:val="20"/>
        </w:rPr>
        <w:t>Jacob, R.</w:t>
      </w:r>
      <w:r w:rsidR="00FD0C83" w:rsidRPr="00DB2169">
        <w:rPr>
          <w:sz w:val="20"/>
          <w:szCs w:val="20"/>
        </w:rPr>
        <w:t>,</w:t>
      </w:r>
      <w:r w:rsidRPr="00DB2169">
        <w:rPr>
          <w:sz w:val="20"/>
          <w:szCs w:val="20"/>
        </w:rPr>
        <w:t xml:space="preserve"> Zhu, P.</w:t>
      </w:r>
      <w:r w:rsidR="00FD0C83" w:rsidRPr="00DB2169">
        <w:rPr>
          <w:sz w:val="20"/>
          <w:szCs w:val="20"/>
        </w:rPr>
        <w:t>,</w:t>
      </w:r>
      <w:r w:rsidRPr="00DB2169">
        <w:rPr>
          <w:sz w:val="20"/>
          <w:szCs w:val="20"/>
        </w:rPr>
        <w:t xml:space="preserve"> Somers, M-A. and Bloom,</w:t>
      </w:r>
      <w:r w:rsidR="00FD0C83" w:rsidRPr="00DB2169">
        <w:rPr>
          <w:sz w:val="20"/>
          <w:szCs w:val="20"/>
        </w:rPr>
        <w:t xml:space="preserve"> H.</w:t>
      </w:r>
      <w:r w:rsidR="003C4F60" w:rsidRPr="00DB2169">
        <w:rPr>
          <w:sz w:val="20"/>
          <w:szCs w:val="20"/>
        </w:rPr>
        <w:t xml:space="preserve">, </w:t>
      </w:r>
      <w:r w:rsidR="00FD0C83" w:rsidRPr="00DB2169">
        <w:rPr>
          <w:sz w:val="20"/>
          <w:szCs w:val="20"/>
        </w:rPr>
        <w:t>2012</w:t>
      </w:r>
      <w:r w:rsidR="002F4E34" w:rsidRPr="00DB2169">
        <w:rPr>
          <w:sz w:val="20"/>
          <w:szCs w:val="20"/>
        </w:rPr>
        <w:t>.</w:t>
      </w:r>
      <w:r w:rsidR="00FD0C83" w:rsidRPr="00DB2169">
        <w:rPr>
          <w:sz w:val="20"/>
          <w:szCs w:val="20"/>
        </w:rPr>
        <w:t xml:space="preserve"> A practical guide to regression discontinuity, MDRC.</w:t>
      </w:r>
    </w:p>
    <w:p w:rsidR="00AF27CA" w:rsidRPr="003043F1" w:rsidRDefault="00AF27CA" w:rsidP="00AF27CA">
      <w:pPr>
        <w:spacing w:before="120" w:after="120"/>
        <w:rPr>
          <w:sz w:val="20"/>
          <w:szCs w:val="20"/>
        </w:rPr>
      </w:pPr>
      <w:r w:rsidRPr="00DB2169">
        <w:rPr>
          <w:sz w:val="20"/>
          <w:szCs w:val="20"/>
        </w:rPr>
        <w:t>Martinson, K</w:t>
      </w:r>
      <w:r w:rsidR="007E1C14" w:rsidRPr="00DB2169">
        <w:rPr>
          <w:sz w:val="20"/>
          <w:szCs w:val="20"/>
        </w:rPr>
        <w:t>.</w:t>
      </w:r>
      <w:r w:rsidR="009E58B7" w:rsidRPr="00DB2169">
        <w:rPr>
          <w:sz w:val="20"/>
          <w:szCs w:val="20"/>
        </w:rPr>
        <w:t>,</w:t>
      </w:r>
      <w:r w:rsidRPr="00DB2169">
        <w:rPr>
          <w:sz w:val="20"/>
          <w:szCs w:val="20"/>
        </w:rPr>
        <w:t xml:space="preserve"> and Hamilton, G</w:t>
      </w:r>
      <w:r w:rsidR="00107F6D" w:rsidRPr="00DB2169">
        <w:rPr>
          <w:sz w:val="20"/>
          <w:szCs w:val="20"/>
        </w:rPr>
        <w:t>.</w:t>
      </w:r>
      <w:r w:rsidR="003C4F60" w:rsidRPr="00DB2169">
        <w:rPr>
          <w:sz w:val="20"/>
          <w:szCs w:val="20"/>
        </w:rPr>
        <w:t xml:space="preserve">, </w:t>
      </w:r>
      <w:r w:rsidRPr="00DB2169">
        <w:rPr>
          <w:sz w:val="20"/>
          <w:szCs w:val="20"/>
        </w:rPr>
        <w:t xml:space="preserve">2011. </w:t>
      </w:r>
      <w:r w:rsidRPr="003043F1">
        <w:rPr>
          <w:rFonts w:cstheme="minorHAnsi"/>
          <w:sz w:val="20"/>
          <w:szCs w:val="20"/>
        </w:rPr>
        <w:t>Providing earnings supplements to encourage and sustain employment,</w:t>
      </w:r>
      <w:r w:rsidRPr="003043F1">
        <w:rPr>
          <w:sz w:val="20"/>
          <w:szCs w:val="20"/>
        </w:rPr>
        <w:t xml:space="preserve"> New York: MDRC.</w:t>
      </w:r>
    </w:p>
    <w:p w:rsidR="00BF65B8" w:rsidRPr="00DB2169" w:rsidRDefault="00BF65B8" w:rsidP="00BF65B8">
      <w:pPr>
        <w:spacing w:before="120" w:after="120"/>
        <w:rPr>
          <w:sz w:val="20"/>
          <w:szCs w:val="20"/>
        </w:rPr>
      </w:pPr>
      <w:r w:rsidRPr="00DB2169">
        <w:rPr>
          <w:sz w:val="20"/>
          <w:szCs w:val="20"/>
        </w:rPr>
        <w:t>Norton, A., &amp; Cherastidtham, I.,</w:t>
      </w:r>
      <w:r w:rsidR="003C4F60" w:rsidRPr="00DB2169">
        <w:rPr>
          <w:sz w:val="20"/>
          <w:szCs w:val="20"/>
        </w:rPr>
        <w:t xml:space="preserve"> </w:t>
      </w:r>
      <w:r w:rsidRPr="00DB2169">
        <w:rPr>
          <w:sz w:val="20"/>
          <w:szCs w:val="20"/>
        </w:rPr>
        <w:t>2014. Mapping Australian higher education 2014-15, Grattan Institute</w:t>
      </w:r>
      <w:r w:rsidR="007F4056" w:rsidRPr="00DB2169">
        <w:rPr>
          <w:sz w:val="20"/>
          <w:szCs w:val="20"/>
        </w:rPr>
        <w:t>.</w:t>
      </w:r>
    </w:p>
    <w:p w:rsidR="00DE2434" w:rsidRPr="003043F1" w:rsidRDefault="00DE2434" w:rsidP="00AF27CA">
      <w:pPr>
        <w:spacing w:before="120" w:after="120"/>
        <w:rPr>
          <w:sz w:val="20"/>
          <w:szCs w:val="20"/>
        </w:rPr>
      </w:pPr>
      <w:r w:rsidRPr="00DB2169">
        <w:rPr>
          <w:sz w:val="20"/>
          <w:szCs w:val="20"/>
        </w:rPr>
        <w:t>Pro-Change behaviour systems, inc.</w:t>
      </w:r>
      <w:r w:rsidR="003C4F60" w:rsidRPr="00DB2169">
        <w:rPr>
          <w:sz w:val="20"/>
          <w:szCs w:val="20"/>
        </w:rPr>
        <w:t xml:space="preserve">, </w:t>
      </w:r>
      <w:r w:rsidR="00146EB0" w:rsidRPr="00DB2169">
        <w:rPr>
          <w:sz w:val="20"/>
          <w:szCs w:val="20"/>
        </w:rPr>
        <w:t>201</w:t>
      </w:r>
      <w:r w:rsidR="004C4740" w:rsidRPr="00DB2169">
        <w:rPr>
          <w:sz w:val="20"/>
          <w:szCs w:val="20"/>
        </w:rPr>
        <w:t>6</w:t>
      </w:r>
      <w:r w:rsidR="00146EB0" w:rsidRPr="00DB2169">
        <w:rPr>
          <w:sz w:val="20"/>
          <w:szCs w:val="20"/>
        </w:rPr>
        <w:t xml:space="preserve">. </w:t>
      </w:r>
      <w:r w:rsidRPr="00DB2169">
        <w:rPr>
          <w:sz w:val="20"/>
          <w:szCs w:val="20"/>
        </w:rPr>
        <w:t xml:space="preserve">The Transtheoretical Model , USA </w:t>
      </w:r>
      <w:hyperlink r:id="rId51" w:history="1">
        <w:r w:rsidRPr="003043F1">
          <w:rPr>
            <w:rStyle w:val="Hyperlink"/>
            <w:sz w:val="20"/>
            <w:szCs w:val="20"/>
          </w:rPr>
          <w:t>https://www.prochange.com/transtheoretical-model-of-behavior-change</w:t>
        </w:r>
      </w:hyperlink>
      <w:r w:rsidRPr="003043F1">
        <w:rPr>
          <w:sz w:val="20"/>
          <w:szCs w:val="20"/>
        </w:rPr>
        <w:t>, accessed 20 March 2017</w:t>
      </w:r>
      <w:r w:rsidR="00146EB0" w:rsidRPr="003043F1">
        <w:rPr>
          <w:sz w:val="20"/>
          <w:szCs w:val="20"/>
        </w:rPr>
        <w:t>.</w:t>
      </w:r>
    </w:p>
    <w:p w:rsidR="00DE2434" w:rsidRPr="00DB2169" w:rsidRDefault="00DE2434" w:rsidP="00AF27CA">
      <w:pPr>
        <w:spacing w:before="120" w:after="120"/>
        <w:rPr>
          <w:sz w:val="20"/>
          <w:szCs w:val="20"/>
        </w:rPr>
      </w:pPr>
      <w:r w:rsidRPr="00DB2169">
        <w:rPr>
          <w:sz w:val="20"/>
          <w:szCs w:val="20"/>
        </w:rPr>
        <w:t>Prochaska, J.O. Norcross, J.C. and Di</w:t>
      </w:r>
      <w:r w:rsidR="00D86661">
        <w:rPr>
          <w:sz w:val="20"/>
          <w:szCs w:val="20"/>
        </w:rPr>
        <w:t>C</w:t>
      </w:r>
      <w:r w:rsidRPr="00DB2169">
        <w:rPr>
          <w:sz w:val="20"/>
          <w:szCs w:val="20"/>
        </w:rPr>
        <w:t>lemente, C.C.</w:t>
      </w:r>
      <w:r w:rsidR="003C4F60" w:rsidRPr="00DB2169">
        <w:rPr>
          <w:sz w:val="20"/>
          <w:szCs w:val="20"/>
        </w:rPr>
        <w:t xml:space="preserve">, </w:t>
      </w:r>
      <w:r w:rsidRPr="00DB2169">
        <w:rPr>
          <w:sz w:val="20"/>
          <w:szCs w:val="20"/>
        </w:rPr>
        <w:t>2013. Applying the stages of change, Psychotheraphy in Australia, Volume 19, Number 2 (February 2013) pp 10 – 15.</w:t>
      </w:r>
    </w:p>
    <w:p w:rsidR="00A6098C" w:rsidRPr="003043F1" w:rsidRDefault="003043F1" w:rsidP="003C4F60">
      <w:pPr>
        <w:spacing w:before="120" w:after="120"/>
        <w:rPr>
          <w:sz w:val="20"/>
          <w:szCs w:val="20"/>
        </w:rPr>
      </w:pPr>
      <w:r w:rsidRPr="00DB2169">
        <w:rPr>
          <w:sz w:val="20"/>
          <w:szCs w:val="20"/>
        </w:rPr>
        <w:t>Redden</w:t>
      </w:r>
      <w:r w:rsidR="00A6098C" w:rsidRPr="00DB2169">
        <w:rPr>
          <w:sz w:val="20"/>
          <w:szCs w:val="20"/>
        </w:rPr>
        <w:t>, J.P., 2007</w:t>
      </w:r>
      <w:r w:rsidRPr="00DB2169">
        <w:rPr>
          <w:sz w:val="20"/>
          <w:szCs w:val="20"/>
        </w:rPr>
        <w:t>.</w:t>
      </w:r>
      <w:r w:rsidR="00A6098C" w:rsidRPr="00DB2169">
        <w:rPr>
          <w:sz w:val="20"/>
          <w:szCs w:val="20"/>
        </w:rPr>
        <w:t xml:space="preserve"> ‘Hyperbolic Discounting’, USA </w:t>
      </w:r>
      <w:hyperlink r:id="rId52" w:history="1">
        <w:r w:rsidRPr="00DB2169">
          <w:rPr>
            <w:rStyle w:val="Hyperlink"/>
            <w:color w:val="000000" w:themeColor="text1"/>
            <w:sz w:val="20"/>
            <w:szCs w:val="20"/>
          </w:rPr>
          <w:t>http://www.behaviorlab.org/Papers/Hyperbolic.pdf</w:t>
        </w:r>
      </w:hyperlink>
      <w:r w:rsidR="00A6098C" w:rsidRPr="003043F1">
        <w:rPr>
          <w:sz w:val="20"/>
          <w:szCs w:val="20"/>
        </w:rPr>
        <w:t>, accessed 14 February 2018.</w:t>
      </w:r>
    </w:p>
    <w:p w:rsidR="003C4F60" w:rsidRPr="00042293" w:rsidRDefault="003C4F60" w:rsidP="003C4F60">
      <w:pPr>
        <w:spacing w:before="120" w:after="120"/>
        <w:rPr>
          <w:sz w:val="20"/>
          <w:szCs w:val="20"/>
        </w:rPr>
      </w:pPr>
      <w:r w:rsidRPr="005466FD">
        <w:rPr>
          <w:sz w:val="20"/>
          <w:szCs w:val="20"/>
        </w:rPr>
        <w:t>Rose, J. and Morstyn, L.,</w:t>
      </w:r>
      <w:r w:rsidR="00C659BE" w:rsidRPr="005466FD">
        <w:rPr>
          <w:sz w:val="20"/>
          <w:szCs w:val="20"/>
        </w:rPr>
        <w:t xml:space="preserve"> </w:t>
      </w:r>
      <w:r w:rsidRPr="005466FD">
        <w:rPr>
          <w:sz w:val="20"/>
          <w:szCs w:val="20"/>
        </w:rPr>
        <w:t>2013. ‘What makes you tweet?’ Young people’s perspectives on the use of social media as an engagement tool, Youth A</w:t>
      </w:r>
      <w:r w:rsidRPr="00042293">
        <w:rPr>
          <w:sz w:val="20"/>
          <w:szCs w:val="20"/>
        </w:rPr>
        <w:t>ffairs Council of Victoria</w:t>
      </w:r>
    </w:p>
    <w:p w:rsidR="002F4E34" w:rsidRPr="00042293" w:rsidRDefault="002F4E34" w:rsidP="002F4E34">
      <w:pPr>
        <w:pStyle w:val="Default"/>
        <w:rPr>
          <w:sz w:val="20"/>
          <w:szCs w:val="20"/>
        </w:rPr>
      </w:pPr>
      <w:r w:rsidRPr="00042293">
        <w:rPr>
          <w:sz w:val="20"/>
          <w:szCs w:val="20"/>
        </w:rPr>
        <w:t>Schochet, P., Cook, T., Deke, J., Imbens, G., Lockwood, J.R., Porter, J. and Smith, J.</w:t>
      </w:r>
      <w:r w:rsidR="003C4F60" w:rsidRPr="00042293">
        <w:rPr>
          <w:sz w:val="20"/>
          <w:szCs w:val="20"/>
        </w:rPr>
        <w:t xml:space="preserve">, </w:t>
      </w:r>
      <w:r w:rsidRPr="00042293">
        <w:rPr>
          <w:sz w:val="20"/>
          <w:szCs w:val="20"/>
        </w:rPr>
        <w:t>2010. Standards for regression discontinuity designs version 1.0 (pilot), Retrieved from</w:t>
      </w:r>
    </w:p>
    <w:p w:rsidR="002F4E34" w:rsidRPr="002B07CB" w:rsidRDefault="002F4E34" w:rsidP="002F4E34">
      <w:pPr>
        <w:pStyle w:val="Default"/>
        <w:rPr>
          <w:sz w:val="20"/>
          <w:szCs w:val="20"/>
        </w:rPr>
      </w:pPr>
      <w:r w:rsidRPr="00567E5D">
        <w:rPr>
          <w:sz w:val="20"/>
          <w:szCs w:val="20"/>
        </w:rPr>
        <w:t>What Works Clearinghouse website: http://ies.ed.gov/</w:t>
      </w:r>
      <w:r w:rsidRPr="002B07CB">
        <w:rPr>
          <w:sz w:val="20"/>
          <w:szCs w:val="20"/>
        </w:rPr>
        <w:t>ncee/wwc/pdf/wwc_rd.pdf.</w:t>
      </w:r>
    </w:p>
    <w:p w:rsidR="004E4F13" w:rsidRPr="003043F1" w:rsidRDefault="004E4F13" w:rsidP="004E4F13">
      <w:pPr>
        <w:spacing w:before="120" w:after="120"/>
        <w:rPr>
          <w:sz w:val="20"/>
          <w:szCs w:val="20"/>
        </w:rPr>
      </w:pPr>
      <w:r w:rsidRPr="002B07CB">
        <w:rPr>
          <w:sz w:val="20"/>
          <w:szCs w:val="20"/>
        </w:rPr>
        <w:t>Virginia Tech,</w:t>
      </w:r>
      <w:r w:rsidR="00CD2D33" w:rsidRPr="00C4799B">
        <w:rPr>
          <w:sz w:val="20"/>
          <w:szCs w:val="20"/>
        </w:rPr>
        <w:t xml:space="preserve"> 2009.</w:t>
      </w:r>
      <w:r w:rsidRPr="00C4799B">
        <w:rPr>
          <w:sz w:val="20"/>
          <w:szCs w:val="20"/>
        </w:rPr>
        <w:t xml:space="preserve"> The Stages of Change – Continuing and Professional Education, USA, </w:t>
      </w:r>
      <w:hyperlink r:id="rId53" w:history="1">
        <w:r w:rsidRPr="003043F1">
          <w:rPr>
            <w:sz w:val="20"/>
            <w:szCs w:val="20"/>
            <w:u w:val="single"/>
          </w:rPr>
          <w:t>www.cpe.vt.edu/gttc/presentations/8eStagesofChange.pdf</w:t>
        </w:r>
      </w:hyperlink>
      <w:r w:rsidRPr="003043F1">
        <w:rPr>
          <w:sz w:val="20"/>
          <w:szCs w:val="20"/>
        </w:rPr>
        <w:t>, accessed 20 March 2017</w:t>
      </w:r>
    </w:p>
    <w:p w:rsidR="00807419" w:rsidRPr="00C659BE" w:rsidRDefault="00807419">
      <w:pPr>
        <w:rPr>
          <w:rFonts w:ascii="Calibri" w:eastAsiaTheme="majorEastAsia" w:hAnsi="Calibri" w:cstheme="majorBidi"/>
          <w:b/>
          <w:bCs/>
          <w:color w:val="000000" w:themeColor="text1"/>
          <w:sz w:val="24"/>
          <w:szCs w:val="24"/>
        </w:rPr>
      </w:pPr>
      <w:r w:rsidRPr="003A4B00">
        <w:br w:type="page"/>
      </w:r>
    </w:p>
    <w:p w:rsidR="00A96ADD" w:rsidRDefault="00261709" w:rsidP="004968D9">
      <w:pPr>
        <w:pStyle w:val="Heading1"/>
      </w:pPr>
      <w:bookmarkStart w:id="232" w:name="_Toc507600261"/>
      <w:bookmarkStart w:id="233" w:name="_Toc478117591"/>
      <w:r>
        <w:lastRenderedPageBreak/>
        <w:t>Attachment</w:t>
      </w:r>
      <w:r w:rsidR="001049F8">
        <w:t xml:space="preserve"> A</w:t>
      </w:r>
      <w:r w:rsidR="00F26F6F">
        <w:t>:</w:t>
      </w:r>
      <w:r>
        <w:t xml:space="preserve"> </w:t>
      </w:r>
      <w:r w:rsidR="00A96ADD">
        <w:t>Behavioural models used in this report</w:t>
      </w:r>
      <w:bookmarkEnd w:id="232"/>
    </w:p>
    <w:p w:rsidR="00261709" w:rsidRDefault="00A96ADD" w:rsidP="00A96ADD">
      <w:pPr>
        <w:pStyle w:val="Heading2"/>
      </w:pPr>
      <w:bookmarkStart w:id="234" w:name="_Toc507600262"/>
      <w:r>
        <w:t>A.1</w:t>
      </w:r>
      <w:r>
        <w:tab/>
        <w:t>T</w:t>
      </w:r>
      <w:r w:rsidR="001049F8">
        <w:t xml:space="preserve">he </w:t>
      </w:r>
      <w:r w:rsidR="009E316B" w:rsidRPr="00A955D2">
        <w:rPr>
          <w:i/>
        </w:rPr>
        <w:t>Trans-theoretical Stages of Change</w:t>
      </w:r>
      <w:r w:rsidR="009E316B">
        <w:t xml:space="preserve"> </w:t>
      </w:r>
      <w:r w:rsidR="009E316B" w:rsidRPr="00264090">
        <w:t>model</w:t>
      </w:r>
      <w:bookmarkEnd w:id="234"/>
    </w:p>
    <w:p w:rsidR="00A96ADD" w:rsidRDefault="00A96ADD" w:rsidP="00A96ADD">
      <w:r>
        <w:t xml:space="preserve">DiClemente and Prochaska developed the </w:t>
      </w:r>
      <w:r w:rsidRPr="006A1048">
        <w:rPr>
          <w:i/>
        </w:rPr>
        <w:t>Trans-theoretical</w:t>
      </w:r>
      <w:r>
        <w:t xml:space="preserve"> </w:t>
      </w:r>
      <w:r w:rsidRPr="004968D9">
        <w:rPr>
          <w:i/>
        </w:rPr>
        <w:t xml:space="preserve">Stages of </w:t>
      </w:r>
      <w:r>
        <w:rPr>
          <w:i/>
        </w:rPr>
        <w:t xml:space="preserve">Change </w:t>
      </w:r>
      <w:r w:rsidRPr="00264090">
        <w:t>model</w:t>
      </w:r>
      <w:r>
        <w:t xml:space="preserve"> (</w:t>
      </w:r>
      <w:r w:rsidRPr="002219CA">
        <w:t>TTM</w:t>
      </w:r>
      <w:r>
        <w:t xml:space="preserve">) in the early 1980s (Prochaska et al, 2013). </w:t>
      </w:r>
    </w:p>
    <w:p w:rsidR="00AA510E" w:rsidRPr="00D83A7E" w:rsidRDefault="00AA510E" w:rsidP="00AA510E">
      <w:pPr>
        <w:pStyle w:val="FigureCaption"/>
      </w:pPr>
      <w:bookmarkStart w:id="235" w:name="_Toc507600299"/>
      <w:r w:rsidRPr="00D83A7E">
        <w:t xml:space="preserve">Figure </w:t>
      </w:r>
      <w:r>
        <w:t>A</w:t>
      </w:r>
      <w:r w:rsidRPr="00D83A7E">
        <w:t>.</w:t>
      </w:r>
      <w:r>
        <w:t>1</w:t>
      </w:r>
      <w:r w:rsidRPr="00D83A7E">
        <w:t xml:space="preserve">: </w:t>
      </w:r>
      <w:r w:rsidR="00A96ADD">
        <w:t xml:space="preserve">The </w:t>
      </w:r>
      <w:r w:rsidR="00A96ADD" w:rsidRPr="00A96ADD">
        <w:rPr>
          <w:i/>
        </w:rPr>
        <w:t xml:space="preserve">Trans-theoretical </w:t>
      </w:r>
      <w:r w:rsidRPr="00A96ADD">
        <w:rPr>
          <w:i/>
        </w:rPr>
        <w:t>Stages of Change</w:t>
      </w:r>
      <w:r w:rsidRPr="00D83A7E">
        <w:t xml:space="preserve"> </w:t>
      </w:r>
      <w:r>
        <w:t>model</w:t>
      </w:r>
      <w:bookmarkEnd w:id="235"/>
    </w:p>
    <w:p w:rsidR="00261709" w:rsidRDefault="00261709" w:rsidP="00261709">
      <w:pPr>
        <w:rPr>
          <w:b/>
          <w:i/>
        </w:rPr>
      </w:pPr>
      <w:r>
        <w:rPr>
          <w:b/>
          <w:i/>
          <w:noProof/>
          <w:lang w:eastAsia="en-AU"/>
        </w:rPr>
        <w:drawing>
          <wp:inline distT="0" distB="0" distL="0" distR="0" wp14:anchorId="7E80BD1F" wp14:editId="5D75ADE6">
            <wp:extent cx="5488146" cy="6827846"/>
            <wp:effectExtent l="0" t="0" r="0" b="0"/>
            <wp:docPr id="16" name="Picture 16" descr="Diagram showing the spiralling nature of the Stages of Change model. It depicts a person starting at the pre-contemplation stage, progressing though the model stages, moving back and forwards through the stages several times before finally exiting from the maintenance stage (having achieved this stage several times previously but having regressed back to earlier stages before being able to ex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7.png"/>
                    <pic:cNvPicPr/>
                  </pic:nvPicPr>
                  <pic:blipFill>
                    <a:blip r:embed="rId54">
                      <a:extLst>
                        <a:ext uri="{28A0092B-C50C-407E-A947-70E740481C1C}">
                          <a14:useLocalDpi xmlns:a14="http://schemas.microsoft.com/office/drawing/2010/main" val="0"/>
                        </a:ext>
                      </a:extLst>
                    </a:blip>
                    <a:stretch>
                      <a:fillRect/>
                    </a:stretch>
                  </pic:blipFill>
                  <pic:spPr>
                    <a:xfrm>
                      <a:off x="0" y="0"/>
                      <a:ext cx="5494595" cy="6835869"/>
                    </a:xfrm>
                    <a:prstGeom prst="rect">
                      <a:avLst/>
                    </a:prstGeom>
                  </pic:spPr>
                </pic:pic>
              </a:graphicData>
            </a:graphic>
          </wp:inline>
        </w:drawing>
      </w:r>
    </w:p>
    <w:p w:rsidR="00261709" w:rsidRPr="00EE1616" w:rsidRDefault="00261709" w:rsidP="00261709">
      <w:pPr>
        <w:pStyle w:val="Source"/>
      </w:pPr>
      <w:r w:rsidRPr="00EE1616">
        <w:t>Source:</w:t>
      </w:r>
      <w:r>
        <w:t xml:space="preserve"> </w:t>
      </w:r>
      <w:r w:rsidRPr="004C5B83">
        <w:rPr>
          <w:b w:val="0"/>
        </w:rPr>
        <w:t>Department of Health (</w:t>
      </w:r>
      <w:r w:rsidR="00656A3A" w:rsidRPr="004C5B83">
        <w:rPr>
          <w:b w:val="0"/>
        </w:rPr>
        <w:t>200</w:t>
      </w:r>
      <w:r w:rsidR="00656A3A">
        <w:rPr>
          <w:b w:val="0"/>
        </w:rPr>
        <w:t>4</w:t>
      </w:r>
      <w:r w:rsidRPr="004C5B83">
        <w:rPr>
          <w:b w:val="0"/>
        </w:rPr>
        <w:t>).</w:t>
      </w:r>
    </w:p>
    <w:p w:rsidR="00261709" w:rsidRDefault="00261709" w:rsidP="00261709">
      <w:pPr>
        <w:keepNext/>
        <w:spacing w:before="240"/>
      </w:pPr>
      <w:r>
        <w:lastRenderedPageBreak/>
        <w:t>The five stages of the</w:t>
      </w:r>
      <w:r w:rsidR="009E316B">
        <w:t xml:space="preserve"> </w:t>
      </w:r>
      <w:r w:rsidR="009E316B" w:rsidRPr="006A1048">
        <w:rPr>
          <w:i/>
        </w:rPr>
        <w:t>Trans-theoretical</w:t>
      </w:r>
      <w:r w:rsidR="009E316B">
        <w:t xml:space="preserve"> </w:t>
      </w:r>
      <w:r w:rsidR="009E316B" w:rsidRPr="004968D9">
        <w:rPr>
          <w:i/>
        </w:rPr>
        <w:t xml:space="preserve">Stages of </w:t>
      </w:r>
      <w:r w:rsidR="009E316B">
        <w:rPr>
          <w:i/>
        </w:rPr>
        <w:t xml:space="preserve">Change </w:t>
      </w:r>
      <w:r w:rsidR="009E316B" w:rsidRPr="00264090">
        <w:t>model</w:t>
      </w:r>
      <w:r w:rsidR="009E316B">
        <w:t xml:space="preserve"> (TTM) </w:t>
      </w:r>
      <w:r>
        <w:t>are:</w:t>
      </w:r>
    </w:p>
    <w:p w:rsidR="00261709" w:rsidRPr="004C4740" w:rsidRDefault="00261709" w:rsidP="00261709">
      <w:pPr>
        <w:pStyle w:val="ListParagraph"/>
        <w:numPr>
          <w:ilvl w:val="0"/>
          <w:numId w:val="33"/>
        </w:numPr>
        <w:rPr>
          <w:b/>
          <w:i/>
        </w:rPr>
      </w:pPr>
      <w:r w:rsidRPr="00C61D44">
        <w:rPr>
          <w:b/>
          <w:i/>
        </w:rPr>
        <w:t>Pre</w:t>
      </w:r>
      <w:r>
        <w:rPr>
          <w:b/>
          <w:i/>
        </w:rPr>
        <w:t>-</w:t>
      </w:r>
      <w:r w:rsidRPr="00C61D44">
        <w:rPr>
          <w:b/>
          <w:i/>
        </w:rPr>
        <w:t xml:space="preserve">contemplation </w:t>
      </w:r>
      <w:r>
        <w:rPr>
          <w:b/>
          <w:i/>
        </w:rPr>
        <w:t>(Not ready)</w:t>
      </w:r>
      <w:r w:rsidRPr="00C61D44">
        <w:rPr>
          <w:b/>
          <w:i/>
        </w:rPr>
        <w:br/>
      </w:r>
      <w:r>
        <w:t xml:space="preserve">People in the this stage cannot see the need for change and have no intention to change their behaviour in the foreseeable future (usually measured in terms of the next six months). Most are either unaware or </w:t>
      </w:r>
      <w:r w:rsidR="001B7433">
        <w:t>under aware</w:t>
      </w:r>
      <w:r>
        <w:t xml:space="preserve"> of their problems. In this stage some may be demoralised after m</w:t>
      </w:r>
      <w:r w:rsidRPr="00E1562E">
        <w:t>ultiple unsuccessful attempts at change</w:t>
      </w:r>
      <w:r>
        <w:t xml:space="preserve">. </w:t>
      </w:r>
      <w:r>
        <w:rPr>
          <w:lang w:val="en-US"/>
        </w:rPr>
        <w:t xml:space="preserve">The pros for behaviour change are outweighed by the relative cons for change, and therefore the decisional balance is to maintain current behaviour. </w:t>
      </w:r>
      <w:r>
        <w:t>Those in the Pre-contemplation stage are usually regarded as resistant or unmotivated, avoiding information, discussion or thought about the required behaviour change.</w:t>
      </w:r>
    </w:p>
    <w:p w:rsidR="00261709" w:rsidRPr="00520EC2" w:rsidRDefault="00261709" w:rsidP="00261709">
      <w:pPr>
        <w:pStyle w:val="ListParagraph"/>
        <w:numPr>
          <w:ilvl w:val="0"/>
          <w:numId w:val="33"/>
        </w:numPr>
        <w:rPr>
          <w:b/>
          <w:i/>
        </w:rPr>
      </w:pPr>
      <w:r w:rsidRPr="00C61D44">
        <w:rPr>
          <w:b/>
          <w:i/>
        </w:rPr>
        <w:t>Contemplation</w:t>
      </w:r>
      <w:r>
        <w:rPr>
          <w:b/>
          <w:i/>
        </w:rPr>
        <w:t xml:space="preserve"> (Getting ready</w:t>
      </w:r>
      <w:r w:rsidR="001B7433">
        <w:rPr>
          <w:b/>
          <w:i/>
        </w:rPr>
        <w:t xml:space="preserve">) </w:t>
      </w:r>
      <w:r w:rsidRPr="00C61D44">
        <w:rPr>
          <w:b/>
          <w:i/>
        </w:rPr>
        <w:br/>
      </w:r>
      <w:r>
        <w:t>People</w:t>
      </w:r>
      <w:r w:rsidRPr="004C2A6F">
        <w:t xml:space="preserve"> can remain in this </w:t>
      </w:r>
      <w:r>
        <w:t xml:space="preserve">stage for </w:t>
      </w:r>
      <w:r w:rsidRPr="004C2A6F">
        <w:t xml:space="preserve">long periods. They </w:t>
      </w:r>
      <w:r>
        <w:t xml:space="preserve">are aware that a problem exists, that they can and should do something to improve their lives, and that their behaviour needs to change. They are more aware now of the pros of changing, but also well aware of the cons, they tend to carry equal weight. They </w:t>
      </w:r>
      <w:r w:rsidRPr="004C2A6F">
        <w:t>openly state that they intend to make changes in the next six months, but have not</w:t>
      </w:r>
      <w:r>
        <w:t xml:space="preserve"> </w:t>
      </w:r>
      <w:r w:rsidRPr="004C2A6F">
        <w:t>yet made the commitment to take action.</w:t>
      </w:r>
      <w:r>
        <w:t xml:space="preserve"> During this </w:t>
      </w:r>
      <w:r w:rsidR="001B7433">
        <w:t>stage,</w:t>
      </w:r>
      <w:r>
        <w:t xml:space="preserve"> people are very open to information, and seek options and strategies to resolve their problems.</w:t>
      </w:r>
    </w:p>
    <w:p w:rsidR="00261709" w:rsidRPr="00EE1616" w:rsidRDefault="00261709" w:rsidP="00261709">
      <w:pPr>
        <w:pStyle w:val="ListParagraph"/>
        <w:numPr>
          <w:ilvl w:val="0"/>
          <w:numId w:val="33"/>
        </w:numPr>
        <w:rPr>
          <w:b/>
          <w:i/>
        </w:rPr>
      </w:pPr>
      <w:r w:rsidRPr="004E4F13">
        <w:rPr>
          <w:b/>
          <w:i/>
        </w:rPr>
        <w:t>Preparation</w:t>
      </w:r>
      <w:r>
        <w:rPr>
          <w:b/>
          <w:i/>
        </w:rPr>
        <w:t xml:space="preserve"> (Ready</w:t>
      </w:r>
      <w:r w:rsidR="001B7433">
        <w:rPr>
          <w:b/>
          <w:i/>
        </w:rPr>
        <w:t xml:space="preserve">) </w:t>
      </w:r>
      <w:r w:rsidRPr="004E4F13">
        <w:rPr>
          <w:b/>
          <w:i/>
        </w:rPr>
        <w:br/>
      </w:r>
      <w:r>
        <w:t>The preparation stage is transitional rather than stable, with people now intending to progress to the next Action stage within the next 30 days, after unsuccessfully having tried to change. They see the ‘cons’ of continuing as outweighing the ‘pros’ of changing their behaviour, but have made a decision or commitment to change, after realising how serious their situation is. During this stage, they make plans as well as contemplate their situation (reaffirming the need and desire for change).</w:t>
      </w:r>
    </w:p>
    <w:p w:rsidR="00261709" w:rsidRPr="003039F5" w:rsidRDefault="00261709" w:rsidP="00261709">
      <w:pPr>
        <w:pStyle w:val="ListParagraph"/>
        <w:numPr>
          <w:ilvl w:val="0"/>
          <w:numId w:val="33"/>
        </w:numPr>
        <w:rPr>
          <w:b/>
          <w:i/>
        </w:rPr>
      </w:pPr>
      <w:r w:rsidRPr="00AC220D">
        <w:rPr>
          <w:b/>
          <w:i/>
        </w:rPr>
        <w:t>Action</w:t>
      </w:r>
      <w:r w:rsidRPr="00AC220D">
        <w:rPr>
          <w:b/>
          <w:i/>
        </w:rPr>
        <w:br/>
      </w:r>
      <w:r>
        <w:t xml:space="preserve">Behavioural changes made during this stage are quite visible and externally recognised. </w:t>
      </w:r>
      <w:r w:rsidRPr="00AC220D">
        <w:t xml:space="preserve">People in this stage have made tangible and </w:t>
      </w:r>
      <w:r>
        <w:t>over</w:t>
      </w:r>
      <w:r w:rsidRPr="00AC220D">
        <w:t xml:space="preserve">t changes </w:t>
      </w:r>
      <w:r>
        <w:t>or modifications to their lives. People are considered to be in this stage when they have altered their behaviour for a period of one day to six months. In the Action stage people are open to receiving help and support.</w:t>
      </w:r>
    </w:p>
    <w:p w:rsidR="00A96ADD" w:rsidRDefault="00261709" w:rsidP="00261709">
      <w:pPr>
        <w:pStyle w:val="ListParagraph"/>
        <w:numPr>
          <w:ilvl w:val="0"/>
          <w:numId w:val="33"/>
        </w:numPr>
      </w:pPr>
      <w:r>
        <w:rPr>
          <w:b/>
          <w:i/>
        </w:rPr>
        <w:t>Maintenance</w:t>
      </w:r>
      <w:r>
        <w:rPr>
          <w:b/>
          <w:i/>
        </w:rPr>
        <w:br/>
      </w:r>
      <w:r>
        <w:t xml:space="preserve">People in the Maintenance stage work to consolidate the behavioural changes they have made, and to prevent relapse. </w:t>
      </w:r>
      <w:r>
        <w:rPr>
          <w:lang w:val="en-US"/>
        </w:rPr>
        <w:t>As people enter the Maintenance stage, the pros for maintaining the behaviour change should outweigh the cons of maintaining the change, with the</w:t>
      </w:r>
      <w:r>
        <w:t xml:space="preserve"> risk of people lapsing substantially less in this stage than in earlier stages. Compared to those in the Action stage, these people report the highest levels of self-efficacy (i.e. confidence in their ability to change).</w:t>
      </w:r>
      <w:r w:rsidR="00A96ADD">
        <w:br w:type="page"/>
      </w:r>
    </w:p>
    <w:p w:rsidR="00A96ADD" w:rsidRDefault="00A96ADD" w:rsidP="00515568">
      <w:pPr>
        <w:pStyle w:val="Heading2"/>
      </w:pPr>
      <w:bookmarkStart w:id="236" w:name="_Toc507600263"/>
      <w:r>
        <w:lastRenderedPageBreak/>
        <w:t>A.2</w:t>
      </w:r>
      <w:r>
        <w:tab/>
        <w:t>Hyperbolic discounting</w:t>
      </w:r>
      <w:bookmarkEnd w:id="236"/>
    </w:p>
    <w:p w:rsidR="00D90885" w:rsidRDefault="00FD318E" w:rsidP="005466FD">
      <w:r>
        <w:t xml:space="preserve">Hyperbolic discounting is a widely accepted model used to explain how people </w:t>
      </w:r>
      <w:r w:rsidR="00C607B6">
        <w:t>make choice</w:t>
      </w:r>
      <w:r w:rsidR="00A310E4">
        <w:t>s</w:t>
      </w:r>
      <w:r w:rsidR="00D90885">
        <w:t xml:space="preserve"> across a range of aspects such as:</w:t>
      </w:r>
      <w:r w:rsidR="00A310E4">
        <w:t xml:space="preserve"> </w:t>
      </w:r>
      <w:r w:rsidR="00D90885" w:rsidRPr="005466FD">
        <w:t>willpower, health outcomes,</w:t>
      </w:r>
      <w:r w:rsidR="00D90885">
        <w:t xml:space="preserve"> </w:t>
      </w:r>
      <w:r w:rsidR="00D90885" w:rsidRPr="005466FD">
        <w:t>consumption choices over time, and personal finance decisions</w:t>
      </w:r>
      <w:r w:rsidR="00D90885">
        <w:t xml:space="preserve">, including choosing </w:t>
      </w:r>
      <w:r w:rsidR="00C607B6">
        <w:t xml:space="preserve">between </w:t>
      </w:r>
      <w:r>
        <w:t xml:space="preserve">a smaller reward </w:t>
      </w:r>
      <w:r w:rsidR="00C607B6">
        <w:t xml:space="preserve">now or a </w:t>
      </w:r>
      <w:r>
        <w:t>larger reward</w:t>
      </w:r>
      <w:r w:rsidR="0094403D">
        <w:t xml:space="preserve"> </w:t>
      </w:r>
      <w:r>
        <w:t>later</w:t>
      </w:r>
      <w:r w:rsidR="0094403D">
        <w:t>.</w:t>
      </w:r>
      <w:r w:rsidR="00C607B6">
        <w:t xml:space="preserve"> </w:t>
      </w:r>
    </w:p>
    <w:p w:rsidR="00C607B6" w:rsidRDefault="00924DE1" w:rsidP="005466FD">
      <w:r>
        <w:t>Hyperbolic discounting fits a declining discount r</w:t>
      </w:r>
      <w:r w:rsidR="0094403D">
        <w:t xml:space="preserve">ate </w:t>
      </w:r>
      <w:r w:rsidR="00D90885">
        <w:t>to</w:t>
      </w:r>
      <w:r w:rsidR="00C607B6">
        <w:t xml:space="preserve"> how people discount future rewards. That is, the rate of discounting decreases the over time.</w:t>
      </w:r>
      <w:r w:rsidR="00D90885">
        <w:t xml:space="preserve"> </w:t>
      </w:r>
      <w:r w:rsidR="00C607B6">
        <w:t>A number of factors have been identified that influence the</w:t>
      </w:r>
      <w:r w:rsidR="00C607B6" w:rsidRPr="00BC7C3D">
        <w:t xml:space="preserve"> extent to which people discount future</w:t>
      </w:r>
      <w:r w:rsidR="00D90885">
        <w:t xml:space="preserve"> rewards</w:t>
      </w:r>
      <w:r w:rsidR="00C607B6">
        <w:t>, and people’s preferences can change over time.</w:t>
      </w:r>
    </w:p>
    <w:p w:rsidR="00C607B6" w:rsidRDefault="00924DE1" w:rsidP="005466FD">
      <w:r>
        <w:t xml:space="preserve">For example: </w:t>
      </w:r>
    </w:p>
    <w:p w:rsidR="00C607B6" w:rsidRDefault="00C607B6" w:rsidP="005466FD">
      <w:pPr>
        <w:pStyle w:val="ListParagraph"/>
        <w:numPr>
          <w:ilvl w:val="0"/>
          <w:numId w:val="115"/>
        </w:numPr>
      </w:pPr>
      <w:r>
        <w:t>few</w:t>
      </w:r>
      <w:r w:rsidR="00924DE1">
        <w:t xml:space="preserve"> people would prefer $1</w:t>
      </w:r>
      <w:r>
        <w:t>0</w:t>
      </w:r>
      <w:r w:rsidR="00924DE1">
        <w:t>0 in 3</w:t>
      </w:r>
      <w:r>
        <w:t>0</w:t>
      </w:r>
      <w:r w:rsidR="00924DE1">
        <w:t xml:space="preserve"> days </w:t>
      </w:r>
      <w:r>
        <w:t>compared to $110 in 31</w:t>
      </w:r>
      <w:r w:rsidR="00924DE1">
        <w:t xml:space="preserve"> days</w:t>
      </w:r>
      <w:r w:rsidR="00D90885">
        <w:t>,</w:t>
      </w:r>
      <w:r w:rsidR="00924DE1">
        <w:t xml:space="preserve"> but </w:t>
      </w:r>
      <w:r>
        <w:t>many would</w:t>
      </w:r>
      <w:r w:rsidR="00924DE1">
        <w:t xml:space="preserve"> choose $100 today over $110 tomorrow</w:t>
      </w:r>
    </w:p>
    <w:p w:rsidR="0094403D" w:rsidRDefault="00C607B6" w:rsidP="005466FD">
      <w:pPr>
        <w:pStyle w:val="ListParagraph"/>
        <w:numPr>
          <w:ilvl w:val="0"/>
          <w:numId w:val="115"/>
        </w:numPr>
      </w:pPr>
      <w:r>
        <w:t>while many would choose $100 today over $110 tomorrow, after a month many would change their minds and prefer $100 at day 30 rather than wait an extra day for $10 more</w:t>
      </w:r>
      <w:r w:rsidR="00924DE1">
        <w:t>.</w:t>
      </w:r>
      <w:r w:rsidR="0094403D">
        <w:t xml:space="preserve"> </w:t>
      </w:r>
    </w:p>
    <w:p w:rsidR="00924DE1" w:rsidRDefault="00924DE1" w:rsidP="005466FD">
      <w:r>
        <w:t>While s</w:t>
      </w:r>
      <w:r w:rsidR="0094403D" w:rsidRPr="005466FD">
        <w:t xml:space="preserve">ome </w:t>
      </w:r>
      <w:r>
        <w:t>people tend t</w:t>
      </w:r>
      <w:r w:rsidR="0094403D">
        <w:t xml:space="preserve">o </w:t>
      </w:r>
      <w:r w:rsidR="002D25C1">
        <w:t>are prone to</w:t>
      </w:r>
      <w:r w:rsidR="002D25C1" w:rsidRPr="005466FD">
        <w:t xml:space="preserve"> </w:t>
      </w:r>
      <w:r w:rsidR="0094403D" w:rsidRPr="005466FD">
        <w:t xml:space="preserve">hyperbolic discounting </w:t>
      </w:r>
      <w:r w:rsidR="0094403D">
        <w:t xml:space="preserve">more </w:t>
      </w:r>
      <w:r w:rsidR="0094403D" w:rsidRPr="005466FD">
        <w:t>than others</w:t>
      </w:r>
      <w:r>
        <w:t xml:space="preserve"> in general, </w:t>
      </w:r>
      <w:r w:rsidRPr="005466FD">
        <w:t xml:space="preserve">younger people are more </w:t>
      </w:r>
      <w:r w:rsidR="002D25C1">
        <w:t>prone</w:t>
      </w:r>
      <w:r w:rsidR="002D25C1" w:rsidRPr="005466FD">
        <w:t xml:space="preserve"> </w:t>
      </w:r>
      <w:r w:rsidRPr="005466FD">
        <w:t>to use</w:t>
      </w:r>
      <w:r w:rsidR="0094403D" w:rsidRPr="005466FD">
        <w:t xml:space="preserve"> hyperbolic discounting </w:t>
      </w:r>
      <w:r>
        <w:t>than older people</w:t>
      </w:r>
      <w:r w:rsidR="0094403D">
        <w:t xml:space="preserve">. </w:t>
      </w:r>
    </w:p>
    <w:p w:rsidR="00261709" w:rsidRPr="005466FD" w:rsidRDefault="00261709" w:rsidP="005466FD">
      <w:r>
        <w:br w:type="page"/>
      </w:r>
    </w:p>
    <w:p w:rsidR="00E22A76" w:rsidRPr="003A4B00" w:rsidRDefault="00E22A76" w:rsidP="00E22A76">
      <w:pPr>
        <w:pStyle w:val="Heading1"/>
        <w:rPr>
          <w:b w:val="0"/>
          <w:bCs w:val="0"/>
          <w:sz w:val="28"/>
          <w:szCs w:val="26"/>
        </w:rPr>
      </w:pPr>
      <w:bookmarkStart w:id="237" w:name="_Toc507600264"/>
      <w:r w:rsidRPr="003A4B00">
        <w:lastRenderedPageBreak/>
        <w:t xml:space="preserve">Attachment </w:t>
      </w:r>
      <w:r w:rsidR="003711FF">
        <w:t>B</w:t>
      </w:r>
      <w:r w:rsidRPr="003A4B00">
        <w:t>: Key evaluation questions</w:t>
      </w:r>
      <w:bookmarkEnd w:id="233"/>
      <w:bookmarkEnd w:id="237"/>
    </w:p>
    <w:p w:rsidR="00E22A76" w:rsidRPr="003A4B00" w:rsidRDefault="00E22A76" w:rsidP="00E22A76">
      <w:pPr>
        <w:keepNext/>
        <w:rPr>
          <w:b/>
        </w:rPr>
      </w:pPr>
      <w:r w:rsidRPr="0025167B">
        <w:rPr>
          <w:rFonts w:eastAsia="Univers"/>
          <w:b/>
          <w:lang w:eastAsia="en-AU"/>
        </w:rPr>
        <w:t xml:space="preserve">Question 1: </w:t>
      </w:r>
      <w:r w:rsidRPr="003A4B00">
        <w:rPr>
          <w:b/>
        </w:rPr>
        <w:t>D</w:t>
      </w:r>
      <w:r>
        <w:rPr>
          <w:b/>
        </w:rPr>
        <w:t>id</w:t>
      </w:r>
      <w:r w:rsidRPr="003A4B00">
        <w:rPr>
          <w:b/>
        </w:rPr>
        <w:t xml:space="preserve"> the Job Commitment Bonus influence take-up and retention of employment among young (18 to 30 years) long-term unemployed people?</w:t>
      </w:r>
    </w:p>
    <w:p w:rsidR="00E22A76" w:rsidRPr="00947C42" w:rsidRDefault="00E22A76" w:rsidP="00E22A76">
      <w:pPr>
        <w:keepNext/>
        <w:rPr>
          <w:i/>
        </w:rPr>
      </w:pPr>
      <w:r w:rsidRPr="00947C42">
        <w:rPr>
          <w:i/>
        </w:rPr>
        <w:t>Key indicators:</w:t>
      </w:r>
    </w:p>
    <w:p w:rsidR="00E22A76" w:rsidRPr="0025167B" w:rsidRDefault="00E22A76" w:rsidP="00A16659">
      <w:pPr>
        <w:numPr>
          <w:ilvl w:val="0"/>
          <w:numId w:val="18"/>
        </w:numPr>
        <w:tabs>
          <w:tab w:val="left" w:pos="227"/>
        </w:tabs>
        <w:suppressAutoHyphens/>
        <w:autoSpaceDE w:val="0"/>
        <w:autoSpaceDN w:val="0"/>
        <w:adjustRightInd w:val="0"/>
        <w:spacing w:before="20" w:after="198" w:line="300" w:lineRule="atLeast"/>
        <w:textAlignment w:val="center"/>
        <w:rPr>
          <w:rFonts w:ascii="Calibri" w:eastAsia="Univers" w:hAnsi="Calibri" w:cs="Garamond"/>
          <w:i/>
          <w:color w:val="000000"/>
          <w:lang w:eastAsia="en-AU"/>
        </w:rPr>
      </w:pPr>
      <w:r w:rsidRPr="0025167B">
        <w:rPr>
          <w:rFonts w:ascii="Calibri" w:eastAsia="Univers" w:hAnsi="Calibri" w:cs="Garamond"/>
          <w:color w:val="000000"/>
          <w:lang w:eastAsia="en-AU"/>
        </w:rPr>
        <w:t xml:space="preserve">Number of approved Bonus claims </w:t>
      </w:r>
      <w:r w:rsidRPr="0025167B">
        <w:rPr>
          <w:rFonts w:ascii="Calibri" w:eastAsia="Univers" w:hAnsi="Calibri" w:cs="Garamond"/>
          <w:i/>
          <w:color w:val="000000"/>
          <w:lang w:eastAsia="en-AU"/>
        </w:rPr>
        <w:t>[Employment and DHS administrative data]</w:t>
      </w:r>
    </w:p>
    <w:p w:rsidR="00E22A76" w:rsidRPr="0025167B" w:rsidRDefault="00E22A76" w:rsidP="00A16659">
      <w:pPr>
        <w:numPr>
          <w:ilvl w:val="0"/>
          <w:numId w:val="18"/>
        </w:numPr>
        <w:tabs>
          <w:tab w:val="left" w:pos="227"/>
        </w:tabs>
        <w:suppressAutoHyphens/>
        <w:autoSpaceDE w:val="0"/>
        <w:autoSpaceDN w:val="0"/>
        <w:adjustRightInd w:val="0"/>
        <w:spacing w:before="20" w:after="198" w:line="300" w:lineRule="atLeast"/>
        <w:textAlignment w:val="center"/>
        <w:rPr>
          <w:rFonts w:ascii="Calibri" w:eastAsia="Univers" w:hAnsi="Calibri" w:cs="Garamond"/>
          <w:color w:val="000000"/>
          <w:lang w:eastAsia="en-AU"/>
        </w:rPr>
      </w:pPr>
      <w:r w:rsidRPr="0025167B">
        <w:rPr>
          <w:rFonts w:ascii="Calibri" w:eastAsia="Times New Roman" w:hAnsi="Calibri" w:cs="Calibri"/>
          <w:color w:val="000000"/>
          <w:lang w:eastAsia="en-AU"/>
        </w:rPr>
        <w:t xml:space="preserve">Proportion of eligible </w:t>
      </w:r>
      <w:r w:rsidRPr="0025167B">
        <w:rPr>
          <w:rFonts w:ascii="Calibri" w:eastAsia="Univers" w:hAnsi="Calibri" w:cs="Garamond"/>
          <w:color w:val="000000"/>
          <w:lang w:eastAsia="en-AU"/>
        </w:rPr>
        <w:t>young long-term unemployed</w:t>
      </w:r>
      <w:r w:rsidRPr="0025167B">
        <w:rPr>
          <w:rFonts w:ascii="Calibri" w:eastAsia="Times New Roman" w:hAnsi="Calibri" w:cs="Calibri"/>
          <w:color w:val="000000"/>
          <w:lang w:eastAsia="en-AU"/>
        </w:rPr>
        <w:t xml:space="preserve"> former </w:t>
      </w:r>
      <w:r>
        <w:rPr>
          <w:rFonts w:ascii="Calibri" w:eastAsia="Times New Roman" w:hAnsi="Calibri" w:cs="Calibri"/>
          <w:color w:val="000000"/>
          <w:lang w:eastAsia="en-AU"/>
        </w:rPr>
        <w:t xml:space="preserve">job seekers claiming the Bonus </w:t>
      </w:r>
      <w:r w:rsidRPr="0025167B">
        <w:rPr>
          <w:rFonts w:ascii="Calibri" w:eastAsia="Univers" w:hAnsi="Calibri" w:cs="Garamond"/>
          <w:i/>
          <w:color w:val="000000"/>
          <w:lang w:eastAsia="en-AU"/>
        </w:rPr>
        <w:t>[Employment and DHS administrative data]</w:t>
      </w:r>
    </w:p>
    <w:p w:rsidR="00E22A76" w:rsidRPr="0025167B" w:rsidRDefault="00E22A76" w:rsidP="00A16659">
      <w:pPr>
        <w:numPr>
          <w:ilvl w:val="0"/>
          <w:numId w:val="18"/>
        </w:numPr>
        <w:tabs>
          <w:tab w:val="left" w:pos="227"/>
        </w:tabs>
        <w:suppressAutoHyphens/>
        <w:autoSpaceDE w:val="0"/>
        <w:autoSpaceDN w:val="0"/>
        <w:adjustRightInd w:val="0"/>
        <w:spacing w:before="20" w:after="198" w:line="300" w:lineRule="atLeast"/>
        <w:textAlignment w:val="center"/>
        <w:rPr>
          <w:rFonts w:ascii="Calibri" w:eastAsia="Times New Roman" w:hAnsi="Calibri" w:cs="Garamond"/>
          <w:i/>
          <w:color w:val="000000"/>
          <w:lang w:eastAsia="en-AU"/>
        </w:rPr>
      </w:pPr>
      <w:r w:rsidRPr="0025167B">
        <w:rPr>
          <w:rFonts w:ascii="Calibri" w:eastAsia="Times New Roman" w:hAnsi="Calibri" w:cs="Calibri"/>
          <w:color w:val="000000"/>
          <w:lang w:eastAsia="en-AU"/>
        </w:rPr>
        <w:t xml:space="preserve">Level of awareness of the Job Commitment Bonus </w:t>
      </w:r>
      <w:r w:rsidRPr="0025167B">
        <w:rPr>
          <w:rFonts w:ascii="Calibri" w:eastAsia="Univers" w:hAnsi="Calibri" w:cs="Garamond"/>
          <w:i/>
          <w:color w:val="000000"/>
          <w:lang w:eastAsia="en-AU"/>
        </w:rPr>
        <w:t xml:space="preserve">[Employer survey, </w:t>
      </w:r>
      <w:r w:rsidR="00B02447">
        <w:rPr>
          <w:rFonts w:ascii="Calibri" w:eastAsia="Univers" w:hAnsi="Calibri" w:cs="Garamond"/>
          <w:i/>
          <w:color w:val="000000"/>
          <w:lang w:eastAsia="en-AU"/>
        </w:rPr>
        <w:t xml:space="preserve">Employment </w:t>
      </w:r>
      <w:r w:rsidRPr="0025167B">
        <w:rPr>
          <w:rFonts w:ascii="Calibri" w:eastAsia="Univers" w:hAnsi="Calibri" w:cs="Garamond"/>
          <w:i/>
          <w:color w:val="000000"/>
          <w:lang w:eastAsia="en-AU"/>
        </w:rPr>
        <w:t>Service Provider survey and focus groups]</w:t>
      </w:r>
    </w:p>
    <w:p w:rsidR="00E22A76" w:rsidRPr="0025167B" w:rsidRDefault="00E22A76" w:rsidP="00A16659">
      <w:pPr>
        <w:numPr>
          <w:ilvl w:val="0"/>
          <w:numId w:val="18"/>
        </w:numPr>
        <w:tabs>
          <w:tab w:val="left" w:pos="227"/>
        </w:tabs>
        <w:suppressAutoHyphens/>
        <w:autoSpaceDE w:val="0"/>
        <w:autoSpaceDN w:val="0"/>
        <w:adjustRightInd w:val="0"/>
        <w:spacing w:before="20" w:after="198" w:line="300" w:lineRule="atLeast"/>
        <w:textAlignment w:val="center"/>
        <w:rPr>
          <w:rFonts w:ascii="Calibri" w:eastAsia="Univers" w:hAnsi="Calibri" w:cs="Garamond"/>
          <w:color w:val="000000"/>
          <w:lang w:eastAsia="en-AU"/>
        </w:rPr>
      </w:pPr>
      <w:r w:rsidRPr="0025167B">
        <w:rPr>
          <w:rFonts w:ascii="Calibri" w:eastAsia="Univers" w:hAnsi="Calibri" w:cs="Garamond"/>
          <w:color w:val="000000"/>
          <w:lang w:eastAsia="en-AU"/>
        </w:rPr>
        <w:t>Average duration on income support before getting a job placement, for young long-term unemployed</w:t>
      </w:r>
      <w:r w:rsidRPr="0025167B">
        <w:rPr>
          <w:rFonts w:ascii="Calibri" w:eastAsia="Times New Roman" w:hAnsi="Calibri" w:cs="Calibri"/>
          <w:color w:val="000000"/>
          <w:lang w:eastAsia="en-AU"/>
        </w:rPr>
        <w:t xml:space="preserve"> job seekers </w:t>
      </w:r>
      <w:r w:rsidRPr="0025167B">
        <w:rPr>
          <w:rFonts w:ascii="Calibri" w:eastAsia="Univers" w:hAnsi="Calibri" w:cs="Garamond"/>
          <w:color w:val="000000"/>
          <w:lang w:eastAsia="en-AU"/>
        </w:rPr>
        <w:t xml:space="preserve">and a comparison group </w:t>
      </w:r>
      <w:r w:rsidRPr="0025167B">
        <w:rPr>
          <w:rFonts w:ascii="Calibri" w:eastAsia="Univers" w:hAnsi="Calibri" w:cs="Garamond"/>
          <w:i/>
          <w:color w:val="000000"/>
          <w:lang w:eastAsia="en-AU"/>
        </w:rPr>
        <w:t>[Employment administrative data]</w:t>
      </w:r>
    </w:p>
    <w:p w:rsidR="00E22A76" w:rsidRPr="0025167B" w:rsidRDefault="00E22A76" w:rsidP="00A16659">
      <w:pPr>
        <w:numPr>
          <w:ilvl w:val="0"/>
          <w:numId w:val="18"/>
        </w:numPr>
        <w:tabs>
          <w:tab w:val="left" w:pos="227"/>
        </w:tabs>
        <w:suppressAutoHyphens/>
        <w:autoSpaceDE w:val="0"/>
        <w:autoSpaceDN w:val="0"/>
        <w:adjustRightInd w:val="0"/>
        <w:spacing w:before="20" w:after="198" w:line="300" w:lineRule="atLeast"/>
        <w:textAlignment w:val="center"/>
        <w:rPr>
          <w:rFonts w:ascii="Calibri" w:eastAsia="Univers" w:hAnsi="Calibri" w:cs="Garamond"/>
          <w:color w:val="000000"/>
          <w:lang w:eastAsia="en-AU"/>
        </w:rPr>
      </w:pPr>
      <w:r w:rsidRPr="0025167B">
        <w:rPr>
          <w:rFonts w:ascii="Calibri" w:eastAsia="Univers" w:hAnsi="Calibri" w:cs="Garamond"/>
          <w:color w:val="000000"/>
          <w:lang w:eastAsia="en-AU"/>
        </w:rPr>
        <w:t>Average length of time in employment services, for young long-term unemployed</w:t>
      </w:r>
      <w:r w:rsidRPr="0025167B">
        <w:rPr>
          <w:rFonts w:ascii="Calibri" w:eastAsia="Times New Roman" w:hAnsi="Calibri" w:cs="Calibri"/>
          <w:color w:val="000000"/>
          <w:lang w:eastAsia="en-AU"/>
        </w:rPr>
        <w:t xml:space="preserve"> job seekers </w:t>
      </w:r>
      <w:r w:rsidRPr="0025167B">
        <w:rPr>
          <w:rFonts w:ascii="Calibri" w:eastAsia="Univers" w:hAnsi="Calibri" w:cs="Garamond"/>
          <w:color w:val="000000"/>
          <w:lang w:eastAsia="en-AU"/>
        </w:rPr>
        <w:t xml:space="preserve">and a comparison group </w:t>
      </w:r>
      <w:r w:rsidRPr="0025167B">
        <w:rPr>
          <w:rFonts w:ascii="Calibri" w:eastAsia="Univers" w:hAnsi="Calibri" w:cs="Garamond"/>
          <w:i/>
          <w:color w:val="000000"/>
          <w:lang w:eastAsia="en-AU"/>
        </w:rPr>
        <w:t>[Employment administrative data]</w:t>
      </w:r>
    </w:p>
    <w:p w:rsidR="00E22A76" w:rsidRPr="0025167B" w:rsidRDefault="00E22A76" w:rsidP="00E22A76">
      <w:pPr>
        <w:keepNext/>
        <w:tabs>
          <w:tab w:val="left" w:pos="227"/>
        </w:tabs>
        <w:suppressAutoHyphens/>
        <w:autoSpaceDE w:val="0"/>
        <w:autoSpaceDN w:val="0"/>
        <w:adjustRightInd w:val="0"/>
        <w:spacing w:before="20" w:after="198" w:line="300" w:lineRule="atLeast"/>
        <w:textAlignment w:val="center"/>
        <w:rPr>
          <w:rFonts w:ascii="Calibri" w:eastAsia="Univers" w:hAnsi="Calibri" w:cs="Garamond"/>
          <w:b/>
          <w:color w:val="000000"/>
          <w:lang w:eastAsia="en-AU"/>
        </w:rPr>
      </w:pPr>
      <w:r w:rsidRPr="0025167B">
        <w:rPr>
          <w:rFonts w:ascii="Calibri" w:eastAsia="Univers" w:hAnsi="Calibri" w:cs="Garamond"/>
          <w:b/>
          <w:color w:val="000000"/>
          <w:lang w:eastAsia="en-AU"/>
        </w:rPr>
        <w:t xml:space="preserve">Question 2: </w:t>
      </w:r>
      <w:r>
        <w:rPr>
          <w:rFonts w:ascii="Calibri" w:eastAsia="Univers" w:hAnsi="Calibri" w:cs="Garamond"/>
          <w:b/>
          <w:color w:val="000000"/>
          <w:lang w:eastAsia="en-AU"/>
        </w:rPr>
        <w:t>Did</w:t>
      </w:r>
      <w:r w:rsidRPr="0025167B">
        <w:rPr>
          <w:rFonts w:ascii="Calibri" w:eastAsia="Univers" w:hAnsi="Calibri" w:cs="Garamond"/>
          <w:b/>
          <w:color w:val="000000"/>
          <w:lang w:eastAsia="en-AU"/>
        </w:rPr>
        <w:t xml:space="preserve"> employment outcomes and off-income support outcomes of young long-</w:t>
      </w:r>
      <w:r>
        <w:rPr>
          <w:rFonts w:ascii="Calibri" w:eastAsia="Univers" w:hAnsi="Calibri" w:cs="Garamond"/>
          <w:b/>
          <w:color w:val="000000"/>
          <w:lang w:eastAsia="en-AU"/>
        </w:rPr>
        <w:t xml:space="preserve">term unemployed people </w:t>
      </w:r>
      <w:r w:rsidR="001B7433">
        <w:rPr>
          <w:rFonts w:ascii="Calibri" w:eastAsia="Univers" w:hAnsi="Calibri" w:cs="Garamond"/>
          <w:b/>
          <w:color w:val="000000"/>
          <w:lang w:eastAsia="en-AU"/>
        </w:rPr>
        <w:t xml:space="preserve">increase </w:t>
      </w:r>
      <w:r w:rsidR="001B7433" w:rsidRPr="0025167B">
        <w:rPr>
          <w:rFonts w:ascii="Calibri" w:eastAsia="Univers" w:hAnsi="Calibri" w:cs="Garamond"/>
          <w:b/>
          <w:color w:val="000000"/>
          <w:lang w:eastAsia="en-AU"/>
        </w:rPr>
        <w:t>following</w:t>
      </w:r>
      <w:r w:rsidRPr="0025167B">
        <w:rPr>
          <w:rFonts w:ascii="Calibri" w:eastAsia="Univers" w:hAnsi="Calibri" w:cs="Garamond"/>
          <w:b/>
          <w:color w:val="000000"/>
          <w:lang w:eastAsia="en-AU"/>
        </w:rPr>
        <w:t xml:space="preserve"> the introduction of the Job Commitment Bonus?</w:t>
      </w:r>
    </w:p>
    <w:p w:rsidR="00E22A76" w:rsidRPr="0025167B" w:rsidRDefault="00E22A76" w:rsidP="00E22A76">
      <w:pPr>
        <w:tabs>
          <w:tab w:val="left" w:pos="227"/>
        </w:tabs>
        <w:suppressAutoHyphens/>
        <w:autoSpaceDE w:val="0"/>
        <w:autoSpaceDN w:val="0"/>
        <w:adjustRightInd w:val="0"/>
        <w:spacing w:before="20" w:after="198" w:line="300" w:lineRule="atLeast"/>
        <w:textAlignment w:val="center"/>
        <w:rPr>
          <w:rFonts w:ascii="Calibri" w:eastAsia="Univers" w:hAnsi="Calibri" w:cs="Garamond"/>
          <w:i/>
          <w:color w:val="000000"/>
          <w:lang w:eastAsia="en-AU"/>
        </w:rPr>
      </w:pPr>
      <w:r w:rsidRPr="0025167B">
        <w:rPr>
          <w:rFonts w:ascii="Calibri" w:eastAsia="Univers" w:hAnsi="Calibri" w:cs="Garamond"/>
          <w:i/>
          <w:color w:val="000000"/>
          <w:lang w:eastAsia="en-AU"/>
        </w:rPr>
        <w:t>Key indicators:</w:t>
      </w:r>
    </w:p>
    <w:p w:rsidR="00E22A76" w:rsidRPr="0025167B" w:rsidRDefault="00E22A76" w:rsidP="00A16659">
      <w:pPr>
        <w:numPr>
          <w:ilvl w:val="0"/>
          <w:numId w:val="20"/>
        </w:numPr>
        <w:tabs>
          <w:tab w:val="left" w:pos="227"/>
        </w:tabs>
        <w:suppressAutoHyphens/>
        <w:autoSpaceDE w:val="0"/>
        <w:autoSpaceDN w:val="0"/>
        <w:adjustRightInd w:val="0"/>
        <w:spacing w:before="20" w:after="198" w:line="300" w:lineRule="atLeast"/>
        <w:textAlignment w:val="center"/>
        <w:rPr>
          <w:rFonts w:ascii="Calibri" w:eastAsia="Univers" w:hAnsi="Calibri" w:cs="Garamond"/>
          <w:color w:val="000000"/>
          <w:lang w:eastAsia="en-AU"/>
        </w:rPr>
      </w:pPr>
      <w:r w:rsidRPr="0025167B">
        <w:rPr>
          <w:rFonts w:ascii="Calibri" w:eastAsia="Univers" w:hAnsi="Calibri" w:cs="Garamond"/>
          <w:color w:val="000000"/>
          <w:lang w:eastAsia="en-AU"/>
        </w:rPr>
        <w:t>Proportion of young, long term unemployed job seekers achieving employment outcomes before and after the introduction of the Job Commitment Bonus</w:t>
      </w:r>
      <w:r w:rsidRPr="0025167B">
        <w:rPr>
          <w:rFonts w:ascii="Calibri" w:eastAsia="Univers" w:hAnsi="Calibri" w:cs="Garamond"/>
          <w:i/>
          <w:color w:val="000000"/>
          <w:lang w:eastAsia="en-AU"/>
        </w:rPr>
        <w:t xml:space="preserve"> [Post Progra</w:t>
      </w:r>
      <w:r>
        <w:rPr>
          <w:rFonts w:ascii="Calibri" w:eastAsia="Univers" w:hAnsi="Calibri" w:cs="Garamond"/>
          <w:i/>
          <w:color w:val="000000"/>
          <w:lang w:eastAsia="en-AU"/>
        </w:rPr>
        <w:t>m</w:t>
      </w:r>
      <w:r w:rsidRPr="0025167B">
        <w:rPr>
          <w:rFonts w:ascii="Calibri" w:eastAsia="Univers" w:hAnsi="Calibri" w:cs="Garamond"/>
          <w:i/>
          <w:color w:val="000000"/>
          <w:lang w:eastAsia="en-AU"/>
        </w:rPr>
        <w:t xml:space="preserve"> Monitoring </w:t>
      </w:r>
      <w:r w:rsidR="009B6B3A">
        <w:rPr>
          <w:rFonts w:ascii="Calibri" w:eastAsia="Univers" w:hAnsi="Calibri" w:cs="Garamond"/>
          <w:i/>
          <w:color w:val="000000"/>
          <w:lang w:eastAsia="en-AU"/>
        </w:rPr>
        <w:t>s</w:t>
      </w:r>
      <w:r w:rsidRPr="0025167B">
        <w:rPr>
          <w:rFonts w:ascii="Calibri" w:eastAsia="Univers" w:hAnsi="Calibri" w:cs="Garamond"/>
          <w:i/>
          <w:color w:val="000000"/>
          <w:lang w:eastAsia="en-AU"/>
        </w:rPr>
        <w:t>urvey (PPM) data]</w:t>
      </w:r>
    </w:p>
    <w:p w:rsidR="00E22A76" w:rsidRPr="0025167B" w:rsidRDefault="00E22A76" w:rsidP="00A16659">
      <w:pPr>
        <w:numPr>
          <w:ilvl w:val="0"/>
          <w:numId w:val="20"/>
        </w:numPr>
        <w:tabs>
          <w:tab w:val="left" w:pos="227"/>
        </w:tabs>
        <w:suppressAutoHyphens/>
        <w:autoSpaceDE w:val="0"/>
        <w:autoSpaceDN w:val="0"/>
        <w:adjustRightInd w:val="0"/>
        <w:spacing w:before="20" w:after="198" w:line="300" w:lineRule="atLeast"/>
        <w:textAlignment w:val="center"/>
        <w:rPr>
          <w:rFonts w:ascii="Calibri" w:eastAsia="Univers" w:hAnsi="Calibri" w:cs="Garamond"/>
          <w:color w:val="000000"/>
          <w:lang w:eastAsia="en-AU"/>
        </w:rPr>
      </w:pPr>
      <w:r w:rsidRPr="0025167B">
        <w:rPr>
          <w:rFonts w:ascii="Calibri" w:eastAsia="Univers" w:hAnsi="Calibri" w:cs="Garamond"/>
          <w:color w:val="000000"/>
          <w:lang w:eastAsia="en-AU"/>
        </w:rPr>
        <w:t xml:space="preserve">Percentage of young long term unemployed job seekers that are off income support at 52 and 104 weeks after the program, compared with a similar group prior to introduction of the Job Commitment Bonus. </w:t>
      </w:r>
      <w:r w:rsidRPr="0025167B">
        <w:rPr>
          <w:rFonts w:ascii="Calibri" w:eastAsia="Univers" w:hAnsi="Calibri" w:cs="Garamond"/>
          <w:i/>
          <w:color w:val="000000"/>
          <w:lang w:eastAsia="en-AU"/>
        </w:rPr>
        <w:t>[Employment administrative data]</w:t>
      </w:r>
    </w:p>
    <w:p w:rsidR="00E22A76" w:rsidRPr="0025167B" w:rsidRDefault="00E22A76" w:rsidP="00A16659">
      <w:pPr>
        <w:numPr>
          <w:ilvl w:val="0"/>
          <w:numId w:val="20"/>
        </w:numPr>
        <w:tabs>
          <w:tab w:val="left" w:pos="227"/>
        </w:tabs>
        <w:suppressAutoHyphens/>
        <w:autoSpaceDE w:val="0"/>
        <w:autoSpaceDN w:val="0"/>
        <w:adjustRightInd w:val="0"/>
        <w:spacing w:before="20" w:after="198" w:line="300" w:lineRule="atLeast"/>
        <w:textAlignment w:val="center"/>
        <w:rPr>
          <w:rFonts w:ascii="Calibri" w:eastAsia="Univers" w:hAnsi="Calibri" w:cs="Garamond"/>
          <w:color w:val="000000"/>
          <w:lang w:eastAsia="en-AU"/>
        </w:rPr>
      </w:pPr>
      <w:r w:rsidRPr="0025167B">
        <w:rPr>
          <w:rFonts w:ascii="Calibri" w:eastAsia="Univers" w:hAnsi="Calibri" w:cs="Garamond"/>
          <w:color w:val="000000"/>
          <w:lang w:eastAsia="en-AU"/>
        </w:rPr>
        <w:t>Length of time young, long term unemployed</w:t>
      </w:r>
      <w:r w:rsidRPr="0025167B">
        <w:rPr>
          <w:rFonts w:ascii="Calibri" w:eastAsia="Times New Roman" w:hAnsi="Calibri" w:cs="Calibri"/>
          <w:color w:val="000000"/>
          <w:lang w:eastAsia="en-AU"/>
        </w:rPr>
        <w:t xml:space="preserve"> job seekers take to exit income support</w:t>
      </w:r>
      <w:r w:rsidRPr="0025167B">
        <w:rPr>
          <w:rFonts w:ascii="Calibri" w:eastAsia="Univers" w:hAnsi="Calibri" w:cs="Garamond"/>
          <w:color w:val="000000"/>
          <w:lang w:eastAsia="en-AU"/>
        </w:rPr>
        <w:t xml:space="preserve"> (for median and 75 per cent quartile) after the program, compared with a similar group prior to the introduction of the Job Commitment Bonus. </w:t>
      </w:r>
      <w:r w:rsidRPr="0025167B">
        <w:rPr>
          <w:rFonts w:ascii="Calibri" w:eastAsia="Univers" w:hAnsi="Calibri" w:cs="Garamond"/>
          <w:i/>
          <w:color w:val="000000"/>
          <w:lang w:eastAsia="en-AU"/>
        </w:rPr>
        <w:t>[Employment administrative data]</w:t>
      </w:r>
    </w:p>
    <w:p w:rsidR="00E22A76" w:rsidRPr="0025167B" w:rsidRDefault="00E22A76" w:rsidP="00E22A76">
      <w:pPr>
        <w:keepNext/>
        <w:tabs>
          <w:tab w:val="left" w:pos="227"/>
        </w:tabs>
        <w:suppressAutoHyphens/>
        <w:autoSpaceDE w:val="0"/>
        <w:autoSpaceDN w:val="0"/>
        <w:adjustRightInd w:val="0"/>
        <w:spacing w:before="20" w:after="198" w:line="300" w:lineRule="atLeast"/>
        <w:textAlignment w:val="center"/>
        <w:rPr>
          <w:rFonts w:ascii="Calibri" w:eastAsia="Univers" w:hAnsi="Calibri" w:cs="Garamond"/>
          <w:b/>
          <w:color w:val="000000"/>
          <w:lang w:eastAsia="en-AU"/>
        </w:rPr>
      </w:pPr>
      <w:r w:rsidRPr="0025167B">
        <w:rPr>
          <w:rFonts w:ascii="Calibri" w:eastAsia="Univers" w:hAnsi="Calibri" w:cs="Garamond"/>
          <w:b/>
          <w:color w:val="000000"/>
          <w:lang w:eastAsia="en-AU"/>
        </w:rPr>
        <w:t>Question 3: What other types of financial incentive or support (for example, post placement, job seeker payments and employer subsidies), if any, were received in conjunction with the Job Commitment Bonus?</w:t>
      </w:r>
    </w:p>
    <w:p w:rsidR="00E22A76" w:rsidRPr="003A4B00" w:rsidRDefault="00E22A76" w:rsidP="00E22A76">
      <w:pPr>
        <w:keepNext/>
        <w:rPr>
          <w:i/>
        </w:rPr>
      </w:pPr>
      <w:r w:rsidRPr="003A4B00">
        <w:rPr>
          <w:i/>
        </w:rPr>
        <w:t>Key indicators:</w:t>
      </w:r>
    </w:p>
    <w:p w:rsidR="00E22A76" w:rsidRPr="003A4B00" w:rsidRDefault="00E22A76" w:rsidP="00A16659">
      <w:pPr>
        <w:numPr>
          <w:ilvl w:val="0"/>
          <w:numId w:val="19"/>
        </w:numPr>
        <w:tabs>
          <w:tab w:val="left" w:pos="284"/>
        </w:tabs>
        <w:spacing w:after="0"/>
        <w:contextualSpacing/>
        <w:rPr>
          <w:rFonts w:ascii="Calibri" w:eastAsia="Times New Roman" w:hAnsi="Calibri" w:cs="Calibri"/>
          <w:color w:val="000000"/>
          <w:lang w:eastAsia="en-AU"/>
        </w:rPr>
      </w:pPr>
      <w:r w:rsidRPr="00947C42">
        <w:rPr>
          <w:rFonts w:ascii="Calibri" w:eastAsia="Times New Roman" w:hAnsi="Calibri" w:cs="Calibri"/>
          <w:bCs/>
          <w:iCs/>
          <w:color w:val="000000"/>
          <w:lang w:eastAsia="en-AU"/>
        </w:rPr>
        <w:t>Average EPF (or equivalent) expenditure</w:t>
      </w:r>
      <w:r w:rsidRPr="00947C42">
        <w:rPr>
          <w:rFonts w:ascii="Calibri" w:eastAsia="Times New Roman" w:hAnsi="Calibri" w:cs="Calibri"/>
          <w:b/>
          <w:bCs/>
          <w:i/>
          <w:iCs/>
          <w:color w:val="000000"/>
          <w:lang w:eastAsia="en-AU"/>
        </w:rPr>
        <w:t xml:space="preserve"> </w:t>
      </w:r>
      <w:r w:rsidRPr="003A4B00">
        <w:rPr>
          <w:rFonts w:ascii="Calibri" w:eastAsia="Times New Roman" w:hAnsi="Calibri" w:cs="Calibri"/>
          <w:color w:val="000000"/>
          <w:lang w:eastAsia="en-AU"/>
        </w:rPr>
        <w:t>for those who receive the Bonus compared to those who:</w:t>
      </w:r>
    </w:p>
    <w:p w:rsidR="00E22A76" w:rsidRPr="0025167B" w:rsidRDefault="00E22A76" w:rsidP="00A16659">
      <w:pPr>
        <w:numPr>
          <w:ilvl w:val="0"/>
          <w:numId w:val="21"/>
        </w:numPr>
        <w:suppressAutoHyphens/>
        <w:autoSpaceDE w:val="0"/>
        <w:autoSpaceDN w:val="0"/>
        <w:adjustRightInd w:val="0"/>
        <w:spacing w:after="120" w:line="240" w:lineRule="auto"/>
        <w:textAlignment w:val="center"/>
        <w:rPr>
          <w:rFonts w:eastAsia="Times New Roman" w:cs="Garamond"/>
          <w:color w:val="000000"/>
        </w:rPr>
      </w:pPr>
      <w:r w:rsidRPr="0025167B">
        <w:rPr>
          <w:rFonts w:eastAsia="Times New Roman" w:cs="Garamond"/>
          <w:color w:val="000000"/>
        </w:rPr>
        <w:t>do not claim the Bonus but could have</w:t>
      </w:r>
    </w:p>
    <w:p w:rsidR="00E22A76" w:rsidRPr="0025167B" w:rsidRDefault="00E22A76" w:rsidP="00A16659">
      <w:pPr>
        <w:numPr>
          <w:ilvl w:val="0"/>
          <w:numId w:val="21"/>
        </w:numPr>
        <w:suppressAutoHyphens/>
        <w:autoSpaceDE w:val="0"/>
        <w:autoSpaceDN w:val="0"/>
        <w:adjustRightInd w:val="0"/>
        <w:spacing w:after="120" w:line="240" w:lineRule="auto"/>
        <w:textAlignment w:val="center"/>
        <w:rPr>
          <w:rFonts w:eastAsia="Times New Roman" w:cs="Garamond"/>
          <w:color w:val="000000"/>
        </w:rPr>
      </w:pPr>
      <w:r w:rsidRPr="0025167B">
        <w:rPr>
          <w:rFonts w:eastAsia="Times New Roman" w:cs="Garamond"/>
          <w:color w:val="000000"/>
        </w:rPr>
        <w:t>obtain employment but return to income support before reaching the 12 or 24</w:t>
      </w:r>
      <w:r>
        <w:rPr>
          <w:rFonts w:eastAsia="Times New Roman" w:cs="Garamond"/>
          <w:color w:val="000000"/>
        </w:rPr>
        <w:t> </w:t>
      </w:r>
      <w:r w:rsidRPr="0025167B">
        <w:rPr>
          <w:rFonts w:eastAsia="Times New Roman" w:cs="Garamond"/>
          <w:color w:val="000000"/>
        </w:rPr>
        <w:t>month milestones</w:t>
      </w:r>
    </w:p>
    <w:p w:rsidR="00E22A76" w:rsidRPr="0025167B" w:rsidRDefault="00E22A76" w:rsidP="00A16659">
      <w:pPr>
        <w:numPr>
          <w:ilvl w:val="0"/>
          <w:numId w:val="21"/>
        </w:numPr>
        <w:suppressAutoHyphens/>
        <w:autoSpaceDE w:val="0"/>
        <w:autoSpaceDN w:val="0"/>
        <w:adjustRightInd w:val="0"/>
        <w:spacing w:after="120" w:line="240" w:lineRule="auto"/>
        <w:textAlignment w:val="center"/>
        <w:rPr>
          <w:rFonts w:cs="Garamond"/>
          <w:i/>
          <w:color w:val="000000"/>
        </w:rPr>
      </w:pPr>
      <w:r w:rsidRPr="0025167B">
        <w:rPr>
          <w:rFonts w:eastAsia="Times New Roman" w:cs="Garamond"/>
          <w:color w:val="000000"/>
        </w:rPr>
        <w:t xml:space="preserve">remain on income support </w:t>
      </w:r>
      <w:r w:rsidRPr="0025167B">
        <w:rPr>
          <w:rFonts w:cs="Garamond"/>
          <w:i/>
          <w:color w:val="000000"/>
        </w:rPr>
        <w:t>[Employment and DHS administrative data]</w:t>
      </w:r>
    </w:p>
    <w:p w:rsidR="00E22A76" w:rsidRPr="0025167B" w:rsidRDefault="00E22A76" w:rsidP="00E22A76">
      <w:pPr>
        <w:tabs>
          <w:tab w:val="left" w:pos="227"/>
        </w:tabs>
        <w:suppressAutoHyphens/>
        <w:autoSpaceDE w:val="0"/>
        <w:autoSpaceDN w:val="0"/>
        <w:adjustRightInd w:val="0"/>
        <w:spacing w:before="20" w:after="198" w:line="300" w:lineRule="atLeast"/>
        <w:textAlignment w:val="center"/>
        <w:rPr>
          <w:rFonts w:ascii="Calibri" w:eastAsia="Univers" w:hAnsi="Calibri" w:cs="Garamond"/>
          <w:color w:val="000000"/>
          <w:lang w:eastAsia="en-AU"/>
        </w:rPr>
      </w:pPr>
      <w:r w:rsidRPr="0025167B">
        <w:rPr>
          <w:rFonts w:ascii="Calibri" w:eastAsia="Univers" w:hAnsi="Calibri" w:cs="Garamond"/>
          <w:bCs/>
          <w:iCs/>
          <w:color w:val="000000"/>
          <w:lang w:eastAsia="en-AU"/>
        </w:rPr>
        <w:lastRenderedPageBreak/>
        <w:t>Regression analysis</w:t>
      </w:r>
      <w:r w:rsidRPr="0025167B">
        <w:rPr>
          <w:rFonts w:ascii="Calibri" w:eastAsia="Univers" w:hAnsi="Calibri" w:cs="Garamond"/>
          <w:color w:val="000000"/>
          <w:lang w:eastAsia="en-AU"/>
        </w:rPr>
        <w:t xml:space="preserve"> will be used to determine the likelihood of job seekers achieving the bonus milestones (that is staying off income support for 12 months/ 24 months) based on their demographic characteristics and the amount/type of EPF (or equivalent) expenditure. </w:t>
      </w:r>
      <w:r w:rsidRPr="0025167B">
        <w:rPr>
          <w:rFonts w:ascii="Calibri" w:eastAsia="Univers" w:hAnsi="Calibri" w:cs="Garamond"/>
          <w:i/>
          <w:color w:val="000000"/>
          <w:lang w:eastAsia="en-AU"/>
        </w:rPr>
        <w:t>[Employment administrative data]</w:t>
      </w:r>
    </w:p>
    <w:p w:rsidR="00E22A76" w:rsidRPr="0025167B" w:rsidRDefault="00E22A76" w:rsidP="00E22A76">
      <w:pPr>
        <w:keepNext/>
        <w:tabs>
          <w:tab w:val="left" w:pos="227"/>
        </w:tabs>
        <w:suppressAutoHyphens/>
        <w:autoSpaceDE w:val="0"/>
        <w:autoSpaceDN w:val="0"/>
        <w:adjustRightInd w:val="0"/>
        <w:spacing w:before="20" w:after="198" w:line="300" w:lineRule="atLeast"/>
        <w:textAlignment w:val="center"/>
        <w:rPr>
          <w:rFonts w:ascii="Calibri" w:eastAsia="Univers" w:hAnsi="Calibri" w:cs="Garamond"/>
          <w:b/>
          <w:color w:val="000000"/>
          <w:lang w:eastAsia="en-AU"/>
        </w:rPr>
      </w:pPr>
      <w:r w:rsidRPr="0025167B">
        <w:rPr>
          <w:rFonts w:ascii="Calibri" w:eastAsia="Univers" w:hAnsi="Calibri" w:cs="Garamond"/>
          <w:b/>
          <w:color w:val="000000"/>
          <w:lang w:eastAsia="en-AU"/>
        </w:rPr>
        <w:t xml:space="preserve">Question 4: </w:t>
      </w:r>
      <w:r>
        <w:rPr>
          <w:rFonts w:ascii="Calibri" w:eastAsia="Univers" w:hAnsi="Calibri" w:cs="Garamond"/>
          <w:b/>
          <w:color w:val="000000"/>
          <w:lang w:eastAsia="en-AU"/>
        </w:rPr>
        <w:t>Wa</w:t>
      </w:r>
      <w:r w:rsidRPr="0025167B">
        <w:rPr>
          <w:rFonts w:ascii="Calibri" w:eastAsia="Univers" w:hAnsi="Calibri" w:cs="Garamond"/>
          <w:b/>
          <w:color w:val="000000"/>
          <w:lang w:eastAsia="en-AU"/>
        </w:rPr>
        <w:t xml:space="preserve">s the Job Commitment Bonus cost effective? </w:t>
      </w:r>
    </w:p>
    <w:p w:rsidR="00E22A76" w:rsidRPr="00947C42" w:rsidRDefault="00E22A76" w:rsidP="00E22A76">
      <w:pPr>
        <w:keepNext/>
        <w:rPr>
          <w:i/>
        </w:rPr>
      </w:pPr>
      <w:r w:rsidRPr="003A4B00">
        <w:rPr>
          <w:i/>
        </w:rPr>
        <w:t>Key indicator</w:t>
      </w:r>
      <w:r w:rsidRPr="00947C42">
        <w:rPr>
          <w:i/>
        </w:rPr>
        <w:t>s:</w:t>
      </w:r>
    </w:p>
    <w:p w:rsidR="00E22A76" w:rsidRPr="0025167B" w:rsidRDefault="00E22A76" w:rsidP="00A16659">
      <w:pPr>
        <w:numPr>
          <w:ilvl w:val="0"/>
          <w:numId w:val="19"/>
        </w:numPr>
        <w:tabs>
          <w:tab w:val="left" w:pos="227"/>
        </w:tabs>
        <w:suppressAutoHyphens/>
        <w:autoSpaceDE w:val="0"/>
        <w:autoSpaceDN w:val="0"/>
        <w:adjustRightInd w:val="0"/>
        <w:spacing w:before="20" w:after="198" w:line="300" w:lineRule="atLeast"/>
        <w:textAlignment w:val="center"/>
        <w:rPr>
          <w:rFonts w:ascii="Calibri" w:eastAsia="Univers" w:hAnsi="Calibri" w:cs="Garamond"/>
          <w:color w:val="000000"/>
          <w:lang w:eastAsia="en-AU"/>
        </w:rPr>
      </w:pPr>
      <w:r w:rsidRPr="0025167B">
        <w:rPr>
          <w:rFonts w:ascii="Calibri" w:eastAsia="Univers" w:hAnsi="Calibri" w:cs="Garamond"/>
          <w:color w:val="000000"/>
          <w:lang w:eastAsia="en-AU"/>
        </w:rPr>
        <w:t xml:space="preserve">Estimation of deadweight cost. The proportion of job seekers who received the Bonus who would have sustained employment without the Bonus will be estimated using predictive regression modelling of off-income support outcome rates </w:t>
      </w:r>
      <w:r w:rsidRPr="0025167B">
        <w:rPr>
          <w:rFonts w:ascii="Calibri" w:eastAsia="Univers" w:hAnsi="Calibri" w:cs="Garamond"/>
          <w:i/>
          <w:color w:val="000000"/>
          <w:lang w:eastAsia="en-AU"/>
        </w:rPr>
        <w:t>[Employment and DHS administrative data]</w:t>
      </w:r>
    </w:p>
    <w:p w:rsidR="00E22A76" w:rsidRPr="0025167B" w:rsidRDefault="00E22A76" w:rsidP="00A16659">
      <w:pPr>
        <w:numPr>
          <w:ilvl w:val="0"/>
          <w:numId w:val="19"/>
        </w:numPr>
        <w:tabs>
          <w:tab w:val="left" w:pos="227"/>
        </w:tabs>
        <w:suppressAutoHyphens/>
        <w:autoSpaceDE w:val="0"/>
        <w:autoSpaceDN w:val="0"/>
        <w:adjustRightInd w:val="0"/>
        <w:spacing w:before="20" w:after="198" w:line="300" w:lineRule="atLeast"/>
        <w:textAlignment w:val="center"/>
        <w:rPr>
          <w:rFonts w:ascii="Calibri" w:eastAsia="Univers" w:hAnsi="Calibri" w:cs="Garamond"/>
          <w:color w:val="000000"/>
          <w:lang w:eastAsia="en-AU"/>
        </w:rPr>
      </w:pPr>
      <w:r w:rsidRPr="0025167B">
        <w:rPr>
          <w:rFonts w:ascii="Calibri" w:eastAsia="Univers" w:hAnsi="Calibri" w:cs="Garamond"/>
          <w:color w:val="000000"/>
          <w:lang w:eastAsia="en-AU"/>
        </w:rPr>
        <w:t>Modelled estimates of cost per outcome and income support savings per outcome for claimants. The model will attempt to discount deadweight based on the abovementioned findings.</w:t>
      </w:r>
    </w:p>
    <w:p w:rsidR="00E22A76" w:rsidRPr="00947C42" w:rsidRDefault="00E22A76" w:rsidP="00E22A76">
      <w:pPr>
        <w:rPr>
          <w:rFonts w:ascii="Calibri" w:eastAsiaTheme="majorEastAsia" w:hAnsi="Calibri" w:cstheme="majorBidi"/>
          <w:b/>
          <w:bCs/>
          <w:color w:val="1E3D6B"/>
          <w:sz w:val="36"/>
          <w:szCs w:val="28"/>
        </w:rPr>
      </w:pPr>
      <w:r w:rsidRPr="003A4B00">
        <w:br w:type="page"/>
      </w:r>
    </w:p>
    <w:p w:rsidR="00965FBD" w:rsidRDefault="00965FBD" w:rsidP="00965FBD">
      <w:pPr>
        <w:pStyle w:val="Heading1"/>
      </w:pPr>
      <w:bookmarkStart w:id="238" w:name="_Toc507600265"/>
      <w:bookmarkStart w:id="239" w:name="_Toc477336471"/>
      <w:bookmarkStart w:id="240" w:name="_Toc478117592"/>
      <w:r>
        <w:lastRenderedPageBreak/>
        <w:t xml:space="preserve">Attachment </w:t>
      </w:r>
      <w:r w:rsidR="003711FF">
        <w:t>C</w:t>
      </w:r>
      <w:r>
        <w:t>: Scope and timing of qualitative research</w:t>
      </w:r>
      <w:bookmarkEnd w:id="238"/>
    </w:p>
    <w:p w:rsidR="00965FBD" w:rsidRPr="005114E3" w:rsidRDefault="00965FBD" w:rsidP="005114E3">
      <w:pPr>
        <w:rPr>
          <w:b/>
        </w:rPr>
      </w:pPr>
      <w:r w:rsidRPr="005114E3">
        <w:rPr>
          <w:b/>
        </w:rPr>
        <w:t>March 2015</w:t>
      </w:r>
      <w:r w:rsidR="00474F55">
        <w:rPr>
          <w:b/>
        </w:rPr>
        <w:t xml:space="preserve"> Round 1</w:t>
      </w:r>
    </w:p>
    <w:p w:rsidR="00965FBD" w:rsidRDefault="00965FBD" w:rsidP="00965FBD">
      <w:pPr>
        <w:spacing w:after="0"/>
      </w:pPr>
      <w:r>
        <w:t xml:space="preserve">The </w:t>
      </w:r>
      <w:r w:rsidRPr="003A4B00">
        <w:t xml:space="preserve">Department engaged Alliance Strategic Research to conduct qualitative research to inform the </w:t>
      </w:r>
      <w:r w:rsidR="00E22035" w:rsidRPr="003A4B00">
        <w:t xml:space="preserve">JCB </w:t>
      </w:r>
      <w:r w:rsidRPr="003A4B00">
        <w:t xml:space="preserve">evaluation. </w:t>
      </w:r>
      <w:r>
        <w:t>The research explored</w:t>
      </w:r>
      <w:r w:rsidRPr="003A4B00">
        <w:t xml:space="preserve"> awareness of</w:t>
      </w:r>
      <w:r>
        <w:t>,</w:t>
      </w:r>
      <w:r w:rsidRPr="003A4B00">
        <w:t xml:space="preserve"> and attitudes towards</w:t>
      </w:r>
      <w:r>
        <w:t>,</w:t>
      </w:r>
      <w:r w:rsidRPr="003A4B00">
        <w:t xml:space="preserve"> the JCB.</w:t>
      </w:r>
      <w:r>
        <w:t xml:space="preserve"> It was conducted after the program commenced (1 July 2014) but prior to the date first claims could be lodged (from 1 July 2015). Participants were 18 to 30 year olds who were:</w:t>
      </w:r>
    </w:p>
    <w:p w:rsidR="00965FBD" w:rsidRPr="00626C70" w:rsidRDefault="00965FBD" w:rsidP="00066793">
      <w:pPr>
        <w:pStyle w:val="ListParagraph"/>
        <w:numPr>
          <w:ilvl w:val="0"/>
          <w:numId w:val="44"/>
        </w:numPr>
      </w:pPr>
      <w:r w:rsidRPr="00426C6C">
        <w:t xml:space="preserve">unemployed job seekers currently in employment services who had been on either NSA or YA(O) </w:t>
      </w:r>
      <w:r w:rsidRPr="00626C70">
        <w:t xml:space="preserve">continuously for at least the previous 12 months at the time of the sample selection </w:t>
      </w:r>
    </w:p>
    <w:p w:rsidR="00965FBD" w:rsidRDefault="00965FBD" w:rsidP="00066793">
      <w:pPr>
        <w:pStyle w:val="ListParagraph"/>
        <w:numPr>
          <w:ilvl w:val="0"/>
          <w:numId w:val="44"/>
        </w:numPr>
      </w:pPr>
      <w:r w:rsidRPr="00626C70">
        <w:t xml:space="preserve">employed people who had been on either NSA or YA(O) continuously for at least 12 months and had left income support </w:t>
      </w:r>
      <w:r w:rsidRPr="00426C6C">
        <w:t>on or after 1 July 2014</w:t>
      </w:r>
      <w:r>
        <w:t>.</w:t>
      </w:r>
    </w:p>
    <w:p w:rsidR="00965FBD" w:rsidRPr="005114E3" w:rsidRDefault="00965FBD" w:rsidP="005114E3">
      <w:pPr>
        <w:rPr>
          <w:b/>
        </w:rPr>
      </w:pPr>
      <w:r w:rsidRPr="005114E3">
        <w:rPr>
          <w:b/>
        </w:rPr>
        <w:t>November 2015</w:t>
      </w:r>
      <w:r w:rsidR="00474F55">
        <w:rPr>
          <w:b/>
        </w:rPr>
        <w:t xml:space="preserve"> Round 2</w:t>
      </w:r>
    </w:p>
    <w:p w:rsidR="00965FBD" w:rsidRDefault="00965FBD" w:rsidP="00965FBD">
      <w:pPr>
        <w:spacing w:after="0"/>
      </w:pPr>
      <w:r>
        <w:t xml:space="preserve">The </w:t>
      </w:r>
      <w:r w:rsidRPr="003A4B00">
        <w:t xml:space="preserve">Department engaged the Social Research Centre to conduct quantitative and qualitative research about job seeker experiences with employment services. As part of this </w:t>
      </w:r>
      <w:r>
        <w:t>project</w:t>
      </w:r>
      <w:r w:rsidRPr="003A4B00">
        <w:t xml:space="preserve"> interviews were conducted with people who had claimed and received the JCB and </w:t>
      </w:r>
      <w:r>
        <w:t xml:space="preserve">people </w:t>
      </w:r>
      <w:r w:rsidRPr="003A4B00">
        <w:t>who</w:t>
      </w:r>
      <w:r>
        <w:t xml:space="preserve"> had a</w:t>
      </w:r>
      <w:r w:rsidRPr="003A4B00">
        <w:t xml:space="preserve"> claim rejected. The objectives of this element of the research were to </w:t>
      </w:r>
      <w:r>
        <w:t>explore:</w:t>
      </w:r>
    </w:p>
    <w:p w:rsidR="00965FBD" w:rsidRDefault="00965FBD" w:rsidP="00066793">
      <w:pPr>
        <w:pStyle w:val="ListParagraph"/>
        <w:numPr>
          <w:ilvl w:val="0"/>
          <w:numId w:val="44"/>
        </w:numPr>
      </w:pPr>
      <w:r>
        <w:t>the</w:t>
      </w:r>
      <w:r w:rsidRPr="003A4B00">
        <w:t xml:space="preserve"> extent </w:t>
      </w:r>
      <w:r>
        <w:t xml:space="preserve">of </w:t>
      </w:r>
      <w:r w:rsidRPr="003A4B00">
        <w:t>aware</w:t>
      </w:r>
      <w:r>
        <w:t>ness</w:t>
      </w:r>
      <w:r w:rsidRPr="003A4B00">
        <w:t xml:space="preserve"> of the JCB</w:t>
      </w:r>
      <w:r>
        <w:t xml:space="preserve"> (among the general job seeker cohort)</w:t>
      </w:r>
    </w:p>
    <w:p w:rsidR="00965FBD" w:rsidRDefault="00965FBD" w:rsidP="00066793">
      <w:pPr>
        <w:pStyle w:val="ListParagraph"/>
        <w:numPr>
          <w:ilvl w:val="0"/>
          <w:numId w:val="44"/>
        </w:numPr>
      </w:pPr>
      <w:r w:rsidRPr="003A4B00">
        <w:t xml:space="preserve">how </w:t>
      </w:r>
      <w:r>
        <w:t>people became aware of the JCB</w:t>
      </w:r>
    </w:p>
    <w:p w:rsidR="00965FBD" w:rsidRDefault="00965FBD" w:rsidP="00066793">
      <w:pPr>
        <w:pStyle w:val="ListParagraph"/>
        <w:numPr>
          <w:ilvl w:val="0"/>
          <w:numId w:val="44"/>
        </w:numPr>
      </w:pPr>
      <w:r w:rsidRPr="003A4B00">
        <w:t>views on the JCB</w:t>
      </w:r>
    </w:p>
    <w:p w:rsidR="00965FBD" w:rsidRDefault="00965FBD" w:rsidP="00066793">
      <w:pPr>
        <w:pStyle w:val="ListParagraph"/>
        <w:numPr>
          <w:ilvl w:val="0"/>
          <w:numId w:val="44"/>
        </w:numPr>
      </w:pPr>
      <w:r w:rsidRPr="003A4B00">
        <w:t xml:space="preserve">the impact </w:t>
      </w:r>
      <w:r>
        <w:t xml:space="preserve">of </w:t>
      </w:r>
      <w:r w:rsidRPr="003A4B00">
        <w:t xml:space="preserve">the JCB on job search behaviour </w:t>
      </w:r>
    </w:p>
    <w:p w:rsidR="00965FBD" w:rsidRDefault="00965FBD" w:rsidP="00066793">
      <w:pPr>
        <w:pStyle w:val="ListParagraph"/>
        <w:numPr>
          <w:ilvl w:val="0"/>
          <w:numId w:val="44"/>
        </w:numPr>
      </w:pPr>
      <w:r>
        <w:t xml:space="preserve">the effect of JCB </w:t>
      </w:r>
      <w:r w:rsidRPr="003A4B00">
        <w:t>sustain</w:t>
      </w:r>
      <w:r>
        <w:t>ed</w:t>
      </w:r>
      <w:r w:rsidRPr="003A4B00">
        <w:t xml:space="preserve"> employment.</w:t>
      </w:r>
    </w:p>
    <w:p w:rsidR="00965FBD" w:rsidRPr="005114E3" w:rsidRDefault="00965FBD" w:rsidP="005114E3">
      <w:pPr>
        <w:rPr>
          <w:b/>
        </w:rPr>
      </w:pPr>
      <w:r w:rsidRPr="005114E3">
        <w:rPr>
          <w:b/>
        </w:rPr>
        <w:t>October – December 2016</w:t>
      </w:r>
      <w:r w:rsidR="00474F55">
        <w:rPr>
          <w:b/>
        </w:rPr>
        <w:t xml:space="preserve"> Round 3</w:t>
      </w:r>
    </w:p>
    <w:p w:rsidR="00965FBD" w:rsidRDefault="00965FBD" w:rsidP="00965FBD">
      <w:pPr>
        <w:spacing w:after="0"/>
      </w:pPr>
      <w:r>
        <w:t xml:space="preserve">The Department engaged Market Access Consulting and Research </w:t>
      </w:r>
      <w:r w:rsidRPr="003A4B00">
        <w:t>to conduct qualitative research</w:t>
      </w:r>
      <w:r>
        <w:t xml:space="preserve"> with young long</w:t>
      </w:r>
      <w:r w:rsidR="00E22035">
        <w:t>-</w:t>
      </w:r>
      <w:r>
        <w:t xml:space="preserve">term unemployed </w:t>
      </w:r>
      <w:r w:rsidRPr="008520F9">
        <w:t xml:space="preserve">job seekers </w:t>
      </w:r>
      <w:r w:rsidR="00E22035">
        <w:t>who</w:t>
      </w:r>
      <w:r w:rsidR="00E22035" w:rsidRPr="008520F9">
        <w:t xml:space="preserve"> </w:t>
      </w:r>
      <w:r w:rsidRPr="008520F9">
        <w:t>subsequently bec</w:t>
      </w:r>
      <w:r>
        <w:t>a</w:t>
      </w:r>
      <w:r w:rsidRPr="008520F9">
        <w:t>me potential JCB claimants</w:t>
      </w:r>
      <w:r>
        <w:t>.</w:t>
      </w:r>
      <w:r w:rsidRPr="008520F9">
        <w:t xml:space="preserve"> The research sample comprised</w:t>
      </w:r>
      <w:r>
        <w:t xml:space="preserve"> those who had:</w:t>
      </w:r>
    </w:p>
    <w:p w:rsidR="00965FBD" w:rsidRDefault="00965FBD" w:rsidP="00066793">
      <w:pPr>
        <w:pStyle w:val="ListParagraph"/>
        <w:numPr>
          <w:ilvl w:val="0"/>
          <w:numId w:val="44"/>
        </w:numPr>
      </w:pPr>
      <w:r>
        <w:t>claimed and received the bonus</w:t>
      </w:r>
    </w:p>
    <w:p w:rsidR="00965FBD" w:rsidRDefault="00965FBD" w:rsidP="00066793">
      <w:pPr>
        <w:pStyle w:val="ListParagraph"/>
        <w:numPr>
          <w:ilvl w:val="0"/>
          <w:numId w:val="44"/>
        </w:numPr>
      </w:pPr>
      <w:r>
        <w:t>claimed the bonus but their claim had been rejected</w:t>
      </w:r>
    </w:p>
    <w:p w:rsidR="00965FBD" w:rsidRDefault="00965FBD" w:rsidP="00066793">
      <w:pPr>
        <w:pStyle w:val="ListParagraph"/>
        <w:numPr>
          <w:ilvl w:val="0"/>
          <w:numId w:val="44"/>
        </w:numPr>
      </w:pPr>
      <w:r>
        <w:t>not claimed the bonus but may have been eligible to do so.</w:t>
      </w:r>
    </w:p>
    <w:p w:rsidR="00965FBD" w:rsidRDefault="00965FBD" w:rsidP="00965FBD">
      <w:pPr>
        <w:spacing w:after="0"/>
      </w:pPr>
      <w:r>
        <w:t xml:space="preserve">Through a </w:t>
      </w:r>
      <w:r w:rsidRPr="008520F9">
        <w:t>combination of focus group discussions and in-depth interviews</w:t>
      </w:r>
      <w:r>
        <w:t>, this research explored:</w:t>
      </w:r>
    </w:p>
    <w:p w:rsidR="00965FBD" w:rsidRPr="0039036A" w:rsidRDefault="00965FBD" w:rsidP="00066793">
      <w:pPr>
        <w:pStyle w:val="ListParagraph"/>
        <w:numPr>
          <w:ilvl w:val="0"/>
          <w:numId w:val="44"/>
        </w:numPr>
      </w:pPr>
      <w:r>
        <w:t>a</w:t>
      </w:r>
      <w:r w:rsidRPr="0039036A">
        <w:t xml:space="preserve">wareness of and attitudes about the </w:t>
      </w:r>
      <w:r>
        <w:t>JCB</w:t>
      </w:r>
      <w:r w:rsidRPr="0039036A">
        <w:t xml:space="preserve"> </w:t>
      </w:r>
    </w:p>
    <w:p w:rsidR="00965FBD" w:rsidRPr="0039036A" w:rsidRDefault="00965FBD" w:rsidP="00066793">
      <w:pPr>
        <w:pStyle w:val="ListParagraph"/>
        <w:numPr>
          <w:ilvl w:val="0"/>
          <w:numId w:val="44"/>
        </w:numPr>
      </w:pPr>
      <w:r>
        <w:t>v</w:t>
      </w:r>
      <w:r w:rsidRPr="0039036A">
        <w:t>iews about the JCB application process and sources of information</w:t>
      </w:r>
    </w:p>
    <w:p w:rsidR="00965FBD" w:rsidRPr="0039036A" w:rsidRDefault="00965FBD" w:rsidP="00066793">
      <w:pPr>
        <w:pStyle w:val="ListParagraph"/>
        <w:numPr>
          <w:ilvl w:val="0"/>
          <w:numId w:val="44"/>
        </w:numPr>
      </w:pPr>
      <w:r>
        <w:t>p</w:t>
      </w:r>
      <w:r w:rsidRPr="0039036A">
        <w:t>ossible barriers to take-up</w:t>
      </w:r>
      <w:r>
        <w:t xml:space="preserve"> of the bonus</w:t>
      </w:r>
    </w:p>
    <w:p w:rsidR="00965FBD" w:rsidRDefault="00965FBD" w:rsidP="00066793">
      <w:pPr>
        <w:pStyle w:val="ListParagraph"/>
        <w:numPr>
          <w:ilvl w:val="0"/>
          <w:numId w:val="44"/>
        </w:numPr>
      </w:pPr>
      <w:r>
        <w:t>t</w:t>
      </w:r>
      <w:r w:rsidRPr="0039036A">
        <w:t xml:space="preserve">he extent to which the </w:t>
      </w:r>
      <w:r>
        <w:t>JCB</w:t>
      </w:r>
      <w:r w:rsidRPr="0039036A">
        <w:t xml:space="preserve"> influenced job seekers to find work and stay off income support</w:t>
      </w:r>
    </w:p>
    <w:p w:rsidR="00965FBD" w:rsidRDefault="00965FBD" w:rsidP="00066793">
      <w:pPr>
        <w:pStyle w:val="ListParagraph"/>
        <w:numPr>
          <w:ilvl w:val="0"/>
          <w:numId w:val="44"/>
        </w:numPr>
      </w:pPr>
      <w:r>
        <w:t>key learnings and opportunities for future programs</w:t>
      </w:r>
    </w:p>
    <w:p w:rsidR="00965FBD" w:rsidRDefault="00965FBD" w:rsidP="00066793">
      <w:pPr>
        <w:pStyle w:val="ListParagraph"/>
        <w:numPr>
          <w:ilvl w:val="0"/>
          <w:numId w:val="44"/>
        </w:numPr>
      </w:pPr>
      <w:r>
        <w:t>w</w:t>
      </w:r>
      <w:r w:rsidRPr="0039036A">
        <w:t>hat motivates job seekers to find work and stay in a jo</w:t>
      </w:r>
      <w:r>
        <w:t>b.</w:t>
      </w:r>
    </w:p>
    <w:p w:rsidR="00965FBD" w:rsidRPr="005114E3" w:rsidRDefault="00B57FD6" w:rsidP="005114E3">
      <w:pPr>
        <w:rPr>
          <w:b/>
        </w:rPr>
      </w:pPr>
      <w:r>
        <w:rPr>
          <w:b/>
        </w:rPr>
        <w:t>July</w:t>
      </w:r>
      <w:r w:rsidRPr="005114E3">
        <w:rPr>
          <w:b/>
        </w:rPr>
        <w:t xml:space="preserve"> </w:t>
      </w:r>
      <w:r w:rsidR="00965FBD" w:rsidRPr="005114E3">
        <w:rPr>
          <w:b/>
        </w:rPr>
        <w:t>2017</w:t>
      </w:r>
      <w:r w:rsidR="00474F55">
        <w:rPr>
          <w:b/>
        </w:rPr>
        <w:t xml:space="preserve"> Round 4</w:t>
      </w:r>
    </w:p>
    <w:p w:rsidR="00965FBD" w:rsidRDefault="00965FBD" w:rsidP="00965FBD">
      <w:pPr>
        <w:spacing w:after="0"/>
        <w:rPr>
          <w:rFonts w:ascii="Calibri" w:eastAsiaTheme="majorEastAsia" w:hAnsi="Calibri" w:cstheme="majorBidi"/>
          <w:b/>
          <w:bCs/>
          <w:color w:val="1E3D6B"/>
          <w:sz w:val="36"/>
          <w:szCs w:val="28"/>
        </w:rPr>
      </w:pPr>
      <w:r>
        <w:t xml:space="preserve">The Department engaged the Social Research Centre </w:t>
      </w:r>
      <w:r w:rsidRPr="003A4B00">
        <w:t xml:space="preserve">to conduct </w:t>
      </w:r>
      <w:r>
        <w:t xml:space="preserve">a second round of </w:t>
      </w:r>
      <w:r w:rsidRPr="003A4B00">
        <w:t>quantitative and qualitative research about job seekers</w:t>
      </w:r>
      <w:r>
        <w:t>’</w:t>
      </w:r>
      <w:r w:rsidRPr="003A4B00">
        <w:t xml:space="preserve"> experiences with employment services</w:t>
      </w:r>
      <w:r>
        <w:t>. P</w:t>
      </w:r>
      <w:r w:rsidRPr="003A4B00">
        <w:t xml:space="preserve">art of </w:t>
      </w:r>
      <w:r>
        <w:t>the</w:t>
      </w:r>
      <w:r w:rsidRPr="003A4B00">
        <w:t xml:space="preserve"> </w:t>
      </w:r>
      <w:r>
        <w:t xml:space="preserve">research </w:t>
      </w:r>
      <w:r>
        <w:lastRenderedPageBreak/>
        <w:t>explored job seeker experiences with looking for work, what motivates them and what types of financial incentive would be attractive to them.</w:t>
      </w:r>
      <w:r>
        <w:br w:type="page"/>
      </w:r>
    </w:p>
    <w:p w:rsidR="00965FBD" w:rsidRDefault="003711FF" w:rsidP="00965FBD">
      <w:pPr>
        <w:pStyle w:val="Heading1"/>
      </w:pPr>
      <w:bookmarkStart w:id="241" w:name="_Toc507600266"/>
      <w:r>
        <w:lastRenderedPageBreak/>
        <w:t>Attachment D</w:t>
      </w:r>
      <w:r w:rsidR="00965FBD">
        <w:t>: Data sources used in the evaluation</w:t>
      </w:r>
      <w:bookmarkEnd w:id="241"/>
    </w:p>
    <w:p w:rsidR="00965FBD" w:rsidRPr="005114E3" w:rsidRDefault="00965FBD" w:rsidP="005114E3">
      <w:pPr>
        <w:rPr>
          <w:b/>
        </w:rPr>
      </w:pPr>
      <w:r w:rsidRPr="005114E3">
        <w:rPr>
          <w:b/>
        </w:rPr>
        <w:t>JCB specific datasets provided by DHS</w:t>
      </w:r>
    </w:p>
    <w:p w:rsidR="00965FBD" w:rsidRPr="00316BA2" w:rsidRDefault="00965FBD" w:rsidP="00965FBD">
      <w:pPr>
        <w:spacing w:before="120"/>
        <w:rPr>
          <w:color w:val="000000" w:themeColor="text1"/>
        </w:rPr>
      </w:pPr>
      <w:r w:rsidRPr="00316BA2">
        <w:rPr>
          <w:color w:val="000000" w:themeColor="text1"/>
        </w:rPr>
        <w:t xml:space="preserve">These datasets include lists of job seekers who received notification about the JCB by mail, data from JCB processing such as information about NSA/YA(O) payment cancellation letters and status of claims for the </w:t>
      </w:r>
      <w:r w:rsidR="00E22035">
        <w:rPr>
          <w:color w:val="000000" w:themeColor="text1"/>
        </w:rPr>
        <w:t>b</w:t>
      </w:r>
      <w:r w:rsidRPr="00316BA2">
        <w:rPr>
          <w:color w:val="000000" w:themeColor="text1"/>
        </w:rPr>
        <w:t>onus.</w:t>
      </w:r>
    </w:p>
    <w:p w:rsidR="00965FBD" w:rsidRPr="005114E3" w:rsidRDefault="00965FBD" w:rsidP="005114E3">
      <w:pPr>
        <w:rPr>
          <w:b/>
        </w:rPr>
      </w:pPr>
      <w:r w:rsidRPr="005114E3">
        <w:rPr>
          <w:b/>
        </w:rPr>
        <w:t>Department of Employment administrative data</w:t>
      </w:r>
    </w:p>
    <w:p w:rsidR="00965FBD" w:rsidRPr="00316BA2" w:rsidRDefault="00965FBD" w:rsidP="00965FBD">
      <w:pPr>
        <w:spacing w:before="120"/>
        <w:rPr>
          <w:color w:val="000000" w:themeColor="text1"/>
        </w:rPr>
      </w:pPr>
      <w:r w:rsidRPr="00316BA2">
        <w:rPr>
          <w:color w:val="000000" w:themeColor="text1"/>
        </w:rPr>
        <w:t xml:space="preserve">This includes information on job seekers who have received employment assistance including their Job Seeker Classification Instrument (JSCI) and Employment Services Assessments (ESAts), types of assistance received through employment services, and job placements and employment outcomes. </w:t>
      </w:r>
    </w:p>
    <w:p w:rsidR="00965FBD" w:rsidRPr="005114E3" w:rsidRDefault="00965FBD" w:rsidP="005114E3">
      <w:pPr>
        <w:rPr>
          <w:b/>
        </w:rPr>
      </w:pPr>
      <w:r w:rsidRPr="005114E3">
        <w:rPr>
          <w:b/>
        </w:rPr>
        <w:t>Income support data in the Research and Evaluation Dataset (RED)</w:t>
      </w:r>
    </w:p>
    <w:p w:rsidR="00965FBD" w:rsidRPr="007A2A83" w:rsidRDefault="00965FBD" w:rsidP="00965FBD">
      <w:r w:rsidRPr="00625F6D">
        <w:t xml:space="preserve">RED consists of unit record level data for </w:t>
      </w:r>
      <w:r>
        <w:t xml:space="preserve">Centrelink </w:t>
      </w:r>
      <w:r w:rsidRPr="00625F6D">
        <w:t>customers who were on an income support payment (excluding Department of Veterans’ Affairs pension)</w:t>
      </w:r>
      <w:r>
        <w:t xml:space="preserve"> </w:t>
      </w:r>
      <w:r w:rsidRPr="00625F6D">
        <w:t>with duration of at least one day since 1</w:t>
      </w:r>
      <w:r>
        <w:t> </w:t>
      </w:r>
      <w:r w:rsidRPr="00625F6D">
        <w:t>July</w:t>
      </w:r>
      <w:r>
        <w:t> </w:t>
      </w:r>
      <w:r w:rsidRPr="00625F6D">
        <w:t>1998.</w:t>
      </w:r>
    </w:p>
    <w:p w:rsidR="00965FBD" w:rsidRPr="005114E3" w:rsidRDefault="00965FBD" w:rsidP="005114E3">
      <w:pPr>
        <w:rPr>
          <w:b/>
        </w:rPr>
      </w:pPr>
      <w:r w:rsidRPr="005114E3">
        <w:rPr>
          <w:b/>
        </w:rPr>
        <w:t>Post Program Monitoring (PPM) JCB survey</w:t>
      </w:r>
    </w:p>
    <w:p w:rsidR="00965FBD" w:rsidRDefault="00965FBD" w:rsidP="00965FBD">
      <w:r>
        <w:t>This survey data is from a</w:t>
      </w:r>
      <w:r w:rsidRPr="00090503">
        <w:t xml:space="preserve"> JCB specific </w:t>
      </w:r>
      <w:r>
        <w:t xml:space="preserve">PPM </w:t>
      </w:r>
      <w:r w:rsidRPr="00090503">
        <w:t>module of job seekers who may have been eligible to claim the JCB</w:t>
      </w:r>
      <w:r>
        <w:t xml:space="preserve">, with data </w:t>
      </w:r>
      <w:r w:rsidRPr="00090503">
        <w:t xml:space="preserve">collected between July 2015 and </w:t>
      </w:r>
      <w:r>
        <w:t>February</w:t>
      </w:r>
      <w:r w:rsidRPr="00090503">
        <w:t xml:space="preserve"> </w:t>
      </w:r>
      <w:r>
        <w:t>2017.</w:t>
      </w:r>
      <w:r w:rsidRPr="003A4B00">
        <w:t xml:space="preserve"> Six hundred </w:t>
      </w:r>
      <w:r>
        <w:t>respondents</w:t>
      </w:r>
      <w:r w:rsidRPr="003A4B00">
        <w:t xml:space="preserve"> were randomly selected at the end of each month</w:t>
      </w:r>
      <w:r>
        <w:t>,</w:t>
      </w:r>
      <w:r w:rsidRPr="003A4B00">
        <w:t xml:space="preserve"> commencing July 2014, from those who had received a</w:t>
      </w:r>
      <w:r>
        <w:t>n exit</w:t>
      </w:r>
      <w:r w:rsidRPr="003A4B00">
        <w:t xml:space="preserve"> letter </w:t>
      </w:r>
      <w:r>
        <w:t xml:space="preserve">(including the JCB paragraph) </w:t>
      </w:r>
      <w:r w:rsidRPr="003A4B00">
        <w:t>that month.</w:t>
      </w:r>
      <w:r w:rsidRPr="003A4B00">
        <w:rPr>
          <w:rStyle w:val="FootnoteReference"/>
        </w:rPr>
        <w:footnoteReference w:id="93"/>
      </w:r>
      <w:r w:rsidRPr="003A4B00">
        <w:t xml:space="preserve"> </w:t>
      </w:r>
      <w:r>
        <w:t xml:space="preserve">Respondents were </w:t>
      </w:r>
      <w:r w:rsidRPr="003A4B00">
        <w:t xml:space="preserve">surveyed in their twelfth month off income support (provided they had not returned to income support). </w:t>
      </w:r>
      <w:r>
        <w:t>Overall, 9211</w:t>
      </w:r>
      <w:r w:rsidRPr="003A4B00">
        <w:t xml:space="preserve"> people were surveyed </w:t>
      </w:r>
      <w:r>
        <w:t xml:space="preserve">from those who exited income support </w:t>
      </w:r>
      <w:r w:rsidRPr="003A4B00">
        <w:t xml:space="preserve">between July 2014 and </w:t>
      </w:r>
      <w:r>
        <w:t>December</w:t>
      </w:r>
      <w:r w:rsidR="008477D2">
        <w:t xml:space="preserve"> 2015.</w:t>
      </w:r>
    </w:p>
    <w:p w:rsidR="00965FBD" w:rsidRPr="005114E3" w:rsidRDefault="00965FBD" w:rsidP="005114E3">
      <w:pPr>
        <w:rPr>
          <w:b/>
        </w:rPr>
      </w:pPr>
      <w:r w:rsidRPr="005114E3">
        <w:rPr>
          <w:b/>
        </w:rPr>
        <w:t>Post Program Monitoring (PPM) survey</w:t>
      </w:r>
    </w:p>
    <w:p w:rsidR="00965FBD" w:rsidRDefault="00965FBD" w:rsidP="00965FBD">
      <w:r w:rsidRPr="008E59C0">
        <w:t xml:space="preserve">Since 1987 the </w:t>
      </w:r>
      <w:r>
        <w:t>D</w:t>
      </w:r>
      <w:r w:rsidRPr="008E59C0">
        <w:t>epartment has conducted the ongoing Post Program Monitoring (PPM)</w:t>
      </w:r>
      <w:r>
        <w:t xml:space="preserve"> survey</w:t>
      </w:r>
      <w:r w:rsidRPr="008E59C0">
        <w:t xml:space="preserve"> to measure the labour market and education status of job seekers who participated in employment services. In most cases, outcomes are measured aroun</w:t>
      </w:r>
      <w:r>
        <w:t>d three months post-assistance.</w:t>
      </w:r>
    </w:p>
    <w:p w:rsidR="00965FBD" w:rsidRPr="005114E3" w:rsidRDefault="00965FBD" w:rsidP="005114E3">
      <w:pPr>
        <w:rPr>
          <w:b/>
        </w:rPr>
      </w:pPr>
      <w:r w:rsidRPr="005114E3">
        <w:rPr>
          <w:b/>
        </w:rPr>
        <w:t>Other data sources</w:t>
      </w:r>
    </w:p>
    <w:p w:rsidR="00965FBD" w:rsidRDefault="00965FBD" w:rsidP="00965FBD">
      <w:pPr>
        <w:rPr>
          <w:rFonts w:eastAsiaTheme="majorEastAsia"/>
        </w:rPr>
      </w:pPr>
      <w:r w:rsidRPr="003A4B00">
        <w:rPr>
          <w:rFonts w:eastAsiaTheme="majorEastAsia"/>
        </w:rPr>
        <w:t>Further data sources</w:t>
      </w:r>
      <w:r>
        <w:rPr>
          <w:rFonts w:eastAsiaTheme="majorEastAsia"/>
        </w:rPr>
        <w:t>, including the 2015 and 2016 Employment Service Provider</w:t>
      </w:r>
      <w:r w:rsidR="00B02447">
        <w:rPr>
          <w:rFonts w:eastAsiaTheme="majorEastAsia"/>
        </w:rPr>
        <w:t xml:space="preserve"> survey</w:t>
      </w:r>
      <w:r>
        <w:rPr>
          <w:rFonts w:eastAsiaTheme="majorEastAsia"/>
        </w:rPr>
        <w:t>s, the 2015 Employer</w:t>
      </w:r>
      <w:r w:rsidR="00B02447">
        <w:rPr>
          <w:rFonts w:eastAsiaTheme="majorEastAsia"/>
        </w:rPr>
        <w:t xml:space="preserve"> Survey</w:t>
      </w:r>
      <w:r w:rsidR="003C4277">
        <w:rPr>
          <w:rFonts w:eastAsiaTheme="majorEastAsia"/>
        </w:rPr>
        <w:t xml:space="preserve">, the </w:t>
      </w:r>
      <w:r w:rsidR="00AC7EE1">
        <w:t>J</w:t>
      </w:r>
      <w:r w:rsidR="003C4277" w:rsidRPr="003A4B00">
        <w:t xml:space="preserve">ob </w:t>
      </w:r>
      <w:r w:rsidR="00AC7EE1">
        <w:t>S</w:t>
      </w:r>
      <w:r w:rsidR="003C4277" w:rsidRPr="003A4B00">
        <w:t>eekers</w:t>
      </w:r>
      <w:r w:rsidR="003C4277">
        <w:t>’</w:t>
      </w:r>
      <w:r w:rsidR="003C4277" w:rsidRPr="003A4B00">
        <w:t xml:space="preserve"> </w:t>
      </w:r>
      <w:r w:rsidR="00AC7EE1">
        <w:t>E</w:t>
      </w:r>
      <w:r w:rsidR="003C4277" w:rsidRPr="003A4B00">
        <w:t xml:space="preserve">xperiences with </w:t>
      </w:r>
      <w:r w:rsidR="00AC7EE1">
        <w:t>E</w:t>
      </w:r>
      <w:r w:rsidR="003C4277" w:rsidRPr="003A4B00">
        <w:t xml:space="preserve">mployment </w:t>
      </w:r>
      <w:r w:rsidR="00AC7EE1">
        <w:t>S</w:t>
      </w:r>
      <w:r w:rsidR="003C4277" w:rsidRPr="003A4B00">
        <w:t>ervices</w:t>
      </w:r>
      <w:r w:rsidR="003C4277">
        <w:rPr>
          <w:rFonts w:eastAsiaTheme="majorEastAsia"/>
        </w:rPr>
        <w:t xml:space="preserve"> survey discussed in Attachment C </w:t>
      </w:r>
      <w:r>
        <w:rPr>
          <w:rFonts w:eastAsiaTheme="majorEastAsia"/>
        </w:rPr>
        <w:t xml:space="preserve">and some </w:t>
      </w:r>
      <w:r w:rsidRPr="003A4B00">
        <w:rPr>
          <w:color w:val="000000" w:themeColor="text1"/>
        </w:rPr>
        <w:t>ABS publication</w:t>
      </w:r>
      <w:r>
        <w:rPr>
          <w:color w:val="000000" w:themeColor="text1"/>
        </w:rPr>
        <w:t>s</w:t>
      </w:r>
      <w:r w:rsidRPr="003A4B00">
        <w:rPr>
          <w:rFonts w:eastAsiaTheme="majorEastAsia"/>
        </w:rPr>
        <w:t xml:space="preserve"> </w:t>
      </w:r>
      <w:r>
        <w:rPr>
          <w:rFonts w:eastAsiaTheme="majorEastAsia"/>
        </w:rPr>
        <w:t>are also used.</w:t>
      </w:r>
    </w:p>
    <w:p w:rsidR="00965FBD" w:rsidRDefault="00110117">
      <w:pPr>
        <w:rPr>
          <w:rFonts w:ascii="Calibri" w:eastAsiaTheme="majorEastAsia" w:hAnsi="Calibri" w:cstheme="majorBidi"/>
          <w:b/>
          <w:bCs/>
          <w:color w:val="1E3D6B"/>
          <w:sz w:val="36"/>
          <w:szCs w:val="28"/>
        </w:rPr>
      </w:pPr>
      <w:r>
        <w:rPr>
          <w:rFonts w:eastAsiaTheme="majorEastAsia"/>
        </w:rPr>
        <w:t xml:space="preserve">Weighted data is used wherever the </w:t>
      </w:r>
      <w:r>
        <w:t>J</w:t>
      </w:r>
      <w:r w:rsidRPr="003A4B00">
        <w:t xml:space="preserve">ob </w:t>
      </w:r>
      <w:r>
        <w:t>S</w:t>
      </w:r>
      <w:r w:rsidRPr="003A4B00">
        <w:t>eekers</w:t>
      </w:r>
      <w:r>
        <w:t>’</w:t>
      </w:r>
      <w:r w:rsidRPr="003A4B00">
        <w:t xml:space="preserve"> </w:t>
      </w:r>
      <w:r>
        <w:t>E</w:t>
      </w:r>
      <w:r w:rsidRPr="003A4B00">
        <w:t xml:space="preserve">xperiences with </w:t>
      </w:r>
      <w:r>
        <w:t>E</w:t>
      </w:r>
      <w:r w:rsidRPr="003A4B00">
        <w:t xml:space="preserve">mployment </w:t>
      </w:r>
      <w:r>
        <w:t>S</w:t>
      </w:r>
      <w:r w:rsidRPr="003A4B00">
        <w:t>ervices</w:t>
      </w:r>
      <w:r>
        <w:rPr>
          <w:rFonts w:eastAsiaTheme="majorEastAsia"/>
        </w:rPr>
        <w:t xml:space="preserve"> survey data is presented in this report.</w:t>
      </w:r>
      <w:r w:rsidR="00965FBD">
        <w:br w:type="page"/>
      </w:r>
    </w:p>
    <w:p w:rsidR="00965FBD" w:rsidRDefault="00965FBD" w:rsidP="00965FBD">
      <w:pPr>
        <w:pStyle w:val="Heading1"/>
      </w:pPr>
      <w:bookmarkStart w:id="242" w:name="_Toc507600267"/>
      <w:r w:rsidRPr="003A4B00">
        <w:lastRenderedPageBreak/>
        <w:t xml:space="preserve">Attachment </w:t>
      </w:r>
      <w:r w:rsidR="003711FF">
        <w:t>E</w:t>
      </w:r>
      <w:r w:rsidRPr="003A4B00">
        <w:t xml:space="preserve">: </w:t>
      </w:r>
      <w:r w:rsidR="00A14E72">
        <w:t>Technical information</w:t>
      </w:r>
      <w:bookmarkEnd w:id="242"/>
    </w:p>
    <w:p w:rsidR="00965FBD" w:rsidRDefault="003711FF" w:rsidP="00965FBD">
      <w:pPr>
        <w:pStyle w:val="Heading2"/>
      </w:pPr>
      <w:bookmarkStart w:id="243" w:name="_Toc507600268"/>
      <w:r>
        <w:t>E</w:t>
      </w:r>
      <w:r w:rsidR="00965FBD">
        <w:t>.1</w:t>
      </w:r>
      <w:r w:rsidR="00965FBD">
        <w:tab/>
        <w:t>Monitoring data</w:t>
      </w:r>
      <w:bookmarkEnd w:id="243"/>
    </w:p>
    <w:p w:rsidR="00965FBD" w:rsidRPr="003A4B00" w:rsidRDefault="00965FBD" w:rsidP="00965FBD">
      <w:r w:rsidRPr="00947C42">
        <w:t>F</w:t>
      </w:r>
      <w:r w:rsidRPr="003A4B00">
        <w:t xml:space="preserve">rom 1 July 2015, </w:t>
      </w:r>
      <w:r>
        <w:t>people</w:t>
      </w:r>
      <w:r w:rsidRPr="003A4B00">
        <w:t xml:space="preserve"> were able to submit claims for the Job Commitment Bonus (JCB). To support the Department’s monitoring role for the JCB, </w:t>
      </w:r>
      <w:r>
        <w:t xml:space="preserve">the </w:t>
      </w:r>
      <w:r w:rsidRPr="003A4B00">
        <w:t>Department of Human Services (DHS) provid</w:t>
      </w:r>
      <w:r>
        <w:t>ed</w:t>
      </w:r>
      <w:r w:rsidRPr="003A4B00">
        <w:t xml:space="preserve"> unit record data to the </w:t>
      </w:r>
      <w:r>
        <w:t>D</w:t>
      </w:r>
      <w:r w:rsidRPr="003A4B00">
        <w:t>epartment</w:t>
      </w:r>
      <w:r>
        <w:t xml:space="preserve"> of Employment (DoE)</w:t>
      </w:r>
      <w:r w:rsidR="008477D2">
        <w:t>.</w:t>
      </w:r>
    </w:p>
    <w:p w:rsidR="00965FBD" w:rsidRPr="003A4B00" w:rsidRDefault="00965FBD" w:rsidP="00965FBD">
      <w:r w:rsidRPr="003A4B00">
        <w:t>Until late September</w:t>
      </w:r>
      <w:r w:rsidR="00742A84">
        <w:t xml:space="preserve"> </w:t>
      </w:r>
      <w:r w:rsidRPr="003A4B00">
        <w:t>2016 data for monitoring purposes was provided on a regular basis using a Microsoft W</w:t>
      </w:r>
      <w:r>
        <w:t>ord</w:t>
      </w:r>
      <w:r w:rsidRPr="003A4B00">
        <w:t xml:space="preserve"> document, the document being manually compiled by DHS from their internal systems. </w:t>
      </w:r>
      <w:r>
        <w:t>DoE</w:t>
      </w:r>
      <w:r w:rsidRPr="003A4B00">
        <w:t xml:space="preserve"> then transferred this data into a Microsoft E</w:t>
      </w:r>
      <w:r>
        <w:t>xcel</w:t>
      </w:r>
      <w:r w:rsidRPr="003A4B00">
        <w:t xml:space="preserve"> spreadsheet for monitoring purposes. These two manual transfer processes introduced the potential for differing interpre</w:t>
      </w:r>
      <w:r w:rsidR="008477D2">
        <w:t>tation of data and human error.</w:t>
      </w:r>
    </w:p>
    <w:p w:rsidR="00965FBD" w:rsidRPr="003A4B00" w:rsidRDefault="00965FBD" w:rsidP="00965FBD">
      <w:r w:rsidRPr="003A4B00">
        <w:t xml:space="preserve">The delayed delivery of </w:t>
      </w:r>
      <w:r>
        <w:t>an</w:t>
      </w:r>
      <w:r w:rsidRPr="003A4B00">
        <w:t xml:space="preserve"> automated monitoring system was a consequence of DHS resources</w:t>
      </w:r>
      <w:r>
        <w:t xml:space="preserve"> being allocated to higher prior</w:t>
      </w:r>
      <w:r w:rsidRPr="003A4B00">
        <w:t>ity work for disaster payments, and because of issues with DHS migration to a new reporting system.</w:t>
      </w:r>
    </w:p>
    <w:p w:rsidR="00965FBD" w:rsidRPr="003A4B00" w:rsidRDefault="00965FBD" w:rsidP="00965FBD">
      <w:r>
        <w:t xml:space="preserve">The </w:t>
      </w:r>
      <w:r w:rsidRPr="003A4B00">
        <w:t>DHS automated system commenc</w:t>
      </w:r>
      <w:r>
        <w:t>ed</w:t>
      </w:r>
      <w:r w:rsidRPr="003A4B00">
        <w:t xml:space="preserve"> from late September 2016 </w:t>
      </w:r>
      <w:r>
        <w:t xml:space="preserve">and </w:t>
      </w:r>
      <w:r w:rsidRPr="003A4B00">
        <w:t xml:space="preserve">JCB claims information </w:t>
      </w:r>
      <w:r>
        <w:t>was from then</w:t>
      </w:r>
      <w:r w:rsidRPr="003A4B00">
        <w:t xml:space="preserve"> provided to the D</w:t>
      </w:r>
      <w:r w:rsidR="00E22035">
        <w:t>oE</w:t>
      </w:r>
      <w:r w:rsidRPr="003A4B00">
        <w:t xml:space="preserve"> in a Microsoft E</w:t>
      </w:r>
      <w:r>
        <w:t>xcel</w:t>
      </w:r>
      <w:r w:rsidRPr="003A4B00">
        <w:t xml:space="preserve"> spreadsheet. There </w:t>
      </w:r>
      <w:r>
        <w:t>were</w:t>
      </w:r>
      <w:r w:rsidRPr="003A4B00">
        <w:t xml:space="preserve"> teething problems with th</w:t>
      </w:r>
      <w:r>
        <w:t>e</w:t>
      </w:r>
      <w:r w:rsidRPr="003A4B00">
        <w:t xml:space="preserve"> automated system, with data discrepancies for claims data between the old and new reporting systems. </w:t>
      </w:r>
      <w:r>
        <w:t>The</w:t>
      </w:r>
      <w:r w:rsidRPr="003A4B00">
        <w:t xml:space="preserve"> automated system only provide</w:t>
      </w:r>
      <w:r>
        <w:t>d</w:t>
      </w:r>
      <w:r w:rsidRPr="003A4B00">
        <w:t xml:space="preserve"> JCB claims information from 1 July 2016, it d</w:t>
      </w:r>
      <w:r>
        <w:t>id</w:t>
      </w:r>
      <w:r w:rsidRPr="003A4B00">
        <w:t xml:space="preserve"> not include details of any claims finalised between 1 July 2015 and 30 June 2016.</w:t>
      </w:r>
    </w:p>
    <w:p w:rsidR="00965FBD" w:rsidRDefault="00965FBD" w:rsidP="00965FBD">
      <w:r w:rsidRPr="003A4B00">
        <w:t xml:space="preserve">For the purposes of this report the </w:t>
      </w:r>
      <w:r>
        <w:t xml:space="preserve">DoE master spreadsheet (as at 4 April 2017), derived from the manual and automated </w:t>
      </w:r>
      <w:r w:rsidRPr="003A4B00">
        <w:t xml:space="preserve">DHS </w:t>
      </w:r>
      <w:r>
        <w:t>information is used. However, not all required data fields were transferred in the DoE spreadsheet. This additional information is obtained either from the DHS automated spreadsheet (dated 3 April 2017) or from the RED database.</w:t>
      </w:r>
    </w:p>
    <w:p w:rsidR="00965FBD" w:rsidRPr="00F239FA" w:rsidRDefault="00965FBD" w:rsidP="00F239FA">
      <w:pPr>
        <w:pStyle w:val="Heading3"/>
      </w:pPr>
      <w:r w:rsidRPr="00F239FA">
        <w:t>Date of exit from income support</w:t>
      </w:r>
    </w:p>
    <w:p w:rsidR="00965FBD" w:rsidRDefault="00C962FC" w:rsidP="00965FBD">
      <w:r>
        <w:t>The date of exit from</w:t>
      </w:r>
      <w:r w:rsidR="00965FBD">
        <w:t xml:space="preserve"> income support used in determining a person’s eligibility for the JCB was date that they last received payment of income support. This field is not available in the RED database, which provides the dates for which people were eligible for income support not the dates of payment processing.</w:t>
      </w:r>
    </w:p>
    <w:p w:rsidR="00965FBD" w:rsidRDefault="00965FBD" w:rsidP="00965FBD">
      <w:r>
        <w:t>Monitoring data provided by DHS included the last date of payment for those who had lodged a claim for the bonus. However, to ensure consistency in analysis with those who did not lodge a claim the date of exit used was the end date of the fortnight that job seekers received income support payments for (as found in RED) rather than the actual date of payment processing. Nil payment periods at the end of income sup</w:t>
      </w:r>
      <w:r w:rsidR="008477D2">
        <w:t>port episodes are not included.</w:t>
      </w:r>
    </w:p>
    <w:p w:rsidR="00965FBD" w:rsidRDefault="00965FBD" w:rsidP="00965FBD">
      <w:r>
        <w:t>Where age at exit from income support is referred to i</w:t>
      </w:r>
      <w:r w:rsidR="00851287">
        <w:t>n this report, this refers to a</w:t>
      </w:r>
      <w:r>
        <w:t xml:space="preserve"> person’s age on their exit date (as described above as used for analysis purposes) rather than the actual payment date as used for JCB eligibility, which may have been up to 14 days later. This means that some people at the boundaries, that is those almost turning 19 and those had just turned 31 years of age at their exit date (i.e. as used for analysis) may not have in reality been eligible for the bonus </w:t>
      </w:r>
      <w:r>
        <w:lastRenderedPageBreak/>
        <w:t>depending on whether their birthdays fell before or after the actual payment date. This is not considered to be an issue of concern f</w:t>
      </w:r>
      <w:r w:rsidR="008477D2">
        <w:t>or the analyses in this report.</w:t>
      </w:r>
    </w:p>
    <w:p w:rsidR="00965FBD" w:rsidRDefault="00603A49" w:rsidP="00965FBD">
      <w:pPr>
        <w:pStyle w:val="Heading2"/>
      </w:pPr>
      <w:bookmarkStart w:id="244" w:name="_Toc507600269"/>
      <w:r>
        <w:t>E</w:t>
      </w:r>
      <w:r w:rsidR="00965FBD">
        <w:t>.2</w:t>
      </w:r>
      <w:r w:rsidR="00965FBD">
        <w:tab/>
        <w:t>Statistical techniques used</w:t>
      </w:r>
      <w:bookmarkEnd w:id="244"/>
    </w:p>
    <w:p w:rsidR="00965FBD" w:rsidRDefault="00965FBD" w:rsidP="00965FBD">
      <w:pPr>
        <w:rPr>
          <w:color w:val="000000" w:themeColor="text1"/>
        </w:rPr>
      </w:pPr>
      <w:r>
        <w:t xml:space="preserve">Several </w:t>
      </w:r>
      <w:r>
        <w:rPr>
          <w:color w:val="000000" w:themeColor="text1"/>
        </w:rPr>
        <w:t>indicators considered in this report required the construction of study populations. Several widely accepted statistical techniques are used in these analyses.</w:t>
      </w:r>
    </w:p>
    <w:p w:rsidR="00965FBD" w:rsidRPr="00B83C41" w:rsidRDefault="00965FBD" w:rsidP="00F239FA">
      <w:pPr>
        <w:pStyle w:val="Heading3"/>
      </w:pPr>
      <w:r w:rsidRPr="00B83C41">
        <w:t xml:space="preserve">Regression discontinuity </w:t>
      </w:r>
      <w:r w:rsidR="00742A84">
        <w:t xml:space="preserve">design </w:t>
      </w:r>
      <w:r w:rsidRPr="00B83C41">
        <w:t>analysis</w:t>
      </w:r>
    </w:p>
    <w:p w:rsidR="00965FBD" w:rsidRDefault="00965FBD" w:rsidP="00965FBD">
      <w:pPr>
        <w:rPr>
          <w:color w:val="000000" w:themeColor="text1"/>
        </w:rPr>
      </w:pPr>
      <w:r w:rsidRPr="00177D01">
        <w:rPr>
          <w:color w:val="000000" w:themeColor="text1"/>
        </w:rPr>
        <w:t>Regression discontinuity</w:t>
      </w:r>
      <w:r w:rsidR="00742A84">
        <w:rPr>
          <w:color w:val="000000" w:themeColor="text1"/>
        </w:rPr>
        <w:t xml:space="preserve"> design</w:t>
      </w:r>
      <w:r w:rsidRPr="00177D01">
        <w:rPr>
          <w:color w:val="000000" w:themeColor="text1"/>
        </w:rPr>
        <w:t xml:space="preserve"> (RD</w:t>
      </w:r>
      <w:r w:rsidR="001A4F81">
        <w:rPr>
          <w:color w:val="000000" w:themeColor="text1"/>
        </w:rPr>
        <w:t>D</w:t>
      </w:r>
      <w:r w:rsidRPr="00177D01">
        <w:rPr>
          <w:color w:val="000000" w:themeColor="text1"/>
        </w:rPr>
        <w:t xml:space="preserve">) analysis </w:t>
      </w:r>
      <w:r>
        <w:rPr>
          <w:color w:val="000000" w:themeColor="text1"/>
        </w:rPr>
        <w:t>is</w:t>
      </w:r>
      <w:r w:rsidRPr="00177D01">
        <w:rPr>
          <w:color w:val="000000" w:themeColor="text1"/>
        </w:rPr>
        <w:t xml:space="preserve"> used to estimate program impacts in situations in which candidates are selected for treatment based on whether their value for a numeric rating</w:t>
      </w:r>
      <w:r>
        <w:rPr>
          <w:color w:val="000000" w:themeColor="text1"/>
        </w:rPr>
        <w:t xml:space="preserve"> (such as age)</w:t>
      </w:r>
      <w:r w:rsidRPr="00177D01">
        <w:rPr>
          <w:color w:val="000000" w:themeColor="text1"/>
        </w:rPr>
        <w:t xml:space="preserve"> exceeds a designated threshold</w:t>
      </w:r>
      <w:r w:rsidR="008477D2">
        <w:rPr>
          <w:color w:val="000000" w:themeColor="text1"/>
        </w:rPr>
        <w:t>.</w:t>
      </w:r>
    </w:p>
    <w:p w:rsidR="00965FBD" w:rsidRDefault="00965FBD" w:rsidP="00965FBD">
      <w:pPr>
        <w:rPr>
          <w:color w:val="000000" w:themeColor="text1"/>
        </w:rPr>
      </w:pPr>
      <w:r w:rsidRPr="00177D01">
        <w:rPr>
          <w:color w:val="000000" w:themeColor="text1"/>
        </w:rPr>
        <w:t>I</w:t>
      </w:r>
      <w:r>
        <w:rPr>
          <w:color w:val="000000" w:themeColor="text1"/>
        </w:rPr>
        <w:t>n this report,</w:t>
      </w:r>
      <w:r w:rsidRPr="00177D01">
        <w:rPr>
          <w:color w:val="000000" w:themeColor="text1"/>
        </w:rPr>
        <w:t xml:space="preserve"> RD</w:t>
      </w:r>
      <w:r w:rsidR="001A4F81">
        <w:rPr>
          <w:color w:val="000000" w:themeColor="text1"/>
        </w:rPr>
        <w:t>D</w:t>
      </w:r>
      <w:r w:rsidRPr="00177D01">
        <w:rPr>
          <w:color w:val="000000" w:themeColor="text1"/>
        </w:rPr>
        <w:t xml:space="preserve"> is used to </w:t>
      </w:r>
      <w:r>
        <w:rPr>
          <w:color w:val="000000" w:themeColor="text1"/>
        </w:rPr>
        <w:t>determine if there is any</w:t>
      </w:r>
      <w:r w:rsidRPr="00177D01">
        <w:rPr>
          <w:color w:val="000000" w:themeColor="text1"/>
        </w:rPr>
        <w:t xml:space="preserve"> evidence of JCB program </w:t>
      </w:r>
      <w:r>
        <w:rPr>
          <w:color w:val="000000" w:themeColor="text1"/>
        </w:rPr>
        <w:t>impact. A regression line is estimated for those above and below the JCB age cut-off. The difference in average outcomes between the two regression lines estimates the effect of the JCB program. If a statistically significant discontinuity were to be found it would indicate that the JCB program had an impact on the outcome being assessed</w:t>
      </w:r>
      <w:r w:rsidR="004C5B83">
        <w:rPr>
          <w:color w:val="000000" w:themeColor="text1"/>
        </w:rPr>
        <w:t xml:space="preserve"> (Figure </w:t>
      </w:r>
      <w:r w:rsidR="001B7433">
        <w:rPr>
          <w:color w:val="000000" w:themeColor="text1"/>
        </w:rPr>
        <w:t>E.1</w:t>
      </w:r>
      <w:r w:rsidR="004C5B83">
        <w:rPr>
          <w:color w:val="000000" w:themeColor="text1"/>
        </w:rPr>
        <w:t>)</w:t>
      </w:r>
      <w:r>
        <w:rPr>
          <w:color w:val="000000" w:themeColor="text1"/>
        </w:rPr>
        <w:t>.</w:t>
      </w:r>
    </w:p>
    <w:p w:rsidR="00965FBD" w:rsidRDefault="00965FBD" w:rsidP="005314B7">
      <w:pPr>
        <w:pStyle w:val="FigureCaption"/>
      </w:pPr>
      <w:bookmarkStart w:id="245" w:name="_Toc507600300"/>
      <w:r w:rsidRPr="00B07341">
        <w:t xml:space="preserve">Figure </w:t>
      </w:r>
      <w:r w:rsidR="00603A49">
        <w:t>E</w:t>
      </w:r>
      <w:r w:rsidRPr="00B07341">
        <w:t>.1</w:t>
      </w:r>
      <w:r w:rsidR="00250D8B">
        <w:t>: Diagrammatic representation of RDD analysis</w:t>
      </w:r>
      <w:bookmarkEnd w:id="245"/>
    </w:p>
    <w:p w:rsidR="00646A55" w:rsidRPr="00646A55" w:rsidRDefault="00646A55" w:rsidP="00646A55">
      <w:pPr>
        <w:rPr>
          <w:b/>
        </w:rPr>
      </w:pPr>
      <w:r w:rsidRPr="00646A55">
        <w:rPr>
          <w:b/>
        </w:rPr>
        <w:t>In the absence of an effect from JCB</w:t>
      </w:r>
    </w:p>
    <w:p w:rsidR="00F20D81" w:rsidRDefault="00646A55" w:rsidP="00054972">
      <w:pPr>
        <w:rPr>
          <w:b/>
          <w:color w:val="000000" w:themeColor="text1"/>
        </w:rPr>
      </w:pPr>
      <w:r>
        <w:rPr>
          <w:b/>
          <w:noProof/>
          <w:color w:val="000000" w:themeColor="text1"/>
          <w:lang w:eastAsia="en-AU"/>
        </w:rPr>
        <w:drawing>
          <wp:inline distT="0" distB="0" distL="0" distR="0" wp14:anchorId="6F136EE0" wp14:editId="57918481">
            <wp:extent cx="5731510" cy="4298315"/>
            <wp:effectExtent l="0" t="0" r="2540" b="6985"/>
            <wp:docPr id="8" name="Picture 8" descr="A graph showing many data points for a plot of age at exit from income support (x-axis) against an outcome variable (y-axis). A regression line is fit to these data points. The regression line does not have a noticeable change (decrease or increase) at the age boundary for JCB eligibility (31 years). As there is no regression discontinuity found the conclusion drawn would be that there was no effect from JCB on this outco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a:blip r:embed="rId55">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rsidR="00646A55" w:rsidRDefault="00646A55" w:rsidP="007921D2">
      <w:pPr>
        <w:keepNext/>
        <w:rPr>
          <w:b/>
        </w:rPr>
      </w:pPr>
      <w:r w:rsidRPr="00646A55">
        <w:rPr>
          <w:b/>
        </w:rPr>
        <w:lastRenderedPageBreak/>
        <w:t xml:space="preserve">In the </w:t>
      </w:r>
      <w:r>
        <w:rPr>
          <w:b/>
        </w:rPr>
        <w:t>pre</w:t>
      </w:r>
      <w:r w:rsidRPr="00646A55">
        <w:rPr>
          <w:b/>
        </w:rPr>
        <w:t>sence of an effect from JCB</w:t>
      </w:r>
    </w:p>
    <w:p w:rsidR="00646A55" w:rsidRPr="00646A55" w:rsidRDefault="00646A55" w:rsidP="00646A55">
      <w:pPr>
        <w:rPr>
          <w:b/>
        </w:rPr>
      </w:pPr>
      <w:r>
        <w:rPr>
          <w:b/>
          <w:noProof/>
          <w:lang w:eastAsia="en-AU"/>
        </w:rPr>
        <w:drawing>
          <wp:inline distT="0" distB="0" distL="0" distR="0" wp14:anchorId="04952FE5" wp14:editId="6A5B0E4D">
            <wp:extent cx="5731510" cy="4298315"/>
            <wp:effectExtent l="0" t="0" r="2540" b="6985"/>
            <wp:docPr id="11" name="Picture 11" descr="A graph showing many data points for a plot of age at exit from income support (x-axis) against an outcome variable (y-axis). A regression line is fit to these data points. The regression line does have a noticeable change (a large decrease) at the age boundary for JCB eligibility (31 years). As a regression discontinuity is found the conclusion drawn would be that there was an effect from JCB on this outco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PNG"/>
                    <pic:cNvPicPr/>
                  </pic:nvPicPr>
                  <pic:blipFill>
                    <a:blip r:embed="rId56">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rsidR="00623D33" w:rsidRPr="007F2BBB" w:rsidRDefault="00623D33" w:rsidP="007F2BBB">
      <w:pPr>
        <w:pStyle w:val="Source"/>
        <w:rPr>
          <w:b w:val="0"/>
        </w:rPr>
      </w:pPr>
      <w:r w:rsidRPr="007F2BBB">
        <w:t>Source:</w:t>
      </w:r>
      <w:r w:rsidRPr="007F2BBB">
        <w:rPr>
          <w:b w:val="0"/>
        </w:rPr>
        <w:t xml:space="preserve"> </w:t>
      </w:r>
      <w:r w:rsidR="0018674E" w:rsidRPr="007F2BBB">
        <w:rPr>
          <w:b w:val="0"/>
        </w:rPr>
        <w:t>Adapted by the Department</w:t>
      </w:r>
      <w:r w:rsidRPr="007F2BBB">
        <w:rPr>
          <w:b w:val="0"/>
        </w:rPr>
        <w:t xml:space="preserve"> from Jacob, R, Zhu, P, Somers, M-A and Bloom, H (2012)</w:t>
      </w:r>
    </w:p>
    <w:p w:rsidR="00054972" w:rsidRDefault="0055457A" w:rsidP="007F2BBB">
      <w:pPr>
        <w:spacing w:before="240"/>
        <w:rPr>
          <w:color w:val="000000" w:themeColor="text1"/>
        </w:rPr>
      </w:pPr>
      <w:r>
        <w:rPr>
          <w:color w:val="000000" w:themeColor="text1"/>
        </w:rPr>
        <w:t>F</w:t>
      </w:r>
      <w:r w:rsidR="00214D86">
        <w:rPr>
          <w:color w:val="000000" w:themeColor="text1"/>
        </w:rPr>
        <w:t>our m</w:t>
      </w:r>
      <w:r w:rsidR="00054972">
        <w:rPr>
          <w:color w:val="000000" w:themeColor="text1"/>
        </w:rPr>
        <w:t xml:space="preserve">odels </w:t>
      </w:r>
      <w:r>
        <w:rPr>
          <w:color w:val="000000" w:themeColor="text1"/>
        </w:rPr>
        <w:t xml:space="preserve">are </w:t>
      </w:r>
      <w:r w:rsidR="00054972">
        <w:rPr>
          <w:color w:val="000000" w:themeColor="text1"/>
        </w:rPr>
        <w:t>tested</w:t>
      </w:r>
      <w:r>
        <w:rPr>
          <w:color w:val="000000" w:themeColor="text1"/>
        </w:rPr>
        <w:t>:</w:t>
      </w:r>
    </w:p>
    <w:p w:rsidR="00054972" w:rsidRPr="005C2B87" w:rsidRDefault="00054972" w:rsidP="00E3205B">
      <w:pPr>
        <w:pStyle w:val="ListParagraph"/>
        <w:numPr>
          <w:ilvl w:val="0"/>
          <w:numId w:val="74"/>
        </w:numPr>
        <w:tabs>
          <w:tab w:val="left" w:pos="2977"/>
        </w:tabs>
        <w:rPr>
          <w:color w:val="000000" w:themeColor="text1"/>
          <w:lang w:val="it-IT"/>
        </w:rPr>
      </w:pPr>
      <w:r w:rsidRPr="005C2B87">
        <w:rPr>
          <w:color w:val="000000" w:themeColor="text1"/>
          <w:lang w:val="it-IT"/>
        </w:rPr>
        <w:t>Linear</w:t>
      </w:r>
      <w:r w:rsidRPr="005C2B87">
        <w:rPr>
          <w:color w:val="000000" w:themeColor="text1"/>
          <w:lang w:val="it-IT"/>
        </w:rPr>
        <w:tab/>
        <w:t>Y</w:t>
      </w:r>
      <w:r w:rsidRPr="005C2B87">
        <w:rPr>
          <w:i/>
          <w:color w:val="000000" w:themeColor="text1"/>
          <w:vertAlign w:val="subscript"/>
          <w:lang w:val="it-IT"/>
        </w:rPr>
        <w:t>i</w:t>
      </w:r>
      <w:r w:rsidRPr="005C2B87">
        <w:rPr>
          <w:color w:val="000000" w:themeColor="text1"/>
          <w:lang w:val="it-IT"/>
        </w:rPr>
        <w:t>=</w:t>
      </w:r>
      <w:r w:rsidR="00C92CA4" w:rsidRPr="005C2B87">
        <w:rPr>
          <w:color w:val="000000" w:themeColor="text1"/>
          <w:lang w:val="it-IT"/>
        </w:rPr>
        <w:t xml:space="preserve"> </w:t>
      </w:r>
      <m:oMath>
        <m:r>
          <w:rPr>
            <w:rFonts w:ascii="Cambria Math" w:hAnsi="Cambria Math"/>
            <w:color w:val="000000" w:themeColor="text1"/>
          </w:rPr>
          <m:t>α</m:t>
        </m:r>
      </m:oMath>
      <w:r w:rsidRPr="005C2B87">
        <w:rPr>
          <w:color w:val="000000" w:themeColor="text1"/>
          <w:lang w:val="it-IT"/>
        </w:rPr>
        <w:t xml:space="preserve"> + </w:t>
      </w:r>
      <m:oMath>
        <m:r>
          <w:rPr>
            <w:rFonts w:ascii="Cambria Math" w:hAnsi="Cambria Math"/>
            <w:color w:val="000000" w:themeColor="text1"/>
          </w:rPr>
          <m:t>β</m:t>
        </m:r>
      </m:oMath>
      <w:r w:rsidR="00C92CA4" w:rsidRPr="005C2B87">
        <w:rPr>
          <w:color w:val="000000" w:themeColor="text1"/>
          <w:vertAlign w:val="subscript"/>
          <w:lang w:val="it-IT"/>
        </w:rPr>
        <w:t>0</w:t>
      </w:r>
      <w:r w:rsidRPr="005C2B87">
        <w:rPr>
          <w:color w:val="000000" w:themeColor="text1"/>
          <w:lang w:val="it-IT"/>
        </w:rPr>
        <w:t>D</w:t>
      </w:r>
      <w:r w:rsidRPr="005C2B87">
        <w:rPr>
          <w:i/>
          <w:color w:val="000000" w:themeColor="text1"/>
          <w:vertAlign w:val="subscript"/>
          <w:lang w:val="it-IT"/>
        </w:rPr>
        <w:t>i</w:t>
      </w:r>
      <w:r w:rsidRPr="005C2B87">
        <w:rPr>
          <w:color w:val="000000" w:themeColor="text1"/>
          <w:lang w:val="it-IT"/>
        </w:rPr>
        <w:t xml:space="preserve"> + </w:t>
      </w:r>
      <m:oMath>
        <m:r>
          <w:rPr>
            <w:rFonts w:ascii="Cambria Math" w:hAnsi="Cambria Math"/>
            <w:color w:val="000000" w:themeColor="text1"/>
          </w:rPr>
          <m:t>β</m:t>
        </m:r>
      </m:oMath>
      <w:r w:rsidR="00C92CA4" w:rsidRPr="005C2B87">
        <w:rPr>
          <w:color w:val="000000" w:themeColor="text1"/>
          <w:vertAlign w:val="subscript"/>
          <w:lang w:val="it-IT"/>
        </w:rPr>
        <w:t>1</w:t>
      </w:r>
      <w:r w:rsidR="00DC74D2" w:rsidRPr="005C2B87">
        <w:rPr>
          <w:color w:val="000000" w:themeColor="text1"/>
          <w:lang w:val="it-IT"/>
        </w:rPr>
        <w:t>r</w:t>
      </w:r>
      <w:r w:rsidR="00DC74D2" w:rsidRPr="005C2B87">
        <w:rPr>
          <w:i/>
          <w:color w:val="000000" w:themeColor="text1"/>
          <w:vertAlign w:val="subscript"/>
          <w:lang w:val="it-IT"/>
        </w:rPr>
        <w:t xml:space="preserve">i </w:t>
      </w:r>
      <w:r w:rsidR="00DC74D2" w:rsidRPr="005C2B87">
        <w:rPr>
          <w:i/>
          <w:color w:val="000000" w:themeColor="text1"/>
          <w:lang w:val="it-IT"/>
        </w:rPr>
        <w:t xml:space="preserve">+ </w:t>
      </w:r>
      <m:oMath>
        <m:r>
          <w:rPr>
            <w:rFonts w:ascii="Cambria Math" w:hAnsi="Cambria Math"/>
            <w:color w:val="000000" w:themeColor="text1"/>
          </w:rPr>
          <m:t>ε</m:t>
        </m:r>
      </m:oMath>
      <w:r w:rsidR="00DC74D2" w:rsidRPr="005C2B87">
        <w:rPr>
          <w:i/>
          <w:color w:val="000000" w:themeColor="text1"/>
          <w:vertAlign w:val="subscript"/>
          <w:lang w:val="it-IT"/>
        </w:rPr>
        <w:t>i</w:t>
      </w:r>
    </w:p>
    <w:p w:rsidR="00054972" w:rsidRPr="005C2B87" w:rsidRDefault="00054972" w:rsidP="00E3205B">
      <w:pPr>
        <w:pStyle w:val="ListParagraph"/>
        <w:numPr>
          <w:ilvl w:val="0"/>
          <w:numId w:val="74"/>
        </w:numPr>
        <w:tabs>
          <w:tab w:val="left" w:pos="2127"/>
          <w:tab w:val="left" w:pos="2977"/>
        </w:tabs>
        <w:rPr>
          <w:color w:val="000000" w:themeColor="text1"/>
          <w:lang w:val="it-IT"/>
        </w:rPr>
      </w:pPr>
      <w:r w:rsidRPr="005C2B87">
        <w:rPr>
          <w:color w:val="000000" w:themeColor="text1"/>
          <w:lang w:val="it-IT"/>
        </w:rPr>
        <w:t>Linear interaction</w:t>
      </w:r>
      <w:r w:rsidR="00214D86" w:rsidRPr="005C2B87">
        <w:rPr>
          <w:color w:val="000000" w:themeColor="text1"/>
          <w:lang w:val="it-IT"/>
        </w:rPr>
        <w:tab/>
        <w:t>Y</w:t>
      </w:r>
      <w:r w:rsidR="00214D86" w:rsidRPr="005C2B87">
        <w:rPr>
          <w:i/>
          <w:color w:val="000000" w:themeColor="text1"/>
          <w:vertAlign w:val="subscript"/>
          <w:lang w:val="it-IT"/>
        </w:rPr>
        <w:t>i</w:t>
      </w:r>
      <w:r w:rsidR="00214D86" w:rsidRPr="005C2B87">
        <w:rPr>
          <w:color w:val="000000" w:themeColor="text1"/>
          <w:lang w:val="it-IT"/>
        </w:rPr>
        <w:t xml:space="preserve">= </w:t>
      </w:r>
      <m:oMath>
        <m:r>
          <w:rPr>
            <w:rFonts w:ascii="Cambria Math" w:hAnsi="Cambria Math"/>
            <w:color w:val="000000" w:themeColor="text1"/>
          </w:rPr>
          <m:t>α</m:t>
        </m:r>
      </m:oMath>
      <w:r w:rsidR="00214D86" w:rsidRPr="005C2B87">
        <w:rPr>
          <w:color w:val="000000" w:themeColor="text1"/>
          <w:lang w:val="it-IT"/>
        </w:rPr>
        <w:t xml:space="preserve"> + </w:t>
      </w:r>
      <m:oMath>
        <m:r>
          <w:rPr>
            <w:rFonts w:ascii="Cambria Math" w:hAnsi="Cambria Math"/>
            <w:color w:val="000000" w:themeColor="text1"/>
          </w:rPr>
          <m:t>β</m:t>
        </m:r>
      </m:oMath>
      <w:r w:rsidR="00214D86" w:rsidRPr="005C2B87">
        <w:rPr>
          <w:color w:val="000000" w:themeColor="text1"/>
          <w:vertAlign w:val="subscript"/>
          <w:lang w:val="it-IT"/>
        </w:rPr>
        <w:t>0</w:t>
      </w:r>
      <w:r w:rsidR="00214D86" w:rsidRPr="005C2B87">
        <w:rPr>
          <w:color w:val="000000" w:themeColor="text1"/>
          <w:lang w:val="it-IT"/>
        </w:rPr>
        <w:t>D</w:t>
      </w:r>
      <w:r w:rsidR="00214D86" w:rsidRPr="005C2B87">
        <w:rPr>
          <w:i/>
          <w:color w:val="000000" w:themeColor="text1"/>
          <w:vertAlign w:val="subscript"/>
          <w:lang w:val="it-IT"/>
        </w:rPr>
        <w:t>i</w:t>
      </w:r>
      <w:r w:rsidR="00214D86" w:rsidRPr="005C2B87">
        <w:rPr>
          <w:color w:val="000000" w:themeColor="text1"/>
          <w:lang w:val="it-IT"/>
        </w:rPr>
        <w:t xml:space="preserve"> + </w:t>
      </w:r>
      <m:oMath>
        <m:r>
          <w:rPr>
            <w:rFonts w:ascii="Cambria Math" w:hAnsi="Cambria Math"/>
            <w:color w:val="000000" w:themeColor="text1"/>
          </w:rPr>
          <m:t>β</m:t>
        </m:r>
      </m:oMath>
      <w:r w:rsidR="00214D86" w:rsidRPr="005C2B87">
        <w:rPr>
          <w:color w:val="000000" w:themeColor="text1"/>
          <w:vertAlign w:val="subscript"/>
          <w:lang w:val="it-IT"/>
        </w:rPr>
        <w:t>1</w:t>
      </w:r>
      <w:r w:rsidR="00214D86" w:rsidRPr="005C2B87">
        <w:rPr>
          <w:color w:val="000000" w:themeColor="text1"/>
          <w:lang w:val="it-IT"/>
        </w:rPr>
        <w:t>r</w:t>
      </w:r>
      <w:r w:rsidR="00214D86" w:rsidRPr="005C2B87">
        <w:rPr>
          <w:i/>
          <w:color w:val="000000" w:themeColor="text1"/>
          <w:vertAlign w:val="subscript"/>
          <w:lang w:val="it-IT"/>
        </w:rPr>
        <w:t xml:space="preserve">i </w:t>
      </w:r>
      <w:r w:rsidR="00214D86" w:rsidRPr="005C2B87">
        <w:rPr>
          <w:i/>
          <w:color w:val="000000" w:themeColor="text1"/>
          <w:lang w:val="it-IT"/>
        </w:rPr>
        <w:t xml:space="preserve">+ </w:t>
      </w:r>
      <m:oMath>
        <m:r>
          <w:rPr>
            <w:rFonts w:ascii="Cambria Math" w:hAnsi="Cambria Math"/>
            <w:color w:val="000000" w:themeColor="text1"/>
          </w:rPr>
          <m:t>β</m:t>
        </m:r>
      </m:oMath>
      <w:r w:rsidR="00214D86" w:rsidRPr="005C2B87">
        <w:rPr>
          <w:color w:val="000000" w:themeColor="text1"/>
          <w:vertAlign w:val="subscript"/>
          <w:lang w:val="it-IT"/>
        </w:rPr>
        <w:t>2</w:t>
      </w:r>
      <w:r w:rsidR="00214D86" w:rsidRPr="005C2B87">
        <w:rPr>
          <w:color w:val="000000" w:themeColor="text1"/>
          <w:lang w:val="it-IT"/>
        </w:rPr>
        <w:t>D</w:t>
      </w:r>
      <w:r w:rsidR="00214D86" w:rsidRPr="005C2B87">
        <w:rPr>
          <w:i/>
          <w:color w:val="000000" w:themeColor="text1"/>
          <w:vertAlign w:val="subscript"/>
          <w:lang w:val="it-IT"/>
        </w:rPr>
        <w:t>i</w:t>
      </w:r>
      <w:r w:rsidR="00214D86" w:rsidRPr="005C2B87">
        <w:rPr>
          <w:color w:val="000000" w:themeColor="text1"/>
          <w:lang w:val="it-IT"/>
        </w:rPr>
        <w:t>r</w:t>
      </w:r>
      <w:r w:rsidR="00214D86" w:rsidRPr="005C2B87">
        <w:rPr>
          <w:i/>
          <w:color w:val="000000" w:themeColor="text1"/>
          <w:vertAlign w:val="subscript"/>
          <w:lang w:val="it-IT"/>
        </w:rPr>
        <w:t>i</w:t>
      </w:r>
      <w:r w:rsidR="00214D86" w:rsidRPr="005C2B87">
        <w:rPr>
          <w:i/>
          <w:color w:val="000000" w:themeColor="text1"/>
          <w:lang w:val="it-IT"/>
        </w:rPr>
        <w:t xml:space="preserve"> + </w:t>
      </w:r>
      <m:oMath>
        <m:r>
          <w:rPr>
            <w:rFonts w:ascii="Cambria Math" w:hAnsi="Cambria Math"/>
            <w:color w:val="000000" w:themeColor="text1"/>
          </w:rPr>
          <m:t>ε</m:t>
        </m:r>
      </m:oMath>
      <w:r w:rsidR="00214D86" w:rsidRPr="005C2B87">
        <w:rPr>
          <w:i/>
          <w:color w:val="000000" w:themeColor="text1"/>
          <w:vertAlign w:val="subscript"/>
          <w:lang w:val="it-IT"/>
        </w:rPr>
        <w:t>i</w:t>
      </w:r>
    </w:p>
    <w:p w:rsidR="00214D86" w:rsidRPr="005C2B87" w:rsidRDefault="00054972" w:rsidP="00E3205B">
      <w:pPr>
        <w:pStyle w:val="ListParagraph"/>
        <w:numPr>
          <w:ilvl w:val="0"/>
          <w:numId w:val="74"/>
        </w:numPr>
        <w:tabs>
          <w:tab w:val="left" w:pos="2977"/>
        </w:tabs>
        <w:rPr>
          <w:color w:val="000000" w:themeColor="text1"/>
          <w:lang w:val="it-IT"/>
        </w:rPr>
      </w:pPr>
      <w:r w:rsidRPr="005C2B87">
        <w:rPr>
          <w:color w:val="000000" w:themeColor="text1"/>
          <w:lang w:val="it-IT"/>
        </w:rPr>
        <w:t>Quadratic</w:t>
      </w:r>
      <w:r w:rsidR="00214D86" w:rsidRPr="005C2B87">
        <w:rPr>
          <w:color w:val="000000" w:themeColor="text1"/>
          <w:lang w:val="it-IT"/>
        </w:rPr>
        <w:t xml:space="preserve"> </w:t>
      </w:r>
      <w:r w:rsidR="00214D86" w:rsidRPr="005C2B87">
        <w:rPr>
          <w:color w:val="000000" w:themeColor="text1"/>
          <w:lang w:val="it-IT"/>
        </w:rPr>
        <w:tab/>
        <w:t>Y</w:t>
      </w:r>
      <w:r w:rsidR="00214D86" w:rsidRPr="005C2B87">
        <w:rPr>
          <w:i/>
          <w:color w:val="000000" w:themeColor="text1"/>
          <w:vertAlign w:val="subscript"/>
          <w:lang w:val="it-IT"/>
        </w:rPr>
        <w:t>i</w:t>
      </w:r>
      <w:r w:rsidR="00214D86" w:rsidRPr="005C2B87">
        <w:rPr>
          <w:color w:val="000000" w:themeColor="text1"/>
          <w:lang w:val="it-IT"/>
        </w:rPr>
        <w:t xml:space="preserve">= </w:t>
      </w:r>
      <m:oMath>
        <m:r>
          <w:rPr>
            <w:rFonts w:ascii="Cambria Math" w:hAnsi="Cambria Math"/>
            <w:color w:val="000000" w:themeColor="text1"/>
          </w:rPr>
          <m:t>α</m:t>
        </m:r>
      </m:oMath>
      <w:r w:rsidR="00214D86" w:rsidRPr="005C2B87">
        <w:rPr>
          <w:color w:val="000000" w:themeColor="text1"/>
          <w:lang w:val="it-IT"/>
        </w:rPr>
        <w:t xml:space="preserve"> + </w:t>
      </w:r>
      <m:oMath>
        <m:r>
          <w:rPr>
            <w:rFonts w:ascii="Cambria Math" w:hAnsi="Cambria Math"/>
            <w:color w:val="000000" w:themeColor="text1"/>
          </w:rPr>
          <m:t>β</m:t>
        </m:r>
      </m:oMath>
      <w:r w:rsidR="00214D86" w:rsidRPr="005C2B87">
        <w:rPr>
          <w:color w:val="000000" w:themeColor="text1"/>
          <w:vertAlign w:val="subscript"/>
          <w:lang w:val="it-IT"/>
        </w:rPr>
        <w:t>0</w:t>
      </w:r>
      <w:r w:rsidR="00214D86" w:rsidRPr="005C2B87">
        <w:rPr>
          <w:color w:val="000000" w:themeColor="text1"/>
          <w:lang w:val="it-IT"/>
        </w:rPr>
        <w:t>D</w:t>
      </w:r>
      <w:r w:rsidR="00214D86" w:rsidRPr="005C2B87">
        <w:rPr>
          <w:i/>
          <w:color w:val="000000" w:themeColor="text1"/>
          <w:vertAlign w:val="subscript"/>
          <w:lang w:val="it-IT"/>
        </w:rPr>
        <w:t>i</w:t>
      </w:r>
      <w:r w:rsidR="00214D86" w:rsidRPr="005C2B87">
        <w:rPr>
          <w:color w:val="000000" w:themeColor="text1"/>
          <w:lang w:val="it-IT"/>
        </w:rPr>
        <w:t xml:space="preserve"> + </w:t>
      </w:r>
      <m:oMath>
        <m:r>
          <w:rPr>
            <w:rFonts w:ascii="Cambria Math" w:hAnsi="Cambria Math"/>
            <w:color w:val="000000" w:themeColor="text1"/>
          </w:rPr>
          <m:t>β</m:t>
        </m:r>
      </m:oMath>
      <w:r w:rsidR="00214D86" w:rsidRPr="005C2B87">
        <w:rPr>
          <w:color w:val="000000" w:themeColor="text1"/>
          <w:vertAlign w:val="subscript"/>
          <w:lang w:val="it-IT"/>
        </w:rPr>
        <w:t>1</w:t>
      </w:r>
      <w:r w:rsidR="00214D86" w:rsidRPr="005C2B87">
        <w:rPr>
          <w:color w:val="000000" w:themeColor="text1"/>
          <w:lang w:val="it-IT"/>
        </w:rPr>
        <w:t>r</w:t>
      </w:r>
      <w:r w:rsidR="00214D86" w:rsidRPr="005C2B87">
        <w:rPr>
          <w:i/>
          <w:color w:val="000000" w:themeColor="text1"/>
          <w:vertAlign w:val="subscript"/>
          <w:lang w:val="it-IT"/>
        </w:rPr>
        <w:t xml:space="preserve">i </w:t>
      </w:r>
      <w:r w:rsidR="00214D86" w:rsidRPr="005C2B87">
        <w:rPr>
          <w:i/>
          <w:color w:val="000000" w:themeColor="text1"/>
          <w:lang w:val="it-IT"/>
        </w:rPr>
        <w:t xml:space="preserve">+ </w:t>
      </w:r>
      <m:oMath>
        <m:r>
          <w:rPr>
            <w:rFonts w:ascii="Cambria Math" w:hAnsi="Cambria Math"/>
            <w:color w:val="000000" w:themeColor="text1"/>
          </w:rPr>
          <m:t>β</m:t>
        </m:r>
      </m:oMath>
      <w:r w:rsidR="00214D86" w:rsidRPr="005C2B87">
        <w:rPr>
          <w:color w:val="000000" w:themeColor="text1"/>
          <w:vertAlign w:val="subscript"/>
          <w:lang w:val="it-IT"/>
        </w:rPr>
        <w:t>2</w:t>
      </w:r>
      <w:r w:rsidR="00214D86" w:rsidRPr="005C2B87">
        <w:rPr>
          <w:color w:val="000000" w:themeColor="text1"/>
          <w:lang w:val="it-IT"/>
        </w:rPr>
        <w:t>r</w:t>
      </w:r>
      <w:r w:rsidR="00214D86" w:rsidRPr="005C2B87">
        <w:rPr>
          <w:i/>
          <w:color w:val="000000" w:themeColor="text1"/>
          <w:vertAlign w:val="subscript"/>
          <w:lang w:val="it-IT"/>
        </w:rPr>
        <w:t>i</w:t>
      </w:r>
      <w:r w:rsidR="00214D86" w:rsidRPr="005C2B87">
        <w:rPr>
          <w:i/>
          <w:color w:val="000000" w:themeColor="text1"/>
          <w:vertAlign w:val="superscript"/>
          <w:lang w:val="it-IT"/>
        </w:rPr>
        <w:t>2</w:t>
      </w:r>
      <w:r w:rsidR="00214D86" w:rsidRPr="005C2B87">
        <w:rPr>
          <w:i/>
          <w:color w:val="000000" w:themeColor="text1"/>
          <w:lang w:val="it-IT"/>
        </w:rPr>
        <w:t xml:space="preserve"> + </w:t>
      </w:r>
      <m:oMath>
        <m:r>
          <w:rPr>
            <w:rFonts w:ascii="Cambria Math" w:hAnsi="Cambria Math"/>
            <w:color w:val="000000" w:themeColor="text1"/>
          </w:rPr>
          <m:t>ε</m:t>
        </m:r>
      </m:oMath>
      <w:r w:rsidR="00214D86" w:rsidRPr="005C2B87">
        <w:rPr>
          <w:i/>
          <w:color w:val="000000" w:themeColor="text1"/>
          <w:vertAlign w:val="subscript"/>
          <w:lang w:val="it-IT"/>
        </w:rPr>
        <w:t>i</w:t>
      </w:r>
    </w:p>
    <w:p w:rsidR="00214D86" w:rsidRPr="005C2B87" w:rsidRDefault="00054972" w:rsidP="00E3205B">
      <w:pPr>
        <w:pStyle w:val="ListParagraph"/>
        <w:numPr>
          <w:ilvl w:val="0"/>
          <w:numId w:val="74"/>
        </w:numPr>
        <w:tabs>
          <w:tab w:val="left" w:pos="2977"/>
        </w:tabs>
        <w:rPr>
          <w:lang w:val="it-IT"/>
        </w:rPr>
      </w:pPr>
      <w:r w:rsidRPr="005C2B87">
        <w:rPr>
          <w:lang w:val="it-IT"/>
        </w:rPr>
        <w:t>Quadratic interaction</w:t>
      </w:r>
      <w:r w:rsidR="00214D86" w:rsidRPr="005C2B87">
        <w:rPr>
          <w:lang w:val="it-IT"/>
        </w:rPr>
        <w:tab/>
        <w:t>Y</w:t>
      </w:r>
      <w:r w:rsidR="00214D86" w:rsidRPr="005C2B87">
        <w:rPr>
          <w:i/>
          <w:vertAlign w:val="subscript"/>
          <w:lang w:val="it-IT"/>
        </w:rPr>
        <w:t>i</w:t>
      </w:r>
      <w:r w:rsidR="00214D86" w:rsidRPr="005C2B87">
        <w:rPr>
          <w:lang w:val="it-IT"/>
        </w:rPr>
        <w:t xml:space="preserve">= </w:t>
      </w:r>
      <m:oMath>
        <m:r>
          <w:rPr>
            <w:rFonts w:ascii="Cambria Math" w:hAnsi="Cambria Math"/>
          </w:rPr>
          <m:t>α</m:t>
        </m:r>
      </m:oMath>
      <w:r w:rsidR="00214D86" w:rsidRPr="005C2B87">
        <w:rPr>
          <w:lang w:val="it-IT"/>
        </w:rPr>
        <w:t xml:space="preserve"> + </w:t>
      </w:r>
      <m:oMath>
        <m:r>
          <w:rPr>
            <w:rFonts w:ascii="Cambria Math" w:hAnsi="Cambria Math"/>
          </w:rPr>
          <m:t>β</m:t>
        </m:r>
      </m:oMath>
      <w:r w:rsidR="00214D86" w:rsidRPr="005C2B87">
        <w:rPr>
          <w:vertAlign w:val="subscript"/>
          <w:lang w:val="it-IT"/>
        </w:rPr>
        <w:t>0</w:t>
      </w:r>
      <w:r w:rsidR="00214D86" w:rsidRPr="005C2B87">
        <w:rPr>
          <w:lang w:val="it-IT"/>
        </w:rPr>
        <w:t>D</w:t>
      </w:r>
      <w:r w:rsidR="00214D86" w:rsidRPr="005C2B87">
        <w:rPr>
          <w:i/>
          <w:vertAlign w:val="subscript"/>
          <w:lang w:val="it-IT"/>
        </w:rPr>
        <w:t>i</w:t>
      </w:r>
      <w:r w:rsidR="00214D86" w:rsidRPr="005C2B87">
        <w:rPr>
          <w:lang w:val="it-IT"/>
        </w:rPr>
        <w:t xml:space="preserve"> + </w:t>
      </w:r>
      <m:oMath>
        <m:r>
          <w:rPr>
            <w:rFonts w:ascii="Cambria Math" w:hAnsi="Cambria Math"/>
          </w:rPr>
          <m:t>β</m:t>
        </m:r>
      </m:oMath>
      <w:r w:rsidR="00214D86" w:rsidRPr="005C2B87">
        <w:rPr>
          <w:vertAlign w:val="subscript"/>
          <w:lang w:val="it-IT"/>
        </w:rPr>
        <w:t>1</w:t>
      </w:r>
      <w:r w:rsidR="00214D86" w:rsidRPr="005C2B87">
        <w:rPr>
          <w:lang w:val="it-IT"/>
        </w:rPr>
        <w:t>r</w:t>
      </w:r>
      <w:r w:rsidR="00214D86" w:rsidRPr="005C2B87">
        <w:rPr>
          <w:i/>
          <w:vertAlign w:val="subscript"/>
          <w:lang w:val="it-IT"/>
        </w:rPr>
        <w:t xml:space="preserve">i </w:t>
      </w:r>
      <w:r w:rsidR="00214D86" w:rsidRPr="005C2B87">
        <w:rPr>
          <w:i/>
          <w:lang w:val="it-IT"/>
        </w:rPr>
        <w:t xml:space="preserve">+ </w:t>
      </w:r>
      <m:oMath>
        <m:r>
          <w:rPr>
            <w:rFonts w:ascii="Cambria Math" w:hAnsi="Cambria Math"/>
          </w:rPr>
          <m:t>β</m:t>
        </m:r>
      </m:oMath>
      <w:r w:rsidR="00214D86" w:rsidRPr="005C2B87">
        <w:rPr>
          <w:vertAlign w:val="subscript"/>
          <w:lang w:val="it-IT"/>
        </w:rPr>
        <w:t>2</w:t>
      </w:r>
      <w:r w:rsidR="00214D86" w:rsidRPr="005C2B87">
        <w:rPr>
          <w:lang w:val="it-IT"/>
        </w:rPr>
        <w:t>r</w:t>
      </w:r>
      <w:r w:rsidR="00214D86" w:rsidRPr="005C2B87">
        <w:rPr>
          <w:i/>
          <w:vertAlign w:val="subscript"/>
          <w:lang w:val="it-IT"/>
        </w:rPr>
        <w:t>i</w:t>
      </w:r>
      <w:r w:rsidR="00214D86" w:rsidRPr="005C2B87">
        <w:rPr>
          <w:i/>
          <w:vertAlign w:val="superscript"/>
          <w:lang w:val="it-IT"/>
        </w:rPr>
        <w:t>2 +</w:t>
      </w:r>
      <w:r w:rsidR="00214D86" w:rsidRPr="005C2B87">
        <w:rPr>
          <w:i/>
          <w:lang w:val="it-IT"/>
        </w:rPr>
        <w:t xml:space="preserve"> </w:t>
      </w:r>
      <m:oMath>
        <m:r>
          <w:rPr>
            <w:rFonts w:ascii="Cambria Math" w:hAnsi="Cambria Math"/>
          </w:rPr>
          <m:t>β</m:t>
        </m:r>
      </m:oMath>
      <w:r w:rsidR="00214D86" w:rsidRPr="005C2B87">
        <w:rPr>
          <w:vertAlign w:val="subscript"/>
          <w:lang w:val="it-IT"/>
        </w:rPr>
        <w:t>3</w:t>
      </w:r>
      <w:r w:rsidR="00214D86" w:rsidRPr="005C2B87">
        <w:rPr>
          <w:lang w:val="it-IT"/>
        </w:rPr>
        <w:t>D</w:t>
      </w:r>
      <w:r w:rsidR="00214D86" w:rsidRPr="005C2B87">
        <w:rPr>
          <w:i/>
          <w:vertAlign w:val="subscript"/>
          <w:lang w:val="it-IT"/>
        </w:rPr>
        <w:t>i</w:t>
      </w:r>
      <w:r w:rsidR="00214D86" w:rsidRPr="005C2B87">
        <w:rPr>
          <w:lang w:val="it-IT"/>
        </w:rPr>
        <w:t>r</w:t>
      </w:r>
      <w:r w:rsidR="00214D86" w:rsidRPr="005C2B87">
        <w:rPr>
          <w:i/>
          <w:vertAlign w:val="subscript"/>
          <w:lang w:val="it-IT"/>
        </w:rPr>
        <w:t>i +</w:t>
      </w:r>
      <w:r w:rsidR="00214D86" w:rsidRPr="005C2B87">
        <w:rPr>
          <w:i/>
          <w:lang w:val="it-IT"/>
        </w:rPr>
        <w:t xml:space="preserve"> </w:t>
      </w:r>
      <m:oMath>
        <m:r>
          <w:rPr>
            <w:rFonts w:ascii="Cambria Math" w:hAnsi="Cambria Math"/>
          </w:rPr>
          <m:t>β</m:t>
        </m:r>
      </m:oMath>
      <w:r w:rsidR="00214D86" w:rsidRPr="005C2B87">
        <w:rPr>
          <w:vertAlign w:val="subscript"/>
          <w:lang w:val="it-IT"/>
        </w:rPr>
        <w:t>4</w:t>
      </w:r>
      <w:r w:rsidR="00214D86" w:rsidRPr="005C2B87">
        <w:rPr>
          <w:lang w:val="it-IT"/>
        </w:rPr>
        <w:t>D</w:t>
      </w:r>
      <w:r w:rsidR="00214D86" w:rsidRPr="005C2B87">
        <w:rPr>
          <w:i/>
          <w:vertAlign w:val="subscript"/>
          <w:lang w:val="it-IT"/>
        </w:rPr>
        <w:t>i</w:t>
      </w:r>
      <w:r w:rsidR="00214D86" w:rsidRPr="005C2B87">
        <w:rPr>
          <w:lang w:val="it-IT"/>
        </w:rPr>
        <w:t>r</w:t>
      </w:r>
      <w:r w:rsidR="00214D86" w:rsidRPr="005C2B87">
        <w:rPr>
          <w:i/>
          <w:vertAlign w:val="subscript"/>
          <w:lang w:val="it-IT"/>
        </w:rPr>
        <w:t>i</w:t>
      </w:r>
      <w:r w:rsidR="00214D86" w:rsidRPr="005C2B87">
        <w:rPr>
          <w:i/>
          <w:vertAlign w:val="superscript"/>
          <w:lang w:val="it-IT"/>
        </w:rPr>
        <w:t>2</w:t>
      </w:r>
      <w:r w:rsidR="00214D86" w:rsidRPr="005C2B87">
        <w:rPr>
          <w:i/>
          <w:lang w:val="it-IT"/>
        </w:rPr>
        <w:t xml:space="preserve"> + </w:t>
      </w:r>
      <m:oMath>
        <m:r>
          <w:rPr>
            <w:rFonts w:ascii="Cambria Math" w:hAnsi="Cambria Math"/>
          </w:rPr>
          <m:t>ε</m:t>
        </m:r>
      </m:oMath>
      <w:r w:rsidR="00214D86" w:rsidRPr="005C2B87">
        <w:rPr>
          <w:i/>
          <w:vertAlign w:val="subscript"/>
          <w:lang w:val="it-IT"/>
        </w:rPr>
        <w:t>i</w:t>
      </w:r>
    </w:p>
    <w:p w:rsidR="00054972" w:rsidRDefault="00214D86" w:rsidP="00054972">
      <w:pPr>
        <w:rPr>
          <w:color w:val="000000" w:themeColor="text1"/>
        </w:rPr>
      </w:pPr>
      <w:r>
        <w:rPr>
          <w:color w:val="000000" w:themeColor="text1"/>
        </w:rPr>
        <w:t>w</w:t>
      </w:r>
      <w:r w:rsidR="00054972">
        <w:rPr>
          <w:color w:val="000000" w:themeColor="text1"/>
        </w:rPr>
        <w:t>here</w:t>
      </w:r>
      <w:r>
        <w:rPr>
          <w:color w:val="000000" w:themeColor="text1"/>
        </w:rPr>
        <w:t>:</w:t>
      </w:r>
      <w:r w:rsidR="00054972">
        <w:rPr>
          <w:color w:val="000000" w:themeColor="text1"/>
        </w:rPr>
        <w:t xml:space="preserve"> </w:t>
      </w:r>
    </w:p>
    <w:p w:rsidR="00054972" w:rsidRDefault="00756882" w:rsidP="00756882">
      <w:pPr>
        <w:tabs>
          <w:tab w:val="left" w:pos="567"/>
          <w:tab w:val="left" w:pos="1134"/>
        </w:tabs>
        <w:ind w:left="851" w:hanging="567"/>
        <w:contextualSpacing/>
        <w:rPr>
          <w:color w:val="000000" w:themeColor="text1"/>
        </w:rPr>
      </w:pPr>
      <m:oMath>
        <m:r>
          <m:rPr>
            <m:sty m:val="p"/>
          </m:rPr>
          <w:rPr>
            <w:rFonts w:ascii="Cambria Math" w:hAnsi="Cambria Math"/>
            <w:color w:val="000000" w:themeColor="text1"/>
          </w:rPr>
          <m:t>α</m:t>
        </m:r>
      </m:oMath>
      <w:r>
        <w:rPr>
          <w:color w:val="000000" w:themeColor="text1"/>
        </w:rPr>
        <w:tab/>
      </w:r>
      <w:r w:rsidR="00054972">
        <w:rPr>
          <w:color w:val="000000" w:themeColor="text1"/>
        </w:rPr>
        <w:t>=</w:t>
      </w:r>
      <w:r w:rsidR="00CA5AD0">
        <w:rPr>
          <w:color w:val="000000" w:themeColor="text1"/>
        </w:rPr>
        <w:tab/>
      </w:r>
      <w:r w:rsidR="00054972">
        <w:rPr>
          <w:color w:val="000000" w:themeColor="text1"/>
        </w:rPr>
        <w:t>intercept, interpreted as the predicted outcome rate at the age boundary cut-off</w:t>
      </w:r>
    </w:p>
    <w:p w:rsidR="00054972" w:rsidRPr="006E2F0A" w:rsidRDefault="00756882" w:rsidP="00756882">
      <w:pPr>
        <w:tabs>
          <w:tab w:val="left" w:pos="567"/>
          <w:tab w:val="left" w:pos="1134"/>
        </w:tabs>
        <w:ind w:left="851" w:hanging="567"/>
        <w:contextualSpacing/>
        <w:rPr>
          <w:color w:val="000000" w:themeColor="text1"/>
        </w:rPr>
      </w:pPr>
      <w:r>
        <w:rPr>
          <w:color w:val="000000" w:themeColor="text1"/>
        </w:rPr>
        <w:t>Y</w:t>
      </w:r>
      <w:r w:rsidRPr="00CA5AD0">
        <w:rPr>
          <w:color w:val="000000" w:themeColor="text1"/>
          <w:vertAlign w:val="subscript"/>
        </w:rPr>
        <w:t>i</w:t>
      </w:r>
      <w:r>
        <w:rPr>
          <w:color w:val="000000" w:themeColor="text1"/>
        </w:rPr>
        <w:tab/>
      </w:r>
      <w:r w:rsidR="00054972">
        <w:rPr>
          <w:color w:val="000000" w:themeColor="text1"/>
        </w:rPr>
        <w:t>=</w:t>
      </w:r>
      <w:r w:rsidR="00CA5AD0">
        <w:rPr>
          <w:color w:val="000000" w:themeColor="text1"/>
        </w:rPr>
        <w:tab/>
      </w:r>
      <w:r w:rsidR="00C92CA4">
        <w:rPr>
          <w:color w:val="000000" w:themeColor="text1"/>
        </w:rPr>
        <w:t>o</w:t>
      </w:r>
      <w:r w:rsidR="00054972">
        <w:rPr>
          <w:color w:val="000000" w:themeColor="text1"/>
        </w:rPr>
        <w:t xml:space="preserve">utcome for age </w:t>
      </w:r>
      <w:r w:rsidR="00CA5AD0">
        <w:rPr>
          <w:color w:val="000000" w:themeColor="text1"/>
        </w:rPr>
        <w:t>I being modelled</w:t>
      </w:r>
      <w:r w:rsidR="00C92CA4" w:rsidRPr="006E2F0A">
        <w:rPr>
          <w:color w:val="000000" w:themeColor="text1"/>
        </w:rPr>
        <w:t>, such as exit from income support</w:t>
      </w:r>
    </w:p>
    <w:p w:rsidR="00CA5AD0" w:rsidRDefault="00756882" w:rsidP="00756882">
      <w:pPr>
        <w:tabs>
          <w:tab w:val="left" w:pos="567"/>
          <w:tab w:val="left" w:pos="1134"/>
        </w:tabs>
        <w:ind w:left="851" w:hanging="567"/>
        <w:contextualSpacing/>
        <w:rPr>
          <w:color w:val="000000" w:themeColor="text1"/>
        </w:rPr>
      </w:pPr>
      <m:oMath>
        <m:r>
          <w:rPr>
            <w:rFonts w:ascii="Cambria Math" w:hAnsi="Cambria Math"/>
          </w:rPr>
          <m:t>β</m:t>
        </m:r>
      </m:oMath>
      <w:r>
        <w:rPr>
          <w:color w:val="000000" w:themeColor="text1"/>
        </w:rPr>
        <w:tab/>
      </w:r>
      <w:r w:rsidR="00CA5AD0">
        <w:rPr>
          <w:color w:val="000000" w:themeColor="text1"/>
        </w:rPr>
        <w:t>=</w:t>
      </w:r>
      <w:r w:rsidR="00CA5AD0">
        <w:rPr>
          <w:color w:val="000000" w:themeColor="text1"/>
        </w:rPr>
        <w:tab/>
        <w:t>modelled parameter co-efficient</w:t>
      </w:r>
    </w:p>
    <w:p w:rsidR="00054972" w:rsidRDefault="00756882" w:rsidP="00756882">
      <w:pPr>
        <w:tabs>
          <w:tab w:val="left" w:pos="567"/>
          <w:tab w:val="left" w:pos="1134"/>
        </w:tabs>
        <w:ind w:left="851" w:hanging="567"/>
        <w:contextualSpacing/>
        <w:rPr>
          <w:color w:val="000000" w:themeColor="text1"/>
        </w:rPr>
      </w:pPr>
      <w:r>
        <w:rPr>
          <w:color w:val="000000" w:themeColor="text1"/>
        </w:rPr>
        <w:t>D</w:t>
      </w:r>
      <w:r w:rsidRPr="00CA5AD0">
        <w:rPr>
          <w:color w:val="000000" w:themeColor="text1"/>
          <w:vertAlign w:val="subscript"/>
        </w:rPr>
        <w:t>i</w:t>
      </w:r>
      <w:r>
        <w:rPr>
          <w:color w:val="000000" w:themeColor="text1"/>
        </w:rPr>
        <w:tab/>
      </w:r>
      <w:r w:rsidR="00054972">
        <w:rPr>
          <w:color w:val="000000" w:themeColor="text1"/>
        </w:rPr>
        <w:t>=</w:t>
      </w:r>
      <w:r w:rsidR="00CA5AD0">
        <w:rPr>
          <w:color w:val="000000" w:themeColor="text1"/>
        </w:rPr>
        <w:tab/>
      </w:r>
      <w:r w:rsidR="00054972">
        <w:rPr>
          <w:color w:val="000000" w:themeColor="text1"/>
        </w:rPr>
        <w:t>1 if age outside JCB target range, 0 if within</w:t>
      </w:r>
      <w:r w:rsidR="006F1DFF">
        <w:rPr>
          <w:color w:val="000000" w:themeColor="text1"/>
        </w:rPr>
        <w:t xml:space="preserve"> the JCB target range</w:t>
      </w:r>
    </w:p>
    <w:p w:rsidR="00CA5AD0" w:rsidRPr="00CA5AD0" w:rsidRDefault="00756882" w:rsidP="00756882">
      <w:pPr>
        <w:tabs>
          <w:tab w:val="left" w:pos="567"/>
          <w:tab w:val="left" w:pos="1134"/>
        </w:tabs>
        <w:spacing w:before="240"/>
        <w:ind w:left="851" w:hanging="567"/>
        <w:contextualSpacing/>
        <w:rPr>
          <w:color w:val="000000" w:themeColor="text1"/>
        </w:rPr>
      </w:pPr>
      <w:r w:rsidRPr="00F21555">
        <w:rPr>
          <w:color w:val="000000" w:themeColor="text1"/>
        </w:rPr>
        <w:t>r</w:t>
      </w:r>
      <w:r w:rsidRPr="00CA5AD0">
        <w:rPr>
          <w:color w:val="000000" w:themeColor="text1"/>
          <w:vertAlign w:val="subscript"/>
        </w:rPr>
        <w:t>i</w:t>
      </w:r>
      <w:r>
        <w:rPr>
          <w:color w:val="000000" w:themeColor="text1"/>
        </w:rPr>
        <w:tab/>
      </w:r>
      <w:r w:rsidR="00054972">
        <w:rPr>
          <w:color w:val="000000" w:themeColor="text1"/>
        </w:rPr>
        <w:t>=</w:t>
      </w:r>
      <w:r w:rsidR="00CA5AD0">
        <w:rPr>
          <w:color w:val="000000" w:themeColor="text1"/>
        </w:rPr>
        <w:tab/>
      </w:r>
      <w:r w:rsidR="00CA5AD0" w:rsidRPr="00CA5AD0">
        <w:rPr>
          <w:color w:val="000000" w:themeColor="text1"/>
        </w:rPr>
        <w:t xml:space="preserve">the distance of </w:t>
      </w:r>
      <w:r w:rsidR="00CA5AD0">
        <w:rPr>
          <w:color w:val="000000" w:themeColor="text1"/>
        </w:rPr>
        <w:t>a</w:t>
      </w:r>
      <w:r w:rsidR="00CA5AD0" w:rsidRPr="00CA5AD0">
        <w:rPr>
          <w:color w:val="000000" w:themeColor="text1"/>
        </w:rPr>
        <w:t xml:space="preserve"> person’s age from the JCB</w:t>
      </w:r>
      <w:r w:rsidR="00CA5AD0">
        <w:rPr>
          <w:color w:val="000000" w:themeColor="text1"/>
        </w:rPr>
        <w:t xml:space="preserve"> cohort boundary limit (e.g. </w:t>
      </w:r>
      <w:r w:rsidR="002862C3">
        <w:rPr>
          <w:color w:val="000000" w:themeColor="text1"/>
        </w:rPr>
        <w:t xml:space="preserve">from </w:t>
      </w:r>
      <w:r w:rsidR="00CA5AD0">
        <w:rPr>
          <w:color w:val="000000" w:themeColor="text1"/>
        </w:rPr>
        <w:t>31 </w:t>
      </w:r>
      <w:r w:rsidR="00CA5AD0" w:rsidRPr="00CA5AD0">
        <w:rPr>
          <w:color w:val="000000" w:themeColor="text1"/>
        </w:rPr>
        <w:t>years for the higher age limit</w:t>
      </w:r>
      <w:r w:rsidR="002862C3">
        <w:rPr>
          <w:color w:val="000000" w:themeColor="text1"/>
        </w:rPr>
        <w:t>)</w:t>
      </w:r>
    </w:p>
    <w:p w:rsidR="00054972" w:rsidRDefault="00756882" w:rsidP="00756882">
      <w:pPr>
        <w:tabs>
          <w:tab w:val="left" w:pos="567"/>
          <w:tab w:val="left" w:pos="1134"/>
        </w:tabs>
        <w:ind w:left="851" w:hanging="567"/>
        <w:contextualSpacing/>
        <w:rPr>
          <w:color w:val="000000" w:themeColor="text1"/>
        </w:rPr>
      </w:pPr>
      <m:oMath>
        <m:r>
          <m:rPr>
            <m:sty m:val="p"/>
          </m:rPr>
          <w:rPr>
            <w:rFonts w:ascii="Cambria Math" w:hAnsi="Cambria Math"/>
            <w:color w:val="000000" w:themeColor="text1"/>
          </w:rPr>
          <m:t>ε</m:t>
        </m:r>
      </m:oMath>
      <w:r w:rsidRPr="00CA5AD0">
        <w:rPr>
          <w:color w:val="000000" w:themeColor="text1"/>
          <w:vertAlign w:val="subscript"/>
        </w:rPr>
        <w:t>i</w:t>
      </w:r>
      <w:r>
        <w:rPr>
          <w:color w:val="000000" w:themeColor="text1"/>
        </w:rPr>
        <w:tab/>
      </w:r>
      <w:r w:rsidR="00054972">
        <w:rPr>
          <w:color w:val="000000" w:themeColor="text1"/>
        </w:rPr>
        <w:t>=</w:t>
      </w:r>
      <w:r w:rsidR="00CA5AD0">
        <w:rPr>
          <w:color w:val="000000" w:themeColor="text1"/>
        </w:rPr>
        <w:tab/>
      </w:r>
      <w:r w:rsidR="00214D86">
        <w:rPr>
          <w:color w:val="000000" w:themeColor="text1"/>
        </w:rPr>
        <w:t xml:space="preserve">random </w:t>
      </w:r>
      <w:r w:rsidR="00054972">
        <w:rPr>
          <w:color w:val="000000" w:themeColor="text1"/>
        </w:rPr>
        <w:t>error</w:t>
      </w:r>
      <w:r w:rsidR="00214D86">
        <w:rPr>
          <w:color w:val="000000" w:themeColor="text1"/>
        </w:rPr>
        <w:t xml:space="preserve"> for age </w:t>
      </w:r>
      <w:r w:rsidR="00214D86" w:rsidRPr="000922CE">
        <w:rPr>
          <w:color w:val="000000" w:themeColor="text1"/>
        </w:rPr>
        <w:t>i</w:t>
      </w:r>
      <w:r w:rsidR="00214D86">
        <w:rPr>
          <w:color w:val="000000" w:themeColor="text1"/>
        </w:rPr>
        <w:t>.</w:t>
      </w:r>
    </w:p>
    <w:p w:rsidR="00054972" w:rsidRDefault="00214D86" w:rsidP="00982AFE">
      <w:pPr>
        <w:spacing w:before="240"/>
        <w:rPr>
          <w:color w:val="000000" w:themeColor="text1"/>
        </w:rPr>
      </w:pPr>
      <w:r>
        <w:rPr>
          <w:color w:val="000000" w:themeColor="text1"/>
        </w:rPr>
        <w:t>T</w:t>
      </w:r>
      <w:r w:rsidR="00054972">
        <w:rPr>
          <w:color w:val="000000" w:themeColor="text1"/>
        </w:rPr>
        <w:t>he model with the lowest AICc</w:t>
      </w:r>
      <w:r w:rsidR="006F1DFF">
        <w:rPr>
          <w:color w:val="000000" w:themeColor="text1"/>
        </w:rPr>
        <w:t xml:space="preserve"> </w:t>
      </w:r>
      <w:r w:rsidR="006F1DFF" w:rsidRPr="006E2F0A">
        <w:rPr>
          <w:color w:val="000000" w:themeColor="text1"/>
        </w:rPr>
        <w:t>(</w:t>
      </w:r>
      <w:r w:rsidR="006F1DFF" w:rsidRPr="00CA5AD0">
        <w:rPr>
          <w:color w:val="000000" w:themeColor="text1"/>
        </w:rPr>
        <w:t>Akaike information criterion, a goodness of fit statistic)</w:t>
      </w:r>
      <w:r w:rsidR="00054972">
        <w:rPr>
          <w:color w:val="000000" w:themeColor="text1"/>
        </w:rPr>
        <w:t xml:space="preserve"> </w:t>
      </w:r>
      <w:r>
        <w:rPr>
          <w:color w:val="000000" w:themeColor="text1"/>
        </w:rPr>
        <w:t xml:space="preserve">is </w:t>
      </w:r>
      <w:r w:rsidR="00054972">
        <w:rPr>
          <w:color w:val="000000" w:themeColor="text1"/>
        </w:rPr>
        <w:t xml:space="preserve">selected as the best </w:t>
      </w:r>
      <w:r w:rsidR="006F1DFF">
        <w:rPr>
          <w:color w:val="000000" w:themeColor="text1"/>
        </w:rPr>
        <w:t>model</w:t>
      </w:r>
      <w:r w:rsidR="00054972">
        <w:rPr>
          <w:color w:val="000000" w:themeColor="text1"/>
        </w:rPr>
        <w:t>.</w:t>
      </w:r>
    </w:p>
    <w:p w:rsidR="00965FBD" w:rsidRPr="00B83C41" w:rsidRDefault="00965FBD" w:rsidP="00F239FA">
      <w:pPr>
        <w:pStyle w:val="Heading3"/>
      </w:pPr>
      <w:r w:rsidRPr="00B83C41">
        <w:lastRenderedPageBreak/>
        <w:t>Difference in differences</w:t>
      </w:r>
    </w:p>
    <w:p w:rsidR="00965FBD" w:rsidRDefault="00965FBD" w:rsidP="00965FBD">
      <w:pPr>
        <w:rPr>
          <w:color w:val="000000" w:themeColor="text1"/>
        </w:rPr>
      </w:pPr>
      <w:r>
        <w:rPr>
          <w:color w:val="000000" w:themeColor="text1"/>
        </w:rPr>
        <w:t xml:space="preserve">For difference-in-difference analyses (DID) two groups are compared longitudinally. In this report DID analyses are used to compare outcomes before and after the introduction of the JCB. Other factors that change over time, which may affect outcomes, are taken in to consideration as these factors will be impacting both groups. In </w:t>
      </w:r>
      <w:r w:rsidR="00D05847">
        <w:rPr>
          <w:color w:val="000000" w:themeColor="text1"/>
        </w:rPr>
        <w:t xml:space="preserve">the JCB </w:t>
      </w:r>
      <w:r>
        <w:rPr>
          <w:color w:val="000000" w:themeColor="text1"/>
        </w:rPr>
        <w:t xml:space="preserve">evaluation these factors include changes </w:t>
      </w:r>
      <w:r w:rsidR="00D05847">
        <w:rPr>
          <w:color w:val="000000" w:themeColor="text1"/>
        </w:rPr>
        <w:t xml:space="preserve">in </w:t>
      </w:r>
      <w:r>
        <w:rPr>
          <w:color w:val="000000" w:themeColor="text1"/>
        </w:rPr>
        <w:t xml:space="preserve">macro-economic </w:t>
      </w:r>
      <w:r w:rsidR="00D05847">
        <w:rPr>
          <w:color w:val="000000" w:themeColor="text1"/>
        </w:rPr>
        <w:t>conditions</w:t>
      </w:r>
      <w:r>
        <w:rPr>
          <w:color w:val="000000" w:themeColor="text1"/>
        </w:rPr>
        <w:t>, changes to</w:t>
      </w:r>
      <w:r w:rsidR="008477D2">
        <w:rPr>
          <w:color w:val="000000" w:themeColor="text1"/>
        </w:rPr>
        <w:t xml:space="preserve"> the income support system etc.</w:t>
      </w:r>
    </w:p>
    <w:p w:rsidR="00965FBD" w:rsidRDefault="00965FBD" w:rsidP="00965FBD">
      <w:pPr>
        <w:rPr>
          <w:color w:val="000000" w:themeColor="text1"/>
        </w:rPr>
      </w:pPr>
      <w:r>
        <w:rPr>
          <w:color w:val="000000" w:themeColor="text1"/>
        </w:rPr>
        <w:t>Therefore, any difference observed in outcomes between the two groups can be attributed to the intervention (JCB) that is being considered</w:t>
      </w:r>
      <w:r w:rsidR="001B7433">
        <w:rPr>
          <w:color w:val="000000" w:themeColor="text1"/>
        </w:rPr>
        <w:t xml:space="preserve"> (Figure E</w:t>
      </w:r>
      <w:r w:rsidR="004C5B83">
        <w:rPr>
          <w:color w:val="000000" w:themeColor="text1"/>
        </w:rPr>
        <w:t>.2)</w:t>
      </w:r>
      <w:r>
        <w:rPr>
          <w:color w:val="000000" w:themeColor="text1"/>
        </w:rPr>
        <w:t>.</w:t>
      </w:r>
    </w:p>
    <w:p w:rsidR="00250D8B" w:rsidRPr="00B07341" w:rsidRDefault="00965FBD" w:rsidP="00250D8B">
      <w:pPr>
        <w:pStyle w:val="FigureCaption"/>
      </w:pPr>
      <w:bookmarkStart w:id="246" w:name="_Toc507600301"/>
      <w:r w:rsidRPr="00B07341">
        <w:t xml:space="preserve">Figure </w:t>
      </w:r>
      <w:r w:rsidR="00603A49">
        <w:t>E</w:t>
      </w:r>
      <w:r w:rsidRPr="00B07341">
        <w:t>.</w:t>
      </w:r>
      <w:r>
        <w:t>2</w:t>
      </w:r>
      <w:r w:rsidR="00250D8B">
        <w:t>: Diagrammatic representation of DID analysis</w:t>
      </w:r>
      <w:bookmarkEnd w:id="246"/>
    </w:p>
    <w:p w:rsidR="00965FBD" w:rsidRDefault="00AE0C6D" w:rsidP="00965FBD">
      <w:pPr>
        <w:rPr>
          <w:color w:val="000000" w:themeColor="text1"/>
        </w:rPr>
      </w:pPr>
      <w:r>
        <w:rPr>
          <w:noProof/>
          <w:color w:val="000000" w:themeColor="text1"/>
          <w:lang w:eastAsia="en-AU"/>
        </w:rPr>
        <w:drawing>
          <wp:inline distT="0" distB="0" distL="0" distR="0" wp14:anchorId="42407CF5" wp14:editId="3F06ACCE">
            <wp:extent cx="5731510" cy="4298315"/>
            <wp:effectExtent l="0" t="0" r="2540" b="6985"/>
            <wp:docPr id="5" name="Picture 5" descr="A line chart illustrating DID methodology for the JCB analysis in this report. The chart plots month by an outcome variable for those in and outside of the JCB age range, before and after the introduction of the JCB. &#10;Two parallel lines show the observed outcome trend for those outside the JCB target age range and the unobserved outcome trend had the JCB not been in operation (the counterfactual) for those in the JCB target age range. The constant differential (gap) between these two parallel lines (over time, before and after the introduction of the JCB) is the constant difference in outcomes based on age differences alone. &#10;A third line aligns with the unobserved counterfactual line until July 2014 (when the JCB commenced) and then diverges. This line is the observed trend for the JCB age range - and the gap between it and the unobserved counterfactual (from July 2014 onwards) represents the effect of the JCB on the outcome variable for those in the JCB age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d2.png"/>
                    <pic:cNvPicPr/>
                  </pic:nvPicPr>
                  <pic:blipFill>
                    <a:blip r:embed="rId57">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rsidR="00934B1F" w:rsidRPr="007F2BBB" w:rsidRDefault="00934B1F" w:rsidP="007F2BBB">
      <w:pPr>
        <w:pStyle w:val="Source"/>
        <w:rPr>
          <w:b w:val="0"/>
        </w:rPr>
      </w:pPr>
      <w:r w:rsidRPr="007F2BBB">
        <w:rPr>
          <w:color w:val="000000" w:themeColor="text1"/>
        </w:rPr>
        <w:t>Source:</w:t>
      </w:r>
      <w:r w:rsidR="0018674E" w:rsidRPr="007F2BBB">
        <w:rPr>
          <w:b w:val="0"/>
          <w:color w:val="000000" w:themeColor="text1"/>
        </w:rPr>
        <w:t xml:space="preserve"> </w:t>
      </w:r>
      <w:r w:rsidR="0018674E" w:rsidRPr="007F2BBB">
        <w:rPr>
          <w:b w:val="0"/>
        </w:rPr>
        <w:t>Adapted by the Department from</w:t>
      </w:r>
      <w:r w:rsidR="0018674E" w:rsidRPr="007F2BBB">
        <w:rPr>
          <w:b w:val="0"/>
          <w:color w:val="000000" w:themeColor="text1"/>
        </w:rPr>
        <w:t xml:space="preserve"> </w:t>
      </w:r>
      <w:r w:rsidRPr="007F2BBB">
        <w:rPr>
          <w:b w:val="0"/>
        </w:rPr>
        <w:t xml:space="preserve">Columbia University Mailman School of Public Health, Difference-in-Difference estimation, </w:t>
      </w:r>
      <w:hyperlink r:id="rId58" w:history="1">
        <w:r w:rsidRPr="007F2BBB">
          <w:rPr>
            <w:rStyle w:val="Hyperlink"/>
            <w:b w:val="0"/>
          </w:rPr>
          <w:t>https://www.mailman.columbia.edu/research/population-health-methods/difference-difference-estimation</w:t>
        </w:r>
      </w:hyperlink>
      <w:r w:rsidRPr="007F2BBB">
        <w:rPr>
          <w:rStyle w:val="Hyperlink"/>
          <w:b w:val="0"/>
        </w:rPr>
        <w:t>.</w:t>
      </w:r>
      <w:r w:rsidRPr="007F2BBB">
        <w:rPr>
          <w:b w:val="0"/>
        </w:rPr>
        <w:t xml:space="preserve"> </w:t>
      </w:r>
    </w:p>
    <w:p w:rsidR="00965FBD" w:rsidRPr="00B83C41" w:rsidRDefault="00965FBD" w:rsidP="00F239FA">
      <w:pPr>
        <w:pStyle w:val="Heading3"/>
      </w:pPr>
      <w:r w:rsidRPr="00B83C41">
        <w:t>Survival analysis</w:t>
      </w:r>
    </w:p>
    <w:p w:rsidR="00965FBD" w:rsidRDefault="00965FBD" w:rsidP="00965FBD">
      <w:r w:rsidRPr="003C03F9">
        <w:t>Survival analysis techniques are used for some analyses</w:t>
      </w:r>
      <w:r>
        <w:t>, some of these based on observed results while some also use regression to control for differences between study populations and macro</w:t>
      </w:r>
      <w:r w:rsidR="00D05847">
        <w:noBreakHyphen/>
      </w:r>
      <w:r>
        <w:t>economic conditions</w:t>
      </w:r>
      <w:r w:rsidR="008477D2">
        <w:t>.</w:t>
      </w:r>
    </w:p>
    <w:p w:rsidR="00965FBD" w:rsidRDefault="00965FBD" w:rsidP="00965FBD">
      <w:r w:rsidRPr="003C03F9">
        <w:t xml:space="preserve">Survival analysis enables the inclusion of those who have not yet reached the </w:t>
      </w:r>
      <w:r>
        <w:t xml:space="preserve">outcome </w:t>
      </w:r>
      <w:r w:rsidR="00D05847">
        <w:t xml:space="preserve">under consideration </w:t>
      </w:r>
      <w:r>
        <w:t>by the end of the analysis period, but might had if the analysis period had been longer.</w:t>
      </w:r>
    </w:p>
    <w:p w:rsidR="00965FBD" w:rsidRDefault="00603A49" w:rsidP="00965FBD">
      <w:pPr>
        <w:pStyle w:val="Heading2"/>
      </w:pPr>
      <w:bookmarkStart w:id="247" w:name="_Toc507600270"/>
      <w:r>
        <w:lastRenderedPageBreak/>
        <w:t>E</w:t>
      </w:r>
      <w:r w:rsidR="00965FBD">
        <w:t>.3</w:t>
      </w:r>
      <w:r w:rsidR="00965FBD">
        <w:tab/>
        <w:t>Study populations</w:t>
      </w:r>
      <w:bookmarkEnd w:id="247"/>
    </w:p>
    <w:p w:rsidR="00965FBD" w:rsidRDefault="00965FBD" w:rsidP="00965FBD">
      <w:r>
        <w:t xml:space="preserve">For these analyses </w:t>
      </w:r>
      <w:r w:rsidR="00E25F29">
        <w:t xml:space="preserve">in </w:t>
      </w:r>
      <w:r w:rsidR="00A60BCB">
        <w:t>S</w:t>
      </w:r>
      <w:r w:rsidR="00E25F29">
        <w:t xml:space="preserve">ection 4 </w:t>
      </w:r>
      <w:r>
        <w:t>study populations are used</w:t>
      </w:r>
      <w:r w:rsidR="00E25F29">
        <w:t>.</w:t>
      </w:r>
      <w:r w:rsidR="00763780">
        <w:t xml:space="preserve"> People are included in the study populations if they entered income support during these two </w:t>
      </w:r>
      <w:r w:rsidR="008B469B">
        <w:t xml:space="preserve">‘inflow’ </w:t>
      </w:r>
      <w:r w:rsidR="00763780">
        <w:t>periods</w:t>
      </w:r>
      <w:r w:rsidR="000B3307">
        <w:t xml:space="preserve"> and were serviced in JSA Streams 1, 2</w:t>
      </w:r>
      <w:r w:rsidR="00760A19">
        <w:t>,</w:t>
      </w:r>
      <w:r w:rsidR="000B3307">
        <w:t xml:space="preserve"> 3 or 4</w:t>
      </w:r>
      <w:r w:rsidR="00763780">
        <w:t>:</w:t>
      </w:r>
    </w:p>
    <w:p w:rsidR="00763780" w:rsidRDefault="00763780" w:rsidP="00E3205B">
      <w:pPr>
        <w:pStyle w:val="ListParagraph"/>
        <w:numPr>
          <w:ilvl w:val="0"/>
          <w:numId w:val="80"/>
        </w:numPr>
      </w:pPr>
      <w:r>
        <w:t>1 July 2013 to 30 June 2014</w:t>
      </w:r>
    </w:p>
    <w:p w:rsidR="00763780" w:rsidRDefault="00763780" w:rsidP="00E3205B">
      <w:pPr>
        <w:pStyle w:val="ListParagraph"/>
        <w:numPr>
          <w:ilvl w:val="0"/>
          <w:numId w:val="80"/>
        </w:numPr>
      </w:pPr>
      <w:r>
        <w:t>1 July 2012 to 30 June 2013.</w:t>
      </w:r>
    </w:p>
    <w:p w:rsidR="00763780" w:rsidRDefault="00ED5730" w:rsidP="00763780">
      <w:r>
        <w:t>P</w:t>
      </w:r>
      <w:r w:rsidR="00763780">
        <w:t>eople are selected that remained on either NSA or YA(O) income support</w:t>
      </w:r>
      <w:r w:rsidR="00581F05">
        <w:t xml:space="preserve"> continuously</w:t>
      </w:r>
      <w:r w:rsidR="00763780">
        <w:t>, therefore becoming LTU during:</w:t>
      </w:r>
    </w:p>
    <w:p w:rsidR="00763780" w:rsidRDefault="00763780" w:rsidP="00E3205B">
      <w:pPr>
        <w:pStyle w:val="ListParagraph"/>
        <w:numPr>
          <w:ilvl w:val="0"/>
          <w:numId w:val="81"/>
        </w:numPr>
      </w:pPr>
      <w:r>
        <w:t>1 July 2014 to 30 June 2015 (after JCB commenced)</w:t>
      </w:r>
    </w:p>
    <w:p w:rsidR="00763780" w:rsidRDefault="00763780" w:rsidP="00E3205B">
      <w:pPr>
        <w:pStyle w:val="ListParagraph"/>
        <w:numPr>
          <w:ilvl w:val="0"/>
          <w:numId w:val="81"/>
        </w:numPr>
      </w:pPr>
      <w:r>
        <w:t>1 July 2013 to 30 June 2014 (before JCB commenced).</w:t>
      </w:r>
    </w:p>
    <w:p w:rsidR="004175C9" w:rsidRDefault="00581F05" w:rsidP="00965FBD">
      <w:r>
        <w:t>The age used for most analyses is the age that people were on the day they became classified as LTU.</w:t>
      </w:r>
    </w:p>
    <w:p w:rsidR="004175C9" w:rsidRDefault="004175C9" w:rsidP="00965FBD">
      <w:r>
        <w:t xml:space="preserve">Study population 1 is used for the analyses of EPF assistance in Section </w:t>
      </w:r>
      <w:r w:rsidR="00A60BCB">
        <w:t>3</w:t>
      </w:r>
      <w:r>
        <w:t>.</w:t>
      </w:r>
    </w:p>
    <w:p w:rsidR="00581F05" w:rsidRDefault="00965FBD" w:rsidP="008B469B">
      <w:pPr>
        <w:sectPr w:rsidR="00581F05" w:rsidSect="00D3244D">
          <w:headerReference w:type="even" r:id="rId59"/>
          <w:headerReference w:type="default" r:id="rId60"/>
          <w:footerReference w:type="default" r:id="rId61"/>
          <w:headerReference w:type="first" r:id="rId62"/>
          <w:pgSz w:w="11906" w:h="16838" w:code="9"/>
          <w:pgMar w:top="1529" w:right="1440" w:bottom="1440" w:left="1440" w:header="709" w:footer="709" w:gutter="0"/>
          <w:pgNumType w:start="1"/>
          <w:cols w:space="708"/>
          <w:docGrid w:linePitch="360"/>
        </w:sectPr>
      </w:pPr>
      <w:r>
        <w:t xml:space="preserve">The length of the inflow window was </w:t>
      </w:r>
      <w:r w:rsidR="008B469B">
        <w:t>shortened for some analyses to either three or six</w:t>
      </w:r>
      <w:r>
        <w:t xml:space="preserve"> months</w:t>
      </w:r>
      <w:r w:rsidR="008B469B">
        <w:t xml:space="preserve"> to enable sufficient time for outcomes to be achieved within the analysis window (Table </w:t>
      </w:r>
      <w:r w:rsidR="001B7433">
        <w:t>E.1</w:t>
      </w:r>
      <w:r w:rsidR="008B469B">
        <w:t>). One reason for this was to avoid the change in employment service delivery model (from JSA to jobactive)</w:t>
      </w:r>
      <w:r>
        <w:t xml:space="preserve"> </w:t>
      </w:r>
      <w:r w:rsidR="008B469B">
        <w:t>from 1 July 2015.</w:t>
      </w:r>
    </w:p>
    <w:p w:rsidR="00965FBD" w:rsidRDefault="00603A49" w:rsidP="00965FBD">
      <w:pPr>
        <w:pStyle w:val="TableCaption"/>
      </w:pPr>
      <w:bookmarkStart w:id="248" w:name="_Toc507600316"/>
      <w:r>
        <w:lastRenderedPageBreak/>
        <w:t>Table E</w:t>
      </w:r>
      <w:r w:rsidR="00965FBD">
        <w:t>.1</w:t>
      </w:r>
      <w:r w:rsidR="00250D8B">
        <w:t>:</w:t>
      </w:r>
      <w:r w:rsidR="00BE4C5E">
        <w:t xml:space="preserve"> Description of study populations and dates of analysis</w:t>
      </w:r>
      <w:bookmarkEnd w:id="248"/>
    </w:p>
    <w:tbl>
      <w:tblPr>
        <w:tblStyle w:val="TableGrid"/>
        <w:tblW w:w="1403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Table E.1: Description of study populations and dates of analysis"/>
      </w:tblPr>
      <w:tblGrid>
        <w:gridCol w:w="1418"/>
        <w:gridCol w:w="3544"/>
        <w:gridCol w:w="992"/>
        <w:gridCol w:w="2551"/>
        <w:gridCol w:w="2410"/>
        <w:gridCol w:w="1418"/>
        <w:gridCol w:w="1701"/>
      </w:tblGrid>
      <w:tr w:rsidR="00286449" w:rsidRPr="0018245D" w:rsidTr="00F908BD">
        <w:trPr>
          <w:cantSplit/>
          <w:tblHeader/>
        </w:trPr>
        <w:tc>
          <w:tcPr>
            <w:tcW w:w="1418" w:type="dxa"/>
            <w:shd w:val="clear" w:color="auto" w:fill="1E3D6B"/>
          </w:tcPr>
          <w:p w:rsidR="00286449" w:rsidRPr="00C54A19" w:rsidRDefault="00286449" w:rsidP="00F23B2D">
            <w:pPr>
              <w:spacing w:before="120" w:after="120"/>
              <w:rPr>
                <w:rFonts w:cstheme="minorHAnsi"/>
                <w:b/>
                <w:color w:val="FFFFFF" w:themeColor="background2"/>
                <w:sz w:val="20"/>
                <w:szCs w:val="20"/>
              </w:rPr>
            </w:pPr>
            <w:bookmarkStart w:id="249" w:name="Title_E1"/>
            <w:bookmarkEnd w:id="249"/>
            <w:r w:rsidRPr="00C54A19">
              <w:rPr>
                <w:rFonts w:cstheme="minorHAnsi"/>
                <w:b/>
                <w:color w:val="FFFFFF" w:themeColor="background2"/>
                <w:sz w:val="20"/>
                <w:szCs w:val="20"/>
              </w:rPr>
              <w:t>Analysis</w:t>
            </w:r>
          </w:p>
        </w:tc>
        <w:tc>
          <w:tcPr>
            <w:tcW w:w="3544" w:type="dxa"/>
            <w:shd w:val="clear" w:color="auto" w:fill="1E3D6B"/>
          </w:tcPr>
          <w:p w:rsidR="00286449" w:rsidRPr="00C54A19" w:rsidRDefault="00286449" w:rsidP="00237847">
            <w:pPr>
              <w:spacing w:before="120" w:after="120"/>
              <w:rPr>
                <w:rFonts w:cstheme="minorHAnsi"/>
                <w:b/>
                <w:color w:val="FFFFFF" w:themeColor="background2"/>
                <w:sz w:val="20"/>
                <w:szCs w:val="20"/>
              </w:rPr>
            </w:pPr>
            <w:r w:rsidRPr="00C54A19">
              <w:rPr>
                <w:rFonts w:cstheme="minorHAnsi"/>
                <w:b/>
                <w:color w:val="FFFFFF" w:themeColor="background2"/>
                <w:sz w:val="20"/>
                <w:szCs w:val="20"/>
              </w:rPr>
              <w:t xml:space="preserve">Statistic </w:t>
            </w:r>
          </w:p>
        </w:tc>
        <w:tc>
          <w:tcPr>
            <w:tcW w:w="992" w:type="dxa"/>
            <w:shd w:val="clear" w:color="auto" w:fill="1E3D6B"/>
          </w:tcPr>
          <w:p w:rsidR="00286449" w:rsidRPr="00C54A19" w:rsidRDefault="00286449" w:rsidP="005F1446">
            <w:pPr>
              <w:spacing w:before="120" w:after="120"/>
              <w:rPr>
                <w:rFonts w:cstheme="minorHAnsi"/>
                <w:b/>
                <w:color w:val="FFFFFF" w:themeColor="background2"/>
                <w:sz w:val="20"/>
                <w:szCs w:val="20"/>
              </w:rPr>
            </w:pPr>
            <w:r w:rsidRPr="00C54A19">
              <w:rPr>
                <w:rFonts w:cstheme="minorHAnsi"/>
                <w:b/>
                <w:color w:val="FFFFFF" w:themeColor="background2"/>
                <w:sz w:val="20"/>
                <w:szCs w:val="20"/>
              </w:rPr>
              <w:t>Inflow length (months)</w:t>
            </w:r>
          </w:p>
        </w:tc>
        <w:tc>
          <w:tcPr>
            <w:tcW w:w="2551" w:type="dxa"/>
            <w:shd w:val="clear" w:color="auto" w:fill="1E3D6B"/>
          </w:tcPr>
          <w:p w:rsidR="00286449" w:rsidRPr="00C54A19" w:rsidRDefault="00C962FC" w:rsidP="00C962FC">
            <w:pPr>
              <w:spacing w:before="120" w:after="120"/>
              <w:rPr>
                <w:rFonts w:cstheme="minorHAnsi"/>
                <w:b/>
                <w:color w:val="FFFFFF" w:themeColor="background2"/>
                <w:sz w:val="20"/>
                <w:szCs w:val="20"/>
              </w:rPr>
            </w:pPr>
            <w:r>
              <w:rPr>
                <w:rFonts w:cstheme="minorHAnsi"/>
                <w:b/>
                <w:color w:val="FFFFFF" w:themeColor="background2"/>
                <w:sz w:val="20"/>
                <w:szCs w:val="20"/>
              </w:rPr>
              <w:t>Inflow period</w:t>
            </w:r>
          </w:p>
        </w:tc>
        <w:tc>
          <w:tcPr>
            <w:tcW w:w="2410" w:type="dxa"/>
            <w:shd w:val="clear" w:color="auto" w:fill="1E3D6B"/>
          </w:tcPr>
          <w:p w:rsidR="00286449" w:rsidRPr="00C54A19" w:rsidRDefault="00286449" w:rsidP="00F23B2D">
            <w:pPr>
              <w:spacing w:before="120" w:after="120"/>
              <w:rPr>
                <w:rFonts w:cstheme="minorHAnsi"/>
                <w:b/>
                <w:color w:val="FFFFFF" w:themeColor="background2"/>
                <w:sz w:val="20"/>
                <w:szCs w:val="20"/>
              </w:rPr>
            </w:pPr>
            <w:r w:rsidRPr="00C54A19">
              <w:rPr>
                <w:rFonts w:cstheme="minorHAnsi"/>
                <w:b/>
                <w:color w:val="FFFFFF" w:themeColor="background2"/>
                <w:sz w:val="20"/>
                <w:szCs w:val="20"/>
              </w:rPr>
              <w:t>LTU dates</w:t>
            </w:r>
          </w:p>
        </w:tc>
        <w:tc>
          <w:tcPr>
            <w:tcW w:w="1418" w:type="dxa"/>
            <w:shd w:val="clear" w:color="auto" w:fill="1E3D6B"/>
          </w:tcPr>
          <w:p w:rsidR="00286449" w:rsidRPr="00C54A19" w:rsidRDefault="00286449" w:rsidP="00286449">
            <w:pPr>
              <w:spacing w:before="120" w:after="120"/>
              <w:rPr>
                <w:rFonts w:cstheme="minorHAnsi"/>
                <w:b/>
                <w:color w:val="FFFFFF" w:themeColor="background2"/>
                <w:sz w:val="20"/>
                <w:szCs w:val="20"/>
              </w:rPr>
            </w:pPr>
            <w:r w:rsidRPr="00C54A19">
              <w:rPr>
                <w:rFonts w:cstheme="minorHAnsi"/>
                <w:b/>
                <w:color w:val="FFFFFF" w:themeColor="background2"/>
                <w:sz w:val="20"/>
                <w:szCs w:val="20"/>
              </w:rPr>
              <w:t xml:space="preserve">LTU date occurs </w:t>
            </w:r>
          </w:p>
        </w:tc>
        <w:tc>
          <w:tcPr>
            <w:tcW w:w="1701" w:type="dxa"/>
            <w:shd w:val="clear" w:color="auto" w:fill="1E3D6B"/>
          </w:tcPr>
          <w:p w:rsidR="00286449" w:rsidRPr="00C54A19" w:rsidRDefault="00286449" w:rsidP="00F23B2D">
            <w:pPr>
              <w:spacing w:before="120" w:after="120"/>
              <w:rPr>
                <w:rFonts w:cstheme="minorHAnsi"/>
                <w:b/>
                <w:color w:val="FFFFFF" w:themeColor="background2"/>
                <w:sz w:val="20"/>
                <w:szCs w:val="20"/>
              </w:rPr>
            </w:pPr>
            <w:r w:rsidRPr="00C54A19">
              <w:rPr>
                <w:rFonts w:cstheme="minorHAnsi"/>
                <w:b/>
                <w:color w:val="FFFFFF" w:themeColor="background2"/>
                <w:sz w:val="20"/>
                <w:szCs w:val="20"/>
              </w:rPr>
              <w:t>End date for analysis</w:t>
            </w:r>
          </w:p>
        </w:tc>
      </w:tr>
      <w:tr w:rsidR="00286449" w:rsidRPr="00F149DA" w:rsidTr="00F908BD">
        <w:trPr>
          <w:cantSplit/>
        </w:trPr>
        <w:tc>
          <w:tcPr>
            <w:tcW w:w="1418" w:type="dxa"/>
            <w:vAlign w:val="center"/>
          </w:tcPr>
          <w:p w:rsidR="00286449" w:rsidRPr="00C54A19" w:rsidRDefault="00C962FC" w:rsidP="00EE05D6">
            <w:pPr>
              <w:spacing w:before="120" w:after="120"/>
              <w:rPr>
                <w:rFonts w:cstheme="minorHAnsi"/>
                <w:sz w:val="20"/>
                <w:szCs w:val="20"/>
              </w:rPr>
            </w:pPr>
            <w:r>
              <w:rPr>
                <w:rFonts w:cstheme="minorHAnsi"/>
                <w:sz w:val="20"/>
                <w:szCs w:val="20"/>
              </w:rPr>
              <w:t>Job search</w:t>
            </w:r>
            <w:r w:rsidR="00286449" w:rsidRPr="00C54A19">
              <w:rPr>
                <w:rFonts w:cstheme="minorHAnsi"/>
                <w:sz w:val="20"/>
                <w:szCs w:val="20"/>
              </w:rPr>
              <w:t xml:space="preserve"> </w:t>
            </w:r>
            <w:r w:rsidR="00286449" w:rsidRPr="00C54A19">
              <w:rPr>
                <w:rFonts w:cstheme="minorHAnsi"/>
                <w:sz w:val="20"/>
                <w:szCs w:val="20"/>
              </w:rPr>
              <w:br/>
              <w:t>analysis 2</w:t>
            </w:r>
          </w:p>
        </w:tc>
        <w:tc>
          <w:tcPr>
            <w:tcW w:w="3544" w:type="dxa"/>
            <w:vAlign w:val="center"/>
          </w:tcPr>
          <w:p w:rsidR="00286449" w:rsidRPr="00C54A19" w:rsidRDefault="00286449" w:rsidP="00F23B2D">
            <w:pPr>
              <w:spacing w:before="120" w:after="120"/>
              <w:rPr>
                <w:rFonts w:cstheme="minorHAnsi"/>
                <w:sz w:val="20"/>
                <w:szCs w:val="20"/>
              </w:rPr>
            </w:pPr>
            <w:r w:rsidRPr="00C54A19">
              <w:rPr>
                <w:rFonts w:cstheme="minorHAnsi"/>
                <w:sz w:val="20"/>
                <w:szCs w:val="20"/>
              </w:rPr>
              <w:t>Average duration on income support before getting a job placement after becoming LTU</w:t>
            </w:r>
            <w:r w:rsidR="00F908BD" w:rsidRPr="00C54A19">
              <w:rPr>
                <w:rFonts w:cstheme="minorHAnsi"/>
                <w:sz w:val="20"/>
                <w:szCs w:val="20"/>
              </w:rPr>
              <w:t>, of those who were in JSA stream 2, 3 or 4 at date became LTU</w:t>
            </w:r>
          </w:p>
        </w:tc>
        <w:tc>
          <w:tcPr>
            <w:tcW w:w="992" w:type="dxa"/>
            <w:vAlign w:val="center"/>
          </w:tcPr>
          <w:p w:rsidR="00286449" w:rsidRPr="00C54A19" w:rsidRDefault="00286449" w:rsidP="005F1446">
            <w:pPr>
              <w:spacing w:before="120" w:after="120"/>
              <w:jc w:val="center"/>
              <w:rPr>
                <w:rFonts w:cstheme="minorHAnsi"/>
                <w:sz w:val="20"/>
                <w:szCs w:val="20"/>
              </w:rPr>
            </w:pPr>
            <w:r w:rsidRPr="00C54A19">
              <w:rPr>
                <w:rFonts w:cstheme="minorHAnsi"/>
                <w:sz w:val="20"/>
                <w:szCs w:val="20"/>
              </w:rPr>
              <w:t>12</w:t>
            </w:r>
          </w:p>
        </w:tc>
        <w:tc>
          <w:tcPr>
            <w:tcW w:w="2551" w:type="dxa"/>
            <w:vAlign w:val="center"/>
          </w:tcPr>
          <w:p w:rsidR="00286449" w:rsidRPr="00C54A19" w:rsidRDefault="00286449" w:rsidP="00F23B2D">
            <w:pPr>
              <w:spacing w:before="120" w:after="120"/>
              <w:rPr>
                <w:rFonts w:cstheme="minorHAnsi"/>
                <w:sz w:val="20"/>
                <w:szCs w:val="20"/>
              </w:rPr>
            </w:pPr>
            <w:r w:rsidRPr="00C54A19">
              <w:rPr>
                <w:rFonts w:cstheme="minorHAnsi"/>
                <w:sz w:val="20"/>
                <w:szCs w:val="20"/>
              </w:rPr>
              <w:t>1 Jul 2013 to 30 Jun 2014</w:t>
            </w:r>
          </w:p>
        </w:tc>
        <w:tc>
          <w:tcPr>
            <w:tcW w:w="2410" w:type="dxa"/>
            <w:vAlign w:val="center"/>
          </w:tcPr>
          <w:p w:rsidR="00286449" w:rsidRPr="00C54A19" w:rsidRDefault="00286449" w:rsidP="00286449">
            <w:pPr>
              <w:spacing w:before="120" w:after="120"/>
              <w:rPr>
                <w:rFonts w:cstheme="minorHAnsi"/>
                <w:sz w:val="20"/>
                <w:szCs w:val="20"/>
              </w:rPr>
            </w:pPr>
            <w:r w:rsidRPr="00C54A19">
              <w:rPr>
                <w:rFonts w:cstheme="minorHAnsi"/>
                <w:sz w:val="20"/>
                <w:szCs w:val="20"/>
              </w:rPr>
              <w:t>1 Jul 2014 to 30 Jun 2015</w:t>
            </w:r>
          </w:p>
        </w:tc>
        <w:tc>
          <w:tcPr>
            <w:tcW w:w="1418" w:type="dxa"/>
            <w:vAlign w:val="center"/>
          </w:tcPr>
          <w:p w:rsidR="00286449" w:rsidRPr="00C54A19" w:rsidRDefault="00286449" w:rsidP="0009024A">
            <w:pPr>
              <w:spacing w:before="120" w:after="120"/>
              <w:rPr>
                <w:rFonts w:cstheme="minorHAnsi"/>
                <w:sz w:val="20"/>
                <w:szCs w:val="20"/>
              </w:rPr>
            </w:pPr>
            <w:r w:rsidRPr="00C54A19">
              <w:rPr>
                <w:rFonts w:cstheme="minorHAnsi"/>
                <w:sz w:val="20"/>
                <w:szCs w:val="20"/>
              </w:rPr>
              <w:t>During JCB</w:t>
            </w:r>
          </w:p>
        </w:tc>
        <w:tc>
          <w:tcPr>
            <w:tcW w:w="1701" w:type="dxa"/>
            <w:vAlign w:val="center"/>
          </w:tcPr>
          <w:p w:rsidR="00286449" w:rsidRPr="00C54A19" w:rsidRDefault="00286449" w:rsidP="00F23B2D">
            <w:pPr>
              <w:spacing w:before="120" w:after="120"/>
              <w:rPr>
                <w:rFonts w:cstheme="minorHAnsi"/>
                <w:sz w:val="20"/>
                <w:szCs w:val="20"/>
              </w:rPr>
            </w:pPr>
            <w:r w:rsidRPr="00C54A19">
              <w:rPr>
                <w:rFonts w:cstheme="minorHAnsi"/>
                <w:sz w:val="20"/>
                <w:szCs w:val="20"/>
              </w:rPr>
              <w:t>3</w:t>
            </w:r>
            <w:r w:rsidR="004175C9" w:rsidRPr="00C54A19">
              <w:rPr>
                <w:rFonts w:cstheme="minorHAnsi"/>
                <w:sz w:val="20"/>
                <w:szCs w:val="20"/>
              </w:rPr>
              <w:t>0 Jun</w:t>
            </w:r>
            <w:r w:rsidRPr="00C54A19">
              <w:rPr>
                <w:rFonts w:cstheme="minorHAnsi"/>
                <w:sz w:val="20"/>
                <w:szCs w:val="20"/>
              </w:rPr>
              <w:t xml:space="preserve"> 2015</w:t>
            </w:r>
          </w:p>
        </w:tc>
      </w:tr>
      <w:tr w:rsidR="00286449" w:rsidRPr="00F149DA" w:rsidTr="00F908BD">
        <w:trPr>
          <w:cantSplit/>
        </w:trPr>
        <w:tc>
          <w:tcPr>
            <w:tcW w:w="1418" w:type="dxa"/>
            <w:shd w:val="clear" w:color="auto" w:fill="E5E5E5" w:themeFill="background1" w:themeFillTint="33"/>
            <w:vAlign w:val="center"/>
          </w:tcPr>
          <w:p w:rsidR="00286449" w:rsidRPr="00C54A19" w:rsidRDefault="00C962FC" w:rsidP="00EE05D6">
            <w:pPr>
              <w:spacing w:before="120" w:after="120"/>
              <w:rPr>
                <w:rFonts w:cstheme="minorHAnsi"/>
                <w:sz w:val="20"/>
                <w:szCs w:val="20"/>
              </w:rPr>
            </w:pPr>
            <w:r>
              <w:rPr>
                <w:rFonts w:cstheme="minorHAnsi"/>
                <w:sz w:val="20"/>
                <w:szCs w:val="20"/>
              </w:rPr>
              <w:t>Job search</w:t>
            </w:r>
            <w:r w:rsidR="00286449" w:rsidRPr="00C54A19">
              <w:rPr>
                <w:rFonts w:cstheme="minorHAnsi"/>
                <w:sz w:val="20"/>
                <w:szCs w:val="20"/>
              </w:rPr>
              <w:t xml:space="preserve"> </w:t>
            </w:r>
            <w:r w:rsidR="00286449" w:rsidRPr="00C54A19">
              <w:rPr>
                <w:rFonts w:cstheme="minorHAnsi"/>
                <w:sz w:val="20"/>
                <w:szCs w:val="20"/>
              </w:rPr>
              <w:br/>
              <w:t>analysis 3</w:t>
            </w:r>
          </w:p>
        </w:tc>
        <w:tc>
          <w:tcPr>
            <w:tcW w:w="3544" w:type="dxa"/>
            <w:shd w:val="clear" w:color="auto" w:fill="E5E5E5" w:themeFill="background1" w:themeFillTint="33"/>
            <w:vAlign w:val="center"/>
          </w:tcPr>
          <w:p w:rsidR="00286449" w:rsidRPr="00C54A19" w:rsidRDefault="00286449" w:rsidP="00AA0D08">
            <w:pPr>
              <w:spacing w:before="120" w:after="120"/>
              <w:rPr>
                <w:rFonts w:cstheme="minorHAnsi"/>
                <w:sz w:val="20"/>
                <w:szCs w:val="20"/>
              </w:rPr>
            </w:pPr>
            <w:r w:rsidRPr="00C54A19">
              <w:rPr>
                <w:rFonts w:cstheme="minorHAnsi"/>
                <w:sz w:val="20"/>
                <w:szCs w:val="20"/>
              </w:rPr>
              <w:t xml:space="preserve">Probability of obtaining a job placement within </w:t>
            </w:r>
            <w:r w:rsidR="00AA0D08" w:rsidRPr="00C54A19">
              <w:rPr>
                <w:rFonts w:cstheme="minorHAnsi"/>
                <w:sz w:val="20"/>
                <w:szCs w:val="20"/>
              </w:rPr>
              <w:t>180 days</w:t>
            </w:r>
            <w:r w:rsidRPr="00C54A19">
              <w:rPr>
                <w:rFonts w:cstheme="minorHAnsi"/>
                <w:sz w:val="20"/>
                <w:szCs w:val="20"/>
              </w:rPr>
              <w:t xml:space="preserve"> </w:t>
            </w:r>
            <w:r w:rsidR="00AA0D08" w:rsidRPr="00C54A19">
              <w:rPr>
                <w:rFonts w:cstheme="minorHAnsi"/>
                <w:color w:val="000000" w:themeColor="text1"/>
                <w:sz w:val="20"/>
                <w:szCs w:val="20"/>
              </w:rPr>
              <w:t xml:space="preserve">(6 months) </w:t>
            </w:r>
            <w:r w:rsidRPr="00C54A19">
              <w:rPr>
                <w:rFonts w:cstheme="minorHAnsi"/>
                <w:sz w:val="20"/>
                <w:szCs w:val="20"/>
              </w:rPr>
              <w:t>of becoming LTU</w:t>
            </w:r>
            <w:r w:rsidR="00F908BD" w:rsidRPr="00C54A19">
              <w:rPr>
                <w:rFonts w:cstheme="minorHAnsi"/>
                <w:sz w:val="20"/>
                <w:szCs w:val="20"/>
              </w:rPr>
              <w:t>, of those who were in JSA stream 2, 3 or 4 at date became LTU</w:t>
            </w:r>
          </w:p>
        </w:tc>
        <w:tc>
          <w:tcPr>
            <w:tcW w:w="992" w:type="dxa"/>
            <w:shd w:val="clear" w:color="auto" w:fill="E5E5E5" w:themeFill="background1" w:themeFillTint="33"/>
            <w:vAlign w:val="center"/>
          </w:tcPr>
          <w:p w:rsidR="00286449" w:rsidRPr="00C54A19" w:rsidRDefault="00286449" w:rsidP="005F1446">
            <w:pPr>
              <w:spacing w:before="120" w:after="120"/>
              <w:jc w:val="center"/>
              <w:rPr>
                <w:rFonts w:cstheme="minorHAnsi"/>
                <w:sz w:val="20"/>
                <w:szCs w:val="20"/>
              </w:rPr>
            </w:pPr>
            <w:r w:rsidRPr="00C54A19">
              <w:rPr>
                <w:rFonts w:cstheme="minorHAnsi"/>
                <w:sz w:val="20"/>
                <w:szCs w:val="20"/>
              </w:rPr>
              <w:t>6</w:t>
            </w:r>
          </w:p>
        </w:tc>
        <w:tc>
          <w:tcPr>
            <w:tcW w:w="2551" w:type="dxa"/>
            <w:shd w:val="clear" w:color="auto" w:fill="E5E5E5" w:themeFill="background1" w:themeFillTint="33"/>
            <w:vAlign w:val="center"/>
          </w:tcPr>
          <w:p w:rsidR="00286449" w:rsidRPr="00C54A19" w:rsidRDefault="00286449" w:rsidP="0018245D">
            <w:pPr>
              <w:spacing w:before="120" w:after="120"/>
              <w:rPr>
                <w:rFonts w:cstheme="minorHAnsi"/>
                <w:sz w:val="20"/>
                <w:szCs w:val="20"/>
              </w:rPr>
            </w:pPr>
            <w:r w:rsidRPr="00C54A19">
              <w:rPr>
                <w:rFonts w:cstheme="minorHAnsi"/>
                <w:sz w:val="20"/>
                <w:szCs w:val="20"/>
              </w:rPr>
              <w:t>1 Jul 2012 to 31 Dec 2012</w:t>
            </w:r>
          </w:p>
        </w:tc>
        <w:tc>
          <w:tcPr>
            <w:tcW w:w="2410" w:type="dxa"/>
            <w:shd w:val="clear" w:color="auto" w:fill="E5E5E5" w:themeFill="background1" w:themeFillTint="33"/>
            <w:vAlign w:val="center"/>
          </w:tcPr>
          <w:p w:rsidR="00286449" w:rsidRPr="00C54A19" w:rsidRDefault="00286449" w:rsidP="0018245D">
            <w:pPr>
              <w:spacing w:before="120" w:after="120"/>
              <w:rPr>
                <w:rFonts w:cstheme="minorHAnsi"/>
                <w:sz w:val="20"/>
                <w:szCs w:val="20"/>
              </w:rPr>
            </w:pPr>
            <w:r w:rsidRPr="00C54A19">
              <w:rPr>
                <w:rFonts w:cstheme="minorHAnsi"/>
                <w:sz w:val="20"/>
                <w:szCs w:val="20"/>
              </w:rPr>
              <w:t>1 Jul 2013 to 31 Dec 2013</w:t>
            </w:r>
          </w:p>
        </w:tc>
        <w:tc>
          <w:tcPr>
            <w:tcW w:w="1418" w:type="dxa"/>
            <w:shd w:val="clear" w:color="auto" w:fill="E5E5E5" w:themeFill="background1" w:themeFillTint="33"/>
            <w:vAlign w:val="center"/>
          </w:tcPr>
          <w:p w:rsidR="00286449" w:rsidRPr="00C54A19" w:rsidRDefault="00286449" w:rsidP="0009024A">
            <w:pPr>
              <w:spacing w:before="120" w:after="120"/>
              <w:rPr>
                <w:rFonts w:cstheme="minorHAnsi"/>
                <w:sz w:val="20"/>
                <w:szCs w:val="20"/>
              </w:rPr>
            </w:pPr>
            <w:r w:rsidRPr="00C54A19">
              <w:rPr>
                <w:rFonts w:cstheme="minorHAnsi"/>
                <w:sz w:val="20"/>
                <w:szCs w:val="20"/>
              </w:rPr>
              <w:t>Before JCB</w:t>
            </w:r>
          </w:p>
        </w:tc>
        <w:tc>
          <w:tcPr>
            <w:tcW w:w="1701" w:type="dxa"/>
            <w:shd w:val="clear" w:color="auto" w:fill="E5E5E5" w:themeFill="background1" w:themeFillTint="33"/>
            <w:vAlign w:val="center"/>
          </w:tcPr>
          <w:p w:rsidR="00286449" w:rsidRPr="00C54A19" w:rsidRDefault="00286449" w:rsidP="0018245D">
            <w:pPr>
              <w:spacing w:before="120" w:after="120"/>
              <w:rPr>
                <w:rFonts w:cstheme="minorHAnsi"/>
                <w:sz w:val="20"/>
                <w:szCs w:val="20"/>
              </w:rPr>
            </w:pPr>
            <w:r w:rsidRPr="00C54A19">
              <w:rPr>
                <w:rFonts w:cstheme="minorHAnsi"/>
                <w:sz w:val="20"/>
                <w:szCs w:val="20"/>
              </w:rPr>
              <w:t>30 Jun 2014</w:t>
            </w:r>
          </w:p>
        </w:tc>
      </w:tr>
      <w:tr w:rsidR="00286449" w:rsidRPr="00F149DA" w:rsidTr="00F908BD">
        <w:trPr>
          <w:cantSplit/>
        </w:trPr>
        <w:tc>
          <w:tcPr>
            <w:tcW w:w="1418" w:type="dxa"/>
            <w:shd w:val="clear" w:color="auto" w:fill="FFFFFF" w:themeFill="background2"/>
            <w:vAlign w:val="center"/>
          </w:tcPr>
          <w:p w:rsidR="00286449" w:rsidRPr="00C54A19" w:rsidRDefault="00C962FC" w:rsidP="0009024A">
            <w:pPr>
              <w:spacing w:before="120" w:after="120"/>
              <w:rPr>
                <w:rFonts w:cstheme="minorHAnsi"/>
                <w:sz w:val="20"/>
                <w:szCs w:val="20"/>
              </w:rPr>
            </w:pPr>
            <w:r>
              <w:rPr>
                <w:rFonts w:cstheme="minorHAnsi"/>
                <w:sz w:val="20"/>
                <w:szCs w:val="20"/>
              </w:rPr>
              <w:t>Job search</w:t>
            </w:r>
            <w:r w:rsidR="00286449" w:rsidRPr="00C54A19">
              <w:rPr>
                <w:rFonts w:cstheme="minorHAnsi"/>
                <w:sz w:val="20"/>
                <w:szCs w:val="20"/>
              </w:rPr>
              <w:t xml:space="preserve"> </w:t>
            </w:r>
            <w:r w:rsidR="00286449" w:rsidRPr="00C54A19">
              <w:rPr>
                <w:rFonts w:cstheme="minorHAnsi"/>
                <w:sz w:val="20"/>
                <w:szCs w:val="20"/>
              </w:rPr>
              <w:br/>
              <w:t>analysis 3</w:t>
            </w:r>
          </w:p>
        </w:tc>
        <w:tc>
          <w:tcPr>
            <w:tcW w:w="3544" w:type="dxa"/>
            <w:shd w:val="clear" w:color="auto" w:fill="FFFFFF" w:themeFill="background2"/>
            <w:vAlign w:val="center"/>
          </w:tcPr>
          <w:p w:rsidR="00286449" w:rsidRPr="00C54A19" w:rsidRDefault="00286449" w:rsidP="00237847">
            <w:pPr>
              <w:spacing w:before="120" w:after="120"/>
              <w:rPr>
                <w:rFonts w:cstheme="minorHAnsi"/>
                <w:sz w:val="20"/>
                <w:szCs w:val="20"/>
              </w:rPr>
            </w:pPr>
            <w:r w:rsidRPr="00C54A19">
              <w:rPr>
                <w:rFonts w:cstheme="minorHAnsi"/>
                <w:sz w:val="20"/>
                <w:szCs w:val="20"/>
              </w:rPr>
              <w:t xml:space="preserve">Probability of obtaining a job placement within </w:t>
            </w:r>
            <w:r w:rsidR="00AA0D08" w:rsidRPr="00C54A19">
              <w:rPr>
                <w:rFonts w:cstheme="minorHAnsi"/>
                <w:sz w:val="20"/>
                <w:szCs w:val="20"/>
              </w:rPr>
              <w:t xml:space="preserve">180 days </w:t>
            </w:r>
            <w:r w:rsidR="00C962FC">
              <w:rPr>
                <w:rFonts w:cstheme="minorHAnsi"/>
                <w:color w:val="000000" w:themeColor="text1"/>
                <w:sz w:val="20"/>
                <w:szCs w:val="20"/>
              </w:rPr>
              <w:t>(6 months)</w:t>
            </w:r>
            <w:r w:rsidR="00AA0D08" w:rsidRPr="00C54A19">
              <w:rPr>
                <w:rFonts w:cstheme="minorHAnsi"/>
                <w:sz w:val="20"/>
                <w:szCs w:val="20"/>
              </w:rPr>
              <w:t xml:space="preserve"> </w:t>
            </w:r>
            <w:r w:rsidRPr="00C54A19">
              <w:rPr>
                <w:rFonts w:cstheme="minorHAnsi"/>
                <w:sz w:val="20"/>
                <w:szCs w:val="20"/>
              </w:rPr>
              <w:t>of becoming LTU</w:t>
            </w:r>
          </w:p>
        </w:tc>
        <w:tc>
          <w:tcPr>
            <w:tcW w:w="992" w:type="dxa"/>
            <w:shd w:val="clear" w:color="auto" w:fill="FFFFFF" w:themeFill="background2"/>
            <w:vAlign w:val="center"/>
          </w:tcPr>
          <w:p w:rsidR="00286449" w:rsidRPr="00C54A19" w:rsidRDefault="00286449" w:rsidP="0009024A">
            <w:pPr>
              <w:spacing w:before="120" w:after="120"/>
              <w:jc w:val="center"/>
              <w:rPr>
                <w:rFonts w:cstheme="minorHAnsi"/>
                <w:sz w:val="20"/>
                <w:szCs w:val="20"/>
              </w:rPr>
            </w:pPr>
            <w:r w:rsidRPr="00C54A19">
              <w:rPr>
                <w:rFonts w:cstheme="minorHAnsi"/>
                <w:sz w:val="20"/>
                <w:szCs w:val="20"/>
              </w:rPr>
              <w:t>6</w:t>
            </w:r>
          </w:p>
        </w:tc>
        <w:tc>
          <w:tcPr>
            <w:tcW w:w="2551" w:type="dxa"/>
            <w:shd w:val="clear" w:color="auto" w:fill="FFFFFF" w:themeFill="background2"/>
            <w:vAlign w:val="center"/>
          </w:tcPr>
          <w:p w:rsidR="00286449" w:rsidRPr="00C54A19" w:rsidRDefault="00286449" w:rsidP="0009024A">
            <w:pPr>
              <w:spacing w:before="120" w:after="120"/>
              <w:rPr>
                <w:rFonts w:cstheme="minorHAnsi"/>
                <w:sz w:val="20"/>
                <w:szCs w:val="20"/>
              </w:rPr>
            </w:pPr>
            <w:r w:rsidRPr="00C54A19">
              <w:rPr>
                <w:rFonts w:cstheme="minorHAnsi"/>
                <w:sz w:val="20"/>
                <w:szCs w:val="20"/>
              </w:rPr>
              <w:t>1 Jul 2013 to 31 Dec 2013</w:t>
            </w:r>
          </w:p>
        </w:tc>
        <w:tc>
          <w:tcPr>
            <w:tcW w:w="2410" w:type="dxa"/>
            <w:shd w:val="clear" w:color="auto" w:fill="FFFFFF" w:themeFill="background2"/>
            <w:vAlign w:val="center"/>
          </w:tcPr>
          <w:p w:rsidR="00286449" w:rsidRPr="00C54A19" w:rsidRDefault="00286449" w:rsidP="0009024A">
            <w:pPr>
              <w:spacing w:before="120" w:after="120"/>
              <w:rPr>
                <w:rFonts w:cstheme="minorHAnsi"/>
                <w:sz w:val="20"/>
                <w:szCs w:val="20"/>
              </w:rPr>
            </w:pPr>
            <w:r w:rsidRPr="00C54A19">
              <w:rPr>
                <w:rFonts w:cstheme="minorHAnsi"/>
                <w:sz w:val="20"/>
                <w:szCs w:val="20"/>
              </w:rPr>
              <w:t>1 Jul 2014 to 31 Dec 2014</w:t>
            </w:r>
          </w:p>
        </w:tc>
        <w:tc>
          <w:tcPr>
            <w:tcW w:w="1418" w:type="dxa"/>
            <w:shd w:val="clear" w:color="auto" w:fill="FFFFFF" w:themeFill="background2"/>
            <w:vAlign w:val="center"/>
          </w:tcPr>
          <w:p w:rsidR="00286449" w:rsidRPr="00C54A19" w:rsidRDefault="00286449" w:rsidP="0009024A">
            <w:pPr>
              <w:spacing w:before="120" w:after="120"/>
              <w:rPr>
                <w:rFonts w:cstheme="minorHAnsi"/>
                <w:sz w:val="20"/>
                <w:szCs w:val="20"/>
              </w:rPr>
            </w:pPr>
            <w:r w:rsidRPr="00C54A19">
              <w:rPr>
                <w:rFonts w:cstheme="minorHAnsi"/>
                <w:sz w:val="20"/>
                <w:szCs w:val="20"/>
              </w:rPr>
              <w:t>During JCB</w:t>
            </w:r>
          </w:p>
        </w:tc>
        <w:tc>
          <w:tcPr>
            <w:tcW w:w="1701" w:type="dxa"/>
            <w:shd w:val="clear" w:color="auto" w:fill="FFFFFF" w:themeFill="background2"/>
            <w:vAlign w:val="center"/>
          </w:tcPr>
          <w:p w:rsidR="00286449" w:rsidRPr="00C54A19" w:rsidRDefault="00286449" w:rsidP="0009024A">
            <w:pPr>
              <w:spacing w:before="120" w:after="120"/>
              <w:rPr>
                <w:rFonts w:cstheme="minorHAnsi"/>
                <w:sz w:val="20"/>
                <w:szCs w:val="20"/>
              </w:rPr>
            </w:pPr>
            <w:r w:rsidRPr="00C54A19">
              <w:rPr>
                <w:rFonts w:cstheme="minorHAnsi"/>
                <w:sz w:val="20"/>
                <w:szCs w:val="20"/>
              </w:rPr>
              <w:t>30 Jun 2015</w:t>
            </w:r>
          </w:p>
        </w:tc>
      </w:tr>
      <w:tr w:rsidR="00286449" w:rsidRPr="00F149DA" w:rsidTr="00F908BD">
        <w:trPr>
          <w:cantSplit/>
        </w:trPr>
        <w:tc>
          <w:tcPr>
            <w:tcW w:w="1418" w:type="dxa"/>
            <w:shd w:val="clear" w:color="auto" w:fill="E5E5E5" w:themeFill="background1" w:themeFillTint="33"/>
            <w:vAlign w:val="center"/>
          </w:tcPr>
          <w:p w:rsidR="00286449" w:rsidRPr="00C54A19" w:rsidRDefault="00C962FC" w:rsidP="00EE05D6">
            <w:pPr>
              <w:spacing w:before="120" w:after="120"/>
              <w:rPr>
                <w:rFonts w:cstheme="minorHAnsi"/>
                <w:sz w:val="20"/>
                <w:szCs w:val="20"/>
              </w:rPr>
            </w:pPr>
            <w:r>
              <w:rPr>
                <w:rFonts w:cstheme="minorHAnsi"/>
                <w:sz w:val="20"/>
                <w:szCs w:val="20"/>
              </w:rPr>
              <w:t>Job search</w:t>
            </w:r>
            <w:r w:rsidR="00286449" w:rsidRPr="00C54A19">
              <w:rPr>
                <w:rFonts w:cstheme="minorHAnsi"/>
                <w:sz w:val="20"/>
                <w:szCs w:val="20"/>
              </w:rPr>
              <w:t xml:space="preserve"> </w:t>
            </w:r>
            <w:r w:rsidR="00286449" w:rsidRPr="00C54A19">
              <w:rPr>
                <w:rFonts w:cstheme="minorHAnsi"/>
                <w:sz w:val="20"/>
                <w:szCs w:val="20"/>
              </w:rPr>
              <w:br/>
              <w:t>analysis 4</w:t>
            </w:r>
          </w:p>
        </w:tc>
        <w:tc>
          <w:tcPr>
            <w:tcW w:w="3544" w:type="dxa"/>
            <w:shd w:val="clear" w:color="auto" w:fill="E5E5E5" w:themeFill="background1" w:themeFillTint="33"/>
            <w:vAlign w:val="center"/>
          </w:tcPr>
          <w:p w:rsidR="00286449" w:rsidRPr="00C54A19" w:rsidRDefault="00286449" w:rsidP="00F23B2D">
            <w:pPr>
              <w:spacing w:before="120" w:after="120"/>
              <w:rPr>
                <w:rFonts w:cstheme="minorHAnsi"/>
                <w:sz w:val="20"/>
                <w:szCs w:val="20"/>
              </w:rPr>
            </w:pPr>
            <w:r w:rsidRPr="00C54A19">
              <w:rPr>
                <w:rFonts w:cstheme="minorHAnsi"/>
                <w:sz w:val="20"/>
                <w:szCs w:val="20"/>
              </w:rPr>
              <w:t>Average length of time in employment services after becoming LTU</w:t>
            </w:r>
          </w:p>
        </w:tc>
        <w:tc>
          <w:tcPr>
            <w:tcW w:w="992" w:type="dxa"/>
            <w:shd w:val="clear" w:color="auto" w:fill="E5E5E5" w:themeFill="background1" w:themeFillTint="33"/>
            <w:vAlign w:val="center"/>
          </w:tcPr>
          <w:p w:rsidR="00286449" w:rsidRPr="00C54A19" w:rsidRDefault="00286449" w:rsidP="005F1446">
            <w:pPr>
              <w:spacing w:before="120" w:after="120"/>
              <w:jc w:val="center"/>
              <w:rPr>
                <w:rFonts w:cstheme="minorHAnsi"/>
                <w:sz w:val="20"/>
                <w:szCs w:val="20"/>
              </w:rPr>
            </w:pPr>
            <w:r w:rsidRPr="00C54A19">
              <w:rPr>
                <w:rFonts w:cstheme="minorHAnsi"/>
                <w:sz w:val="20"/>
                <w:szCs w:val="20"/>
              </w:rPr>
              <w:t>12</w:t>
            </w:r>
          </w:p>
        </w:tc>
        <w:tc>
          <w:tcPr>
            <w:tcW w:w="2551" w:type="dxa"/>
            <w:shd w:val="clear" w:color="auto" w:fill="E5E5E5" w:themeFill="background1" w:themeFillTint="33"/>
            <w:vAlign w:val="center"/>
          </w:tcPr>
          <w:p w:rsidR="00286449" w:rsidRPr="00C54A19" w:rsidRDefault="00286449" w:rsidP="00F23B2D">
            <w:pPr>
              <w:spacing w:before="120" w:after="120"/>
              <w:rPr>
                <w:rFonts w:cstheme="minorHAnsi"/>
                <w:sz w:val="20"/>
                <w:szCs w:val="20"/>
              </w:rPr>
            </w:pPr>
            <w:r w:rsidRPr="00C54A19">
              <w:rPr>
                <w:rFonts w:cstheme="minorHAnsi"/>
                <w:sz w:val="20"/>
                <w:szCs w:val="20"/>
              </w:rPr>
              <w:t>1 Jul 2013 to 30 Jun 2014</w:t>
            </w:r>
          </w:p>
        </w:tc>
        <w:tc>
          <w:tcPr>
            <w:tcW w:w="2410" w:type="dxa"/>
            <w:shd w:val="clear" w:color="auto" w:fill="E5E5E5" w:themeFill="background1" w:themeFillTint="33"/>
            <w:vAlign w:val="center"/>
          </w:tcPr>
          <w:p w:rsidR="00286449" w:rsidRPr="00C54A19" w:rsidRDefault="00286449" w:rsidP="00C06CEC">
            <w:pPr>
              <w:spacing w:before="120" w:after="120"/>
              <w:rPr>
                <w:rFonts w:cstheme="minorHAnsi"/>
                <w:sz w:val="20"/>
                <w:szCs w:val="20"/>
              </w:rPr>
            </w:pPr>
            <w:r w:rsidRPr="00C54A19">
              <w:rPr>
                <w:rFonts w:cstheme="minorHAnsi"/>
                <w:sz w:val="20"/>
                <w:szCs w:val="20"/>
              </w:rPr>
              <w:t>1 Jul 2014 to 30 Jun 2015</w:t>
            </w:r>
          </w:p>
        </w:tc>
        <w:tc>
          <w:tcPr>
            <w:tcW w:w="1418" w:type="dxa"/>
            <w:shd w:val="clear" w:color="auto" w:fill="E5E5E5" w:themeFill="background1" w:themeFillTint="33"/>
            <w:vAlign w:val="center"/>
          </w:tcPr>
          <w:p w:rsidR="00286449" w:rsidRPr="00C54A19" w:rsidRDefault="00286449" w:rsidP="0009024A">
            <w:pPr>
              <w:spacing w:before="120" w:after="120"/>
              <w:rPr>
                <w:rFonts w:cstheme="minorHAnsi"/>
                <w:sz w:val="20"/>
                <w:szCs w:val="20"/>
              </w:rPr>
            </w:pPr>
            <w:r w:rsidRPr="00C54A19">
              <w:rPr>
                <w:rFonts w:cstheme="minorHAnsi"/>
                <w:sz w:val="20"/>
                <w:szCs w:val="20"/>
              </w:rPr>
              <w:t>During JCB</w:t>
            </w:r>
          </w:p>
        </w:tc>
        <w:tc>
          <w:tcPr>
            <w:tcW w:w="1701" w:type="dxa"/>
            <w:shd w:val="clear" w:color="auto" w:fill="E5E5E5" w:themeFill="background1" w:themeFillTint="33"/>
            <w:vAlign w:val="center"/>
          </w:tcPr>
          <w:p w:rsidR="00286449" w:rsidRPr="00C54A19" w:rsidRDefault="00286449" w:rsidP="00F23B2D">
            <w:pPr>
              <w:spacing w:before="120" w:after="120"/>
              <w:rPr>
                <w:rFonts w:cstheme="minorHAnsi"/>
                <w:sz w:val="20"/>
                <w:szCs w:val="20"/>
              </w:rPr>
            </w:pPr>
            <w:r w:rsidRPr="00C54A19">
              <w:rPr>
                <w:rFonts w:cstheme="minorHAnsi"/>
                <w:sz w:val="20"/>
                <w:szCs w:val="20"/>
              </w:rPr>
              <w:t>3</w:t>
            </w:r>
            <w:r w:rsidR="004175C9" w:rsidRPr="00C54A19">
              <w:rPr>
                <w:rFonts w:cstheme="minorHAnsi"/>
                <w:sz w:val="20"/>
                <w:szCs w:val="20"/>
              </w:rPr>
              <w:t>0 Jun</w:t>
            </w:r>
            <w:r w:rsidRPr="00C54A19">
              <w:rPr>
                <w:rFonts w:cstheme="minorHAnsi"/>
                <w:sz w:val="20"/>
                <w:szCs w:val="20"/>
              </w:rPr>
              <w:t xml:space="preserve"> 2015</w:t>
            </w:r>
          </w:p>
        </w:tc>
      </w:tr>
      <w:tr w:rsidR="00286449" w:rsidRPr="00C71669" w:rsidTr="00F908BD">
        <w:trPr>
          <w:cantSplit/>
        </w:trPr>
        <w:tc>
          <w:tcPr>
            <w:tcW w:w="1418" w:type="dxa"/>
            <w:shd w:val="clear" w:color="auto" w:fill="FFFFFF" w:themeFill="background2"/>
            <w:vAlign w:val="center"/>
          </w:tcPr>
          <w:p w:rsidR="00286449" w:rsidRPr="00C54A19" w:rsidRDefault="00C962FC" w:rsidP="0009024A">
            <w:pPr>
              <w:spacing w:before="120" w:after="120"/>
              <w:rPr>
                <w:rFonts w:cstheme="minorHAnsi"/>
                <w:color w:val="000000" w:themeColor="text1"/>
                <w:sz w:val="20"/>
                <w:szCs w:val="20"/>
              </w:rPr>
            </w:pPr>
            <w:r>
              <w:rPr>
                <w:rFonts w:cstheme="minorHAnsi"/>
                <w:color w:val="000000" w:themeColor="text1"/>
                <w:sz w:val="20"/>
                <w:szCs w:val="20"/>
              </w:rPr>
              <w:t>Job search</w:t>
            </w:r>
            <w:r w:rsidR="00286449" w:rsidRPr="00C54A19">
              <w:rPr>
                <w:rFonts w:cstheme="minorHAnsi"/>
                <w:color w:val="000000" w:themeColor="text1"/>
                <w:sz w:val="20"/>
                <w:szCs w:val="20"/>
              </w:rPr>
              <w:t xml:space="preserve"> </w:t>
            </w:r>
            <w:r w:rsidR="00286449" w:rsidRPr="00C54A19">
              <w:rPr>
                <w:rFonts w:cstheme="minorHAnsi"/>
                <w:color w:val="000000" w:themeColor="text1"/>
                <w:sz w:val="20"/>
                <w:szCs w:val="20"/>
              </w:rPr>
              <w:br/>
            </w:r>
            <w:r w:rsidR="00286449" w:rsidRPr="00C54A19">
              <w:rPr>
                <w:rFonts w:cstheme="minorHAnsi"/>
                <w:sz w:val="20"/>
                <w:szCs w:val="20"/>
              </w:rPr>
              <w:t>analysis</w:t>
            </w:r>
            <w:r w:rsidR="00286449" w:rsidRPr="00C54A19">
              <w:rPr>
                <w:rFonts w:cstheme="minorHAnsi"/>
                <w:color w:val="000000" w:themeColor="text1"/>
                <w:sz w:val="20"/>
                <w:szCs w:val="20"/>
              </w:rPr>
              <w:t xml:space="preserve"> 5</w:t>
            </w:r>
          </w:p>
        </w:tc>
        <w:tc>
          <w:tcPr>
            <w:tcW w:w="3544" w:type="dxa"/>
            <w:shd w:val="clear" w:color="auto" w:fill="FFFFFF" w:themeFill="background2"/>
            <w:vAlign w:val="center"/>
          </w:tcPr>
          <w:p w:rsidR="00286449" w:rsidRPr="00C54A19" w:rsidRDefault="00286449" w:rsidP="0009024A">
            <w:pPr>
              <w:spacing w:before="120" w:after="120"/>
              <w:rPr>
                <w:rFonts w:cstheme="minorHAnsi"/>
                <w:color w:val="000000" w:themeColor="text1"/>
                <w:sz w:val="20"/>
                <w:szCs w:val="20"/>
              </w:rPr>
            </w:pPr>
            <w:r w:rsidRPr="00C54A19">
              <w:rPr>
                <w:rFonts w:cstheme="minorHAnsi"/>
                <w:color w:val="000000" w:themeColor="text1"/>
                <w:sz w:val="20"/>
                <w:szCs w:val="20"/>
              </w:rPr>
              <w:t>Length of time taken to exit income support after becoming LTU</w:t>
            </w:r>
          </w:p>
        </w:tc>
        <w:tc>
          <w:tcPr>
            <w:tcW w:w="992" w:type="dxa"/>
            <w:shd w:val="clear" w:color="auto" w:fill="FFFFFF" w:themeFill="background2"/>
            <w:vAlign w:val="center"/>
          </w:tcPr>
          <w:p w:rsidR="00286449" w:rsidRPr="00C54A19" w:rsidRDefault="00286449" w:rsidP="0009024A">
            <w:pPr>
              <w:spacing w:before="120" w:after="120"/>
              <w:jc w:val="center"/>
              <w:rPr>
                <w:rFonts w:cstheme="minorHAnsi"/>
                <w:color w:val="000000" w:themeColor="text1"/>
                <w:sz w:val="20"/>
                <w:szCs w:val="20"/>
              </w:rPr>
            </w:pPr>
            <w:r w:rsidRPr="00C54A19">
              <w:rPr>
                <w:rFonts w:cstheme="minorHAnsi"/>
                <w:color w:val="000000" w:themeColor="text1"/>
                <w:sz w:val="20"/>
                <w:szCs w:val="20"/>
              </w:rPr>
              <w:t>12</w:t>
            </w:r>
          </w:p>
        </w:tc>
        <w:tc>
          <w:tcPr>
            <w:tcW w:w="2551" w:type="dxa"/>
            <w:shd w:val="clear" w:color="auto" w:fill="FFFFFF" w:themeFill="background2"/>
            <w:vAlign w:val="center"/>
          </w:tcPr>
          <w:p w:rsidR="00286449" w:rsidRPr="00C54A19" w:rsidRDefault="00286449" w:rsidP="0009024A">
            <w:pPr>
              <w:spacing w:before="120" w:after="120"/>
              <w:rPr>
                <w:rFonts w:cstheme="minorHAnsi"/>
                <w:color w:val="000000" w:themeColor="text1"/>
                <w:sz w:val="20"/>
                <w:szCs w:val="20"/>
              </w:rPr>
            </w:pPr>
            <w:r w:rsidRPr="00C54A19">
              <w:rPr>
                <w:rFonts w:cstheme="minorHAnsi"/>
                <w:color w:val="000000" w:themeColor="text1"/>
                <w:sz w:val="20"/>
                <w:szCs w:val="20"/>
              </w:rPr>
              <w:t>1 Jul 2013 to 30 June 2014</w:t>
            </w:r>
          </w:p>
        </w:tc>
        <w:tc>
          <w:tcPr>
            <w:tcW w:w="2410" w:type="dxa"/>
            <w:shd w:val="clear" w:color="auto" w:fill="FFFFFF" w:themeFill="background2"/>
            <w:vAlign w:val="center"/>
          </w:tcPr>
          <w:p w:rsidR="00286449" w:rsidRPr="00C54A19" w:rsidRDefault="00286449" w:rsidP="0009024A">
            <w:pPr>
              <w:spacing w:before="120" w:after="120"/>
              <w:rPr>
                <w:rFonts w:cstheme="minorHAnsi"/>
                <w:color w:val="000000" w:themeColor="text1"/>
                <w:sz w:val="20"/>
                <w:szCs w:val="20"/>
              </w:rPr>
            </w:pPr>
            <w:r w:rsidRPr="00C54A19">
              <w:rPr>
                <w:rFonts w:cstheme="minorHAnsi"/>
                <w:sz w:val="20"/>
                <w:szCs w:val="20"/>
              </w:rPr>
              <w:t>1 Jul 2014 to 30 Jun 2015</w:t>
            </w:r>
          </w:p>
        </w:tc>
        <w:tc>
          <w:tcPr>
            <w:tcW w:w="1418" w:type="dxa"/>
            <w:shd w:val="clear" w:color="auto" w:fill="FFFFFF" w:themeFill="background2"/>
            <w:vAlign w:val="center"/>
          </w:tcPr>
          <w:p w:rsidR="00286449" w:rsidRPr="00C54A19" w:rsidRDefault="00286449" w:rsidP="0009024A">
            <w:pPr>
              <w:spacing w:before="120" w:after="120"/>
              <w:rPr>
                <w:rFonts w:cstheme="minorHAnsi"/>
                <w:sz w:val="20"/>
                <w:szCs w:val="20"/>
              </w:rPr>
            </w:pPr>
            <w:r w:rsidRPr="00C54A19">
              <w:rPr>
                <w:rFonts w:cstheme="minorHAnsi"/>
                <w:sz w:val="20"/>
                <w:szCs w:val="20"/>
              </w:rPr>
              <w:t>During JCB</w:t>
            </w:r>
          </w:p>
        </w:tc>
        <w:tc>
          <w:tcPr>
            <w:tcW w:w="1701" w:type="dxa"/>
            <w:shd w:val="clear" w:color="auto" w:fill="FFFFFF" w:themeFill="background2"/>
            <w:vAlign w:val="center"/>
          </w:tcPr>
          <w:p w:rsidR="00286449" w:rsidRPr="00C54A19" w:rsidRDefault="00286449" w:rsidP="0009024A">
            <w:pPr>
              <w:spacing w:before="120" w:after="120"/>
              <w:rPr>
                <w:rFonts w:cstheme="minorHAnsi"/>
                <w:color w:val="000000" w:themeColor="text1"/>
                <w:sz w:val="20"/>
                <w:szCs w:val="20"/>
              </w:rPr>
            </w:pPr>
            <w:r w:rsidRPr="00C54A19">
              <w:rPr>
                <w:rFonts w:cstheme="minorHAnsi"/>
                <w:color w:val="000000" w:themeColor="text1"/>
                <w:sz w:val="20"/>
                <w:szCs w:val="20"/>
              </w:rPr>
              <w:t>30 Jun 2015</w:t>
            </w:r>
          </w:p>
        </w:tc>
      </w:tr>
      <w:tr w:rsidR="00286449" w:rsidRPr="00F149DA" w:rsidTr="00F908BD">
        <w:trPr>
          <w:cantSplit/>
        </w:trPr>
        <w:tc>
          <w:tcPr>
            <w:tcW w:w="1418" w:type="dxa"/>
            <w:shd w:val="clear" w:color="auto" w:fill="E5E5E5" w:themeFill="background1" w:themeFillTint="33"/>
            <w:vAlign w:val="center"/>
          </w:tcPr>
          <w:p w:rsidR="00286449" w:rsidRPr="00C54A19" w:rsidRDefault="00C962FC" w:rsidP="00EE05D6">
            <w:pPr>
              <w:spacing w:before="120" w:after="120"/>
              <w:rPr>
                <w:rFonts w:cstheme="minorHAnsi"/>
                <w:color w:val="000000" w:themeColor="text1"/>
                <w:sz w:val="20"/>
                <w:szCs w:val="20"/>
              </w:rPr>
            </w:pPr>
            <w:r>
              <w:rPr>
                <w:rFonts w:cstheme="minorHAnsi"/>
                <w:sz w:val="20"/>
                <w:szCs w:val="20"/>
              </w:rPr>
              <w:t xml:space="preserve">Sustained exit </w:t>
            </w:r>
            <w:r w:rsidR="00286449" w:rsidRPr="00C54A19">
              <w:rPr>
                <w:rFonts w:cstheme="minorHAnsi"/>
                <w:sz w:val="20"/>
                <w:szCs w:val="20"/>
              </w:rPr>
              <w:br/>
              <w:t>analysis 1</w:t>
            </w:r>
          </w:p>
        </w:tc>
        <w:tc>
          <w:tcPr>
            <w:tcW w:w="3544" w:type="dxa"/>
            <w:shd w:val="clear" w:color="auto" w:fill="E5E5E5" w:themeFill="background1" w:themeFillTint="33"/>
            <w:vAlign w:val="center"/>
          </w:tcPr>
          <w:p w:rsidR="00286449" w:rsidRPr="00C54A19" w:rsidRDefault="00286449" w:rsidP="00AA0D08">
            <w:pPr>
              <w:spacing w:before="120" w:after="120"/>
              <w:rPr>
                <w:rFonts w:cstheme="minorHAnsi"/>
                <w:sz w:val="20"/>
                <w:szCs w:val="20"/>
              </w:rPr>
            </w:pPr>
            <w:r w:rsidRPr="00C54A19">
              <w:rPr>
                <w:rFonts w:cstheme="minorHAnsi"/>
                <w:color w:val="000000" w:themeColor="text1"/>
                <w:sz w:val="20"/>
                <w:szCs w:val="20"/>
              </w:rPr>
              <w:t xml:space="preserve">Percentage off income support 52 weeks </w:t>
            </w:r>
            <w:r w:rsidR="00AA0D08" w:rsidRPr="00C54A19">
              <w:rPr>
                <w:rFonts w:cstheme="minorHAnsi"/>
                <w:color w:val="000000" w:themeColor="text1"/>
                <w:sz w:val="20"/>
                <w:szCs w:val="20"/>
              </w:rPr>
              <w:t xml:space="preserve">(1 year) </w:t>
            </w:r>
            <w:r w:rsidRPr="00C54A19">
              <w:rPr>
                <w:rFonts w:cstheme="minorHAnsi"/>
                <w:color w:val="000000" w:themeColor="text1"/>
                <w:sz w:val="20"/>
                <w:szCs w:val="20"/>
              </w:rPr>
              <w:t>after exiting income support</w:t>
            </w:r>
            <w:r w:rsidR="00C368B4" w:rsidRPr="00C54A19">
              <w:rPr>
                <w:rFonts w:cstheme="minorHAnsi"/>
                <w:color w:val="000000" w:themeColor="text1"/>
                <w:sz w:val="20"/>
                <w:szCs w:val="20"/>
              </w:rPr>
              <w:t xml:space="preserve">, of those who exited income support within </w:t>
            </w:r>
            <w:r w:rsidR="00AA0D08" w:rsidRPr="00C54A19">
              <w:rPr>
                <w:rFonts w:cstheme="minorHAnsi"/>
                <w:sz w:val="20"/>
                <w:szCs w:val="20"/>
              </w:rPr>
              <w:t xml:space="preserve">180 days </w:t>
            </w:r>
            <w:r w:rsidR="00AA0D08" w:rsidRPr="00C54A19">
              <w:rPr>
                <w:rFonts w:cstheme="minorHAnsi"/>
                <w:color w:val="000000" w:themeColor="text1"/>
                <w:sz w:val="20"/>
                <w:szCs w:val="20"/>
              </w:rPr>
              <w:t xml:space="preserve">(6 months) </w:t>
            </w:r>
            <w:r w:rsidR="00C368B4" w:rsidRPr="00C54A19">
              <w:rPr>
                <w:rFonts w:cstheme="minorHAnsi"/>
                <w:color w:val="000000" w:themeColor="text1"/>
                <w:sz w:val="20"/>
                <w:szCs w:val="20"/>
              </w:rPr>
              <w:t>of becoming LTU</w:t>
            </w:r>
          </w:p>
        </w:tc>
        <w:tc>
          <w:tcPr>
            <w:tcW w:w="992" w:type="dxa"/>
            <w:shd w:val="clear" w:color="auto" w:fill="E5E5E5" w:themeFill="background1" w:themeFillTint="33"/>
            <w:vAlign w:val="center"/>
          </w:tcPr>
          <w:p w:rsidR="00286449" w:rsidRPr="00C54A19" w:rsidRDefault="00286449" w:rsidP="005F1446">
            <w:pPr>
              <w:spacing w:before="120" w:after="120"/>
              <w:jc w:val="center"/>
              <w:rPr>
                <w:rFonts w:cstheme="minorHAnsi"/>
                <w:sz w:val="20"/>
                <w:szCs w:val="20"/>
              </w:rPr>
            </w:pPr>
            <w:r w:rsidRPr="00C54A19">
              <w:rPr>
                <w:rFonts w:cstheme="minorHAnsi"/>
                <w:sz w:val="20"/>
                <w:szCs w:val="20"/>
              </w:rPr>
              <w:t>6</w:t>
            </w:r>
          </w:p>
        </w:tc>
        <w:tc>
          <w:tcPr>
            <w:tcW w:w="2551" w:type="dxa"/>
            <w:shd w:val="clear" w:color="auto" w:fill="E5E5E5" w:themeFill="background1" w:themeFillTint="33"/>
            <w:vAlign w:val="center"/>
          </w:tcPr>
          <w:p w:rsidR="00286449" w:rsidRPr="00C54A19" w:rsidRDefault="00286449" w:rsidP="00F23B2D">
            <w:pPr>
              <w:spacing w:before="120" w:after="120"/>
              <w:rPr>
                <w:rFonts w:cstheme="minorHAnsi"/>
                <w:color w:val="000000" w:themeColor="text1"/>
                <w:sz w:val="20"/>
                <w:szCs w:val="20"/>
              </w:rPr>
            </w:pPr>
            <w:r w:rsidRPr="00C54A19">
              <w:rPr>
                <w:rFonts w:cstheme="minorHAnsi"/>
                <w:color w:val="000000" w:themeColor="text1"/>
                <w:sz w:val="20"/>
                <w:szCs w:val="20"/>
              </w:rPr>
              <w:t>1 Jul 2013 to 31 Dec 2013</w:t>
            </w:r>
          </w:p>
        </w:tc>
        <w:tc>
          <w:tcPr>
            <w:tcW w:w="2410" w:type="dxa"/>
            <w:shd w:val="clear" w:color="auto" w:fill="E5E5E5" w:themeFill="background1" w:themeFillTint="33"/>
            <w:vAlign w:val="center"/>
          </w:tcPr>
          <w:p w:rsidR="00286449" w:rsidRPr="00C54A19" w:rsidRDefault="00286449" w:rsidP="00F23B2D">
            <w:pPr>
              <w:spacing w:before="120" w:after="120"/>
              <w:rPr>
                <w:rFonts w:cstheme="minorHAnsi"/>
                <w:sz w:val="20"/>
                <w:szCs w:val="20"/>
              </w:rPr>
            </w:pPr>
            <w:r w:rsidRPr="00C54A19">
              <w:rPr>
                <w:rFonts w:cstheme="minorHAnsi"/>
                <w:sz w:val="20"/>
                <w:szCs w:val="20"/>
              </w:rPr>
              <w:t>1 Jul 2014 to 31 Dec 2014</w:t>
            </w:r>
          </w:p>
        </w:tc>
        <w:tc>
          <w:tcPr>
            <w:tcW w:w="1418" w:type="dxa"/>
            <w:shd w:val="clear" w:color="auto" w:fill="E5E5E5" w:themeFill="background1" w:themeFillTint="33"/>
            <w:vAlign w:val="center"/>
          </w:tcPr>
          <w:p w:rsidR="00286449" w:rsidRPr="00C54A19" w:rsidRDefault="00286449" w:rsidP="0009024A">
            <w:pPr>
              <w:spacing w:before="120" w:after="120"/>
              <w:rPr>
                <w:rFonts w:cstheme="minorHAnsi"/>
                <w:sz w:val="20"/>
                <w:szCs w:val="20"/>
              </w:rPr>
            </w:pPr>
            <w:r w:rsidRPr="00C54A19">
              <w:rPr>
                <w:rFonts w:cstheme="minorHAnsi"/>
                <w:sz w:val="20"/>
                <w:szCs w:val="20"/>
              </w:rPr>
              <w:t>During JCB</w:t>
            </w:r>
          </w:p>
        </w:tc>
        <w:tc>
          <w:tcPr>
            <w:tcW w:w="1701" w:type="dxa"/>
            <w:shd w:val="clear" w:color="auto" w:fill="E5E5E5" w:themeFill="background1" w:themeFillTint="33"/>
            <w:vAlign w:val="center"/>
          </w:tcPr>
          <w:p w:rsidR="00286449" w:rsidRPr="00C54A19" w:rsidRDefault="004175C9" w:rsidP="00286449">
            <w:pPr>
              <w:spacing w:before="120" w:after="120"/>
              <w:rPr>
                <w:rFonts w:cstheme="minorHAnsi"/>
                <w:sz w:val="20"/>
                <w:szCs w:val="20"/>
              </w:rPr>
            </w:pPr>
            <w:r w:rsidRPr="00C54A19">
              <w:rPr>
                <w:rFonts w:cstheme="minorHAnsi"/>
                <w:sz w:val="20"/>
                <w:szCs w:val="20"/>
              </w:rPr>
              <w:t>30 Jun</w:t>
            </w:r>
            <w:r w:rsidR="00286449" w:rsidRPr="00C54A19">
              <w:rPr>
                <w:rFonts w:cstheme="minorHAnsi"/>
                <w:sz w:val="20"/>
                <w:szCs w:val="20"/>
              </w:rPr>
              <w:t xml:space="preserve"> 2016 </w:t>
            </w:r>
            <w:r w:rsidR="00286449" w:rsidRPr="00C54A19">
              <w:rPr>
                <w:rFonts w:cstheme="minorHAnsi"/>
                <w:sz w:val="20"/>
                <w:szCs w:val="20"/>
                <w:vertAlign w:val="superscript"/>
              </w:rPr>
              <w:t>(a)</w:t>
            </w:r>
          </w:p>
        </w:tc>
      </w:tr>
      <w:tr w:rsidR="00286449" w:rsidRPr="00F149DA" w:rsidTr="00F908BD">
        <w:trPr>
          <w:cantSplit/>
        </w:trPr>
        <w:tc>
          <w:tcPr>
            <w:tcW w:w="1418" w:type="dxa"/>
            <w:shd w:val="clear" w:color="auto" w:fill="FFFFFF" w:themeFill="background2"/>
            <w:vAlign w:val="center"/>
          </w:tcPr>
          <w:p w:rsidR="00286449" w:rsidRPr="00C54A19" w:rsidRDefault="00C962FC" w:rsidP="00EE05D6">
            <w:pPr>
              <w:spacing w:before="120" w:after="120"/>
              <w:rPr>
                <w:rFonts w:cstheme="minorHAnsi"/>
                <w:color w:val="000000" w:themeColor="text1"/>
                <w:sz w:val="20"/>
                <w:szCs w:val="20"/>
              </w:rPr>
            </w:pPr>
            <w:r>
              <w:rPr>
                <w:rFonts w:cstheme="minorHAnsi"/>
                <w:sz w:val="20"/>
                <w:szCs w:val="20"/>
              </w:rPr>
              <w:t xml:space="preserve">Sustained exit </w:t>
            </w:r>
            <w:r w:rsidR="00286449" w:rsidRPr="00C54A19">
              <w:rPr>
                <w:rFonts w:cstheme="minorHAnsi"/>
                <w:sz w:val="20"/>
                <w:szCs w:val="20"/>
              </w:rPr>
              <w:br/>
              <w:t>analysis 2</w:t>
            </w:r>
          </w:p>
        </w:tc>
        <w:tc>
          <w:tcPr>
            <w:tcW w:w="3544" w:type="dxa"/>
            <w:shd w:val="clear" w:color="auto" w:fill="FFFFFF" w:themeFill="background2"/>
            <w:vAlign w:val="center"/>
          </w:tcPr>
          <w:p w:rsidR="00286449" w:rsidRPr="00C54A19" w:rsidRDefault="00286449" w:rsidP="00AA0D08">
            <w:pPr>
              <w:spacing w:before="120" w:after="120"/>
              <w:rPr>
                <w:rFonts w:cstheme="minorHAnsi"/>
                <w:color w:val="000000" w:themeColor="text1"/>
                <w:sz w:val="20"/>
                <w:szCs w:val="20"/>
              </w:rPr>
            </w:pPr>
            <w:r w:rsidRPr="00C54A19">
              <w:rPr>
                <w:rFonts w:cstheme="minorHAnsi"/>
                <w:color w:val="000000" w:themeColor="text1"/>
                <w:sz w:val="20"/>
                <w:szCs w:val="20"/>
              </w:rPr>
              <w:t xml:space="preserve">Proportion that remained off income support for 52 weeks </w:t>
            </w:r>
            <w:r w:rsidR="00AA0D08" w:rsidRPr="00C54A19">
              <w:rPr>
                <w:rFonts w:cstheme="minorHAnsi"/>
                <w:color w:val="000000" w:themeColor="text1"/>
                <w:sz w:val="20"/>
                <w:szCs w:val="20"/>
              </w:rPr>
              <w:t xml:space="preserve">(1 year) </w:t>
            </w:r>
            <w:r w:rsidRPr="00C54A19">
              <w:rPr>
                <w:rFonts w:cstheme="minorHAnsi"/>
                <w:color w:val="000000" w:themeColor="text1"/>
                <w:sz w:val="20"/>
                <w:szCs w:val="20"/>
              </w:rPr>
              <w:t>after exiting income support</w:t>
            </w:r>
            <w:r w:rsidR="00237847" w:rsidRPr="00C54A19">
              <w:rPr>
                <w:rFonts w:cstheme="minorHAnsi"/>
                <w:color w:val="000000" w:themeColor="text1"/>
                <w:sz w:val="20"/>
                <w:szCs w:val="20"/>
              </w:rPr>
              <w:t xml:space="preserve">, of those who exited income support within </w:t>
            </w:r>
            <w:r w:rsidR="00AA0D08" w:rsidRPr="00C54A19">
              <w:rPr>
                <w:rFonts w:cstheme="minorHAnsi"/>
                <w:sz w:val="20"/>
                <w:szCs w:val="20"/>
              </w:rPr>
              <w:t xml:space="preserve">180 days </w:t>
            </w:r>
            <w:r w:rsidR="00AA0D08" w:rsidRPr="00C54A19">
              <w:rPr>
                <w:rFonts w:cstheme="minorHAnsi"/>
                <w:color w:val="000000" w:themeColor="text1"/>
                <w:sz w:val="20"/>
                <w:szCs w:val="20"/>
              </w:rPr>
              <w:t>(6 months)</w:t>
            </w:r>
            <w:r w:rsidR="00AA0D08" w:rsidRPr="00C54A19">
              <w:rPr>
                <w:rFonts w:cstheme="minorHAnsi"/>
                <w:sz w:val="20"/>
                <w:szCs w:val="20"/>
              </w:rPr>
              <w:t xml:space="preserve"> </w:t>
            </w:r>
            <w:r w:rsidR="00237847" w:rsidRPr="00C54A19">
              <w:rPr>
                <w:rFonts w:cstheme="minorHAnsi"/>
                <w:color w:val="000000" w:themeColor="text1"/>
                <w:sz w:val="20"/>
                <w:szCs w:val="20"/>
              </w:rPr>
              <w:t>of becoming LTU</w:t>
            </w:r>
          </w:p>
        </w:tc>
        <w:tc>
          <w:tcPr>
            <w:tcW w:w="992" w:type="dxa"/>
            <w:shd w:val="clear" w:color="auto" w:fill="FFFFFF" w:themeFill="background2"/>
            <w:vAlign w:val="center"/>
          </w:tcPr>
          <w:p w:rsidR="00286449" w:rsidRPr="00C54A19" w:rsidRDefault="00286449" w:rsidP="005F1446">
            <w:pPr>
              <w:spacing w:before="120" w:after="120"/>
              <w:jc w:val="center"/>
              <w:rPr>
                <w:rFonts w:cstheme="minorHAnsi"/>
                <w:sz w:val="20"/>
                <w:szCs w:val="20"/>
              </w:rPr>
            </w:pPr>
            <w:r w:rsidRPr="00C54A19">
              <w:rPr>
                <w:rFonts w:cstheme="minorHAnsi"/>
                <w:sz w:val="20"/>
                <w:szCs w:val="20"/>
              </w:rPr>
              <w:t>6</w:t>
            </w:r>
          </w:p>
        </w:tc>
        <w:tc>
          <w:tcPr>
            <w:tcW w:w="2551" w:type="dxa"/>
            <w:shd w:val="clear" w:color="auto" w:fill="FFFFFF" w:themeFill="background2"/>
            <w:vAlign w:val="center"/>
          </w:tcPr>
          <w:p w:rsidR="00286449" w:rsidRPr="00C54A19" w:rsidRDefault="00286449" w:rsidP="0018245D">
            <w:pPr>
              <w:spacing w:before="120" w:after="120"/>
              <w:rPr>
                <w:rFonts w:cstheme="minorHAnsi"/>
                <w:sz w:val="20"/>
                <w:szCs w:val="20"/>
              </w:rPr>
            </w:pPr>
            <w:r w:rsidRPr="00C54A19">
              <w:rPr>
                <w:rFonts w:cstheme="minorHAnsi"/>
                <w:sz w:val="20"/>
                <w:szCs w:val="20"/>
              </w:rPr>
              <w:t>1 Jul 2012 to 31 Dec 2012</w:t>
            </w:r>
          </w:p>
        </w:tc>
        <w:tc>
          <w:tcPr>
            <w:tcW w:w="2410" w:type="dxa"/>
            <w:shd w:val="clear" w:color="auto" w:fill="FFFFFF" w:themeFill="background2"/>
            <w:vAlign w:val="center"/>
          </w:tcPr>
          <w:p w:rsidR="00286449" w:rsidRPr="00C54A19" w:rsidRDefault="00286449" w:rsidP="0018245D">
            <w:pPr>
              <w:spacing w:before="120" w:after="120"/>
              <w:rPr>
                <w:rFonts w:cstheme="minorHAnsi"/>
                <w:sz w:val="20"/>
                <w:szCs w:val="20"/>
              </w:rPr>
            </w:pPr>
            <w:r w:rsidRPr="00C54A19">
              <w:rPr>
                <w:rFonts w:cstheme="minorHAnsi"/>
                <w:sz w:val="20"/>
                <w:szCs w:val="20"/>
              </w:rPr>
              <w:t>1 Jul 2013 to 31 Dec 2013</w:t>
            </w:r>
          </w:p>
        </w:tc>
        <w:tc>
          <w:tcPr>
            <w:tcW w:w="1418" w:type="dxa"/>
            <w:shd w:val="clear" w:color="auto" w:fill="FFFFFF" w:themeFill="background2"/>
            <w:vAlign w:val="center"/>
          </w:tcPr>
          <w:p w:rsidR="00286449" w:rsidRPr="00C54A19" w:rsidRDefault="00286449" w:rsidP="0009024A">
            <w:pPr>
              <w:spacing w:before="120" w:after="120"/>
              <w:rPr>
                <w:rFonts w:cstheme="minorHAnsi"/>
                <w:sz w:val="20"/>
                <w:szCs w:val="20"/>
              </w:rPr>
            </w:pPr>
            <w:r w:rsidRPr="00C54A19">
              <w:rPr>
                <w:rFonts w:cstheme="minorHAnsi"/>
                <w:sz w:val="20"/>
                <w:szCs w:val="20"/>
              </w:rPr>
              <w:t>Before JCB</w:t>
            </w:r>
          </w:p>
        </w:tc>
        <w:tc>
          <w:tcPr>
            <w:tcW w:w="1701" w:type="dxa"/>
            <w:shd w:val="clear" w:color="auto" w:fill="FFFFFF" w:themeFill="background2"/>
            <w:vAlign w:val="center"/>
          </w:tcPr>
          <w:p w:rsidR="00286449" w:rsidRPr="00C54A19" w:rsidRDefault="004175C9" w:rsidP="0018245D">
            <w:pPr>
              <w:spacing w:before="120" w:after="120"/>
              <w:rPr>
                <w:rFonts w:cstheme="minorHAnsi"/>
                <w:sz w:val="20"/>
                <w:szCs w:val="20"/>
              </w:rPr>
            </w:pPr>
            <w:r w:rsidRPr="00C54A19">
              <w:rPr>
                <w:rFonts w:cstheme="minorHAnsi"/>
                <w:sz w:val="20"/>
                <w:szCs w:val="20"/>
              </w:rPr>
              <w:t>30 Jun</w:t>
            </w:r>
            <w:r w:rsidR="00286449" w:rsidRPr="00C54A19">
              <w:rPr>
                <w:rFonts w:cstheme="minorHAnsi"/>
                <w:sz w:val="20"/>
                <w:szCs w:val="20"/>
              </w:rPr>
              <w:t xml:space="preserve"> 2015</w:t>
            </w:r>
          </w:p>
        </w:tc>
      </w:tr>
      <w:tr w:rsidR="00286449" w:rsidRPr="00F149DA" w:rsidTr="00F908BD">
        <w:trPr>
          <w:cantSplit/>
        </w:trPr>
        <w:tc>
          <w:tcPr>
            <w:tcW w:w="1418" w:type="dxa"/>
            <w:shd w:val="clear" w:color="auto" w:fill="E5E5E5" w:themeFill="background1" w:themeFillTint="33"/>
            <w:vAlign w:val="center"/>
          </w:tcPr>
          <w:p w:rsidR="00286449" w:rsidRPr="00C54A19" w:rsidRDefault="00C962FC" w:rsidP="0009024A">
            <w:pPr>
              <w:spacing w:before="120" w:after="120"/>
              <w:rPr>
                <w:rFonts w:cstheme="minorHAnsi"/>
                <w:color w:val="000000" w:themeColor="text1"/>
                <w:sz w:val="20"/>
                <w:szCs w:val="20"/>
              </w:rPr>
            </w:pPr>
            <w:r>
              <w:rPr>
                <w:rFonts w:cstheme="minorHAnsi"/>
                <w:sz w:val="20"/>
                <w:szCs w:val="20"/>
              </w:rPr>
              <w:lastRenderedPageBreak/>
              <w:t xml:space="preserve">Sustained exit </w:t>
            </w:r>
            <w:r w:rsidR="00286449" w:rsidRPr="00C54A19">
              <w:rPr>
                <w:rFonts w:cstheme="minorHAnsi"/>
                <w:sz w:val="20"/>
                <w:szCs w:val="20"/>
              </w:rPr>
              <w:br/>
              <w:t>analysis 2</w:t>
            </w:r>
          </w:p>
        </w:tc>
        <w:tc>
          <w:tcPr>
            <w:tcW w:w="3544" w:type="dxa"/>
            <w:shd w:val="clear" w:color="auto" w:fill="E5E5E5" w:themeFill="background1" w:themeFillTint="33"/>
            <w:vAlign w:val="center"/>
          </w:tcPr>
          <w:p w:rsidR="00286449" w:rsidRPr="00C54A19" w:rsidRDefault="00286449" w:rsidP="00AA0D08">
            <w:pPr>
              <w:spacing w:before="120" w:after="120"/>
              <w:rPr>
                <w:rFonts w:cstheme="minorHAnsi"/>
                <w:color w:val="000000" w:themeColor="text1"/>
                <w:sz w:val="20"/>
                <w:szCs w:val="20"/>
              </w:rPr>
            </w:pPr>
            <w:r w:rsidRPr="00C54A19">
              <w:rPr>
                <w:rFonts w:cstheme="minorHAnsi"/>
                <w:color w:val="000000" w:themeColor="text1"/>
                <w:sz w:val="20"/>
                <w:szCs w:val="20"/>
              </w:rPr>
              <w:t xml:space="preserve">Proportion that remained off income support for 52 weeks </w:t>
            </w:r>
            <w:r w:rsidR="00AA0D08" w:rsidRPr="00C54A19">
              <w:rPr>
                <w:rFonts w:cstheme="minorHAnsi"/>
                <w:color w:val="000000" w:themeColor="text1"/>
                <w:sz w:val="20"/>
                <w:szCs w:val="20"/>
              </w:rPr>
              <w:t xml:space="preserve">(1 year) </w:t>
            </w:r>
            <w:r w:rsidRPr="00C54A19">
              <w:rPr>
                <w:rFonts w:cstheme="minorHAnsi"/>
                <w:color w:val="000000" w:themeColor="text1"/>
                <w:sz w:val="20"/>
                <w:szCs w:val="20"/>
              </w:rPr>
              <w:t>after exiting income support</w:t>
            </w:r>
            <w:r w:rsidR="00237847" w:rsidRPr="00C54A19">
              <w:rPr>
                <w:rFonts w:cstheme="minorHAnsi"/>
                <w:color w:val="000000" w:themeColor="text1"/>
                <w:sz w:val="20"/>
                <w:szCs w:val="20"/>
              </w:rPr>
              <w:t xml:space="preserve">, of those who exited income support within </w:t>
            </w:r>
            <w:r w:rsidR="00AA0D08" w:rsidRPr="00C54A19">
              <w:rPr>
                <w:rFonts w:cstheme="minorHAnsi"/>
                <w:sz w:val="20"/>
                <w:szCs w:val="20"/>
              </w:rPr>
              <w:t xml:space="preserve">180 days </w:t>
            </w:r>
            <w:r w:rsidR="00AA0D08" w:rsidRPr="00C54A19">
              <w:rPr>
                <w:rFonts w:cstheme="minorHAnsi"/>
                <w:color w:val="000000" w:themeColor="text1"/>
                <w:sz w:val="20"/>
                <w:szCs w:val="20"/>
              </w:rPr>
              <w:t xml:space="preserve">(6 months) </w:t>
            </w:r>
            <w:r w:rsidR="00237847" w:rsidRPr="00C54A19">
              <w:rPr>
                <w:rFonts w:cstheme="minorHAnsi"/>
                <w:color w:val="000000" w:themeColor="text1"/>
                <w:sz w:val="20"/>
                <w:szCs w:val="20"/>
              </w:rPr>
              <w:t>of becoming LTU</w:t>
            </w:r>
          </w:p>
        </w:tc>
        <w:tc>
          <w:tcPr>
            <w:tcW w:w="992" w:type="dxa"/>
            <w:shd w:val="clear" w:color="auto" w:fill="E5E5E5" w:themeFill="background1" w:themeFillTint="33"/>
            <w:vAlign w:val="center"/>
          </w:tcPr>
          <w:p w:rsidR="00286449" w:rsidRPr="00C54A19" w:rsidRDefault="00286449" w:rsidP="0009024A">
            <w:pPr>
              <w:spacing w:before="120" w:after="120"/>
              <w:jc w:val="center"/>
              <w:rPr>
                <w:rFonts w:cstheme="minorHAnsi"/>
                <w:sz w:val="20"/>
                <w:szCs w:val="20"/>
              </w:rPr>
            </w:pPr>
            <w:r w:rsidRPr="00C54A19">
              <w:rPr>
                <w:rFonts w:cstheme="minorHAnsi"/>
                <w:sz w:val="20"/>
                <w:szCs w:val="20"/>
              </w:rPr>
              <w:t>6</w:t>
            </w:r>
          </w:p>
        </w:tc>
        <w:tc>
          <w:tcPr>
            <w:tcW w:w="2551" w:type="dxa"/>
            <w:shd w:val="clear" w:color="auto" w:fill="E5E5E5" w:themeFill="background1" w:themeFillTint="33"/>
            <w:vAlign w:val="center"/>
          </w:tcPr>
          <w:p w:rsidR="00286449" w:rsidRPr="00C54A19" w:rsidRDefault="00286449" w:rsidP="0009024A">
            <w:pPr>
              <w:spacing w:before="120" w:after="120"/>
              <w:rPr>
                <w:rFonts w:cstheme="minorHAnsi"/>
                <w:sz w:val="20"/>
                <w:szCs w:val="20"/>
              </w:rPr>
            </w:pPr>
            <w:r w:rsidRPr="00C54A19">
              <w:rPr>
                <w:rFonts w:cstheme="minorHAnsi"/>
                <w:sz w:val="20"/>
                <w:szCs w:val="20"/>
              </w:rPr>
              <w:t>1 Jul 2013 to 31 Dec 2013</w:t>
            </w:r>
          </w:p>
        </w:tc>
        <w:tc>
          <w:tcPr>
            <w:tcW w:w="2410" w:type="dxa"/>
            <w:shd w:val="clear" w:color="auto" w:fill="E5E5E5" w:themeFill="background1" w:themeFillTint="33"/>
            <w:vAlign w:val="center"/>
          </w:tcPr>
          <w:p w:rsidR="00286449" w:rsidRPr="00C54A19" w:rsidRDefault="00286449" w:rsidP="0009024A">
            <w:pPr>
              <w:spacing w:before="120" w:after="120"/>
              <w:rPr>
                <w:rFonts w:cstheme="minorHAnsi"/>
                <w:sz w:val="20"/>
                <w:szCs w:val="20"/>
              </w:rPr>
            </w:pPr>
            <w:r w:rsidRPr="00C54A19">
              <w:rPr>
                <w:rFonts w:cstheme="minorHAnsi"/>
                <w:sz w:val="20"/>
                <w:szCs w:val="20"/>
              </w:rPr>
              <w:t>1 Jul 2014 to 31 Dec 2014</w:t>
            </w:r>
          </w:p>
        </w:tc>
        <w:tc>
          <w:tcPr>
            <w:tcW w:w="1418" w:type="dxa"/>
            <w:shd w:val="clear" w:color="auto" w:fill="E5E5E5" w:themeFill="background1" w:themeFillTint="33"/>
            <w:vAlign w:val="center"/>
          </w:tcPr>
          <w:p w:rsidR="00286449" w:rsidRPr="00C54A19" w:rsidRDefault="00286449" w:rsidP="0009024A">
            <w:pPr>
              <w:spacing w:before="120" w:after="120"/>
              <w:rPr>
                <w:rFonts w:cstheme="minorHAnsi"/>
                <w:sz w:val="20"/>
                <w:szCs w:val="20"/>
              </w:rPr>
            </w:pPr>
            <w:r w:rsidRPr="00C54A19">
              <w:rPr>
                <w:rFonts w:cstheme="minorHAnsi"/>
                <w:sz w:val="20"/>
                <w:szCs w:val="20"/>
              </w:rPr>
              <w:t>During JCB</w:t>
            </w:r>
          </w:p>
        </w:tc>
        <w:tc>
          <w:tcPr>
            <w:tcW w:w="1701" w:type="dxa"/>
            <w:shd w:val="clear" w:color="auto" w:fill="E5E5E5" w:themeFill="background1" w:themeFillTint="33"/>
            <w:vAlign w:val="center"/>
          </w:tcPr>
          <w:p w:rsidR="00286449" w:rsidRPr="00C54A19" w:rsidRDefault="00286449" w:rsidP="0009024A">
            <w:pPr>
              <w:spacing w:before="120" w:after="120"/>
              <w:rPr>
                <w:rFonts w:cstheme="minorHAnsi"/>
                <w:sz w:val="20"/>
                <w:szCs w:val="20"/>
              </w:rPr>
            </w:pPr>
            <w:r w:rsidRPr="00C54A19">
              <w:rPr>
                <w:rFonts w:cstheme="minorHAnsi"/>
                <w:sz w:val="20"/>
                <w:szCs w:val="20"/>
              </w:rPr>
              <w:t>3</w:t>
            </w:r>
            <w:r w:rsidR="004175C9" w:rsidRPr="00C54A19">
              <w:rPr>
                <w:rFonts w:cstheme="minorHAnsi"/>
                <w:sz w:val="20"/>
                <w:szCs w:val="20"/>
              </w:rPr>
              <w:t>0 Jun</w:t>
            </w:r>
            <w:r w:rsidRPr="00C54A19">
              <w:rPr>
                <w:rFonts w:cstheme="minorHAnsi"/>
                <w:sz w:val="20"/>
                <w:szCs w:val="20"/>
              </w:rPr>
              <w:t xml:space="preserve"> 2016</w:t>
            </w:r>
            <w:r w:rsidR="00C368B4" w:rsidRPr="00C54A19">
              <w:rPr>
                <w:rFonts w:cstheme="minorHAnsi"/>
                <w:sz w:val="20"/>
                <w:szCs w:val="20"/>
                <w:vertAlign w:val="superscript"/>
              </w:rPr>
              <w:t>(a)</w:t>
            </w:r>
          </w:p>
        </w:tc>
      </w:tr>
      <w:tr w:rsidR="00286449" w:rsidRPr="00F149DA" w:rsidTr="00DC64C6">
        <w:trPr>
          <w:cantSplit/>
        </w:trPr>
        <w:tc>
          <w:tcPr>
            <w:tcW w:w="1418" w:type="dxa"/>
            <w:shd w:val="clear" w:color="auto" w:fill="FFFFFF" w:themeFill="background2"/>
            <w:vAlign w:val="center"/>
          </w:tcPr>
          <w:p w:rsidR="00286449" w:rsidRPr="00C54A19" w:rsidRDefault="00C962FC" w:rsidP="00781FAE">
            <w:pPr>
              <w:spacing w:before="120" w:after="120"/>
              <w:rPr>
                <w:rFonts w:cstheme="minorHAnsi"/>
                <w:color w:val="000000" w:themeColor="text1"/>
                <w:sz w:val="20"/>
                <w:szCs w:val="20"/>
              </w:rPr>
            </w:pPr>
            <w:r>
              <w:rPr>
                <w:rFonts w:cstheme="minorHAnsi"/>
                <w:sz w:val="20"/>
                <w:szCs w:val="20"/>
              </w:rPr>
              <w:t>Sustained exit</w:t>
            </w:r>
            <w:r w:rsidR="00286449" w:rsidRPr="00C54A19">
              <w:rPr>
                <w:rFonts w:cstheme="minorHAnsi"/>
                <w:sz w:val="20"/>
                <w:szCs w:val="20"/>
              </w:rPr>
              <w:t xml:space="preserve"> </w:t>
            </w:r>
            <w:r w:rsidR="00286449" w:rsidRPr="00C54A19">
              <w:rPr>
                <w:rFonts w:cstheme="minorHAnsi"/>
                <w:sz w:val="20"/>
                <w:szCs w:val="20"/>
              </w:rPr>
              <w:br/>
              <w:t>analysis 3</w:t>
            </w:r>
          </w:p>
        </w:tc>
        <w:tc>
          <w:tcPr>
            <w:tcW w:w="3544" w:type="dxa"/>
            <w:shd w:val="clear" w:color="auto" w:fill="FFFFFF" w:themeFill="background2"/>
            <w:vAlign w:val="center"/>
          </w:tcPr>
          <w:p w:rsidR="00286449" w:rsidRPr="00C54A19" w:rsidRDefault="00286449" w:rsidP="00AA0D08">
            <w:pPr>
              <w:spacing w:before="120" w:after="120"/>
              <w:rPr>
                <w:rFonts w:cstheme="minorHAnsi"/>
                <w:color w:val="000000" w:themeColor="text1"/>
                <w:sz w:val="20"/>
                <w:szCs w:val="20"/>
              </w:rPr>
            </w:pPr>
            <w:r w:rsidRPr="00C54A19">
              <w:rPr>
                <w:rFonts w:cstheme="minorHAnsi"/>
                <w:color w:val="000000" w:themeColor="text1"/>
                <w:sz w:val="20"/>
                <w:szCs w:val="20"/>
              </w:rPr>
              <w:t xml:space="preserve">Proportion that remained off income support for 104 weeks </w:t>
            </w:r>
            <w:r w:rsidR="00AA0D08" w:rsidRPr="00C54A19">
              <w:rPr>
                <w:rFonts w:cstheme="minorHAnsi"/>
                <w:color w:val="000000" w:themeColor="text1"/>
                <w:sz w:val="20"/>
                <w:szCs w:val="20"/>
              </w:rPr>
              <w:t xml:space="preserve">(2 years) </w:t>
            </w:r>
            <w:r w:rsidRPr="00C54A19">
              <w:rPr>
                <w:rFonts w:cstheme="minorHAnsi"/>
                <w:color w:val="000000" w:themeColor="text1"/>
                <w:sz w:val="20"/>
                <w:szCs w:val="20"/>
              </w:rPr>
              <w:t>after exiting income support</w:t>
            </w:r>
            <w:r w:rsidR="00237847" w:rsidRPr="00C54A19">
              <w:rPr>
                <w:rFonts w:cstheme="minorHAnsi"/>
                <w:color w:val="000000" w:themeColor="text1"/>
                <w:sz w:val="20"/>
                <w:szCs w:val="20"/>
              </w:rPr>
              <w:t xml:space="preserve">, of those who exited income support within </w:t>
            </w:r>
            <w:r w:rsidR="00AA0D08" w:rsidRPr="00C54A19">
              <w:rPr>
                <w:rFonts w:cstheme="minorHAnsi"/>
                <w:color w:val="000000" w:themeColor="text1"/>
                <w:sz w:val="20"/>
                <w:szCs w:val="20"/>
              </w:rPr>
              <w:t>91 days</w:t>
            </w:r>
            <w:r w:rsidR="00237847" w:rsidRPr="00C54A19">
              <w:rPr>
                <w:rFonts w:cstheme="minorHAnsi"/>
                <w:color w:val="000000" w:themeColor="text1"/>
                <w:sz w:val="20"/>
                <w:szCs w:val="20"/>
              </w:rPr>
              <w:t xml:space="preserve"> </w:t>
            </w:r>
            <w:r w:rsidR="00AA0D08" w:rsidRPr="00C54A19">
              <w:rPr>
                <w:rFonts w:cstheme="minorHAnsi"/>
                <w:color w:val="000000" w:themeColor="text1"/>
                <w:sz w:val="20"/>
                <w:szCs w:val="20"/>
              </w:rPr>
              <w:t xml:space="preserve">(3 months) </w:t>
            </w:r>
            <w:r w:rsidR="00237847" w:rsidRPr="00C54A19">
              <w:rPr>
                <w:rFonts w:cstheme="minorHAnsi"/>
                <w:color w:val="000000" w:themeColor="text1"/>
                <w:sz w:val="20"/>
                <w:szCs w:val="20"/>
              </w:rPr>
              <w:t>of becoming LTU</w:t>
            </w:r>
          </w:p>
        </w:tc>
        <w:tc>
          <w:tcPr>
            <w:tcW w:w="992" w:type="dxa"/>
            <w:shd w:val="clear" w:color="auto" w:fill="FFFFFF" w:themeFill="background2"/>
            <w:vAlign w:val="center"/>
          </w:tcPr>
          <w:p w:rsidR="00286449" w:rsidRPr="00C54A19" w:rsidRDefault="00286449" w:rsidP="005F1446">
            <w:pPr>
              <w:spacing w:before="120" w:after="120"/>
              <w:jc w:val="center"/>
              <w:rPr>
                <w:rFonts w:cstheme="minorHAnsi"/>
                <w:sz w:val="20"/>
                <w:szCs w:val="20"/>
              </w:rPr>
            </w:pPr>
            <w:r w:rsidRPr="00C54A19">
              <w:rPr>
                <w:rFonts w:cstheme="minorHAnsi"/>
                <w:sz w:val="20"/>
                <w:szCs w:val="20"/>
              </w:rPr>
              <w:t>3</w:t>
            </w:r>
          </w:p>
        </w:tc>
        <w:tc>
          <w:tcPr>
            <w:tcW w:w="2551" w:type="dxa"/>
            <w:shd w:val="clear" w:color="auto" w:fill="FFFFFF" w:themeFill="background2"/>
            <w:vAlign w:val="center"/>
          </w:tcPr>
          <w:p w:rsidR="00286449" w:rsidRPr="00C54A19" w:rsidRDefault="00286449" w:rsidP="0018245D">
            <w:pPr>
              <w:spacing w:before="120" w:after="120"/>
              <w:rPr>
                <w:rFonts w:cstheme="minorHAnsi"/>
                <w:sz w:val="20"/>
                <w:szCs w:val="20"/>
              </w:rPr>
            </w:pPr>
            <w:r w:rsidRPr="00C54A19">
              <w:rPr>
                <w:rFonts w:cstheme="minorHAnsi"/>
                <w:sz w:val="20"/>
                <w:szCs w:val="20"/>
              </w:rPr>
              <w:t>1 Jul 2012 to 30 Sep 2012</w:t>
            </w:r>
          </w:p>
        </w:tc>
        <w:tc>
          <w:tcPr>
            <w:tcW w:w="2410" w:type="dxa"/>
            <w:shd w:val="clear" w:color="auto" w:fill="FFFFFF" w:themeFill="background2"/>
            <w:vAlign w:val="center"/>
          </w:tcPr>
          <w:p w:rsidR="00286449" w:rsidRPr="00C54A19" w:rsidRDefault="00286449" w:rsidP="0018245D">
            <w:pPr>
              <w:spacing w:before="120" w:after="120"/>
              <w:rPr>
                <w:rFonts w:cstheme="minorHAnsi"/>
                <w:sz w:val="20"/>
                <w:szCs w:val="20"/>
              </w:rPr>
            </w:pPr>
            <w:r w:rsidRPr="00C54A19">
              <w:rPr>
                <w:rFonts w:cstheme="minorHAnsi"/>
                <w:sz w:val="20"/>
                <w:szCs w:val="20"/>
              </w:rPr>
              <w:t>1 Jul 2013 to 30 Sep 2013</w:t>
            </w:r>
          </w:p>
        </w:tc>
        <w:tc>
          <w:tcPr>
            <w:tcW w:w="1418" w:type="dxa"/>
            <w:shd w:val="clear" w:color="auto" w:fill="FFFFFF" w:themeFill="background2"/>
            <w:vAlign w:val="center"/>
          </w:tcPr>
          <w:p w:rsidR="00286449" w:rsidRPr="00C54A19" w:rsidRDefault="00286449" w:rsidP="0009024A">
            <w:pPr>
              <w:spacing w:before="120" w:after="120"/>
              <w:rPr>
                <w:rFonts w:cstheme="minorHAnsi"/>
                <w:sz w:val="20"/>
                <w:szCs w:val="20"/>
              </w:rPr>
            </w:pPr>
            <w:r w:rsidRPr="00C54A19">
              <w:rPr>
                <w:rFonts w:cstheme="minorHAnsi"/>
                <w:sz w:val="20"/>
                <w:szCs w:val="20"/>
              </w:rPr>
              <w:t>Before JCB</w:t>
            </w:r>
          </w:p>
        </w:tc>
        <w:tc>
          <w:tcPr>
            <w:tcW w:w="1701" w:type="dxa"/>
            <w:shd w:val="clear" w:color="auto" w:fill="FFFFFF" w:themeFill="background2"/>
            <w:vAlign w:val="center"/>
          </w:tcPr>
          <w:p w:rsidR="00286449" w:rsidRPr="00C54A19" w:rsidRDefault="00C368B4" w:rsidP="0018245D">
            <w:pPr>
              <w:spacing w:before="120" w:after="120"/>
              <w:rPr>
                <w:rFonts w:cstheme="minorHAnsi"/>
                <w:sz w:val="20"/>
                <w:szCs w:val="20"/>
              </w:rPr>
            </w:pPr>
            <w:r w:rsidRPr="00C54A19">
              <w:rPr>
                <w:rFonts w:cstheme="minorHAnsi"/>
                <w:sz w:val="20"/>
                <w:szCs w:val="20"/>
              </w:rPr>
              <w:t>31 Dec 2015</w:t>
            </w:r>
            <w:r w:rsidR="00F26F6F" w:rsidRPr="00C54A19">
              <w:rPr>
                <w:rFonts w:cstheme="minorHAnsi"/>
                <w:sz w:val="20"/>
                <w:szCs w:val="20"/>
                <w:vertAlign w:val="superscript"/>
              </w:rPr>
              <w:t>(a)</w:t>
            </w:r>
          </w:p>
        </w:tc>
      </w:tr>
      <w:tr w:rsidR="00286449" w:rsidRPr="00F149DA" w:rsidTr="00DC64C6">
        <w:trPr>
          <w:cantSplit/>
        </w:trPr>
        <w:tc>
          <w:tcPr>
            <w:tcW w:w="1418" w:type="dxa"/>
            <w:tcBorders>
              <w:bottom w:val="single" w:sz="4" w:space="0" w:color="auto"/>
            </w:tcBorders>
            <w:shd w:val="clear" w:color="auto" w:fill="E5E5E5" w:themeFill="background1" w:themeFillTint="33"/>
            <w:vAlign w:val="center"/>
          </w:tcPr>
          <w:p w:rsidR="00286449" w:rsidRPr="00C54A19" w:rsidRDefault="00C962FC" w:rsidP="0009024A">
            <w:pPr>
              <w:spacing w:before="120" w:after="120"/>
              <w:rPr>
                <w:rFonts w:cstheme="minorHAnsi"/>
                <w:color w:val="000000" w:themeColor="text1"/>
                <w:sz w:val="20"/>
                <w:szCs w:val="20"/>
              </w:rPr>
            </w:pPr>
            <w:r>
              <w:rPr>
                <w:rFonts w:cstheme="minorHAnsi"/>
                <w:sz w:val="20"/>
                <w:szCs w:val="20"/>
              </w:rPr>
              <w:t>Sustained exit</w:t>
            </w:r>
            <w:r w:rsidR="00286449" w:rsidRPr="00C54A19">
              <w:rPr>
                <w:rFonts w:cstheme="minorHAnsi"/>
                <w:sz w:val="20"/>
                <w:szCs w:val="20"/>
              </w:rPr>
              <w:t xml:space="preserve"> </w:t>
            </w:r>
            <w:r w:rsidR="00286449" w:rsidRPr="00C54A19">
              <w:rPr>
                <w:rFonts w:cstheme="minorHAnsi"/>
                <w:sz w:val="20"/>
                <w:szCs w:val="20"/>
              </w:rPr>
              <w:br/>
              <w:t>analysis 3</w:t>
            </w:r>
          </w:p>
        </w:tc>
        <w:tc>
          <w:tcPr>
            <w:tcW w:w="3544" w:type="dxa"/>
            <w:tcBorders>
              <w:bottom w:val="single" w:sz="4" w:space="0" w:color="auto"/>
            </w:tcBorders>
            <w:shd w:val="clear" w:color="auto" w:fill="E5E5E5" w:themeFill="background1" w:themeFillTint="33"/>
            <w:vAlign w:val="center"/>
          </w:tcPr>
          <w:p w:rsidR="00286449" w:rsidRPr="00C54A19" w:rsidRDefault="00286449" w:rsidP="00AA0D08">
            <w:pPr>
              <w:spacing w:before="120" w:after="120"/>
              <w:rPr>
                <w:rFonts w:cstheme="minorHAnsi"/>
                <w:color w:val="000000" w:themeColor="text1"/>
                <w:sz w:val="20"/>
                <w:szCs w:val="20"/>
              </w:rPr>
            </w:pPr>
            <w:r w:rsidRPr="00C54A19">
              <w:rPr>
                <w:rFonts w:cstheme="minorHAnsi"/>
                <w:color w:val="000000" w:themeColor="text1"/>
                <w:sz w:val="20"/>
                <w:szCs w:val="20"/>
              </w:rPr>
              <w:t>Proportion that remained off income support for 104 weeks</w:t>
            </w:r>
            <w:r w:rsidR="00AA0D08" w:rsidRPr="00C54A19">
              <w:rPr>
                <w:rFonts w:cstheme="minorHAnsi"/>
                <w:color w:val="000000" w:themeColor="text1"/>
                <w:sz w:val="20"/>
                <w:szCs w:val="20"/>
              </w:rPr>
              <w:t xml:space="preserve"> (2 years) </w:t>
            </w:r>
            <w:r w:rsidRPr="00C54A19">
              <w:rPr>
                <w:rFonts w:cstheme="minorHAnsi"/>
                <w:color w:val="000000" w:themeColor="text1"/>
                <w:sz w:val="20"/>
                <w:szCs w:val="20"/>
              </w:rPr>
              <w:t>after exiting income support</w:t>
            </w:r>
            <w:r w:rsidR="00237847" w:rsidRPr="00C54A19">
              <w:rPr>
                <w:rFonts w:cstheme="minorHAnsi"/>
                <w:color w:val="000000" w:themeColor="text1"/>
                <w:sz w:val="20"/>
                <w:szCs w:val="20"/>
              </w:rPr>
              <w:t xml:space="preserve">, of those who exited income support within </w:t>
            </w:r>
            <w:r w:rsidR="00AA0D08" w:rsidRPr="00C54A19">
              <w:rPr>
                <w:rFonts w:cstheme="minorHAnsi"/>
                <w:color w:val="000000" w:themeColor="text1"/>
                <w:sz w:val="20"/>
                <w:szCs w:val="20"/>
              </w:rPr>
              <w:t>91 days (3 months)</w:t>
            </w:r>
            <w:r w:rsidR="00237847" w:rsidRPr="00C54A19">
              <w:rPr>
                <w:rFonts w:cstheme="minorHAnsi"/>
                <w:color w:val="000000" w:themeColor="text1"/>
                <w:sz w:val="20"/>
                <w:szCs w:val="20"/>
              </w:rPr>
              <w:t xml:space="preserve"> of becoming LTU</w:t>
            </w:r>
          </w:p>
        </w:tc>
        <w:tc>
          <w:tcPr>
            <w:tcW w:w="992" w:type="dxa"/>
            <w:tcBorders>
              <w:bottom w:val="single" w:sz="4" w:space="0" w:color="auto"/>
            </w:tcBorders>
            <w:shd w:val="clear" w:color="auto" w:fill="E5E5E5" w:themeFill="background1" w:themeFillTint="33"/>
            <w:vAlign w:val="center"/>
          </w:tcPr>
          <w:p w:rsidR="00286449" w:rsidRPr="00C54A19" w:rsidRDefault="00286449" w:rsidP="0009024A">
            <w:pPr>
              <w:spacing w:before="120" w:after="120"/>
              <w:jc w:val="center"/>
              <w:rPr>
                <w:rFonts w:cstheme="minorHAnsi"/>
                <w:sz w:val="20"/>
                <w:szCs w:val="20"/>
              </w:rPr>
            </w:pPr>
            <w:r w:rsidRPr="00C54A19">
              <w:rPr>
                <w:rFonts w:cstheme="minorHAnsi"/>
                <w:sz w:val="20"/>
                <w:szCs w:val="20"/>
              </w:rPr>
              <w:t>3</w:t>
            </w:r>
          </w:p>
        </w:tc>
        <w:tc>
          <w:tcPr>
            <w:tcW w:w="2551" w:type="dxa"/>
            <w:tcBorders>
              <w:bottom w:val="single" w:sz="4" w:space="0" w:color="auto"/>
            </w:tcBorders>
            <w:shd w:val="clear" w:color="auto" w:fill="E5E5E5" w:themeFill="background1" w:themeFillTint="33"/>
            <w:vAlign w:val="center"/>
          </w:tcPr>
          <w:p w:rsidR="00286449" w:rsidRPr="00C54A19" w:rsidRDefault="00286449" w:rsidP="0009024A">
            <w:pPr>
              <w:spacing w:before="120" w:after="120"/>
              <w:rPr>
                <w:rFonts w:cstheme="minorHAnsi"/>
                <w:sz w:val="20"/>
                <w:szCs w:val="20"/>
              </w:rPr>
            </w:pPr>
            <w:r w:rsidRPr="00C54A19">
              <w:rPr>
                <w:rFonts w:cstheme="minorHAnsi"/>
                <w:sz w:val="20"/>
                <w:szCs w:val="20"/>
              </w:rPr>
              <w:t>1 Jul 2013 to 30 Sep 2013</w:t>
            </w:r>
          </w:p>
        </w:tc>
        <w:tc>
          <w:tcPr>
            <w:tcW w:w="2410" w:type="dxa"/>
            <w:tcBorders>
              <w:bottom w:val="single" w:sz="4" w:space="0" w:color="auto"/>
            </w:tcBorders>
            <w:shd w:val="clear" w:color="auto" w:fill="E5E5E5" w:themeFill="background1" w:themeFillTint="33"/>
            <w:vAlign w:val="center"/>
          </w:tcPr>
          <w:p w:rsidR="00286449" w:rsidRPr="00C54A19" w:rsidRDefault="00286449" w:rsidP="0009024A">
            <w:pPr>
              <w:spacing w:before="120" w:after="120"/>
              <w:rPr>
                <w:rFonts w:cstheme="minorHAnsi"/>
                <w:sz w:val="20"/>
                <w:szCs w:val="20"/>
              </w:rPr>
            </w:pPr>
            <w:r w:rsidRPr="00C54A19">
              <w:rPr>
                <w:rFonts w:cstheme="minorHAnsi"/>
                <w:sz w:val="20"/>
                <w:szCs w:val="20"/>
              </w:rPr>
              <w:t>1 Jul 2014 to 30 Sep 2014</w:t>
            </w:r>
          </w:p>
        </w:tc>
        <w:tc>
          <w:tcPr>
            <w:tcW w:w="1418" w:type="dxa"/>
            <w:tcBorders>
              <w:bottom w:val="single" w:sz="4" w:space="0" w:color="auto"/>
            </w:tcBorders>
            <w:shd w:val="clear" w:color="auto" w:fill="E5E5E5" w:themeFill="background1" w:themeFillTint="33"/>
            <w:vAlign w:val="center"/>
          </w:tcPr>
          <w:p w:rsidR="00286449" w:rsidRPr="00C54A19" w:rsidRDefault="00286449" w:rsidP="0009024A">
            <w:pPr>
              <w:spacing w:before="120" w:after="120"/>
              <w:rPr>
                <w:rFonts w:cstheme="minorHAnsi"/>
                <w:sz w:val="20"/>
                <w:szCs w:val="20"/>
              </w:rPr>
            </w:pPr>
            <w:r w:rsidRPr="00C54A19">
              <w:rPr>
                <w:rFonts w:cstheme="minorHAnsi"/>
                <w:sz w:val="20"/>
                <w:szCs w:val="20"/>
              </w:rPr>
              <w:t>During JCB</w:t>
            </w:r>
          </w:p>
        </w:tc>
        <w:tc>
          <w:tcPr>
            <w:tcW w:w="1701" w:type="dxa"/>
            <w:tcBorders>
              <w:bottom w:val="single" w:sz="4" w:space="0" w:color="auto"/>
            </w:tcBorders>
            <w:shd w:val="clear" w:color="auto" w:fill="E5E5E5" w:themeFill="background1" w:themeFillTint="33"/>
            <w:vAlign w:val="center"/>
          </w:tcPr>
          <w:p w:rsidR="00286449" w:rsidRPr="00C54A19" w:rsidRDefault="00C368B4" w:rsidP="0009024A">
            <w:pPr>
              <w:spacing w:before="120" w:after="120"/>
              <w:rPr>
                <w:rFonts w:cstheme="minorHAnsi"/>
                <w:sz w:val="20"/>
                <w:szCs w:val="20"/>
              </w:rPr>
            </w:pPr>
            <w:r w:rsidRPr="00C54A19">
              <w:rPr>
                <w:rFonts w:cstheme="minorHAnsi"/>
                <w:sz w:val="20"/>
                <w:szCs w:val="20"/>
              </w:rPr>
              <w:t>31 Dec 2016</w:t>
            </w:r>
            <w:r w:rsidRPr="00C54A19">
              <w:rPr>
                <w:rFonts w:cstheme="minorHAnsi"/>
                <w:sz w:val="20"/>
                <w:szCs w:val="20"/>
                <w:vertAlign w:val="superscript"/>
              </w:rPr>
              <w:t>(a)</w:t>
            </w:r>
          </w:p>
        </w:tc>
      </w:tr>
    </w:tbl>
    <w:p w:rsidR="005F1446" w:rsidRDefault="005F1446" w:rsidP="005F1446">
      <w:pPr>
        <w:pStyle w:val="Sourceandnotetextsubnote"/>
      </w:pPr>
      <w:r w:rsidRPr="005F1446">
        <w:rPr>
          <w:b/>
        </w:rPr>
        <w:t>Note:</w:t>
      </w:r>
      <w:r>
        <w:t xml:space="preserve"> (a) While end date is beyond commencement of jobactive, all those who exited would have left service during JSA operation.</w:t>
      </w:r>
    </w:p>
    <w:p w:rsidR="00965FBD" w:rsidRPr="00E11C38" w:rsidRDefault="00965FBD" w:rsidP="00E11C38"/>
    <w:p w:rsidR="00965FBD" w:rsidRDefault="00965FBD" w:rsidP="00965FBD">
      <w:pPr>
        <w:sectPr w:rsidR="00965FBD" w:rsidSect="00E25F29">
          <w:pgSz w:w="16838" w:h="11906" w:orient="landscape" w:code="9"/>
          <w:pgMar w:top="1440" w:right="1529" w:bottom="1440" w:left="1440" w:header="709" w:footer="709" w:gutter="0"/>
          <w:cols w:space="708"/>
          <w:docGrid w:linePitch="360"/>
        </w:sectPr>
      </w:pPr>
    </w:p>
    <w:p w:rsidR="00DD10D0" w:rsidRDefault="00633224" w:rsidP="00633224">
      <w:pPr>
        <w:pStyle w:val="Heading1"/>
      </w:pPr>
      <w:bookmarkStart w:id="250" w:name="_Toc507600271"/>
      <w:r w:rsidRPr="003A4B00">
        <w:lastRenderedPageBreak/>
        <w:t xml:space="preserve">Attachment </w:t>
      </w:r>
      <w:r w:rsidR="00603A49">
        <w:t>F</w:t>
      </w:r>
      <w:r w:rsidRPr="003A4B00">
        <w:t xml:space="preserve">: </w:t>
      </w:r>
      <w:r>
        <w:t>Statistical tables</w:t>
      </w:r>
      <w:bookmarkEnd w:id="250"/>
    </w:p>
    <w:p w:rsidR="00712ADB" w:rsidRPr="00D83A7E" w:rsidRDefault="00603A49" w:rsidP="00712ADB">
      <w:pPr>
        <w:pStyle w:val="TableCaption"/>
      </w:pPr>
      <w:bookmarkStart w:id="251" w:name="_Toc482803694"/>
      <w:bookmarkStart w:id="252" w:name="_Toc507600317"/>
      <w:bookmarkStart w:id="253" w:name="_Toc466560894"/>
      <w:r>
        <w:t>Table F</w:t>
      </w:r>
      <w:r w:rsidR="00965FBD">
        <w:t>.</w:t>
      </w:r>
      <w:r w:rsidR="00712ADB" w:rsidRPr="00D83A7E">
        <w:t>1: Number of letters with cancellation paragraph sent by month, July 2014 to June 2015</w:t>
      </w:r>
      <w:bookmarkEnd w:id="251"/>
      <w:bookmarkEnd w:id="252"/>
      <w:r w:rsidR="00712ADB" w:rsidRPr="00D83A7E">
        <w:t xml:space="preserve"> </w:t>
      </w:r>
      <w:bookmarkEnd w:id="253"/>
    </w:p>
    <w:tbl>
      <w:tblPr>
        <w:tblW w:w="7386" w:type="dxa"/>
        <w:tblInd w:w="93" w:type="dxa"/>
        <w:tblLook w:val="04A0" w:firstRow="1" w:lastRow="0" w:firstColumn="1" w:lastColumn="0" w:noHBand="0" w:noVBand="1"/>
      </w:tblPr>
      <w:tblGrid>
        <w:gridCol w:w="3701"/>
        <w:gridCol w:w="3685"/>
      </w:tblGrid>
      <w:tr w:rsidR="00712ADB" w:rsidRPr="003A4B00" w:rsidTr="009A6E1B">
        <w:trPr>
          <w:trHeight w:val="397"/>
          <w:tblHeader/>
        </w:trPr>
        <w:tc>
          <w:tcPr>
            <w:tcW w:w="3701" w:type="dxa"/>
            <w:shd w:val="clear" w:color="auto" w:fill="1E3D6B"/>
            <w:vAlign w:val="center"/>
            <w:hideMark/>
          </w:tcPr>
          <w:p w:rsidR="00712ADB" w:rsidRPr="00C54A19" w:rsidRDefault="00712ADB" w:rsidP="009A6E1B">
            <w:pPr>
              <w:spacing w:after="0" w:line="240" w:lineRule="auto"/>
              <w:rPr>
                <w:rFonts w:eastAsia="Times New Roman" w:cstheme="minorHAnsi"/>
                <w:b/>
                <w:bCs/>
                <w:color w:val="FFFFFF"/>
                <w:sz w:val="20"/>
                <w:szCs w:val="20"/>
                <w:lang w:eastAsia="en-AU"/>
              </w:rPr>
            </w:pPr>
            <w:bookmarkStart w:id="254" w:name="Title_F1"/>
            <w:bookmarkEnd w:id="254"/>
            <w:r w:rsidRPr="00C54A19">
              <w:rPr>
                <w:rFonts w:eastAsia="Times New Roman" w:cstheme="minorHAnsi"/>
                <w:b/>
                <w:bCs/>
                <w:color w:val="FFFFFF"/>
                <w:sz w:val="20"/>
                <w:szCs w:val="20"/>
                <w:lang w:eastAsia="en-AU"/>
              </w:rPr>
              <w:t>Month</w:t>
            </w:r>
          </w:p>
        </w:tc>
        <w:tc>
          <w:tcPr>
            <w:tcW w:w="3685" w:type="dxa"/>
            <w:shd w:val="clear" w:color="auto" w:fill="1E3D6B"/>
            <w:vAlign w:val="center"/>
            <w:hideMark/>
          </w:tcPr>
          <w:p w:rsidR="00712ADB" w:rsidRPr="00C54A19" w:rsidRDefault="00712ADB" w:rsidP="00F40D8F">
            <w:pPr>
              <w:spacing w:after="0" w:line="240" w:lineRule="auto"/>
              <w:rPr>
                <w:rFonts w:eastAsia="Times New Roman" w:cstheme="minorHAnsi"/>
                <w:b/>
                <w:bCs/>
                <w:color w:val="FFFFFF"/>
                <w:sz w:val="20"/>
                <w:szCs w:val="20"/>
                <w:lang w:eastAsia="en-AU"/>
              </w:rPr>
            </w:pPr>
            <w:r w:rsidRPr="00C54A19">
              <w:rPr>
                <w:rFonts w:eastAsia="Times New Roman" w:cstheme="minorHAnsi"/>
                <w:b/>
                <w:bCs/>
                <w:color w:val="FFFFFF"/>
                <w:sz w:val="20"/>
                <w:szCs w:val="20"/>
                <w:lang w:eastAsia="en-AU"/>
              </w:rPr>
              <w:t xml:space="preserve">Number of </w:t>
            </w:r>
            <w:r w:rsidR="00F40D8F" w:rsidRPr="00C54A19">
              <w:rPr>
                <w:rFonts w:eastAsia="Times New Roman" w:cstheme="minorHAnsi"/>
                <w:b/>
                <w:bCs/>
                <w:color w:val="FFFFFF"/>
                <w:sz w:val="20"/>
                <w:szCs w:val="20"/>
                <w:lang w:eastAsia="en-AU"/>
              </w:rPr>
              <w:t>people</w:t>
            </w:r>
            <w:r w:rsidRPr="00C54A19">
              <w:rPr>
                <w:rFonts w:eastAsia="Times New Roman" w:cstheme="minorHAnsi"/>
                <w:b/>
                <w:bCs/>
                <w:color w:val="FFFFFF"/>
                <w:sz w:val="20"/>
                <w:szCs w:val="20"/>
                <w:lang w:eastAsia="en-AU"/>
              </w:rPr>
              <w:t xml:space="preserve"> sent a letter</w:t>
            </w:r>
          </w:p>
        </w:tc>
      </w:tr>
      <w:tr w:rsidR="00712ADB" w:rsidRPr="003A4B00" w:rsidTr="009A6E1B">
        <w:trPr>
          <w:trHeight w:val="340"/>
        </w:trPr>
        <w:tc>
          <w:tcPr>
            <w:tcW w:w="3701" w:type="dxa"/>
            <w:shd w:val="clear" w:color="auto" w:fill="auto"/>
            <w:noWrap/>
            <w:vAlign w:val="center"/>
            <w:hideMark/>
          </w:tcPr>
          <w:p w:rsidR="00712ADB" w:rsidRPr="00C54A19" w:rsidRDefault="00712ADB" w:rsidP="009A6E1B">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July 2014</w:t>
            </w:r>
          </w:p>
        </w:tc>
        <w:tc>
          <w:tcPr>
            <w:tcW w:w="3685" w:type="dxa"/>
            <w:shd w:val="clear" w:color="auto" w:fill="auto"/>
            <w:noWrap/>
            <w:vAlign w:val="center"/>
            <w:hideMark/>
          </w:tcPr>
          <w:p w:rsidR="00712ADB" w:rsidRPr="00C54A19" w:rsidRDefault="00712ADB" w:rsidP="009A6E1B">
            <w:pPr>
              <w:spacing w:after="0" w:line="240" w:lineRule="auto"/>
              <w:ind w:right="1185"/>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 xml:space="preserve">1,278 </w:t>
            </w:r>
          </w:p>
        </w:tc>
      </w:tr>
      <w:tr w:rsidR="00712ADB" w:rsidRPr="003A4B00" w:rsidTr="009A6E1B">
        <w:trPr>
          <w:trHeight w:val="340"/>
        </w:trPr>
        <w:tc>
          <w:tcPr>
            <w:tcW w:w="3701" w:type="dxa"/>
            <w:tcBorders>
              <w:top w:val="nil"/>
            </w:tcBorders>
            <w:shd w:val="clear" w:color="auto" w:fill="E5E5E5" w:themeFill="background1" w:themeFillTint="33"/>
            <w:noWrap/>
            <w:vAlign w:val="center"/>
            <w:hideMark/>
          </w:tcPr>
          <w:p w:rsidR="00712ADB" w:rsidRPr="00C54A19" w:rsidRDefault="00712ADB" w:rsidP="009A6E1B">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August 2014</w:t>
            </w:r>
          </w:p>
        </w:tc>
        <w:tc>
          <w:tcPr>
            <w:tcW w:w="3685" w:type="dxa"/>
            <w:tcBorders>
              <w:top w:val="nil"/>
            </w:tcBorders>
            <w:shd w:val="clear" w:color="auto" w:fill="E5E5E5" w:themeFill="background1" w:themeFillTint="33"/>
            <w:noWrap/>
            <w:vAlign w:val="center"/>
            <w:hideMark/>
          </w:tcPr>
          <w:p w:rsidR="00712ADB" w:rsidRPr="00C54A19" w:rsidRDefault="00712ADB" w:rsidP="009A6E1B">
            <w:pPr>
              <w:spacing w:after="0" w:line="240" w:lineRule="auto"/>
              <w:ind w:right="1185"/>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 xml:space="preserve">4,544 </w:t>
            </w:r>
          </w:p>
        </w:tc>
      </w:tr>
      <w:tr w:rsidR="00712ADB" w:rsidRPr="003A4B00" w:rsidTr="009A6E1B">
        <w:trPr>
          <w:trHeight w:val="340"/>
        </w:trPr>
        <w:tc>
          <w:tcPr>
            <w:tcW w:w="3701" w:type="dxa"/>
            <w:tcBorders>
              <w:top w:val="nil"/>
            </w:tcBorders>
            <w:shd w:val="clear" w:color="auto" w:fill="auto"/>
            <w:noWrap/>
            <w:vAlign w:val="center"/>
            <w:hideMark/>
          </w:tcPr>
          <w:p w:rsidR="00712ADB" w:rsidRPr="00C54A19" w:rsidRDefault="00712ADB" w:rsidP="009A6E1B">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September 2014</w:t>
            </w:r>
          </w:p>
        </w:tc>
        <w:tc>
          <w:tcPr>
            <w:tcW w:w="3685" w:type="dxa"/>
            <w:tcBorders>
              <w:top w:val="nil"/>
            </w:tcBorders>
            <w:shd w:val="clear" w:color="auto" w:fill="auto"/>
            <w:noWrap/>
            <w:vAlign w:val="center"/>
            <w:hideMark/>
          </w:tcPr>
          <w:p w:rsidR="00712ADB" w:rsidRPr="00C54A19" w:rsidRDefault="00712ADB" w:rsidP="009A6E1B">
            <w:pPr>
              <w:spacing w:after="0" w:line="240" w:lineRule="auto"/>
              <w:ind w:right="1185"/>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 xml:space="preserve">4,998 </w:t>
            </w:r>
          </w:p>
        </w:tc>
      </w:tr>
      <w:tr w:rsidR="00712ADB" w:rsidRPr="003A4B00" w:rsidTr="009A6E1B">
        <w:trPr>
          <w:trHeight w:val="340"/>
        </w:trPr>
        <w:tc>
          <w:tcPr>
            <w:tcW w:w="3701" w:type="dxa"/>
            <w:tcBorders>
              <w:top w:val="nil"/>
            </w:tcBorders>
            <w:shd w:val="clear" w:color="auto" w:fill="E5E5E5" w:themeFill="background1" w:themeFillTint="33"/>
            <w:noWrap/>
            <w:vAlign w:val="center"/>
            <w:hideMark/>
          </w:tcPr>
          <w:p w:rsidR="00712ADB" w:rsidRPr="00C54A19" w:rsidRDefault="00712ADB" w:rsidP="009A6E1B">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October 2014</w:t>
            </w:r>
          </w:p>
        </w:tc>
        <w:tc>
          <w:tcPr>
            <w:tcW w:w="3685" w:type="dxa"/>
            <w:tcBorders>
              <w:top w:val="nil"/>
            </w:tcBorders>
            <w:shd w:val="clear" w:color="auto" w:fill="E5E5E5" w:themeFill="background1" w:themeFillTint="33"/>
            <w:noWrap/>
            <w:vAlign w:val="center"/>
            <w:hideMark/>
          </w:tcPr>
          <w:p w:rsidR="00712ADB" w:rsidRPr="00C54A19" w:rsidRDefault="00712ADB" w:rsidP="009A6E1B">
            <w:pPr>
              <w:spacing w:after="0" w:line="240" w:lineRule="auto"/>
              <w:ind w:right="1185"/>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 xml:space="preserve">5,479 </w:t>
            </w:r>
          </w:p>
        </w:tc>
      </w:tr>
      <w:tr w:rsidR="00712ADB" w:rsidRPr="003A4B00" w:rsidTr="009A6E1B">
        <w:trPr>
          <w:trHeight w:val="340"/>
        </w:trPr>
        <w:tc>
          <w:tcPr>
            <w:tcW w:w="3701" w:type="dxa"/>
            <w:tcBorders>
              <w:top w:val="nil"/>
            </w:tcBorders>
            <w:shd w:val="clear" w:color="auto" w:fill="auto"/>
            <w:noWrap/>
            <w:vAlign w:val="center"/>
            <w:hideMark/>
          </w:tcPr>
          <w:p w:rsidR="00712ADB" w:rsidRPr="00C54A19" w:rsidRDefault="00712ADB" w:rsidP="009A6E1B">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November 2014</w:t>
            </w:r>
          </w:p>
        </w:tc>
        <w:tc>
          <w:tcPr>
            <w:tcW w:w="3685" w:type="dxa"/>
            <w:tcBorders>
              <w:top w:val="nil"/>
            </w:tcBorders>
            <w:shd w:val="clear" w:color="auto" w:fill="auto"/>
            <w:noWrap/>
            <w:vAlign w:val="center"/>
            <w:hideMark/>
          </w:tcPr>
          <w:p w:rsidR="00712ADB" w:rsidRPr="00C54A19" w:rsidRDefault="00712ADB" w:rsidP="009A6E1B">
            <w:pPr>
              <w:spacing w:after="0" w:line="240" w:lineRule="auto"/>
              <w:ind w:right="1185"/>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 xml:space="preserve">4,936 </w:t>
            </w:r>
          </w:p>
        </w:tc>
      </w:tr>
      <w:tr w:rsidR="00712ADB" w:rsidRPr="003A4B00" w:rsidTr="009A6E1B">
        <w:trPr>
          <w:trHeight w:val="340"/>
        </w:trPr>
        <w:tc>
          <w:tcPr>
            <w:tcW w:w="3701" w:type="dxa"/>
            <w:tcBorders>
              <w:top w:val="nil"/>
            </w:tcBorders>
            <w:shd w:val="clear" w:color="auto" w:fill="E5E5E5" w:themeFill="background1" w:themeFillTint="33"/>
            <w:noWrap/>
            <w:vAlign w:val="center"/>
            <w:hideMark/>
          </w:tcPr>
          <w:p w:rsidR="00712ADB" w:rsidRPr="00C54A19" w:rsidRDefault="00712ADB" w:rsidP="009A6E1B">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December 2014</w:t>
            </w:r>
          </w:p>
        </w:tc>
        <w:tc>
          <w:tcPr>
            <w:tcW w:w="3685" w:type="dxa"/>
            <w:tcBorders>
              <w:top w:val="nil"/>
            </w:tcBorders>
            <w:shd w:val="clear" w:color="auto" w:fill="E5E5E5" w:themeFill="background1" w:themeFillTint="33"/>
            <w:noWrap/>
            <w:vAlign w:val="center"/>
            <w:hideMark/>
          </w:tcPr>
          <w:p w:rsidR="00712ADB" w:rsidRPr="00C54A19" w:rsidRDefault="00712ADB" w:rsidP="009A6E1B">
            <w:pPr>
              <w:spacing w:after="0" w:line="240" w:lineRule="auto"/>
              <w:ind w:right="1185"/>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 xml:space="preserve">5,532 </w:t>
            </w:r>
          </w:p>
        </w:tc>
      </w:tr>
      <w:tr w:rsidR="00712ADB" w:rsidRPr="003A4B00" w:rsidTr="009A6E1B">
        <w:trPr>
          <w:trHeight w:val="340"/>
        </w:trPr>
        <w:tc>
          <w:tcPr>
            <w:tcW w:w="3701" w:type="dxa"/>
            <w:tcBorders>
              <w:top w:val="nil"/>
            </w:tcBorders>
            <w:shd w:val="clear" w:color="auto" w:fill="auto"/>
            <w:noWrap/>
            <w:vAlign w:val="center"/>
            <w:hideMark/>
          </w:tcPr>
          <w:p w:rsidR="00712ADB" w:rsidRPr="00C54A19" w:rsidRDefault="00712ADB" w:rsidP="009A6E1B">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January 2015</w:t>
            </w:r>
          </w:p>
        </w:tc>
        <w:tc>
          <w:tcPr>
            <w:tcW w:w="3685" w:type="dxa"/>
            <w:tcBorders>
              <w:top w:val="nil"/>
            </w:tcBorders>
            <w:shd w:val="clear" w:color="auto" w:fill="auto"/>
            <w:noWrap/>
            <w:vAlign w:val="center"/>
            <w:hideMark/>
          </w:tcPr>
          <w:p w:rsidR="00712ADB" w:rsidRPr="00C54A19" w:rsidRDefault="00712ADB" w:rsidP="009A6E1B">
            <w:pPr>
              <w:spacing w:after="0" w:line="240" w:lineRule="auto"/>
              <w:ind w:right="1185"/>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 xml:space="preserve">3,971 </w:t>
            </w:r>
          </w:p>
        </w:tc>
      </w:tr>
      <w:tr w:rsidR="00712ADB" w:rsidRPr="003A4B00" w:rsidTr="009A6E1B">
        <w:trPr>
          <w:trHeight w:val="340"/>
        </w:trPr>
        <w:tc>
          <w:tcPr>
            <w:tcW w:w="3701" w:type="dxa"/>
            <w:tcBorders>
              <w:top w:val="nil"/>
            </w:tcBorders>
            <w:shd w:val="clear" w:color="auto" w:fill="E5E5E5" w:themeFill="background1" w:themeFillTint="33"/>
            <w:noWrap/>
            <w:vAlign w:val="center"/>
            <w:hideMark/>
          </w:tcPr>
          <w:p w:rsidR="00712ADB" w:rsidRPr="00C54A19" w:rsidRDefault="00712ADB" w:rsidP="009A6E1B">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February 2015</w:t>
            </w:r>
          </w:p>
        </w:tc>
        <w:tc>
          <w:tcPr>
            <w:tcW w:w="3685" w:type="dxa"/>
            <w:tcBorders>
              <w:top w:val="nil"/>
            </w:tcBorders>
            <w:shd w:val="clear" w:color="auto" w:fill="E5E5E5" w:themeFill="background1" w:themeFillTint="33"/>
            <w:noWrap/>
            <w:vAlign w:val="center"/>
            <w:hideMark/>
          </w:tcPr>
          <w:p w:rsidR="00712ADB" w:rsidRPr="00C54A19" w:rsidRDefault="00712ADB" w:rsidP="009A6E1B">
            <w:pPr>
              <w:spacing w:after="0" w:line="240" w:lineRule="auto"/>
              <w:ind w:right="1185"/>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 xml:space="preserve">5,195 </w:t>
            </w:r>
          </w:p>
        </w:tc>
      </w:tr>
      <w:tr w:rsidR="00712ADB" w:rsidRPr="003A4B00" w:rsidTr="009A6E1B">
        <w:trPr>
          <w:trHeight w:val="340"/>
        </w:trPr>
        <w:tc>
          <w:tcPr>
            <w:tcW w:w="3701" w:type="dxa"/>
            <w:tcBorders>
              <w:top w:val="nil"/>
            </w:tcBorders>
            <w:shd w:val="clear" w:color="auto" w:fill="auto"/>
            <w:noWrap/>
            <w:vAlign w:val="center"/>
            <w:hideMark/>
          </w:tcPr>
          <w:p w:rsidR="00712ADB" w:rsidRPr="00C54A19" w:rsidRDefault="00712ADB" w:rsidP="009A6E1B">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March 2015</w:t>
            </w:r>
          </w:p>
        </w:tc>
        <w:tc>
          <w:tcPr>
            <w:tcW w:w="3685" w:type="dxa"/>
            <w:tcBorders>
              <w:top w:val="nil"/>
            </w:tcBorders>
            <w:shd w:val="clear" w:color="auto" w:fill="auto"/>
            <w:noWrap/>
            <w:vAlign w:val="center"/>
            <w:hideMark/>
          </w:tcPr>
          <w:p w:rsidR="00712ADB" w:rsidRPr="00C54A19" w:rsidRDefault="00712ADB" w:rsidP="009A6E1B">
            <w:pPr>
              <w:spacing w:after="0" w:line="240" w:lineRule="auto"/>
              <w:ind w:right="1185"/>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 xml:space="preserve">6,090 </w:t>
            </w:r>
          </w:p>
        </w:tc>
      </w:tr>
      <w:tr w:rsidR="00712ADB" w:rsidRPr="003A4B00" w:rsidTr="009A6E1B">
        <w:trPr>
          <w:trHeight w:val="340"/>
        </w:trPr>
        <w:tc>
          <w:tcPr>
            <w:tcW w:w="3701" w:type="dxa"/>
            <w:tcBorders>
              <w:top w:val="nil"/>
            </w:tcBorders>
            <w:shd w:val="clear" w:color="auto" w:fill="E5E5E5" w:themeFill="background1" w:themeFillTint="33"/>
            <w:noWrap/>
            <w:vAlign w:val="center"/>
            <w:hideMark/>
          </w:tcPr>
          <w:p w:rsidR="00712ADB" w:rsidRPr="00C54A19" w:rsidRDefault="00712ADB" w:rsidP="009A6E1B">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April 2015</w:t>
            </w:r>
          </w:p>
        </w:tc>
        <w:tc>
          <w:tcPr>
            <w:tcW w:w="3685" w:type="dxa"/>
            <w:tcBorders>
              <w:top w:val="nil"/>
            </w:tcBorders>
            <w:shd w:val="clear" w:color="auto" w:fill="E5E5E5" w:themeFill="background1" w:themeFillTint="33"/>
            <w:noWrap/>
            <w:vAlign w:val="center"/>
            <w:hideMark/>
          </w:tcPr>
          <w:p w:rsidR="00712ADB" w:rsidRPr="00C54A19" w:rsidRDefault="00712ADB" w:rsidP="009A6E1B">
            <w:pPr>
              <w:spacing w:after="0" w:line="240" w:lineRule="auto"/>
              <w:ind w:right="1185"/>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 xml:space="preserve">5,012 </w:t>
            </w:r>
          </w:p>
        </w:tc>
      </w:tr>
      <w:tr w:rsidR="00712ADB" w:rsidRPr="003A4B00" w:rsidTr="009A6E1B">
        <w:trPr>
          <w:trHeight w:val="340"/>
        </w:trPr>
        <w:tc>
          <w:tcPr>
            <w:tcW w:w="3701" w:type="dxa"/>
            <w:tcBorders>
              <w:top w:val="nil"/>
            </w:tcBorders>
            <w:shd w:val="clear" w:color="auto" w:fill="auto"/>
            <w:noWrap/>
            <w:vAlign w:val="center"/>
            <w:hideMark/>
          </w:tcPr>
          <w:p w:rsidR="00712ADB" w:rsidRPr="00C54A19" w:rsidRDefault="00712ADB" w:rsidP="009A6E1B">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May 2015</w:t>
            </w:r>
          </w:p>
        </w:tc>
        <w:tc>
          <w:tcPr>
            <w:tcW w:w="3685" w:type="dxa"/>
            <w:tcBorders>
              <w:top w:val="nil"/>
            </w:tcBorders>
            <w:shd w:val="clear" w:color="auto" w:fill="auto"/>
            <w:noWrap/>
            <w:vAlign w:val="center"/>
            <w:hideMark/>
          </w:tcPr>
          <w:p w:rsidR="00712ADB" w:rsidRPr="00C54A19" w:rsidRDefault="00712ADB" w:rsidP="009A6E1B">
            <w:pPr>
              <w:spacing w:after="0" w:line="240" w:lineRule="auto"/>
              <w:ind w:right="1185"/>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 xml:space="preserve">5,331 </w:t>
            </w:r>
          </w:p>
        </w:tc>
      </w:tr>
      <w:tr w:rsidR="00712ADB" w:rsidRPr="003A4B00" w:rsidTr="009A6E1B">
        <w:trPr>
          <w:trHeight w:val="340"/>
        </w:trPr>
        <w:tc>
          <w:tcPr>
            <w:tcW w:w="3701" w:type="dxa"/>
            <w:tcBorders>
              <w:top w:val="nil"/>
            </w:tcBorders>
            <w:shd w:val="clear" w:color="auto" w:fill="E5E5E5" w:themeFill="background1" w:themeFillTint="33"/>
            <w:noWrap/>
            <w:vAlign w:val="center"/>
            <w:hideMark/>
          </w:tcPr>
          <w:p w:rsidR="00712ADB" w:rsidRPr="00C54A19" w:rsidRDefault="00712ADB" w:rsidP="009A6E1B">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June 2015</w:t>
            </w:r>
          </w:p>
        </w:tc>
        <w:tc>
          <w:tcPr>
            <w:tcW w:w="3685" w:type="dxa"/>
            <w:tcBorders>
              <w:top w:val="nil"/>
            </w:tcBorders>
            <w:shd w:val="clear" w:color="auto" w:fill="E5E5E5" w:themeFill="background1" w:themeFillTint="33"/>
            <w:noWrap/>
            <w:vAlign w:val="center"/>
            <w:hideMark/>
          </w:tcPr>
          <w:p w:rsidR="00712ADB" w:rsidRPr="00C54A19" w:rsidRDefault="00712ADB" w:rsidP="009A6E1B">
            <w:pPr>
              <w:spacing w:after="0" w:line="240" w:lineRule="auto"/>
              <w:ind w:right="1185"/>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 xml:space="preserve">5,233 </w:t>
            </w:r>
          </w:p>
        </w:tc>
      </w:tr>
      <w:tr w:rsidR="00712ADB" w:rsidRPr="003A4B00" w:rsidTr="009A6E1B">
        <w:trPr>
          <w:trHeight w:val="340"/>
        </w:trPr>
        <w:tc>
          <w:tcPr>
            <w:tcW w:w="3701" w:type="dxa"/>
            <w:tcBorders>
              <w:top w:val="nil"/>
            </w:tcBorders>
            <w:shd w:val="clear" w:color="auto" w:fill="auto"/>
            <w:noWrap/>
            <w:vAlign w:val="center"/>
            <w:hideMark/>
          </w:tcPr>
          <w:p w:rsidR="00712ADB" w:rsidRPr="00C54A19" w:rsidRDefault="00712ADB" w:rsidP="009A6E1B">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July 2015</w:t>
            </w:r>
          </w:p>
        </w:tc>
        <w:tc>
          <w:tcPr>
            <w:tcW w:w="3685" w:type="dxa"/>
            <w:tcBorders>
              <w:top w:val="nil"/>
            </w:tcBorders>
            <w:shd w:val="clear" w:color="auto" w:fill="auto"/>
            <w:noWrap/>
            <w:vAlign w:val="center"/>
            <w:hideMark/>
          </w:tcPr>
          <w:p w:rsidR="00712ADB" w:rsidRPr="00C54A19" w:rsidRDefault="00712ADB" w:rsidP="009A6E1B">
            <w:pPr>
              <w:spacing w:after="0" w:line="240" w:lineRule="auto"/>
              <w:ind w:right="1185"/>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 xml:space="preserve">5,050 </w:t>
            </w:r>
          </w:p>
        </w:tc>
      </w:tr>
      <w:tr w:rsidR="00712ADB" w:rsidRPr="003A4B00" w:rsidTr="009A6E1B">
        <w:trPr>
          <w:trHeight w:val="340"/>
        </w:trPr>
        <w:tc>
          <w:tcPr>
            <w:tcW w:w="3701" w:type="dxa"/>
            <w:tcBorders>
              <w:top w:val="nil"/>
            </w:tcBorders>
            <w:shd w:val="clear" w:color="auto" w:fill="E5E5E5" w:themeFill="background1" w:themeFillTint="33"/>
            <w:noWrap/>
            <w:vAlign w:val="center"/>
            <w:hideMark/>
          </w:tcPr>
          <w:p w:rsidR="00712ADB" w:rsidRPr="00C54A19" w:rsidRDefault="00712ADB" w:rsidP="009A6E1B">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August 2015</w:t>
            </w:r>
          </w:p>
        </w:tc>
        <w:tc>
          <w:tcPr>
            <w:tcW w:w="3685" w:type="dxa"/>
            <w:tcBorders>
              <w:top w:val="nil"/>
            </w:tcBorders>
            <w:shd w:val="clear" w:color="auto" w:fill="E5E5E5" w:themeFill="background1" w:themeFillTint="33"/>
            <w:noWrap/>
            <w:vAlign w:val="center"/>
            <w:hideMark/>
          </w:tcPr>
          <w:p w:rsidR="00712ADB" w:rsidRPr="00C54A19" w:rsidRDefault="00712ADB" w:rsidP="009A6E1B">
            <w:pPr>
              <w:spacing w:after="0" w:line="240" w:lineRule="auto"/>
              <w:ind w:right="1185"/>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 xml:space="preserve">6,832 </w:t>
            </w:r>
          </w:p>
        </w:tc>
      </w:tr>
      <w:tr w:rsidR="00712ADB" w:rsidRPr="003A4B00" w:rsidTr="009A6E1B">
        <w:trPr>
          <w:trHeight w:val="340"/>
        </w:trPr>
        <w:tc>
          <w:tcPr>
            <w:tcW w:w="3701" w:type="dxa"/>
            <w:tcBorders>
              <w:top w:val="nil"/>
            </w:tcBorders>
            <w:shd w:val="clear" w:color="auto" w:fill="auto"/>
            <w:noWrap/>
            <w:vAlign w:val="center"/>
            <w:hideMark/>
          </w:tcPr>
          <w:p w:rsidR="00712ADB" w:rsidRPr="00C54A19" w:rsidRDefault="00712ADB" w:rsidP="009A6E1B">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September 2015</w:t>
            </w:r>
          </w:p>
        </w:tc>
        <w:tc>
          <w:tcPr>
            <w:tcW w:w="3685" w:type="dxa"/>
            <w:tcBorders>
              <w:top w:val="nil"/>
            </w:tcBorders>
            <w:shd w:val="clear" w:color="auto" w:fill="auto"/>
            <w:noWrap/>
            <w:vAlign w:val="center"/>
            <w:hideMark/>
          </w:tcPr>
          <w:p w:rsidR="00712ADB" w:rsidRPr="00C54A19" w:rsidRDefault="00712ADB" w:rsidP="009A6E1B">
            <w:pPr>
              <w:spacing w:after="0" w:line="240" w:lineRule="auto"/>
              <w:ind w:right="1185"/>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 xml:space="preserve">6,201 </w:t>
            </w:r>
          </w:p>
        </w:tc>
      </w:tr>
      <w:tr w:rsidR="00712ADB" w:rsidRPr="003A4B00" w:rsidTr="009A6E1B">
        <w:trPr>
          <w:trHeight w:val="340"/>
        </w:trPr>
        <w:tc>
          <w:tcPr>
            <w:tcW w:w="3701" w:type="dxa"/>
            <w:tcBorders>
              <w:top w:val="nil"/>
            </w:tcBorders>
            <w:shd w:val="clear" w:color="auto" w:fill="E5E5E5" w:themeFill="background1" w:themeFillTint="33"/>
            <w:noWrap/>
            <w:vAlign w:val="center"/>
            <w:hideMark/>
          </w:tcPr>
          <w:p w:rsidR="00712ADB" w:rsidRPr="00C54A19" w:rsidRDefault="00712ADB" w:rsidP="009A6E1B">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October 2015</w:t>
            </w:r>
          </w:p>
        </w:tc>
        <w:tc>
          <w:tcPr>
            <w:tcW w:w="3685" w:type="dxa"/>
            <w:tcBorders>
              <w:top w:val="nil"/>
            </w:tcBorders>
            <w:shd w:val="clear" w:color="auto" w:fill="E5E5E5" w:themeFill="background1" w:themeFillTint="33"/>
            <w:noWrap/>
            <w:vAlign w:val="center"/>
            <w:hideMark/>
          </w:tcPr>
          <w:p w:rsidR="00712ADB" w:rsidRPr="00C54A19" w:rsidRDefault="00712ADB" w:rsidP="009A6E1B">
            <w:pPr>
              <w:spacing w:after="0" w:line="240" w:lineRule="auto"/>
              <w:ind w:right="1185"/>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 xml:space="preserve">6,176 </w:t>
            </w:r>
          </w:p>
        </w:tc>
      </w:tr>
      <w:tr w:rsidR="00712ADB" w:rsidRPr="003A4B00" w:rsidTr="009A6E1B">
        <w:trPr>
          <w:trHeight w:val="340"/>
        </w:trPr>
        <w:tc>
          <w:tcPr>
            <w:tcW w:w="3701" w:type="dxa"/>
            <w:tcBorders>
              <w:top w:val="nil"/>
            </w:tcBorders>
            <w:shd w:val="clear" w:color="auto" w:fill="auto"/>
            <w:noWrap/>
            <w:vAlign w:val="center"/>
            <w:hideMark/>
          </w:tcPr>
          <w:p w:rsidR="00712ADB" w:rsidRPr="00C54A19" w:rsidRDefault="00712ADB" w:rsidP="009A6E1B">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November 2015</w:t>
            </w:r>
          </w:p>
        </w:tc>
        <w:tc>
          <w:tcPr>
            <w:tcW w:w="3685" w:type="dxa"/>
            <w:tcBorders>
              <w:top w:val="nil"/>
            </w:tcBorders>
            <w:shd w:val="clear" w:color="auto" w:fill="auto"/>
            <w:noWrap/>
            <w:vAlign w:val="center"/>
            <w:hideMark/>
          </w:tcPr>
          <w:p w:rsidR="00712ADB" w:rsidRPr="00C54A19" w:rsidRDefault="00712ADB" w:rsidP="009A6E1B">
            <w:pPr>
              <w:spacing w:after="0" w:line="240" w:lineRule="auto"/>
              <w:ind w:right="1185"/>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 xml:space="preserve">5,896 </w:t>
            </w:r>
          </w:p>
        </w:tc>
      </w:tr>
      <w:tr w:rsidR="00712ADB" w:rsidRPr="003A4B00" w:rsidTr="009A6E1B">
        <w:trPr>
          <w:trHeight w:val="340"/>
        </w:trPr>
        <w:tc>
          <w:tcPr>
            <w:tcW w:w="3701" w:type="dxa"/>
            <w:tcBorders>
              <w:top w:val="nil"/>
            </w:tcBorders>
            <w:shd w:val="clear" w:color="auto" w:fill="E5E5E5" w:themeFill="background1" w:themeFillTint="33"/>
            <w:noWrap/>
            <w:vAlign w:val="center"/>
            <w:hideMark/>
          </w:tcPr>
          <w:p w:rsidR="00712ADB" w:rsidRPr="00C54A19" w:rsidRDefault="00712ADB" w:rsidP="009A6E1B">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December 2015</w:t>
            </w:r>
          </w:p>
        </w:tc>
        <w:tc>
          <w:tcPr>
            <w:tcW w:w="3685" w:type="dxa"/>
            <w:tcBorders>
              <w:top w:val="nil"/>
            </w:tcBorders>
            <w:shd w:val="clear" w:color="auto" w:fill="E5E5E5" w:themeFill="background1" w:themeFillTint="33"/>
            <w:noWrap/>
            <w:vAlign w:val="center"/>
            <w:hideMark/>
          </w:tcPr>
          <w:p w:rsidR="00712ADB" w:rsidRPr="00C54A19" w:rsidRDefault="00712ADB" w:rsidP="009A6E1B">
            <w:pPr>
              <w:spacing w:after="0" w:line="240" w:lineRule="auto"/>
              <w:ind w:right="1185"/>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 xml:space="preserve">5,379 </w:t>
            </w:r>
          </w:p>
        </w:tc>
      </w:tr>
      <w:tr w:rsidR="00712ADB" w:rsidRPr="003A4B00" w:rsidTr="009A6E1B">
        <w:trPr>
          <w:trHeight w:val="340"/>
        </w:trPr>
        <w:tc>
          <w:tcPr>
            <w:tcW w:w="3701" w:type="dxa"/>
            <w:tcBorders>
              <w:top w:val="nil"/>
            </w:tcBorders>
            <w:shd w:val="clear" w:color="auto" w:fill="auto"/>
            <w:noWrap/>
            <w:vAlign w:val="center"/>
            <w:hideMark/>
          </w:tcPr>
          <w:p w:rsidR="00712ADB" w:rsidRPr="00C54A19" w:rsidRDefault="00712ADB" w:rsidP="009A6E1B">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January 2016</w:t>
            </w:r>
          </w:p>
        </w:tc>
        <w:tc>
          <w:tcPr>
            <w:tcW w:w="3685" w:type="dxa"/>
            <w:tcBorders>
              <w:top w:val="nil"/>
            </w:tcBorders>
            <w:shd w:val="clear" w:color="auto" w:fill="auto"/>
            <w:noWrap/>
            <w:vAlign w:val="center"/>
            <w:hideMark/>
          </w:tcPr>
          <w:p w:rsidR="00712ADB" w:rsidRPr="00C54A19" w:rsidRDefault="00712ADB" w:rsidP="009A6E1B">
            <w:pPr>
              <w:spacing w:after="0" w:line="240" w:lineRule="auto"/>
              <w:ind w:right="1185"/>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 xml:space="preserve">3,441 </w:t>
            </w:r>
          </w:p>
        </w:tc>
      </w:tr>
      <w:tr w:rsidR="00712ADB" w:rsidRPr="003A4B00" w:rsidTr="009A6E1B">
        <w:trPr>
          <w:trHeight w:val="340"/>
        </w:trPr>
        <w:tc>
          <w:tcPr>
            <w:tcW w:w="3701" w:type="dxa"/>
            <w:tcBorders>
              <w:top w:val="nil"/>
            </w:tcBorders>
            <w:shd w:val="clear" w:color="auto" w:fill="E5E5E5" w:themeFill="background1" w:themeFillTint="33"/>
            <w:noWrap/>
            <w:vAlign w:val="center"/>
            <w:hideMark/>
          </w:tcPr>
          <w:p w:rsidR="00712ADB" w:rsidRPr="00C54A19" w:rsidRDefault="00712ADB" w:rsidP="009A6E1B">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February 2016</w:t>
            </w:r>
          </w:p>
        </w:tc>
        <w:tc>
          <w:tcPr>
            <w:tcW w:w="3685" w:type="dxa"/>
            <w:tcBorders>
              <w:top w:val="nil"/>
            </w:tcBorders>
            <w:shd w:val="clear" w:color="auto" w:fill="E5E5E5" w:themeFill="background1" w:themeFillTint="33"/>
            <w:noWrap/>
            <w:vAlign w:val="center"/>
            <w:hideMark/>
          </w:tcPr>
          <w:p w:rsidR="00712ADB" w:rsidRPr="00C54A19" w:rsidRDefault="00712ADB" w:rsidP="009A6E1B">
            <w:pPr>
              <w:spacing w:after="0" w:line="240" w:lineRule="auto"/>
              <w:ind w:right="1185"/>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 xml:space="preserve">4,238 </w:t>
            </w:r>
          </w:p>
        </w:tc>
      </w:tr>
      <w:tr w:rsidR="00712ADB" w:rsidRPr="003A4B00" w:rsidTr="009A6E1B">
        <w:trPr>
          <w:trHeight w:val="340"/>
        </w:trPr>
        <w:tc>
          <w:tcPr>
            <w:tcW w:w="3701" w:type="dxa"/>
            <w:tcBorders>
              <w:top w:val="nil"/>
            </w:tcBorders>
            <w:shd w:val="clear" w:color="auto" w:fill="auto"/>
            <w:noWrap/>
            <w:vAlign w:val="center"/>
            <w:hideMark/>
          </w:tcPr>
          <w:p w:rsidR="00712ADB" w:rsidRPr="00C54A19" w:rsidRDefault="00712ADB" w:rsidP="009A6E1B">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March 2016</w:t>
            </w:r>
          </w:p>
        </w:tc>
        <w:tc>
          <w:tcPr>
            <w:tcW w:w="3685" w:type="dxa"/>
            <w:tcBorders>
              <w:top w:val="nil"/>
            </w:tcBorders>
            <w:shd w:val="clear" w:color="auto" w:fill="auto"/>
            <w:noWrap/>
            <w:vAlign w:val="center"/>
            <w:hideMark/>
          </w:tcPr>
          <w:p w:rsidR="00712ADB" w:rsidRPr="00C54A19" w:rsidRDefault="00712ADB" w:rsidP="009A6E1B">
            <w:pPr>
              <w:spacing w:after="0" w:line="240" w:lineRule="auto"/>
              <w:ind w:right="1185"/>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 xml:space="preserve">5,954 </w:t>
            </w:r>
          </w:p>
        </w:tc>
      </w:tr>
      <w:tr w:rsidR="00712ADB" w:rsidRPr="003A4B00" w:rsidTr="009A6E1B">
        <w:trPr>
          <w:trHeight w:val="340"/>
        </w:trPr>
        <w:tc>
          <w:tcPr>
            <w:tcW w:w="3701" w:type="dxa"/>
            <w:tcBorders>
              <w:top w:val="nil"/>
            </w:tcBorders>
            <w:shd w:val="clear" w:color="auto" w:fill="E5E5E5" w:themeFill="background1" w:themeFillTint="33"/>
            <w:noWrap/>
            <w:vAlign w:val="center"/>
            <w:hideMark/>
          </w:tcPr>
          <w:p w:rsidR="00712ADB" w:rsidRPr="00C54A19" w:rsidRDefault="00712ADB" w:rsidP="009A6E1B">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April 2016</w:t>
            </w:r>
          </w:p>
        </w:tc>
        <w:tc>
          <w:tcPr>
            <w:tcW w:w="3685" w:type="dxa"/>
            <w:tcBorders>
              <w:top w:val="nil"/>
            </w:tcBorders>
            <w:shd w:val="clear" w:color="auto" w:fill="E5E5E5" w:themeFill="background1" w:themeFillTint="33"/>
            <w:noWrap/>
            <w:vAlign w:val="center"/>
            <w:hideMark/>
          </w:tcPr>
          <w:p w:rsidR="00712ADB" w:rsidRPr="00C54A19" w:rsidRDefault="00712ADB" w:rsidP="009A6E1B">
            <w:pPr>
              <w:spacing w:after="0" w:line="240" w:lineRule="auto"/>
              <w:ind w:right="1185"/>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 xml:space="preserve">4,902 </w:t>
            </w:r>
          </w:p>
        </w:tc>
      </w:tr>
      <w:tr w:rsidR="00712ADB" w:rsidRPr="003A4B00" w:rsidTr="009A6E1B">
        <w:trPr>
          <w:trHeight w:val="340"/>
        </w:trPr>
        <w:tc>
          <w:tcPr>
            <w:tcW w:w="3701" w:type="dxa"/>
            <w:tcBorders>
              <w:top w:val="nil"/>
            </w:tcBorders>
            <w:shd w:val="clear" w:color="auto" w:fill="auto"/>
            <w:noWrap/>
            <w:vAlign w:val="center"/>
            <w:hideMark/>
          </w:tcPr>
          <w:p w:rsidR="00712ADB" w:rsidRPr="00C54A19" w:rsidRDefault="00712ADB" w:rsidP="009A6E1B">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May 2016</w:t>
            </w:r>
          </w:p>
        </w:tc>
        <w:tc>
          <w:tcPr>
            <w:tcW w:w="3685" w:type="dxa"/>
            <w:tcBorders>
              <w:top w:val="nil"/>
            </w:tcBorders>
            <w:shd w:val="clear" w:color="auto" w:fill="auto"/>
            <w:noWrap/>
            <w:vAlign w:val="center"/>
            <w:hideMark/>
          </w:tcPr>
          <w:p w:rsidR="00712ADB" w:rsidRPr="00C54A19" w:rsidRDefault="00712ADB" w:rsidP="009A6E1B">
            <w:pPr>
              <w:spacing w:after="0" w:line="240" w:lineRule="auto"/>
              <w:ind w:right="1185"/>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 xml:space="preserve">5,171 </w:t>
            </w:r>
          </w:p>
        </w:tc>
      </w:tr>
      <w:tr w:rsidR="00712ADB" w:rsidRPr="003A4B00" w:rsidTr="009A6E1B">
        <w:trPr>
          <w:trHeight w:val="340"/>
        </w:trPr>
        <w:tc>
          <w:tcPr>
            <w:tcW w:w="3701" w:type="dxa"/>
            <w:tcBorders>
              <w:top w:val="nil"/>
            </w:tcBorders>
            <w:shd w:val="clear" w:color="auto" w:fill="E5E5E5" w:themeFill="background1" w:themeFillTint="33"/>
            <w:noWrap/>
            <w:vAlign w:val="center"/>
            <w:hideMark/>
          </w:tcPr>
          <w:p w:rsidR="00712ADB" w:rsidRPr="00C54A19" w:rsidRDefault="00712ADB" w:rsidP="009A6E1B">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June 2016</w:t>
            </w:r>
          </w:p>
        </w:tc>
        <w:tc>
          <w:tcPr>
            <w:tcW w:w="3685" w:type="dxa"/>
            <w:tcBorders>
              <w:top w:val="nil"/>
            </w:tcBorders>
            <w:shd w:val="clear" w:color="auto" w:fill="E5E5E5" w:themeFill="background1" w:themeFillTint="33"/>
            <w:noWrap/>
            <w:vAlign w:val="center"/>
            <w:hideMark/>
          </w:tcPr>
          <w:p w:rsidR="00712ADB" w:rsidRPr="00C54A19" w:rsidRDefault="00712ADB" w:rsidP="009A6E1B">
            <w:pPr>
              <w:spacing w:after="0" w:line="240" w:lineRule="auto"/>
              <w:ind w:right="1185"/>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 xml:space="preserve">5,274 </w:t>
            </w:r>
          </w:p>
        </w:tc>
      </w:tr>
      <w:tr w:rsidR="00712ADB" w:rsidRPr="003A4B00" w:rsidTr="009A6E1B">
        <w:trPr>
          <w:trHeight w:val="340"/>
        </w:trPr>
        <w:tc>
          <w:tcPr>
            <w:tcW w:w="3701" w:type="dxa"/>
            <w:tcBorders>
              <w:top w:val="nil"/>
            </w:tcBorders>
            <w:shd w:val="clear" w:color="auto" w:fill="auto"/>
            <w:noWrap/>
            <w:vAlign w:val="center"/>
            <w:hideMark/>
          </w:tcPr>
          <w:p w:rsidR="00712ADB" w:rsidRPr="00C54A19" w:rsidRDefault="00712ADB" w:rsidP="009A6E1B">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July 2016</w:t>
            </w:r>
          </w:p>
        </w:tc>
        <w:tc>
          <w:tcPr>
            <w:tcW w:w="3685" w:type="dxa"/>
            <w:tcBorders>
              <w:top w:val="nil"/>
            </w:tcBorders>
            <w:shd w:val="clear" w:color="auto" w:fill="auto"/>
            <w:noWrap/>
            <w:vAlign w:val="center"/>
            <w:hideMark/>
          </w:tcPr>
          <w:p w:rsidR="00712ADB" w:rsidRPr="00C54A19" w:rsidRDefault="00712ADB" w:rsidP="009A6E1B">
            <w:pPr>
              <w:spacing w:after="0" w:line="240" w:lineRule="auto"/>
              <w:ind w:right="1185"/>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 xml:space="preserve">10 </w:t>
            </w:r>
          </w:p>
        </w:tc>
      </w:tr>
      <w:tr w:rsidR="00712ADB" w:rsidRPr="003A4B00" w:rsidTr="009A6E1B">
        <w:trPr>
          <w:trHeight w:val="340"/>
        </w:trPr>
        <w:tc>
          <w:tcPr>
            <w:tcW w:w="3701" w:type="dxa"/>
            <w:tcBorders>
              <w:top w:val="nil"/>
            </w:tcBorders>
            <w:shd w:val="clear" w:color="auto" w:fill="8EAEDE"/>
            <w:noWrap/>
            <w:vAlign w:val="center"/>
            <w:hideMark/>
          </w:tcPr>
          <w:p w:rsidR="00712ADB" w:rsidRPr="003A4B00" w:rsidRDefault="00712ADB" w:rsidP="009A6E1B">
            <w:pPr>
              <w:spacing w:after="0" w:line="240" w:lineRule="auto"/>
              <w:rPr>
                <w:rFonts w:ascii="Calibri" w:eastAsia="Times New Roman" w:hAnsi="Calibri" w:cs="Calibri"/>
                <w:color w:val="000000"/>
                <w:sz w:val="20"/>
                <w:szCs w:val="20"/>
                <w:lang w:eastAsia="en-AU"/>
              </w:rPr>
            </w:pPr>
            <w:r w:rsidRPr="003A4B00">
              <w:rPr>
                <w:rFonts w:ascii="Calibri" w:eastAsia="Times New Roman" w:hAnsi="Calibri" w:cs="Calibri"/>
                <w:color w:val="000000"/>
                <w:sz w:val="20"/>
                <w:szCs w:val="20"/>
                <w:lang w:eastAsia="en-AU"/>
              </w:rPr>
              <w:t>Total</w:t>
            </w:r>
          </w:p>
        </w:tc>
        <w:tc>
          <w:tcPr>
            <w:tcW w:w="3685" w:type="dxa"/>
            <w:tcBorders>
              <w:top w:val="nil"/>
            </w:tcBorders>
            <w:shd w:val="clear" w:color="auto" w:fill="8EAEDE"/>
            <w:noWrap/>
            <w:vAlign w:val="center"/>
            <w:hideMark/>
          </w:tcPr>
          <w:p w:rsidR="00712ADB" w:rsidRPr="003A4B00" w:rsidRDefault="00712ADB" w:rsidP="009A6E1B">
            <w:pPr>
              <w:spacing w:after="0" w:line="240" w:lineRule="auto"/>
              <w:ind w:right="1185"/>
              <w:jc w:val="right"/>
              <w:rPr>
                <w:rFonts w:ascii="Calibri" w:eastAsia="Times New Roman" w:hAnsi="Calibri" w:cs="Calibri"/>
                <w:color w:val="000000"/>
                <w:sz w:val="20"/>
                <w:szCs w:val="20"/>
                <w:lang w:eastAsia="en-AU"/>
              </w:rPr>
            </w:pPr>
            <w:r w:rsidRPr="003A4B00">
              <w:rPr>
                <w:rFonts w:ascii="Calibri" w:eastAsia="Times New Roman" w:hAnsi="Calibri" w:cs="Calibri"/>
                <w:color w:val="000000"/>
                <w:sz w:val="20"/>
                <w:szCs w:val="20"/>
                <w:lang w:eastAsia="en-AU"/>
              </w:rPr>
              <w:t xml:space="preserve">122,123 </w:t>
            </w:r>
          </w:p>
        </w:tc>
      </w:tr>
    </w:tbl>
    <w:p w:rsidR="00712ADB" w:rsidRPr="003A4B00" w:rsidRDefault="00712ADB" w:rsidP="00712ADB">
      <w:pPr>
        <w:pStyle w:val="Source"/>
      </w:pPr>
      <w:r w:rsidRPr="003A4B00">
        <w:t xml:space="preserve">Note: </w:t>
      </w:r>
      <w:r w:rsidRPr="003A4B00">
        <w:rPr>
          <w:b w:val="0"/>
        </w:rPr>
        <w:t>As monitoring data was not available for the number of letters sent the above numbers are estimates</w:t>
      </w:r>
      <w:r w:rsidR="00E4679F">
        <w:rPr>
          <w:b w:val="0"/>
        </w:rPr>
        <w:t>,</w:t>
      </w:r>
      <w:r w:rsidRPr="003A4B00">
        <w:rPr>
          <w:b w:val="0"/>
        </w:rPr>
        <w:t xml:space="preserve"> based on the number of paragraphs created each month. As these would </w:t>
      </w:r>
      <w:r w:rsidR="00E4679F">
        <w:rPr>
          <w:b w:val="0"/>
        </w:rPr>
        <w:t>have</w:t>
      </w:r>
      <w:r w:rsidRPr="003A4B00">
        <w:rPr>
          <w:b w:val="0"/>
        </w:rPr>
        <w:t xml:space="preserve"> b</w:t>
      </w:r>
      <w:r w:rsidR="00E4679F">
        <w:rPr>
          <w:b w:val="0"/>
        </w:rPr>
        <w:t>e</w:t>
      </w:r>
      <w:r w:rsidRPr="003A4B00">
        <w:rPr>
          <w:b w:val="0"/>
        </w:rPr>
        <w:t>e</w:t>
      </w:r>
      <w:r w:rsidR="00E4679F">
        <w:rPr>
          <w:b w:val="0"/>
        </w:rPr>
        <w:t>n</w:t>
      </w:r>
      <w:r w:rsidRPr="003A4B00">
        <w:rPr>
          <w:b w:val="0"/>
        </w:rPr>
        <w:t xml:space="preserve"> combined to trigger a letter</w:t>
      </w:r>
      <w:r w:rsidR="00E4679F">
        <w:rPr>
          <w:b w:val="0"/>
        </w:rPr>
        <w:t>,</w:t>
      </w:r>
      <w:r w:rsidRPr="003A4B00">
        <w:rPr>
          <w:b w:val="0"/>
        </w:rPr>
        <w:t xml:space="preserve"> it is assumed that one letter was sent for each individual each month. It is uncertain if any </w:t>
      </w:r>
      <w:r w:rsidR="00F40D8F">
        <w:rPr>
          <w:b w:val="0"/>
        </w:rPr>
        <w:t>people</w:t>
      </w:r>
      <w:r w:rsidRPr="003A4B00">
        <w:rPr>
          <w:b w:val="0"/>
        </w:rPr>
        <w:t xml:space="preserve"> are counted in more than one month.</w:t>
      </w:r>
    </w:p>
    <w:p w:rsidR="00712ADB" w:rsidRDefault="00712ADB" w:rsidP="00712ADB">
      <w:pPr>
        <w:pStyle w:val="Source"/>
        <w:rPr>
          <w:b w:val="0"/>
        </w:rPr>
      </w:pPr>
      <w:r w:rsidRPr="003A4B00">
        <w:t xml:space="preserve">Source: </w:t>
      </w:r>
      <w:r w:rsidR="008B4BC0" w:rsidRPr="004B0F8E">
        <w:rPr>
          <w:b w:val="0"/>
        </w:rPr>
        <w:t>D</w:t>
      </w:r>
      <w:r w:rsidR="008B4BC0">
        <w:rPr>
          <w:b w:val="0"/>
        </w:rPr>
        <w:t xml:space="preserve">epartment of </w:t>
      </w:r>
      <w:r w:rsidR="008B4BC0" w:rsidRPr="004B0F8E">
        <w:rPr>
          <w:b w:val="0"/>
        </w:rPr>
        <w:t>H</w:t>
      </w:r>
      <w:r w:rsidR="008B4BC0">
        <w:rPr>
          <w:b w:val="0"/>
        </w:rPr>
        <w:t xml:space="preserve">uman </w:t>
      </w:r>
      <w:r w:rsidR="008B4BC0" w:rsidRPr="004B0F8E">
        <w:rPr>
          <w:b w:val="0"/>
        </w:rPr>
        <w:t>S</w:t>
      </w:r>
      <w:r w:rsidR="008B4BC0">
        <w:rPr>
          <w:b w:val="0"/>
        </w:rPr>
        <w:t>ervices</w:t>
      </w:r>
      <w:r w:rsidRPr="003A4B00">
        <w:rPr>
          <w:b w:val="0"/>
        </w:rPr>
        <w:t xml:space="preserve"> administrative data.</w:t>
      </w:r>
    </w:p>
    <w:p w:rsidR="00E3205B" w:rsidRPr="003A4B00" w:rsidRDefault="00E3205B" w:rsidP="00B212E0">
      <w:pPr>
        <w:pStyle w:val="Source"/>
        <w:spacing w:before="120"/>
        <w:rPr>
          <w:b w:val="0"/>
        </w:rPr>
      </w:pPr>
      <w:r>
        <w:rPr>
          <w:b w:val="0"/>
        </w:rPr>
        <w:t xml:space="preserve">Return to </w:t>
      </w:r>
      <w:hyperlink w:anchor="Place_F1" w:history="1">
        <w:r w:rsidR="00B212E0" w:rsidRPr="00B212E0">
          <w:rPr>
            <w:rStyle w:val="Hyperlink"/>
            <w:b w:val="0"/>
          </w:rPr>
          <w:t>S</w:t>
        </w:r>
        <w:r w:rsidRPr="00B212E0">
          <w:rPr>
            <w:rStyle w:val="Hyperlink"/>
            <w:b w:val="0"/>
          </w:rPr>
          <w:t>ection 3.</w:t>
        </w:r>
        <w:r w:rsidR="00B212E0" w:rsidRPr="00B212E0">
          <w:rPr>
            <w:rStyle w:val="Hyperlink"/>
            <w:b w:val="0"/>
          </w:rPr>
          <w:t>3</w:t>
        </w:r>
      </w:hyperlink>
      <w:r>
        <w:rPr>
          <w:b w:val="0"/>
        </w:rPr>
        <w:t>.</w:t>
      </w:r>
    </w:p>
    <w:p w:rsidR="00712ADB" w:rsidRDefault="00712ADB">
      <w:pPr>
        <w:rPr>
          <w:color w:val="000000" w:themeColor="text1"/>
        </w:rPr>
      </w:pPr>
      <w:r>
        <w:rPr>
          <w:color w:val="000000" w:themeColor="text1"/>
        </w:rPr>
        <w:br w:type="page"/>
      </w:r>
    </w:p>
    <w:p w:rsidR="00B92253" w:rsidRPr="00D83A7E" w:rsidRDefault="00603A49" w:rsidP="00D83A7E">
      <w:pPr>
        <w:pStyle w:val="TableCaption"/>
      </w:pPr>
      <w:bookmarkStart w:id="255" w:name="_Toc482803695"/>
      <w:bookmarkStart w:id="256" w:name="_Toc507600318"/>
      <w:r>
        <w:lastRenderedPageBreak/>
        <w:t>Table F</w:t>
      </w:r>
      <w:r w:rsidR="00965FBD">
        <w:t>.</w:t>
      </w:r>
      <w:r w:rsidR="00B66E6C">
        <w:t xml:space="preserve">2: </w:t>
      </w:r>
      <w:bookmarkEnd w:id="255"/>
      <w:r w:rsidR="00B92253" w:rsidRPr="00D83A7E">
        <w:t xml:space="preserve">Proportion of those who </w:t>
      </w:r>
      <w:r w:rsidR="00BF014F" w:rsidRPr="00D83A7E">
        <w:t>were potentially</w:t>
      </w:r>
      <w:r w:rsidR="00B92253" w:rsidRPr="00D83A7E">
        <w:t xml:space="preserve"> eligible who lodged a claim by highest level of education compared to those with either Year 12 or TAFE education (per cent)</w:t>
      </w:r>
      <w:bookmarkEnd w:id="256"/>
    </w:p>
    <w:tbl>
      <w:tblPr>
        <w:tblW w:w="8945" w:type="dxa"/>
        <w:tblInd w:w="93" w:type="dxa"/>
        <w:tblLook w:val="04A0" w:firstRow="1" w:lastRow="0" w:firstColumn="1" w:lastColumn="0" w:noHBand="0" w:noVBand="1"/>
      </w:tblPr>
      <w:tblGrid>
        <w:gridCol w:w="3276"/>
        <w:gridCol w:w="2693"/>
        <w:gridCol w:w="2976"/>
      </w:tblGrid>
      <w:tr w:rsidR="00B92253" w:rsidRPr="007826D0" w:rsidTr="003F16D0">
        <w:trPr>
          <w:trHeight w:val="510"/>
          <w:tblHeader/>
        </w:trPr>
        <w:tc>
          <w:tcPr>
            <w:tcW w:w="3276" w:type="dxa"/>
            <w:tcBorders>
              <w:top w:val="nil"/>
              <w:left w:val="nil"/>
              <w:bottom w:val="nil"/>
              <w:right w:val="nil"/>
            </w:tcBorders>
            <w:shd w:val="clear" w:color="auto" w:fill="1E3D6B"/>
            <w:noWrap/>
            <w:vAlign w:val="center"/>
            <w:hideMark/>
          </w:tcPr>
          <w:p w:rsidR="00B92253" w:rsidRPr="00C54A19" w:rsidRDefault="00B92253" w:rsidP="009A6E1B">
            <w:pPr>
              <w:spacing w:after="0" w:line="240" w:lineRule="auto"/>
              <w:rPr>
                <w:rFonts w:ascii="Calibri" w:eastAsia="Times New Roman" w:hAnsi="Calibri" w:cs="Calibri"/>
                <w:b/>
                <w:bCs/>
                <w:color w:val="FFFFFF"/>
                <w:sz w:val="20"/>
                <w:szCs w:val="20"/>
                <w:lang w:eastAsia="en-AU"/>
              </w:rPr>
            </w:pPr>
            <w:bookmarkStart w:id="257" w:name="Title_F2"/>
            <w:bookmarkEnd w:id="257"/>
            <w:r w:rsidRPr="00C54A19">
              <w:rPr>
                <w:rFonts w:ascii="Calibri" w:eastAsia="Times New Roman" w:hAnsi="Calibri" w:cs="Calibri"/>
                <w:b/>
                <w:bCs/>
                <w:color w:val="FFFFFF"/>
                <w:sz w:val="20"/>
                <w:szCs w:val="20"/>
                <w:lang w:eastAsia="en-AU"/>
              </w:rPr>
              <w:t xml:space="preserve">Compared to </w:t>
            </w:r>
            <w:r w:rsidR="001B7433" w:rsidRPr="00C54A19">
              <w:rPr>
                <w:rFonts w:ascii="Calibri" w:eastAsia="Times New Roman" w:hAnsi="Calibri" w:cs="Calibri"/>
                <w:b/>
                <w:bCs/>
                <w:color w:val="FFFFFF"/>
                <w:sz w:val="20"/>
                <w:szCs w:val="20"/>
                <w:lang w:eastAsia="en-AU"/>
              </w:rPr>
              <w:t>Year</w:t>
            </w:r>
            <w:r w:rsidR="001B7433">
              <w:rPr>
                <w:rFonts w:ascii="Calibri" w:eastAsia="Times New Roman" w:hAnsi="Calibri" w:cs="Calibri"/>
                <w:b/>
                <w:bCs/>
                <w:color w:val="FFFFFF"/>
                <w:sz w:val="20"/>
                <w:szCs w:val="20"/>
                <w:lang w:eastAsia="en-AU"/>
              </w:rPr>
              <w:t xml:space="preserve"> </w:t>
            </w:r>
            <w:r w:rsidR="001B7433" w:rsidRPr="00C54A19">
              <w:rPr>
                <w:rFonts w:ascii="Calibri" w:eastAsia="Times New Roman" w:hAnsi="Calibri" w:cs="Calibri"/>
                <w:b/>
                <w:bCs/>
                <w:color w:val="FFFFFF"/>
                <w:sz w:val="20"/>
                <w:szCs w:val="20"/>
                <w:lang w:eastAsia="en-AU"/>
              </w:rPr>
              <w:t>12</w:t>
            </w:r>
            <w:r w:rsidRPr="00C54A19">
              <w:rPr>
                <w:rFonts w:ascii="Calibri" w:eastAsia="Times New Roman" w:hAnsi="Calibri" w:cs="Calibri"/>
                <w:b/>
                <w:bCs/>
                <w:color w:val="FFFFFF"/>
                <w:sz w:val="20"/>
                <w:szCs w:val="20"/>
                <w:lang w:eastAsia="en-AU"/>
              </w:rPr>
              <w:t>/TAFE</w:t>
            </w:r>
          </w:p>
        </w:tc>
        <w:tc>
          <w:tcPr>
            <w:tcW w:w="2693" w:type="dxa"/>
            <w:tcBorders>
              <w:top w:val="nil"/>
              <w:left w:val="nil"/>
              <w:bottom w:val="nil"/>
              <w:right w:val="nil"/>
            </w:tcBorders>
            <w:shd w:val="clear" w:color="auto" w:fill="1E3D6B"/>
            <w:vAlign w:val="center"/>
            <w:hideMark/>
          </w:tcPr>
          <w:p w:rsidR="00B92253" w:rsidRPr="00C54A19" w:rsidRDefault="002712F4" w:rsidP="002712F4">
            <w:pPr>
              <w:spacing w:after="0" w:line="240" w:lineRule="auto"/>
              <w:jc w:val="center"/>
              <w:rPr>
                <w:rFonts w:ascii="Calibri" w:eastAsia="Times New Roman" w:hAnsi="Calibri" w:cs="Calibri"/>
                <w:b/>
                <w:bCs/>
                <w:color w:val="FFFFFF"/>
                <w:sz w:val="20"/>
                <w:szCs w:val="20"/>
                <w:lang w:eastAsia="en-AU"/>
              </w:rPr>
            </w:pPr>
            <w:r w:rsidRPr="00C54A19">
              <w:rPr>
                <w:rFonts w:ascii="Calibri" w:eastAsia="Times New Roman" w:hAnsi="Calibri" w:cs="Calibri"/>
                <w:b/>
                <w:color w:val="FFFFFF" w:themeColor="background2"/>
                <w:sz w:val="20"/>
                <w:szCs w:val="20"/>
                <w:lang w:eastAsia="en-AU"/>
              </w:rPr>
              <w:t>Proportion that claimed</w:t>
            </w:r>
          </w:p>
        </w:tc>
        <w:tc>
          <w:tcPr>
            <w:tcW w:w="2976" w:type="dxa"/>
            <w:tcBorders>
              <w:top w:val="nil"/>
              <w:left w:val="nil"/>
              <w:bottom w:val="nil"/>
              <w:right w:val="nil"/>
            </w:tcBorders>
            <w:shd w:val="clear" w:color="auto" w:fill="1E3D6B"/>
            <w:vAlign w:val="center"/>
            <w:hideMark/>
          </w:tcPr>
          <w:p w:rsidR="00B92253" w:rsidRPr="00C54A19" w:rsidRDefault="00B92253" w:rsidP="009A6E1B">
            <w:pPr>
              <w:spacing w:after="0" w:line="240" w:lineRule="auto"/>
              <w:jc w:val="center"/>
              <w:rPr>
                <w:rFonts w:ascii="Calibri" w:eastAsia="Times New Roman" w:hAnsi="Calibri" w:cs="Calibri"/>
                <w:b/>
                <w:bCs/>
                <w:color w:val="FFFFFF"/>
                <w:sz w:val="20"/>
                <w:szCs w:val="20"/>
                <w:lang w:eastAsia="en-AU"/>
              </w:rPr>
            </w:pPr>
            <w:r w:rsidRPr="00C54A19">
              <w:rPr>
                <w:rFonts w:ascii="Calibri" w:eastAsia="Times New Roman" w:hAnsi="Calibri" w:cs="Calibri"/>
                <w:b/>
                <w:bCs/>
                <w:color w:val="FFFFFF"/>
                <w:sz w:val="20"/>
                <w:szCs w:val="20"/>
                <w:lang w:eastAsia="en-AU"/>
              </w:rPr>
              <w:t xml:space="preserve">Compared to Year 12 or TAFE </w:t>
            </w:r>
          </w:p>
        </w:tc>
      </w:tr>
      <w:tr w:rsidR="00B92253" w:rsidRPr="00C3373F" w:rsidTr="003F16D0">
        <w:trPr>
          <w:trHeight w:val="510"/>
        </w:trPr>
        <w:tc>
          <w:tcPr>
            <w:tcW w:w="3276" w:type="dxa"/>
            <w:tcBorders>
              <w:top w:val="nil"/>
              <w:left w:val="nil"/>
              <w:bottom w:val="nil"/>
              <w:right w:val="nil"/>
            </w:tcBorders>
            <w:shd w:val="clear" w:color="auto" w:fill="FFFFFF" w:themeFill="background2"/>
            <w:noWrap/>
            <w:vAlign w:val="center"/>
          </w:tcPr>
          <w:p w:rsidR="00B92253" w:rsidRPr="00C54A19" w:rsidRDefault="00B92253" w:rsidP="009A6E1B">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Year 12/13 or TAFE/Diploma</w:t>
            </w:r>
          </w:p>
        </w:tc>
        <w:tc>
          <w:tcPr>
            <w:tcW w:w="2693" w:type="dxa"/>
            <w:tcBorders>
              <w:top w:val="nil"/>
              <w:left w:val="nil"/>
              <w:bottom w:val="nil"/>
              <w:right w:val="nil"/>
            </w:tcBorders>
            <w:shd w:val="clear" w:color="auto" w:fill="FFFFFF" w:themeFill="background2"/>
            <w:noWrap/>
            <w:vAlign w:val="center"/>
          </w:tcPr>
          <w:p w:rsidR="00B92253" w:rsidRPr="00C54A19" w:rsidRDefault="00C43F6F" w:rsidP="002712F4">
            <w:pPr>
              <w:spacing w:after="0" w:line="240" w:lineRule="auto"/>
              <w:ind w:right="743"/>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24.0</w:t>
            </w:r>
          </w:p>
        </w:tc>
        <w:tc>
          <w:tcPr>
            <w:tcW w:w="2976" w:type="dxa"/>
            <w:tcBorders>
              <w:top w:val="nil"/>
              <w:left w:val="nil"/>
              <w:bottom w:val="nil"/>
              <w:right w:val="nil"/>
            </w:tcBorders>
            <w:shd w:val="clear" w:color="auto" w:fill="FFFFFF" w:themeFill="background2"/>
            <w:noWrap/>
            <w:vAlign w:val="center"/>
          </w:tcPr>
          <w:p w:rsidR="00B92253" w:rsidRPr="00C54A19" w:rsidRDefault="00B92253" w:rsidP="009A6E1B">
            <w:pPr>
              <w:tabs>
                <w:tab w:val="left" w:pos="2018"/>
              </w:tabs>
              <w:spacing w:after="0" w:line="240" w:lineRule="auto"/>
              <w:ind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w:t>
            </w:r>
          </w:p>
        </w:tc>
      </w:tr>
      <w:tr w:rsidR="00B92253" w:rsidRPr="007826D0" w:rsidTr="003F16D0">
        <w:trPr>
          <w:trHeight w:val="510"/>
        </w:trPr>
        <w:tc>
          <w:tcPr>
            <w:tcW w:w="3276" w:type="dxa"/>
            <w:tcBorders>
              <w:top w:val="nil"/>
              <w:left w:val="nil"/>
              <w:bottom w:val="nil"/>
              <w:right w:val="nil"/>
            </w:tcBorders>
            <w:shd w:val="clear" w:color="auto" w:fill="E5E5E5" w:themeFill="background1" w:themeFillTint="33"/>
            <w:noWrap/>
            <w:vAlign w:val="center"/>
            <w:hideMark/>
          </w:tcPr>
          <w:p w:rsidR="00B92253" w:rsidRPr="00C54A19" w:rsidRDefault="00B92253" w:rsidP="009A6E1B">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Less than Year 10</w:t>
            </w:r>
          </w:p>
        </w:tc>
        <w:tc>
          <w:tcPr>
            <w:tcW w:w="2693" w:type="dxa"/>
            <w:tcBorders>
              <w:top w:val="nil"/>
              <w:left w:val="nil"/>
              <w:bottom w:val="nil"/>
              <w:right w:val="nil"/>
            </w:tcBorders>
            <w:shd w:val="clear" w:color="auto" w:fill="E5E5E5" w:themeFill="background1" w:themeFillTint="33"/>
            <w:noWrap/>
            <w:vAlign w:val="center"/>
            <w:hideMark/>
          </w:tcPr>
          <w:p w:rsidR="00B92253" w:rsidRPr="00C54A19" w:rsidRDefault="00C43F6F" w:rsidP="002712F4">
            <w:pPr>
              <w:spacing w:after="0" w:line="240" w:lineRule="auto"/>
              <w:ind w:right="743"/>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15.1</w:t>
            </w:r>
          </w:p>
        </w:tc>
        <w:tc>
          <w:tcPr>
            <w:tcW w:w="2976" w:type="dxa"/>
            <w:tcBorders>
              <w:top w:val="nil"/>
              <w:left w:val="nil"/>
              <w:bottom w:val="nil"/>
              <w:right w:val="nil"/>
            </w:tcBorders>
            <w:shd w:val="clear" w:color="auto" w:fill="E5E5E5" w:themeFill="background1" w:themeFillTint="33"/>
            <w:noWrap/>
            <w:vAlign w:val="center"/>
            <w:hideMark/>
          </w:tcPr>
          <w:p w:rsidR="00B92253" w:rsidRPr="00C54A19" w:rsidRDefault="00B92253" w:rsidP="009A6E1B">
            <w:pPr>
              <w:tabs>
                <w:tab w:val="left" w:pos="2018"/>
              </w:tabs>
              <w:spacing w:after="0" w:line="240" w:lineRule="auto"/>
              <w:ind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-5.2*</w:t>
            </w:r>
          </w:p>
        </w:tc>
      </w:tr>
      <w:tr w:rsidR="00B92253" w:rsidRPr="007826D0" w:rsidTr="003F16D0">
        <w:trPr>
          <w:trHeight w:val="510"/>
        </w:trPr>
        <w:tc>
          <w:tcPr>
            <w:tcW w:w="3276" w:type="dxa"/>
            <w:tcBorders>
              <w:top w:val="nil"/>
              <w:left w:val="nil"/>
              <w:bottom w:val="nil"/>
              <w:right w:val="nil"/>
            </w:tcBorders>
            <w:shd w:val="clear" w:color="auto" w:fill="FFFFFF" w:themeFill="background2"/>
            <w:noWrap/>
            <w:vAlign w:val="center"/>
            <w:hideMark/>
          </w:tcPr>
          <w:p w:rsidR="00B92253" w:rsidRPr="00C54A19" w:rsidRDefault="00B92253" w:rsidP="009A6E1B">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Year 10/11</w:t>
            </w:r>
          </w:p>
        </w:tc>
        <w:tc>
          <w:tcPr>
            <w:tcW w:w="2693" w:type="dxa"/>
            <w:tcBorders>
              <w:top w:val="nil"/>
              <w:left w:val="nil"/>
              <w:bottom w:val="nil"/>
              <w:right w:val="nil"/>
            </w:tcBorders>
            <w:shd w:val="clear" w:color="auto" w:fill="FFFFFF" w:themeFill="background2"/>
            <w:noWrap/>
            <w:vAlign w:val="center"/>
            <w:hideMark/>
          </w:tcPr>
          <w:p w:rsidR="00B92253" w:rsidRPr="00C54A19" w:rsidRDefault="00C43F6F" w:rsidP="002712F4">
            <w:pPr>
              <w:spacing w:after="0" w:line="240" w:lineRule="auto"/>
              <w:ind w:right="743"/>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17.6</w:t>
            </w:r>
          </w:p>
        </w:tc>
        <w:tc>
          <w:tcPr>
            <w:tcW w:w="2976" w:type="dxa"/>
            <w:tcBorders>
              <w:top w:val="nil"/>
              <w:left w:val="nil"/>
              <w:bottom w:val="nil"/>
              <w:right w:val="nil"/>
            </w:tcBorders>
            <w:shd w:val="clear" w:color="auto" w:fill="FFFFFF" w:themeFill="background2"/>
            <w:noWrap/>
            <w:vAlign w:val="center"/>
            <w:hideMark/>
          </w:tcPr>
          <w:p w:rsidR="00B92253" w:rsidRPr="00C54A19" w:rsidRDefault="00B92253" w:rsidP="009A6E1B">
            <w:pPr>
              <w:tabs>
                <w:tab w:val="left" w:pos="2018"/>
              </w:tabs>
              <w:spacing w:after="0" w:line="240" w:lineRule="auto"/>
              <w:ind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-3.3*</w:t>
            </w:r>
          </w:p>
        </w:tc>
      </w:tr>
      <w:tr w:rsidR="00B92253" w:rsidRPr="007826D0" w:rsidTr="003F16D0">
        <w:trPr>
          <w:trHeight w:val="510"/>
        </w:trPr>
        <w:tc>
          <w:tcPr>
            <w:tcW w:w="3276" w:type="dxa"/>
            <w:tcBorders>
              <w:top w:val="nil"/>
              <w:left w:val="nil"/>
              <w:bottom w:val="nil"/>
              <w:right w:val="nil"/>
            </w:tcBorders>
            <w:shd w:val="clear" w:color="auto" w:fill="E5E5E5" w:themeFill="background1" w:themeFillTint="33"/>
            <w:noWrap/>
            <w:vAlign w:val="center"/>
            <w:hideMark/>
          </w:tcPr>
          <w:p w:rsidR="00B92253" w:rsidRPr="00C54A19" w:rsidRDefault="00B92253" w:rsidP="009A6E1B">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Degree or equivalent</w:t>
            </w:r>
          </w:p>
        </w:tc>
        <w:tc>
          <w:tcPr>
            <w:tcW w:w="2693" w:type="dxa"/>
            <w:tcBorders>
              <w:top w:val="nil"/>
              <w:left w:val="nil"/>
              <w:bottom w:val="nil"/>
              <w:right w:val="nil"/>
            </w:tcBorders>
            <w:shd w:val="clear" w:color="auto" w:fill="E5E5E5" w:themeFill="background1" w:themeFillTint="33"/>
            <w:noWrap/>
            <w:vAlign w:val="center"/>
            <w:hideMark/>
          </w:tcPr>
          <w:p w:rsidR="00B92253" w:rsidRPr="00C54A19" w:rsidRDefault="00C43F6F" w:rsidP="002712F4">
            <w:pPr>
              <w:spacing w:after="0" w:line="240" w:lineRule="auto"/>
              <w:ind w:right="743"/>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31.2</w:t>
            </w:r>
          </w:p>
        </w:tc>
        <w:tc>
          <w:tcPr>
            <w:tcW w:w="2976" w:type="dxa"/>
            <w:tcBorders>
              <w:top w:val="nil"/>
              <w:left w:val="nil"/>
              <w:bottom w:val="nil"/>
              <w:right w:val="nil"/>
            </w:tcBorders>
            <w:shd w:val="clear" w:color="auto" w:fill="E5E5E5" w:themeFill="background1" w:themeFillTint="33"/>
            <w:noWrap/>
            <w:vAlign w:val="center"/>
            <w:hideMark/>
          </w:tcPr>
          <w:p w:rsidR="00B92253" w:rsidRPr="00C54A19" w:rsidRDefault="00B92253" w:rsidP="009A6E1B">
            <w:pPr>
              <w:tabs>
                <w:tab w:val="left" w:pos="2018"/>
              </w:tabs>
              <w:spacing w:after="0" w:line="240" w:lineRule="auto"/>
              <w:ind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7.2*</w:t>
            </w:r>
          </w:p>
        </w:tc>
      </w:tr>
      <w:tr w:rsidR="00B92253" w:rsidRPr="007826D0" w:rsidTr="003F16D0">
        <w:trPr>
          <w:trHeight w:val="510"/>
        </w:trPr>
        <w:tc>
          <w:tcPr>
            <w:tcW w:w="3276" w:type="dxa"/>
            <w:tcBorders>
              <w:top w:val="nil"/>
              <w:left w:val="nil"/>
              <w:bottom w:val="nil"/>
              <w:right w:val="nil"/>
            </w:tcBorders>
            <w:shd w:val="clear" w:color="auto" w:fill="8EAEDE"/>
            <w:noWrap/>
            <w:vAlign w:val="center"/>
            <w:hideMark/>
          </w:tcPr>
          <w:p w:rsidR="00B92253" w:rsidRPr="00C54A19" w:rsidRDefault="00B92253" w:rsidP="009A6E1B">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TOTAL</w:t>
            </w:r>
          </w:p>
        </w:tc>
        <w:tc>
          <w:tcPr>
            <w:tcW w:w="2693" w:type="dxa"/>
            <w:tcBorders>
              <w:top w:val="nil"/>
              <w:left w:val="nil"/>
              <w:bottom w:val="nil"/>
              <w:right w:val="nil"/>
            </w:tcBorders>
            <w:shd w:val="clear" w:color="auto" w:fill="8EAEDE"/>
            <w:noWrap/>
            <w:vAlign w:val="center"/>
            <w:hideMark/>
          </w:tcPr>
          <w:p w:rsidR="00B92253" w:rsidRPr="00C54A19" w:rsidRDefault="00F22D7E" w:rsidP="002712F4">
            <w:pPr>
              <w:spacing w:after="0" w:line="240" w:lineRule="auto"/>
              <w:ind w:right="743"/>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w:t>
            </w:r>
            <w:r w:rsidR="00C43F6F" w:rsidRPr="00C54A19">
              <w:rPr>
                <w:rFonts w:ascii="Calibri" w:eastAsia="Times New Roman" w:hAnsi="Calibri" w:cs="Calibri"/>
                <w:color w:val="000000"/>
                <w:sz w:val="20"/>
                <w:szCs w:val="20"/>
                <w:lang w:eastAsia="en-AU"/>
              </w:rPr>
              <w:t>1</w:t>
            </w:r>
            <w:r w:rsidRPr="00C54A19">
              <w:rPr>
                <w:rFonts w:ascii="Calibri" w:eastAsia="Times New Roman" w:hAnsi="Calibri" w:cs="Calibri"/>
                <w:color w:val="000000"/>
                <w:sz w:val="20"/>
                <w:szCs w:val="20"/>
                <w:lang w:eastAsia="en-AU"/>
              </w:rPr>
              <w:t>.4</w:t>
            </w:r>
          </w:p>
        </w:tc>
        <w:tc>
          <w:tcPr>
            <w:tcW w:w="2976" w:type="dxa"/>
            <w:tcBorders>
              <w:top w:val="nil"/>
              <w:left w:val="nil"/>
              <w:bottom w:val="nil"/>
              <w:right w:val="nil"/>
            </w:tcBorders>
            <w:shd w:val="clear" w:color="auto" w:fill="8EAEDE"/>
            <w:noWrap/>
            <w:vAlign w:val="center"/>
            <w:hideMark/>
          </w:tcPr>
          <w:p w:rsidR="00B92253" w:rsidRPr="00C54A19" w:rsidRDefault="00B92253" w:rsidP="009A6E1B">
            <w:pPr>
              <w:tabs>
                <w:tab w:val="left" w:pos="2018"/>
              </w:tabs>
              <w:spacing w:after="0" w:line="240" w:lineRule="auto"/>
              <w:ind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-0.3</w:t>
            </w:r>
            <w:r w:rsidR="00F22D7E" w:rsidRPr="00C54A19">
              <w:rPr>
                <w:rFonts w:ascii="Calibri" w:eastAsia="Times New Roman" w:hAnsi="Calibri" w:cs="Calibri"/>
                <w:color w:val="000000"/>
                <w:sz w:val="20"/>
                <w:szCs w:val="20"/>
                <w:lang w:eastAsia="en-AU"/>
              </w:rPr>
              <w:t>*</w:t>
            </w:r>
          </w:p>
        </w:tc>
      </w:tr>
    </w:tbl>
    <w:p w:rsidR="00B92253" w:rsidRPr="00B92253" w:rsidRDefault="00B92253" w:rsidP="00B92253">
      <w:pPr>
        <w:pStyle w:val="Source"/>
        <w:rPr>
          <w:b w:val="0"/>
        </w:rPr>
      </w:pPr>
      <w:r>
        <w:rPr>
          <w:b w:val="0"/>
        </w:rPr>
        <w:t xml:space="preserve">* </w:t>
      </w:r>
      <w:r w:rsidRPr="00B92253">
        <w:rPr>
          <w:b w:val="0"/>
        </w:rPr>
        <w:t>Statistically significant difference compared to Year 12 or TAFE claim rate</w:t>
      </w:r>
    </w:p>
    <w:p w:rsidR="00B92253" w:rsidRDefault="00B92253" w:rsidP="00B92253">
      <w:pPr>
        <w:pStyle w:val="Source"/>
        <w:rPr>
          <w:b w:val="0"/>
        </w:rPr>
      </w:pPr>
      <w:r w:rsidRPr="003A4B00">
        <w:t xml:space="preserve">Source: </w:t>
      </w:r>
      <w:r w:rsidRPr="003A4B00">
        <w:rPr>
          <w:b w:val="0"/>
        </w:rPr>
        <w:t xml:space="preserve">DHS and </w:t>
      </w:r>
      <w:r w:rsidR="00F458F7">
        <w:rPr>
          <w:b w:val="0"/>
        </w:rPr>
        <w:t>DoE</w:t>
      </w:r>
      <w:r w:rsidRPr="003A4B00">
        <w:rPr>
          <w:b w:val="0"/>
        </w:rPr>
        <w:t xml:space="preserve"> monitoring data.</w:t>
      </w:r>
    </w:p>
    <w:p w:rsidR="00683705" w:rsidRPr="003A4B00" w:rsidRDefault="00683705" w:rsidP="00683705">
      <w:pPr>
        <w:pStyle w:val="Source"/>
        <w:spacing w:before="120"/>
        <w:rPr>
          <w:b w:val="0"/>
        </w:rPr>
      </w:pPr>
      <w:r>
        <w:rPr>
          <w:b w:val="0"/>
        </w:rPr>
        <w:t xml:space="preserve">Return to </w:t>
      </w:r>
      <w:hyperlink w:anchor="Place_F2" w:history="1">
        <w:r w:rsidRPr="00683705">
          <w:rPr>
            <w:rStyle w:val="Hyperlink"/>
            <w:b w:val="0"/>
          </w:rPr>
          <w:t>Figure 3.3</w:t>
        </w:r>
      </w:hyperlink>
      <w:r>
        <w:rPr>
          <w:b w:val="0"/>
        </w:rPr>
        <w:t>.</w:t>
      </w:r>
    </w:p>
    <w:p w:rsidR="002712F4" w:rsidRPr="00D83A7E" w:rsidRDefault="00603A49" w:rsidP="00683705">
      <w:pPr>
        <w:pStyle w:val="TableCaption"/>
        <w:spacing w:before="480"/>
      </w:pPr>
      <w:bookmarkStart w:id="258" w:name="_Toc507600319"/>
      <w:r>
        <w:t>Table F</w:t>
      </w:r>
      <w:r w:rsidR="00965FBD">
        <w:t>.</w:t>
      </w:r>
      <w:r w:rsidR="00B75730">
        <w:t>3</w:t>
      </w:r>
      <w:r w:rsidR="002712F4" w:rsidRPr="00D83A7E">
        <w:t>: Proportion of those who were potentially eligible who lodged a claim by selected demographics (per cent)</w:t>
      </w:r>
      <w:bookmarkEnd w:id="258"/>
    </w:p>
    <w:tbl>
      <w:tblPr>
        <w:tblW w:w="8946" w:type="dxa"/>
        <w:tblInd w:w="93" w:type="dxa"/>
        <w:tblLook w:val="04A0" w:firstRow="1" w:lastRow="0" w:firstColumn="1" w:lastColumn="0" w:noHBand="0" w:noVBand="1"/>
      </w:tblPr>
      <w:tblGrid>
        <w:gridCol w:w="6320"/>
        <w:gridCol w:w="2626"/>
      </w:tblGrid>
      <w:tr w:rsidR="002712F4" w:rsidRPr="002712F4" w:rsidTr="003F16D0">
        <w:trPr>
          <w:trHeight w:hRule="exact" w:val="510"/>
          <w:tblHeader/>
        </w:trPr>
        <w:tc>
          <w:tcPr>
            <w:tcW w:w="6320" w:type="dxa"/>
            <w:shd w:val="clear" w:color="auto" w:fill="1E3D6B"/>
            <w:noWrap/>
            <w:vAlign w:val="center"/>
          </w:tcPr>
          <w:p w:rsidR="002712F4" w:rsidRPr="00C54A19" w:rsidRDefault="00BB27F4" w:rsidP="00BB27F4">
            <w:pPr>
              <w:spacing w:after="0" w:line="240" w:lineRule="auto"/>
              <w:rPr>
                <w:rFonts w:ascii="Calibri" w:eastAsia="Times New Roman" w:hAnsi="Calibri" w:cs="Calibri"/>
                <w:b/>
                <w:color w:val="FFFFFF" w:themeColor="background2"/>
                <w:sz w:val="20"/>
                <w:szCs w:val="20"/>
                <w:lang w:eastAsia="en-AU"/>
              </w:rPr>
            </w:pPr>
            <w:bookmarkStart w:id="259" w:name="Title_F3"/>
            <w:bookmarkEnd w:id="259"/>
            <w:r w:rsidRPr="00C54A19">
              <w:rPr>
                <w:rFonts w:ascii="Calibri" w:eastAsia="Times New Roman" w:hAnsi="Calibri" w:cs="Calibri"/>
                <w:b/>
                <w:color w:val="FFFFFF" w:themeColor="background2"/>
                <w:sz w:val="20"/>
                <w:szCs w:val="20"/>
                <w:lang w:eastAsia="en-AU"/>
              </w:rPr>
              <w:t>Demographic c</w:t>
            </w:r>
            <w:r w:rsidR="002712F4" w:rsidRPr="00C54A19">
              <w:rPr>
                <w:rFonts w:ascii="Calibri" w:eastAsia="Times New Roman" w:hAnsi="Calibri" w:cs="Calibri"/>
                <w:b/>
                <w:color w:val="FFFFFF" w:themeColor="background2"/>
                <w:sz w:val="20"/>
                <w:szCs w:val="20"/>
                <w:lang w:eastAsia="en-AU"/>
              </w:rPr>
              <w:t>haracteristic</w:t>
            </w:r>
          </w:p>
        </w:tc>
        <w:tc>
          <w:tcPr>
            <w:tcW w:w="2626" w:type="dxa"/>
            <w:shd w:val="clear" w:color="auto" w:fill="1E3D6B"/>
            <w:noWrap/>
            <w:vAlign w:val="center"/>
          </w:tcPr>
          <w:p w:rsidR="002712F4" w:rsidRPr="00C54A19" w:rsidRDefault="002712F4" w:rsidP="00C43F6F">
            <w:pPr>
              <w:spacing w:after="0" w:line="240" w:lineRule="auto"/>
              <w:jc w:val="right"/>
              <w:rPr>
                <w:rFonts w:ascii="Calibri" w:eastAsia="Times New Roman" w:hAnsi="Calibri" w:cs="Calibri"/>
                <w:b/>
                <w:color w:val="FFFFFF" w:themeColor="background2"/>
                <w:sz w:val="20"/>
                <w:szCs w:val="20"/>
                <w:lang w:eastAsia="en-AU"/>
              </w:rPr>
            </w:pPr>
            <w:r w:rsidRPr="00C54A19">
              <w:rPr>
                <w:rFonts w:ascii="Calibri" w:eastAsia="Times New Roman" w:hAnsi="Calibri" w:cs="Calibri"/>
                <w:b/>
                <w:color w:val="FFFFFF" w:themeColor="background2"/>
                <w:sz w:val="20"/>
                <w:szCs w:val="20"/>
                <w:lang w:eastAsia="en-AU"/>
              </w:rPr>
              <w:t>Proportion that claimed</w:t>
            </w:r>
          </w:p>
        </w:tc>
      </w:tr>
      <w:tr w:rsidR="00C43F6F" w:rsidRPr="00C43F6F" w:rsidTr="002712F4">
        <w:trPr>
          <w:trHeight w:hRule="exact" w:val="510"/>
        </w:trPr>
        <w:tc>
          <w:tcPr>
            <w:tcW w:w="6320" w:type="dxa"/>
            <w:shd w:val="clear" w:color="auto" w:fill="auto"/>
            <w:noWrap/>
            <w:vAlign w:val="center"/>
            <w:hideMark/>
          </w:tcPr>
          <w:p w:rsidR="00C43F6F" w:rsidRPr="00C54A19" w:rsidRDefault="00C43F6F" w:rsidP="00C43F6F">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Indigenous</w:t>
            </w:r>
          </w:p>
        </w:tc>
        <w:tc>
          <w:tcPr>
            <w:tcW w:w="2626" w:type="dxa"/>
            <w:shd w:val="clear" w:color="auto" w:fill="auto"/>
            <w:noWrap/>
            <w:vAlign w:val="center"/>
            <w:hideMark/>
          </w:tcPr>
          <w:p w:rsidR="00C43F6F" w:rsidRPr="00C54A19" w:rsidRDefault="00C43F6F" w:rsidP="002712F4">
            <w:pPr>
              <w:spacing w:after="0" w:line="240" w:lineRule="auto"/>
              <w:ind w:right="743"/>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14.8</w:t>
            </w:r>
          </w:p>
        </w:tc>
      </w:tr>
      <w:tr w:rsidR="00C43F6F" w:rsidRPr="00C43F6F" w:rsidTr="002712F4">
        <w:trPr>
          <w:trHeight w:hRule="exact" w:val="510"/>
        </w:trPr>
        <w:tc>
          <w:tcPr>
            <w:tcW w:w="6320" w:type="dxa"/>
            <w:shd w:val="clear" w:color="auto" w:fill="E5E5E5" w:themeFill="background1" w:themeFillTint="33"/>
            <w:noWrap/>
            <w:vAlign w:val="center"/>
            <w:hideMark/>
          </w:tcPr>
          <w:p w:rsidR="00C43F6F" w:rsidRPr="00C54A19" w:rsidRDefault="00C43F6F" w:rsidP="00C43F6F">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Single parents</w:t>
            </w:r>
          </w:p>
        </w:tc>
        <w:tc>
          <w:tcPr>
            <w:tcW w:w="2626" w:type="dxa"/>
            <w:shd w:val="clear" w:color="auto" w:fill="E5E5E5" w:themeFill="background1" w:themeFillTint="33"/>
            <w:noWrap/>
            <w:vAlign w:val="center"/>
            <w:hideMark/>
          </w:tcPr>
          <w:p w:rsidR="00C43F6F" w:rsidRPr="00C54A19" w:rsidRDefault="00C43F6F" w:rsidP="002712F4">
            <w:pPr>
              <w:spacing w:after="0" w:line="240" w:lineRule="auto"/>
              <w:ind w:right="743"/>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41.0</w:t>
            </w:r>
          </w:p>
        </w:tc>
      </w:tr>
      <w:tr w:rsidR="00C43F6F" w:rsidRPr="00C43F6F" w:rsidTr="002712F4">
        <w:trPr>
          <w:trHeight w:hRule="exact" w:val="510"/>
        </w:trPr>
        <w:tc>
          <w:tcPr>
            <w:tcW w:w="6320" w:type="dxa"/>
            <w:shd w:val="clear" w:color="auto" w:fill="auto"/>
            <w:noWrap/>
            <w:vAlign w:val="center"/>
            <w:hideMark/>
          </w:tcPr>
          <w:p w:rsidR="00C43F6F" w:rsidRPr="00C54A19" w:rsidRDefault="00C43F6F" w:rsidP="00C43F6F">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With disability</w:t>
            </w:r>
          </w:p>
        </w:tc>
        <w:tc>
          <w:tcPr>
            <w:tcW w:w="2626" w:type="dxa"/>
            <w:shd w:val="clear" w:color="auto" w:fill="auto"/>
            <w:noWrap/>
            <w:vAlign w:val="center"/>
            <w:hideMark/>
          </w:tcPr>
          <w:p w:rsidR="00C43F6F" w:rsidRPr="00C54A19" w:rsidRDefault="00C43F6F" w:rsidP="002712F4">
            <w:pPr>
              <w:spacing w:after="0" w:line="240" w:lineRule="auto"/>
              <w:ind w:right="743"/>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22.7</w:t>
            </w:r>
          </w:p>
        </w:tc>
      </w:tr>
      <w:tr w:rsidR="00C43F6F" w:rsidRPr="00C43F6F" w:rsidTr="002712F4">
        <w:trPr>
          <w:trHeight w:hRule="exact" w:val="510"/>
        </w:trPr>
        <w:tc>
          <w:tcPr>
            <w:tcW w:w="6320" w:type="dxa"/>
            <w:shd w:val="clear" w:color="auto" w:fill="E5E5E5" w:themeFill="background1" w:themeFillTint="33"/>
            <w:noWrap/>
            <w:vAlign w:val="center"/>
            <w:hideMark/>
          </w:tcPr>
          <w:p w:rsidR="00C43F6F" w:rsidRPr="00C54A19" w:rsidRDefault="00C43F6F" w:rsidP="00C43F6F">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Ex-offenders</w:t>
            </w:r>
          </w:p>
        </w:tc>
        <w:tc>
          <w:tcPr>
            <w:tcW w:w="2626" w:type="dxa"/>
            <w:shd w:val="clear" w:color="auto" w:fill="E5E5E5" w:themeFill="background1" w:themeFillTint="33"/>
            <w:noWrap/>
            <w:vAlign w:val="center"/>
            <w:hideMark/>
          </w:tcPr>
          <w:p w:rsidR="00C43F6F" w:rsidRPr="00C54A19" w:rsidRDefault="00C43F6F" w:rsidP="002712F4">
            <w:pPr>
              <w:spacing w:after="0" w:line="240" w:lineRule="auto"/>
              <w:ind w:right="743"/>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13.5</w:t>
            </w:r>
          </w:p>
        </w:tc>
      </w:tr>
      <w:tr w:rsidR="00C43F6F" w:rsidRPr="00C43F6F" w:rsidTr="002712F4">
        <w:trPr>
          <w:trHeight w:hRule="exact" w:val="510"/>
        </w:trPr>
        <w:tc>
          <w:tcPr>
            <w:tcW w:w="6320" w:type="dxa"/>
            <w:shd w:val="clear" w:color="auto" w:fill="auto"/>
            <w:noWrap/>
            <w:vAlign w:val="center"/>
            <w:hideMark/>
          </w:tcPr>
          <w:p w:rsidR="00C43F6F" w:rsidRPr="00C54A19" w:rsidRDefault="00C43F6F" w:rsidP="00C43F6F">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Not contactable by telephone</w:t>
            </w:r>
          </w:p>
        </w:tc>
        <w:tc>
          <w:tcPr>
            <w:tcW w:w="2626" w:type="dxa"/>
            <w:shd w:val="clear" w:color="auto" w:fill="auto"/>
            <w:noWrap/>
            <w:vAlign w:val="center"/>
            <w:hideMark/>
          </w:tcPr>
          <w:p w:rsidR="00C43F6F" w:rsidRPr="00C54A19" w:rsidRDefault="00C43F6F" w:rsidP="002712F4">
            <w:pPr>
              <w:spacing w:after="0" w:line="240" w:lineRule="auto"/>
              <w:ind w:right="743"/>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12.3</w:t>
            </w:r>
          </w:p>
        </w:tc>
      </w:tr>
      <w:tr w:rsidR="00C43F6F" w:rsidRPr="00C43F6F" w:rsidTr="002712F4">
        <w:trPr>
          <w:trHeight w:hRule="exact" w:val="510"/>
        </w:trPr>
        <w:tc>
          <w:tcPr>
            <w:tcW w:w="6320" w:type="dxa"/>
            <w:shd w:val="clear" w:color="auto" w:fill="E5E5E5" w:themeFill="background1" w:themeFillTint="33"/>
            <w:noWrap/>
            <w:vAlign w:val="center"/>
            <w:hideMark/>
          </w:tcPr>
          <w:p w:rsidR="00C43F6F" w:rsidRPr="00C54A19" w:rsidRDefault="00C43F6F" w:rsidP="00C43F6F">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No transport</w:t>
            </w:r>
          </w:p>
        </w:tc>
        <w:tc>
          <w:tcPr>
            <w:tcW w:w="2626" w:type="dxa"/>
            <w:shd w:val="clear" w:color="auto" w:fill="E5E5E5" w:themeFill="background1" w:themeFillTint="33"/>
            <w:noWrap/>
            <w:vAlign w:val="center"/>
            <w:hideMark/>
          </w:tcPr>
          <w:p w:rsidR="00C43F6F" w:rsidRPr="00C54A19" w:rsidRDefault="00C43F6F" w:rsidP="002712F4">
            <w:pPr>
              <w:spacing w:after="0" w:line="240" w:lineRule="auto"/>
              <w:ind w:right="743"/>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15.9</w:t>
            </w:r>
          </w:p>
        </w:tc>
      </w:tr>
      <w:tr w:rsidR="00C43F6F" w:rsidRPr="00C43F6F" w:rsidTr="002712F4">
        <w:trPr>
          <w:trHeight w:hRule="exact" w:val="510"/>
        </w:trPr>
        <w:tc>
          <w:tcPr>
            <w:tcW w:w="6320" w:type="dxa"/>
            <w:shd w:val="clear" w:color="auto" w:fill="auto"/>
            <w:noWrap/>
            <w:vAlign w:val="center"/>
            <w:hideMark/>
          </w:tcPr>
          <w:p w:rsidR="00C43F6F" w:rsidRPr="00C54A19" w:rsidRDefault="00C43F6F" w:rsidP="00C43F6F">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Unstable residence</w:t>
            </w:r>
          </w:p>
        </w:tc>
        <w:tc>
          <w:tcPr>
            <w:tcW w:w="2626" w:type="dxa"/>
            <w:shd w:val="clear" w:color="auto" w:fill="auto"/>
            <w:noWrap/>
            <w:vAlign w:val="center"/>
            <w:hideMark/>
          </w:tcPr>
          <w:p w:rsidR="00C43F6F" w:rsidRPr="00C54A19" w:rsidRDefault="00C43F6F" w:rsidP="002712F4">
            <w:pPr>
              <w:spacing w:after="0" w:line="240" w:lineRule="auto"/>
              <w:ind w:right="743"/>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17.9</w:t>
            </w:r>
          </w:p>
        </w:tc>
      </w:tr>
      <w:tr w:rsidR="00C43F6F" w:rsidRPr="00C43F6F" w:rsidTr="002712F4">
        <w:trPr>
          <w:trHeight w:hRule="exact" w:val="510"/>
        </w:trPr>
        <w:tc>
          <w:tcPr>
            <w:tcW w:w="6320" w:type="dxa"/>
            <w:shd w:val="clear" w:color="auto" w:fill="E5E5E5" w:themeFill="background1" w:themeFillTint="33"/>
            <w:noWrap/>
            <w:vAlign w:val="center"/>
            <w:hideMark/>
          </w:tcPr>
          <w:p w:rsidR="00C43F6F" w:rsidRPr="00C54A19" w:rsidRDefault="00C43F6F" w:rsidP="00C43F6F">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Poor/Mixed English Proficiency</w:t>
            </w:r>
          </w:p>
        </w:tc>
        <w:tc>
          <w:tcPr>
            <w:tcW w:w="2626" w:type="dxa"/>
            <w:shd w:val="clear" w:color="auto" w:fill="E5E5E5" w:themeFill="background1" w:themeFillTint="33"/>
            <w:noWrap/>
            <w:vAlign w:val="center"/>
            <w:hideMark/>
          </w:tcPr>
          <w:p w:rsidR="00C43F6F" w:rsidRPr="00C54A19" w:rsidRDefault="00C43F6F" w:rsidP="002712F4">
            <w:pPr>
              <w:spacing w:after="0" w:line="240" w:lineRule="auto"/>
              <w:ind w:right="743"/>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15.1</w:t>
            </w:r>
          </w:p>
        </w:tc>
      </w:tr>
      <w:tr w:rsidR="00C43F6F" w:rsidRPr="00C43F6F" w:rsidTr="002712F4">
        <w:trPr>
          <w:trHeight w:hRule="exact" w:val="510"/>
        </w:trPr>
        <w:tc>
          <w:tcPr>
            <w:tcW w:w="6320" w:type="dxa"/>
            <w:shd w:val="clear" w:color="auto" w:fill="auto"/>
            <w:noWrap/>
            <w:vAlign w:val="center"/>
            <w:hideMark/>
          </w:tcPr>
          <w:p w:rsidR="00C43F6F" w:rsidRPr="00C54A19" w:rsidRDefault="00C43F6F" w:rsidP="00C43F6F">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CALD</w:t>
            </w:r>
          </w:p>
        </w:tc>
        <w:tc>
          <w:tcPr>
            <w:tcW w:w="2626" w:type="dxa"/>
            <w:shd w:val="clear" w:color="auto" w:fill="auto"/>
            <w:noWrap/>
            <w:vAlign w:val="center"/>
            <w:hideMark/>
          </w:tcPr>
          <w:p w:rsidR="00C43F6F" w:rsidRPr="00C54A19" w:rsidRDefault="00C43F6F" w:rsidP="002712F4">
            <w:pPr>
              <w:spacing w:after="0" w:line="240" w:lineRule="auto"/>
              <w:ind w:right="743"/>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21.5</w:t>
            </w:r>
          </w:p>
        </w:tc>
      </w:tr>
      <w:tr w:rsidR="00C43F6F" w:rsidRPr="00C43F6F" w:rsidTr="002712F4">
        <w:trPr>
          <w:trHeight w:hRule="exact" w:val="510"/>
        </w:trPr>
        <w:tc>
          <w:tcPr>
            <w:tcW w:w="6320" w:type="dxa"/>
            <w:shd w:val="clear" w:color="auto" w:fill="8EAEDE"/>
            <w:noWrap/>
            <w:vAlign w:val="center"/>
            <w:hideMark/>
          </w:tcPr>
          <w:p w:rsidR="00C43F6F" w:rsidRPr="00C54A19" w:rsidRDefault="00C43F6F" w:rsidP="00C43F6F">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Overall</w:t>
            </w:r>
          </w:p>
        </w:tc>
        <w:tc>
          <w:tcPr>
            <w:tcW w:w="2626" w:type="dxa"/>
            <w:shd w:val="clear" w:color="auto" w:fill="8EAEDE"/>
            <w:noWrap/>
            <w:vAlign w:val="center"/>
            <w:hideMark/>
          </w:tcPr>
          <w:p w:rsidR="00C43F6F" w:rsidRPr="00C54A19" w:rsidRDefault="00C43F6F" w:rsidP="002712F4">
            <w:pPr>
              <w:spacing w:after="0" w:line="240" w:lineRule="auto"/>
              <w:ind w:right="743"/>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21.4</w:t>
            </w:r>
          </w:p>
        </w:tc>
      </w:tr>
    </w:tbl>
    <w:p w:rsidR="002712F4" w:rsidRPr="003A4B00" w:rsidRDefault="002712F4" w:rsidP="002712F4">
      <w:pPr>
        <w:pStyle w:val="Source"/>
        <w:rPr>
          <w:b w:val="0"/>
        </w:rPr>
      </w:pPr>
      <w:r w:rsidRPr="003A4B00">
        <w:t xml:space="preserve">Source: </w:t>
      </w:r>
      <w:r w:rsidRPr="003A4B00">
        <w:rPr>
          <w:b w:val="0"/>
        </w:rPr>
        <w:t xml:space="preserve">DHS and </w:t>
      </w:r>
      <w:r w:rsidR="00F458F7">
        <w:rPr>
          <w:b w:val="0"/>
        </w:rPr>
        <w:t>DoE</w:t>
      </w:r>
      <w:r w:rsidRPr="003A4B00">
        <w:rPr>
          <w:b w:val="0"/>
        </w:rPr>
        <w:t xml:space="preserve"> monitoring data.</w:t>
      </w:r>
    </w:p>
    <w:p w:rsidR="00683705" w:rsidRPr="003A4B00" w:rsidRDefault="00683705" w:rsidP="00683705">
      <w:pPr>
        <w:pStyle w:val="Source"/>
        <w:spacing w:before="120"/>
        <w:rPr>
          <w:b w:val="0"/>
        </w:rPr>
      </w:pPr>
      <w:r>
        <w:rPr>
          <w:b w:val="0"/>
        </w:rPr>
        <w:t xml:space="preserve">Return to </w:t>
      </w:r>
      <w:hyperlink w:anchor="Place_F3" w:history="1">
        <w:r w:rsidRPr="00683705">
          <w:rPr>
            <w:rStyle w:val="Hyperlink"/>
            <w:b w:val="0"/>
          </w:rPr>
          <w:t>Figure 3.4</w:t>
        </w:r>
      </w:hyperlink>
      <w:r>
        <w:rPr>
          <w:b w:val="0"/>
        </w:rPr>
        <w:t>.</w:t>
      </w:r>
    </w:p>
    <w:p w:rsidR="002712F4" w:rsidRDefault="002712F4">
      <w:pPr>
        <w:rPr>
          <w:color w:val="000000" w:themeColor="text1"/>
        </w:rPr>
      </w:pPr>
      <w:r>
        <w:rPr>
          <w:color w:val="000000" w:themeColor="text1"/>
        </w:rPr>
        <w:br w:type="page"/>
      </w:r>
    </w:p>
    <w:p w:rsidR="009660C1" w:rsidRDefault="00603A49" w:rsidP="009660C1">
      <w:pPr>
        <w:pStyle w:val="TableCaption"/>
      </w:pPr>
      <w:bookmarkStart w:id="260" w:name="_Toc507600320"/>
      <w:r>
        <w:lastRenderedPageBreak/>
        <w:t>Table F</w:t>
      </w:r>
      <w:r w:rsidR="00965FBD">
        <w:t>.</w:t>
      </w:r>
      <w:r w:rsidR="00B75730">
        <w:t>4</w:t>
      </w:r>
      <w:r w:rsidR="009660C1" w:rsidRPr="003A4B00">
        <w:t>:</w:t>
      </w:r>
      <w:r w:rsidR="009660C1" w:rsidRPr="009660C1">
        <w:t xml:space="preserve"> </w:t>
      </w:r>
      <w:r w:rsidR="009660C1">
        <w:t>Difference in p</w:t>
      </w:r>
      <w:r w:rsidR="009660C1" w:rsidRPr="003A4B00">
        <w:t>robability that a</w:t>
      </w:r>
      <w:r w:rsidR="009660C1">
        <w:t xml:space="preserve"> person</w:t>
      </w:r>
      <w:r w:rsidR="009660C1" w:rsidRPr="003A4B00">
        <w:t xml:space="preserve"> </w:t>
      </w:r>
      <w:r w:rsidR="009660C1">
        <w:t>have lodged a claim as opposed t</w:t>
      </w:r>
      <w:r w:rsidR="00E91BDD">
        <w:t>o bein</w:t>
      </w:r>
      <w:r w:rsidR="009660C1">
        <w:t>g potentially eligible and did not claim</w:t>
      </w:r>
      <w:r w:rsidR="009660C1" w:rsidRPr="003A4B00">
        <w:t xml:space="preserve"> </w:t>
      </w:r>
      <w:r w:rsidR="009660C1">
        <w:t>(regressed results) (percentage point)</w:t>
      </w:r>
      <w:bookmarkEnd w:id="260"/>
    </w:p>
    <w:tbl>
      <w:tblPr>
        <w:tblW w:w="8946" w:type="dxa"/>
        <w:tblCellMar>
          <w:left w:w="0" w:type="dxa"/>
          <w:right w:w="0" w:type="dxa"/>
        </w:tblCellMar>
        <w:tblLook w:val="04A0" w:firstRow="1" w:lastRow="0" w:firstColumn="1" w:lastColumn="0" w:noHBand="0" w:noVBand="1"/>
      </w:tblPr>
      <w:tblGrid>
        <w:gridCol w:w="4268"/>
        <w:gridCol w:w="3686"/>
        <w:gridCol w:w="992"/>
      </w:tblGrid>
      <w:tr w:rsidR="009660C1" w:rsidTr="00FC1AD1">
        <w:trPr>
          <w:trHeight w:hRule="exact" w:val="289"/>
          <w:tblHeader/>
        </w:trPr>
        <w:tc>
          <w:tcPr>
            <w:tcW w:w="4268" w:type="dxa"/>
            <w:tcBorders>
              <w:top w:val="single" w:sz="4" w:space="0" w:color="auto"/>
              <w:left w:val="single" w:sz="4" w:space="0" w:color="auto"/>
              <w:right w:val="single" w:sz="4" w:space="0" w:color="auto"/>
            </w:tcBorders>
            <w:shd w:val="clear" w:color="auto" w:fill="1E3D6B"/>
            <w:tcMar>
              <w:top w:w="15" w:type="dxa"/>
              <w:left w:w="15" w:type="dxa"/>
              <w:bottom w:w="0" w:type="dxa"/>
              <w:right w:w="15" w:type="dxa"/>
            </w:tcMar>
            <w:vAlign w:val="center"/>
            <w:hideMark/>
          </w:tcPr>
          <w:p w:rsidR="009660C1" w:rsidRPr="00C54A19" w:rsidRDefault="009660C1" w:rsidP="009660C1">
            <w:pPr>
              <w:spacing w:after="0"/>
              <w:rPr>
                <w:rFonts w:cstheme="minorHAnsi"/>
                <w:b/>
                <w:bCs/>
                <w:color w:val="FFFFFF"/>
                <w:sz w:val="20"/>
                <w:szCs w:val="20"/>
              </w:rPr>
            </w:pPr>
            <w:bookmarkStart w:id="261" w:name="Title_F4"/>
            <w:bookmarkEnd w:id="261"/>
            <w:r w:rsidRPr="00C54A19">
              <w:rPr>
                <w:rFonts w:cstheme="minorHAnsi"/>
                <w:b/>
                <w:bCs/>
                <w:color w:val="FFFFFF"/>
                <w:sz w:val="20"/>
                <w:szCs w:val="20"/>
              </w:rPr>
              <w:t>Demographic characteristic</w:t>
            </w:r>
          </w:p>
        </w:tc>
        <w:tc>
          <w:tcPr>
            <w:tcW w:w="3686" w:type="dxa"/>
            <w:tcBorders>
              <w:top w:val="single" w:sz="4" w:space="0" w:color="auto"/>
              <w:left w:val="single" w:sz="4" w:space="0" w:color="auto"/>
              <w:right w:val="single" w:sz="4" w:space="0" w:color="auto"/>
            </w:tcBorders>
            <w:shd w:val="clear" w:color="auto" w:fill="1E3D6B"/>
            <w:tcMar>
              <w:top w:w="15" w:type="dxa"/>
              <w:left w:w="15" w:type="dxa"/>
              <w:bottom w:w="0" w:type="dxa"/>
              <w:right w:w="15" w:type="dxa"/>
            </w:tcMar>
            <w:vAlign w:val="center"/>
            <w:hideMark/>
          </w:tcPr>
          <w:p w:rsidR="009660C1" w:rsidRPr="00C54A19" w:rsidRDefault="009660C1" w:rsidP="009660C1">
            <w:pPr>
              <w:spacing w:after="0"/>
              <w:rPr>
                <w:rFonts w:cstheme="minorHAnsi"/>
                <w:b/>
                <w:bCs/>
                <w:color w:val="FFFFFF"/>
                <w:sz w:val="20"/>
                <w:szCs w:val="20"/>
              </w:rPr>
            </w:pPr>
            <w:r w:rsidRPr="00C54A19">
              <w:rPr>
                <w:rFonts w:cstheme="minorHAnsi"/>
                <w:b/>
                <w:bCs/>
                <w:color w:val="FFFFFF"/>
                <w:sz w:val="20"/>
                <w:szCs w:val="20"/>
              </w:rPr>
              <w:t>Compared with</w:t>
            </w:r>
          </w:p>
        </w:tc>
        <w:tc>
          <w:tcPr>
            <w:tcW w:w="992" w:type="dxa"/>
            <w:tcBorders>
              <w:top w:val="single" w:sz="4" w:space="0" w:color="auto"/>
              <w:left w:val="single" w:sz="4" w:space="0" w:color="auto"/>
              <w:right w:val="single" w:sz="4" w:space="0" w:color="auto"/>
            </w:tcBorders>
            <w:shd w:val="clear" w:color="auto" w:fill="1E3D6B"/>
            <w:tcMar>
              <w:top w:w="15" w:type="dxa"/>
              <w:left w:w="15" w:type="dxa"/>
              <w:bottom w:w="0" w:type="dxa"/>
              <w:right w:w="15" w:type="dxa"/>
            </w:tcMar>
            <w:vAlign w:val="center"/>
            <w:hideMark/>
          </w:tcPr>
          <w:p w:rsidR="009660C1" w:rsidRPr="00C54A19" w:rsidRDefault="009660C1" w:rsidP="009660C1">
            <w:pPr>
              <w:spacing w:after="0"/>
              <w:jc w:val="center"/>
              <w:rPr>
                <w:rFonts w:cstheme="minorHAnsi"/>
                <w:b/>
                <w:bCs/>
                <w:color w:val="FFFFFF"/>
                <w:sz w:val="20"/>
                <w:szCs w:val="20"/>
              </w:rPr>
            </w:pPr>
            <w:r w:rsidRPr="00C54A19">
              <w:rPr>
                <w:rFonts w:cstheme="minorHAnsi"/>
                <w:b/>
                <w:bCs/>
                <w:color w:val="FFFFFF"/>
                <w:sz w:val="20"/>
                <w:szCs w:val="20"/>
              </w:rPr>
              <w:t>MEM</w:t>
            </w:r>
            <w:r w:rsidRPr="00C54A19">
              <w:rPr>
                <w:rFonts w:cstheme="minorHAnsi"/>
                <w:b/>
                <w:bCs/>
                <w:color w:val="FFFFFF"/>
                <w:sz w:val="20"/>
                <w:szCs w:val="20"/>
              </w:rPr>
              <w:br/>
              <w:t>(ppt)</w:t>
            </w:r>
          </w:p>
        </w:tc>
      </w:tr>
      <w:tr w:rsidR="00E91BDD" w:rsidRPr="00E91BDD" w:rsidTr="00E91BDD">
        <w:tblPrEx>
          <w:tblCellMar>
            <w:left w:w="108" w:type="dxa"/>
            <w:right w:w="108" w:type="dxa"/>
          </w:tblCellMar>
        </w:tblPrEx>
        <w:trPr>
          <w:trHeight w:hRule="exact" w:val="510"/>
        </w:trPr>
        <w:tc>
          <w:tcPr>
            <w:tcW w:w="4268" w:type="dxa"/>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 xml:space="preserve">Single parent </w:t>
            </w:r>
          </w:p>
        </w:tc>
        <w:tc>
          <w:tcPr>
            <w:tcW w:w="3686" w:type="dxa"/>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Not a single parent</w:t>
            </w:r>
          </w:p>
        </w:tc>
        <w:tc>
          <w:tcPr>
            <w:tcW w:w="992" w:type="dxa"/>
            <w:tcBorders>
              <w:right w:val="nil"/>
            </w:tcBorders>
            <w:shd w:val="clear" w:color="auto" w:fill="auto"/>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8.1</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Lives in ESA of high / extreme disadvantage</w:t>
            </w:r>
          </w:p>
        </w:tc>
        <w:tc>
          <w:tcPr>
            <w:tcW w:w="3686"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Lives in ESA of very low / low disadvantage</w:t>
            </w:r>
          </w:p>
        </w:tc>
        <w:tc>
          <w:tcPr>
            <w:tcW w:w="992" w:type="dxa"/>
            <w:tcBorders>
              <w:top w:val="nil"/>
              <w:right w:val="nil"/>
            </w:tcBorders>
            <w:shd w:val="clear" w:color="auto" w:fill="E5E5E5" w:themeFill="background1" w:themeFillTint="33"/>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4.5</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Highest level of education: Degree / post-graduate</w:t>
            </w:r>
          </w:p>
        </w:tc>
        <w:tc>
          <w:tcPr>
            <w:tcW w:w="3686"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Highest level of education: TAFE / diploma</w:t>
            </w:r>
          </w:p>
        </w:tc>
        <w:tc>
          <w:tcPr>
            <w:tcW w:w="992" w:type="dxa"/>
            <w:tcBorders>
              <w:top w:val="nil"/>
              <w:right w:val="nil"/>
            </w:tcBorders>
            <w:shd w:val="clear" w:color="auto" w:fill="auto"/>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4.5</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On income support three or more years</w:t>
            </w:r>
          </w:p>
        </w:tc>
        <w:tc>
          <w:tcPr>
            <w:tcW w:w="3686"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On income support one to two years</w:t>
            </w:r>
          </w:p>
        </w:tc>
        <w:tc>
          <w:tcPr>
            <w:tcW w:w="992" w:type="dxa"/>
            <w:tcBorders>
              <w:top w:val="nil"/>
              <w:right w:val="nil"/>
            </w:tcBorders>
            <w:shd w:val="clear" w:color="auto" w:fill="E5E5E5" w:themeFill="background1" w:themeFillTint="33"/>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4.3</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Female</w:t>
            </w:r>
          </w:p>
        </w:tc>
        <w:tc>
          <w:tcPr>
            <w:tcW w:w="3686"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Male</w:t>
            </w:r>
          </w:p>
        </w:tc>
        <w:tc>
          <w:tcPr>
            <w:tcW w:w="992" w:type="dxa"/>
            <w:tcBorders>
              <w:top w:val="nil"/>
              <w:right w:val="nil"/>
            </w:tcBorders>
            <w:shd w:val="clear" w:color="auto" w:fill="auto"/>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2.9</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auto" w:fill="E5E5E5" w:themeFill="background1" w:themeFillTint="33"/>
            <w:vAlign w:val="center"/>
            <w:hideMark/>
          </w:tcPr>
          <w:p w:rsidR="00E91BDD" w:rsidRPr="00C54A19" w:rsidRDefault="00C962FC" w:rsidP="00E91BDD">
            <w:pPr>
              <w:spacing w:after="0" w:line="240" w:lineRule="auto"/>
              <w:rPr>
                <w:rFonts w:eastAsia="Times New Roman" w:cstheme="minorHAnsi"/>
                <w:color w:val="000000"/>
                <w:sz w:val="20"/>
                <w:szCs w:val="20"/>
                <w:lang w:eastAsia="en-AU"/>
              </w:rPr>
            </w:pPr>
            <w:r>
              <w:rPr>
                <w:rFonts w:eastAsia="Times New Roman" w:cstheme="minorHAnsi"/>
                <w:color w:val="000000"/>
                <w:sz w:val="20"/>
                <w:szCs w:val="20"/>
                <w:lang w:eastAsia="en-AU"/>
              </w:rPr>
              <w:t>On income support two</w:t>
            </w:r>
            <w:r w:rsidR="00E91BDD" w:rsidRPr="00C54A19">
              <w:rPr>
                <w:rFonts w:eastAsia="Times New Roman" w:cstheme="minorHAnsi"/>
                <w:color w:val="000000"/>
                <w:sz w:val="20"/>
                <w:szCs w:val="20"/>
                <w:lang w:eastAsia="en-AU"/>
              </w:rPr>
              <w:t xml:space="preserve"> to three years</w:t>
            </w:r>
          </w:p>
        </w:tc>
        <w:tc>
          <w:tcPr>
            <w:tcW w:w="3686"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On income support one to two years</w:t>
            </w:r>
          </w:p>
        </w:tc>
        <w:tc>
          <w:tcPr>
            <w:tcW w:w="992" w:type="dxa"/>
            <w:tcBorders>
              <w:top w:val="nil"/>
              <w:right w:val="nil"/>
            </w:tcBorders>
            <w:shd w:val="clear" w:color="auto" w:fill="E5E5E5" w:themeFill="background1" w:themeFillTint="33"/>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2.7</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Lives in ESA of moderate disadvantage</w:t>
            </w:r>
          </w:p>
        </w:tc>
        <w:tc>
          <w:tcPr>
            <w:tcW w:w="3686"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Lives in ESA of very low / low disadvantage</w:t>
            </w:r>
          </w:p>
        </w:tc>
        <w:tc>
          <w:tcPr>
            <w:tcW w:w="992" w:type="dxa"/>
            <w:tcBorders>
              <w:top w:val="nil"/>
              <w:right w:val="nil"/>
            </w:tcBorders>
            <w:shd w:val="clear" w:color="auto" w:fill="auto"/>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2.4</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CALD</w:t>
            </w:r>
          </w:p>
        </w:tc>
        <w:tc>
          <w:tcPr>
            <w:tcW w:w="3686"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Not CALD</w:t>
            </w:r>
          </w:p>
        </w:tc>
        <w:tc>
          <w:tcPr>
            <w:tcW w:w="992" w:type="dxa"/>
            <w:tcBorders>
              <w:top w:val="nil"/>
              <w:right w:val="nil"/>
            </w:tcBorders>
            <w:shd w:val="clear" w:color="auto" w:fill="E5E5E5" w:themeFill="background1" w:themeFillTint="33"/>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2.1</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25 years or older at time of exit from income support</w:t>
            </w:r>
          </w:p>
        </w:tc>
        <w:tc>
          <w:tcPr>
            <w:tcW w:w="3686"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Less than 25 years at time of exit from income support</w:t>
            </w:r>
          </w:p>
        </w:tc>
        <w:tc>
          <w:tcPr>
            <w:tcW w:w="992" w:type="dxa"/>
            <w:tcBorders>
              <w:top w:val="nil"/>
              <w:right w:val="nil"/>
            </w:tcBorders>
            <w:shd w:val="clear" w:color="auto" w:fill="auto"/>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1.8</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With disability</w:t>
            </w:r>
          </w:p>
        </w:tc>
        <w:tc>
          <w:tcPr>
            <w:tcW w:w="3686"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Without disability</w:t>
            </w:r>
          </w:p>
        </w:tc>
        <w:tc>
          <w:tcPr>
            <w:tcW w:w="992" w:type="dxa"/>
            <w:tcBorders>
              <w:top w:val="nil"/>
              <w:right w:val="nil"/>
            </w:tcBorders>
            <w:shd w:val="clear" w:color="auto" w:fill="E5E5E5" w:themeFill="background1" w:themeFillTint="33"/>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1.4</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Low impact from personal factors</w:t>
            </w:r>
          </w:p>
        </w:tc>
        <w:tc>
          <w:tcPr>
            <w:tcW w:w="3686"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No impact from personal factors</w:t>
            </w:r>
          </w:p>
        </w:tc>
        <w:tc>
          <w:tcPr>
            <w:tcW w:w="992" w:type="dxa"/>
            <w:tcBorders>
              <w:top w:val="nil"/>
              <w:right w:val="nil"/>
            </w:tcBorders>
            <w:shd w:val="clear" w:color="auto" w:fill="auto"/>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1.3</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Medium impact from personal factors</w:t>
            </w:r>
          </w:p>
        </w:tc>
        <w:tc>
          <w:tcPr>
            <w:tcW w:w="3686"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No impact from personal factors</w:t>
            </w:r>
          </w:p>
        </w:tc>
        <w:tc>
          <w:tcPr>
            <w:tcW w:w="992" w:type="dxa"/>
            <w:tcBorders>
              <w:top w:val="nil"/>
              <w:right w:val="nil"/>
            </w:tcBorders>
            <w:shd w:val="clear" w:color="auto" w:fill="E5E5E5" w:themeFill="background1" w:themeFillTint="33"/>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1.0</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Has no vocational qualifications</w:t>
            </w:r>
          </w:p>
        </w:tc>
        <w:tc>
          <w:tcPr>
            <w:tcW w:w="3686"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Has useful vocational qualifications</w:t>
            </w:r>
          </w:p>
        </w:tc>
        <w:tc>
          <w:tcPr>
            <w:tcW w:w="992" w:type="dxa"/>
            <w:tcBorders>
              <w:top w:val="nil"/>
              <w:right w:val="nil"/>
            </w:tcBorders>
            <w:shd w:val="clear" w:color="auto" w:fill="auto"/>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0.6</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Re</w:t>
            </w:r>
            <w:r w:rsidR="00C962FC">
              <w:rPr>
                <w:rFonts w:eastAsia="Times New Roman" w:cstheme="minorHAnsi"/>
                <w:color w:val="000000"/>
                <w:sz w:val="20"/>
                <w:szCs w:val="20"/>
                <w:lang w:eastAsia="en-AU"/>
              </w:rPr>
              <w:t>cent work experience: Paid work</w:t>
            </w:r>
            <w:r w:rsidRPr="00C54A19">
              <w:rPr>
                <w:rFonts w:eastAsia="Times New Roman" w:cstheme="minorHAnsi"/>
                <w:color w:val="000000"/>
                <w:sz w:val="20"/>
                <w:szCs w:val="20"/>
                <w:lang w:eastAsia="en-AU"/>
              </w:rPr>
              <w:t xml:space="preserve"> part-time &lt;8 hours/seasonal or irregular</w:t>
            </w:r>
          </w:p>
        </w:tc>
        <w:tc>
          <w:tcPr>
            <w:tcW w:w="3686"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Recent work experience: Paid work full-time / part-time &gt;=8 hours</w:t>
            </w:r>
          </w:p>
        </w:tc>
        <w:tc>
          <w:tcPr>
            <w:tcW w:w="992" w:type="dxa"/>
            <w:tcBorders>
              <w:top w:val="nil"/>
              <w:right w:val="nil"/>
            </w:tcBorders>
            <w:shd w:val="clear" w:color="auto" w:fill="E5E5E5" w:themeFill="background1" w:themeFillTint="33"/>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0.3</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High impact from personal factors</w:t>
            </w:r>
          </w:p>
        </w:tc>
        <w:tc>
          <w:tcPr>
            <w:tcW w:w="3686"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No impact from personal factors</w:t>
            </w:r>
          </w:p>
        </w:tc>
        <w:tc>
          <w:tcPr>
            <w:tcW w:w="992" w:type="dxa"/>
            <w:tcBorders>
              <w:top w:val="nil"/>
              <w:right w:val="nil"/>
            </w:tcBorders>
            <w:shd w:val="clear" w:color="auto" w:fill="auto"/>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0.1</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Has no useful vocational qualifications</w:t>
            </w:r>
          </w:p>
        </w:tc>
        <w:tc>
          <w:tcPr>
            <w:tcW w:w="3686"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Has useful vocational qualifications</w:t>
            </w:r>
          </w:p>
        </w:tc>
        <w:tc>
          <w:tcPr>
            <w:tcW w:w="992" w:type="dxa"/>
            <w:tcBorders>
              <w:top w:val="nil"/>
              <w:right w:val="nil"/>
            </w:tcBorders>
            <w:shd w:val="clear" w:color="auto" w:fill="E5E5E5" w:themeFill="background1" w:themeFillTint="33"/>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0.1</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More than once on income support and/or crisis payment</w:t>
            </w:r>
          </w:p>
        </w:tc>
        <w:tc>
          <w:tcPr>
            <w:tcW w:w="3686"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No job seeker history</w:t>
            </w:r>
          </w:p>
        </w:tc>
        <w:tc>
          <w:tcPr>
            <w:tcW w:w="992" w:type="dxa"/>
            <w:tcBorders>
              <w:top w:val="nil"/>
              <w:right w:val="nil"/>
            </w:tcBorders>
            <w:shd w:val="clear" w:color="auto" w:fill="auto"/>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0.1</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Recent work experience: Unpaid / Not in the labour force</w:t>
            </w:r>
          </w:p>
        </w:tc>
        <w:tc>
          <w:tcPr>
            <w:tcW w:w="3686"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Recent work experience: Paid work full-time / part-time &gt;=8 hours</w:t>
            </w:r>
          </w:p>
        </w:tc>
        <w:tc>
          <w:tcPr>
            <w:tcW w:w="992" w:type="dxa"/>
            <w:tcBorders>
              <w:top w:val="nil"/>
              <w:right w:val="nil"/>
            </w:tcBorders>
            <w:shd w:val="clear" w:color="auto" w:fill="E5E5E5" w:themeFill="background1" w:themeFillTint="33"/>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0.0</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Unstable residence</w:t>
            </w:r>
          </w:p>
        </w:tc>
        <w:tc>
          <w:tcPr>
            <w:tcW w:w="3686"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Stable residence</w:t>
            </w:r>
          </w:p>
        </w:tc>
        <w:tc>
          <w:tcPr>
            <w:tcW w:w="992" w:type="dxa"/>
            <w:tcBorders>
              <w:top w:val="nil"/>
              <w:right w:val="nil"/>
            </w:tcBorders>
            <w:shd w:val="clear" w:color="auto" w:fill="auto"/>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-0.3</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Recent work experience: Not working but looking for work</w:t>
            </w:r>
          </w:p>
        </w:tc>
        <w:tc>
          <w:tcPr>
            <w:tcW w:w="3686"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Recent work experience: Paid work full-time / part-time &gt;=8 hours</w:t>
            </w:r>
          </w:p>
        </w:tc>
        <w:tc>
          <w:tcPr>
            <w:tcW w:w="992" w:type="dxa"/>
            <w:tcBorders>
              <w:top w:val="nil"/>
              <w:right w:val="nil"/>
            </w:tcBorders>
            <w:shd w:val="clear" w:color="auto" w:fill="E5E5E5" w:themeFill="background1" w:themeFillTint="33"/>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-1.0</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Highest level of education: Year 12/13</w:t>
            </w:r>
          </w:p>
        </w:tc>
        <w:tc>
          <w:tcPr>
            <w:tcW w:w="3686"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Highest level of education: TAFE / diploma</w:t>
            </w:r>
          </w:p>
        </w:tc>
        <w:tc>
          <w:tcPr>
            <w:tcW w:w="992" w:type="dxa"/>
            <w:tcBorders>
              <w:top w:val="nil"/>
              <w:right w:val="nil"/>
            </w:tcBorders>
            <w:shd w:val="clear" w:color="auto" w:fill="auto"/>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-1.0</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Has access to other private transport</w:t>
            </w:r>
          </w:p>
        </w:tc>
        <w:tc>
          <w:tcPr>
            <w:tcW w:w="3686"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Has own transport</w:t>
            </w:r>
          </w:p>
        </w:tc>
        <w:tc>
          <w:tcPr>
            <w:tcW w:w="992" w:type="dxa"/>
            <w:tcBorders>
              <w:top w:val="nil"/>
              <w:right w:val="nil"/>
            </w:tcBorders>
            <w:shd w:val="clear" w:color="auto" w:fill="E5E5E5" w:themeFill="background1" w:themeFillTint="33"/>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-1.4</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Has access to public transport</w:t>
            </w:r>
          </w:p>
        </w:tc>
        <w:tc>
          <w:tcPr>
            <w:tcW w:w="3686"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Has own transport</w:t>
            </w:r>
          </w:p>
        </w:tc>
        <w:tc>
          <w:tcPr>
            <w:tcW w:w="992" w:type="dxa"/>
            <w:tcBorders>
              <w:top w:val="nil"/>
              <w:right w:val="nil"/>
            </w:tcBorders>
            <w:shd w:val="clear" w:color="auto" w:fill="auto"/>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-1.9</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Live in an outer regional or remote area</w:t>
            </w:r>
          </w:p>
        </w:tc>
        <w:tc>
          <w:tcPr>
            <w:tcW w:w="3686"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Live in a metropolitan or inner regional area</w:t>
            </w:r>
          </w:p>
        </w:tc>
        <w:tc>
          <w:tcPr>
            <w:tcW w:w="992" w:type="dxa"/>
            <w:tcBorders>
              <w:top w:val="nil"/>
              <w:right w:val="nil"/>
            </w:tcBorders>
            <w:shd w:val="clear" w:color="auto" w:fill="E5E5E5" w:themeFill="background1" w:themeFillTint="33"/>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-2.2</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 xml:space="preserve">No access to transport </w:t>
            </w:r>
          </w:p>
        </w:tc>
        <w:tc>
          <w:tcPr>
            <w:tcW w:w="3686"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Has own transport</w:t>
            </w:r>
          </w:p>
        </w:tc>
        <w:tc>
          <w:tcPr>
            <w:tcW w:w="992" w:type="dxa"/>
            <w:tcBorders>
              <w:top w:val="nil"/>
              <w:right w:val="nil"/>
            </w:tcBorders>
            <w:shd w:val="clear" w:color="auto" w:fill="auto"/>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-2.6</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lastRenderedPageBreak/>
              <w:t>Highest level of education: Year 10/11</w:t>
            </w:r>
          </w:p>
        </w:tc>
        <w:tc>
          <w:tcPr>
            <w:tcW w:w="3686"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Highest level of education: TAFE / diploma</w:t>
            </w:r>
          </w:p>
        </w:tc>
        <w:tc>
          <w:tcPr>
            <w:tcW w:w="992" w:type="dxa"/>
            <w:tcBorders>
              <w:top w:val="nil"/>
              <w:right w:val="nil"/>
            </w:tcBorders>
            <w:shd w:val="clear" w:color="auto" w:fill="E5E5E5" w:themeFill="background1" w:themeFillTint="33"/>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-2.7</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Poor/mixed English proficiency</w:t>
            </w:r>
          </w:p>
        </w:tc>
        <w:tc>
          <w:tcPr>
            <w:tcW w:w="3686"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Good English proficiency</w:t>
            </w:r>
          </w:p>
        </w:tc>
        <w:tc>
          <w:tcPr>
            <w:tcW w:w="992" w:type="dxa"/>
            <w:tcBorders>
              <w:top w:val="nil"/>
              <w:right w:val="nil"/>
            </w:tcBorders>
            <w:shd w:val="clear" w:color="auto" w:fill="auto"/>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-2.9</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Indigenous</w:t>
            </w:r>
          </w:p>
        </w:tc>
        <w:tc>
          <w:tcPr>
            <w:tcW w:w="3686"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Not Indigenous</w:t>
            </w:r>
          </w:p>
        </w:tc>
        <w:tc>
          <w:tcPr>
            <w:tcW w:w="992" w:type="dxa"/>
            <w:tcBorders>
              <w:top w:val="nil"/>
              <w:right w:val="nil"/>
            </w:tcBorders>
            <w:shd w:val="clear" w:color="auto" w:fill="E5E5E5" w:themeFill="background1" w:themeFillTint="33"/>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-3.1</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Highest level of education: Less than Year 10</w:t>
            </w:r>
          </w:p>
        </w:tc>
        <w:tc>
          <w:tcPr>
            <w:tcW w:w="3686"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Highest level of education: TAFE / diploma</w:t>
            </w:r>
          </w:p>
        </w:tc>
        <w:tc>
          <w:tcPr>
            <w:tcW w:w="992" w:type="dxa"/>
            <w:tcBorders>
              <w:top w:val="nil"/>
              <w:right w:val="nil"/>
            </w:tcBorders>
            <w:shd w:val="clear" w:color="auto" w:fill="auto"/>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-3.4</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Medium disadvantage country of birth</w:t>
            </w:r>
          </w:p>
        </w:tc>
        <w:tc>
          <w:tcPr>
            <w:tcW w:w="3686"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Low disadvantage country of birth</w:t>
            </w:r>
          </w:p>
        </w:tc>
        <w:tc>
          <w:tcPr>
            <w:tcW w:w="992" w:type="dxa"/>
            <w:tcBorders>
              <w:top w:val="nil"/>
              <w:right w:val="nil"/>
            </w:tcBorders>
            <w:shd w:val="clear" w:color="auto" w:fill="E5E5E5" w:themeFill="background1" w:themeFillTint="33"/>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-3.5</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Not contactable by telephone</w:t>
            </w:r>
          </w:p>
        </w:tc>
        <w:tc>
          <w:tcPr>
            <w:tcW w:w="3686"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Contactable by telephone</w:t>
            </w:r>
          </w:p>
        </w:tc>
        <w:tc>
          <w:tcPr>
            <w:tcW w:w="992" w:type="dxa"/>
            <w:tcBorders>
              <w:top w:val="nil"/>
              <w:right w:val="nil"/>
            </w:tcBorders>
            <w:shd w:val="clear" w:color="auto" w:fill="auto"/>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-4.2</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Ex-offender</w:t>
            </w:r>
          </w:p>
        </w:tc>
        <w:tc>
          <w:tcPr>
            <w:tcW w:w="3686" w:type="dxa"/>
            <w:tcBorders>
              <w:top w:val="nil"/>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Not an ex-offender</w:t>
            </w:r>
          </w:p>
        </w:tc>
        <w:tc>
          <w:tcPr>
            <w:tcW w:w="992" w:type="dxa"/>
            <w:tcBorders>
              <w:top w:val="nil"/>
              <w:right w:val="nil"/>
            </w:tcBorders>
            <w:shd w:val="clear" w:color="auto" w:fill="E5E5E5" w:themeFill="background1" w:themeFillTint="33"/>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-4.5</w:t>
            </w:r>
          </w:p>
        </w:tc>
      </w:tr>
      <w:tr w:rsidR="00E91BDD" w:rsidRPr="00E91BDD" w:rsidTr="00E91BDD">
        <w:tblPrEx>
          <w:tblCellMar>
            <w:left w:w="108" w:type="dxa"/>
            <w:right w:w="108" w:type="dxa"/>
          </w:tblCellMar>
        </w:tblPrEx>
        <w:trPr>
          <w:trHeight w:hRule="exact" w:val="510"/>
        </w:trPr>
        <w:tc>
          <w:tcPr>
            <w:tcW w:w="4268"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High disadvantage country of birth</w:t>
            </w:r>
          </w:p>
        </w:tc>
        <w:tc>
          <w:tcPr>
            <w:tcW w:w="3686" w:type="dxa"/>
            <w:tcBorders>
              <w:top w:val="nil"/>
            </w:tcBorders>
            <w:shd w:val="clear" w:color="000000" w:fill="FFFFFF"/>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Low disadvantage country of birth</w:t>
            </w:r>
          </w:p>
        </w:tc>
        <w:tc>
          <w:tcPr>
            <w:tcW w:w="992" w:type="dxa"/>
            <w:tcBorders>
              <w:top w:val="nil"/>
              <w:right w:val="nil"/>
            </w:tcBorders>
            <w:shd w:val="clear" w:color="auto" w:fill="auto"/>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-8.7</w:t>
            </w:r>
          </w:p>
        </w:tc>
      </w:tr>
      <w:tr w:rsidR="00E91BDD" w:rsidRPr="00E91BDD" w:rsidTr="00E91BDD">
        <w:tblPrEx>
          <w:tblCellMar>
            <w:left w:w="108" w:type="dxa"/>
            <w:right w:w="108" w:type="dxa"/>
          </w:tblCellMar>
        </w:tblPrEx>
        <w:trPr>
          <w:trHeight w:hRule="exact" w:val="510"/>
        </w:trPr>
        <w:tc>
          <w:tcPr>
            <w:tcW w:w="4268" w:type="dxa"/>
            <w:tcBorders>
              <w:top w:val="nil"/>
              <w:bottom w:val="single" w:sz="4" w:space="0" w:color="auto"/>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Very high disadvantage country of birth</w:t>
            </w:r>
          </w:p>
        </w:tc>
        <w:tc>
          <w:tcPr>
            <w:tcW w:w="3686" w:type="dxa"/>
            <w:tcBorders>
              <w:top w:val="nil"/>
              <w:bottom w:val="single" w:sz="4" w:space="0" w:color="auto"/>
            </w:tcBorders>
            <w:shd w:val="clear" w:color="auto" w:fill="E5E5E5" w:themeFill="background1" w:themeFillTint="33"/>
            <w:vAlign w:val="center"/>
            <w:hideMark/>
          </w:tcPr>
          <w:p w:rsidR="00E91BDD" w:rsidRPr="00C54A19" w:rsidRDefault="00E91BDD" w:rsidP="00E91BDD">
            <w:pPr>
              <w:spacing w:after="0" w:line="240" w:lineRule="auto"/>
              <w:rPr>
                <w:rFonts w:eastAsia="Times New Roman" w:cstheme="minorHAnsi"/>
                <w:color w:val="000000"/>
                <w:sz w:val="20"/>
                <w:szCs w:val="20"/>
                <w:lang w:eastAsia="en-AU"/>
              </w:rPr>
            </w:pPr>
            <w:r w:rsidRPr="00C54A19">
              <w:rPr>
                <w:rFonts w:eastAsia="Times New Roman" w:cstheme="minorHAnsi"/>
                <w:color w:val="000000"/>
                <w:sz w:val="20"/>
                <w:szCs w:val="20"/>
                <w:lang w:eastAsia="en-AU"/>
              </w:rPr>
              <w:t>Low disadvantage country of birth</w:t>
            </w:r>
          </w:p>
        </w:tc>
        <w:tc>
          <w:tcPr>
            <w:tcW w:w="992" w:type="dxa"/>
            <w:tcBorders>
              <w:top w:val="nil"/>
              <w:bottom w:val="single" w:sz="4" w:space="0" w:color="auto"/>
              <w:right w:val="nil"/>
            </w:tcBorders>
            <w:shd w:val="clear" w:color="auto" w:fill="E5E5E5" w:themeFill="background1" w:themeFillTint="33"/>
            <w:noWrap/>
            <w:vAlign w:val="center"/>
            <w:hideMark/>
          </w:tcPr>
          <w:p w:rsidR="00E91BDD" w:rsidRPr="00C54A19" w:rsidRDefault="00E91BDD" w:rsidP="00E91BDD">
            <w:pPr>
              <w:spacing w:after="0" w:line="240" w:lineRule="auto"/>
              <w:jc w:val="right"/>
              <w:rPr>
                <w:rFonts w:eastAsia="Times New Roman" w:cstheme="minorHAnsi"/>
                <w:color w:val="000000"/>
                <w:sz w:val="20"/>
                <w:szCs w:val="20"/>
                <w:lang w:eastAsia="en-AU"/>
              </w:rPr>
            </w:pPr>
            <w:r w:rsidRPr="00C54A19">
              <w:rPr>
                <w:rFonts w:eastAsia="Times New Roman" w:cstheme="minorHAnsi"/>
                <w:color w:val="000000"/>
                <w:sz w:val="20"/>
                <w:szCs w:val="20"/>
                <w:lang w:eastAsia="en-AU"/>
              </w:rPr>
              <w:t>-9.5</w:t>
            </w:r>
          </w:p>
        </w:tc>
      </w:tr>
    </w:tbl>
    <w:p w:rsidR="009660C1" w:rsidRDefault="009660C1" w:rsidP="009660C1">
      <w:pPr>
        <w:pStyle w:val="Source"/>
        <w:rPr>
          <w:b w:val="0"/>
        </w:rPr>
      </w:pPr>
      <w:r>
        <w:t>Notes</w:t>
      </w:r>
      <w:r w:rsidRPr="003B4D65">
        <w:rPr>
          <w:b w:val="0"/>
        </w:rPr>
        <w:t xml:space="preserve">: </w:t>
      </w:r>
    </w:p>
    <w:p w:rsidR="009660C1" w:rsidRPr="006E1C2B" w:rsidRDefault="009660C1" w:rsidP="00066793">
      <w:pPr>
        <w:pStyle w:val="Source"/>
        <w:numPr>
          <w:ilvl w:val="0"/>
          <w:numId w:val="56"/>
        </w:numPr>
        <w:rPr>
          <w:b w:val="0"/>
        </w:rPr>
      </w:pPr>
      <w:r w:rsidRPr="006E1C2B">
        <w:rPr>
          <w:b w:val="0"/>
        </w:rPr>
        <w:t xml:space="preserve">MEM </w:t>
      </w:r>
      <w:r w:rsidRPr="006E1C2B">
        <w:rPr>
          <w:b w:val="0"/>
          <w:color w:val="000000" w:themeColor="text1"/>
        </w:rPr>
        <w:t xml:space="preserve">stands for </w:t>
      </w:r>
      <w:r w:rsidRPr="006E1C2B">
        <w:rPr>
          <w:b w:val="0"/>
        </w:rPr>
        <w:t>Marginal effect on the mean.</w:t>
      </w:r>
      <w:r w:rsidRPr="006E1C2B">
        <w:rPr>
          <w:rFonts w:ascii="Arial" w:eastAsia="Times New Roman" w:hAnsi="Arial" w:cs="Arial"/>
          <w:b w:val="0"/>
          <w:bCs/>
          <w:color w:val="000000" w:themeColor="text1"/>
          <w:sz w:val="18"/>
          <w:szCs w:val="18"/>
          <w:lang w:eastAsia="en-AU"/>
        </w:rPr>
        <w:t xml:space="preserve"> </w:t>
      </w:r>
      <w:r w:rsidRPr="006E1C2B">
        <w:rPr>
          <w:b w:val="0"/>
        </w:rPr>
        <w:t xml:space="preserve">MEM are sorted in descending order. For example: single parents (after controlling for all other job seeker characteristics) were </w:t>
      </w:r>
      <w:r w:rsidR="009F13D5">
        <w:rPr>
          <w:b w:val="0"/>
        </w:rPr>
        <w:t>8.1</w:t>
      </w:r>
      <w:r w:rsidRPr="006E1C2B">
        <w:rPr>
          <w:b w:val="0"/>
        </w:rPr>
        <w:t xml:space="preserve"> percentage points more likely to have </w:t>
      </w:r>
      <w:r w:rsidR="009F13D5">
        <w:rPr>
          <w:b w:val="0"/>
        </w:rPr>
        <w:t>lodged a</w:t>
      </w:r>
      <w:r w:rsidRPr="006E1C2B">
        <w:rPr>
          <w:b w:val="0"/>
        </w:rPr>
        <w:t xml:space="preserve"> claim than those who were not single parents.</w:t>
      </w:r>
    </w:p>
    <w:p w:rsidR="009660C1" w:rsidRPr="006E1C2B" w:rsidRDefault="009660C1" w:rsidP="00066793">
      <w:pPr>
        <w:pStyle w:val="Source"/>
        <w:numPr>
          <w:ilvl w:val="0"/>
          <w:numId w:val="56"/>
        </w:numPr>
        <w:rPr>
          <w:b w:val="0"/>
        </w:rPr>
      </w:pPr>
      <w:r w:rsidRPr="006E1C2B">
        <w:rPr>
          <w:b w:val="0"/>
        </w:rPr>
        <w:t>Demographic characteristics controlled for in the regression analysis are mostly obtained from the JSCI:</w:t>
      </w:r>
    </w:p>
    <w:p w:rsidR="009660C1" w:rsidRPr="006E1C2B" w:rsidRDefault="009660C1" w:rsidP="00066793">
      <w:pPr>
        <w:pStyle w:val="ListParagraph"/>
        <w:numPr>
          <w:ilvl w:val="1"/>
          <w:numId w:val="56"/>
        </w:numPr>
        <w:spacing w:after="0" w:line="240" w:lineRule="auto"/>
        <w:rPr>
          <w:rFonts w:ascii="Calibri" w:eastAsia="Times New Roman" w:hAnsi="Calibri" w:cs="Calibri"/>
          <w:color w:val="000000"/>
          <w:sz w:val="20"/>
          <w:szCs w:val="20"/>
          <w:lang w:eastAsia="en-AU"/>
        </w:rPr>
      </w:pPr>
      <w:r w:rsidRPr="006E1C2B">
        <w:rPr>
          <w:rFonts w:ascii="Calibri" w:eastAsia="Times New Roman" w:hAnsi="Calibri" w:cs="Calibri"/>
          <w:color w:val="000000"/>
          <w:sz w:val="20"/>
          <w:szCs w:val="20"/>
          <w:lang w:eastAsia="en-AU"/>
        </w:rPr>
        <w:t>access to transport</w:t>
      </w:r>
    </w:p>
    <w:p w:rsidR="009660C1" w:rsidRPr="006E1C2B" w:rsidRDefault="009660C1" w:rsidP="00066793">
      <w:pPr>
        <w:pStyle w:val="ListParagraph"/>
        <w:numPr>
          <w:ilvl w:val="1"/>
          <w:numId w:val="56"/>
        </w:numPr>
        <w:spacing w:after="0" w:line="240" w:lineRule="auto"/>
        <w:rPr>
          <w:rFonts w:ascii="Calibri" w:eastAsia="Times New Roman" w:hAnsi="Calibri" w:cs="Calibri"/>
          <w:color w:val="000000"/>
          <w:sz w:val="20"/>
          <w:szCs w:val="20"/>
          <w:lang w:eastAsia="en-AU"/>
        </w:rPr>
      </w:pPr>
      <w:r w:rsidRPr="006E1C2B">
        <w:rPr>
          <w:rFonts w:ascii="Calibri" w:eastAsia="Times New Roman" w:hAnsi="Calibri" w:cs="Calibri"/>
          <w:color w:val="000000"/>
          <w:sz w:val="20"/>
          <w:szCs w:val="20"/>
          <w:lang w:eastAsia="en-AU"/>
        </w:rPr>
        <w:t>age</w:t>
      </w:r>
    </w:p>
    <w:p w:rsidR="009660C1" w:rsidRPr="006E1C2B" w:rsidRDefault="009660C1" w:rsidP="00066793">
      <w:pPr>
        <w:pStyle w:val="ListParagraph"/>
        <w:numPr>
          <w:ilvl w:val="1"/>
          <w:numId w:val="56"/>
        </w:numPr>
        <w:spacing w:after="0" w:line="240" w:lineRule="auto"/>
        <w:rPr>
          <w:rFonts w:ascii="Calibri" w:eastAsia="Times New Roman" w:hAnsi="Calibri" w:cs="Calibri"/>
          <w:color w:val="000000"/>
          <w:sz w:val="20"/>
          <w:szCs w:val="20"/>
          <w:lang w:eastAsia="en-AU"/>
        </w:rPr>
      </w:pPr>
      <w:r w:rsidRPr="006E1C2B">
        <w:rPr>
          <w:rFonts w:ascii="Calibri" w:eastAsia="Times New Roman" w:hAnsi="Calibri" w:cs="Calibri"/>
          <w:color w:val="000000"/>
          <w:sz w:val="20"/>
          <w:szCs w:val="20"/>
          <w:lang w:eastAsia="en-AU"/>
        </w:rPr>
        <w:t>CALD status</w:t>
      </w:r>
    </w:p>
    <w:p w:rsidR="009660C1" w:rsidRPr="006E1C2B" w:rsidRDefault="009660C1" w:rsidP="00066793">
      <w:pPr>
        <w:pStyle w:val="ListParagraph"/>
        <w:numPr>
          <w:ilvl w:val="1"/>
          <w:numId w:val="56"/>
        </w:numPr>
        <w:spacing w:after="0" w:line="240" w:lineRule="auto"/>
        <w:rPr>
          <w:rFonts w:ascii="Calibri" w:eastAsia="Times New Roman" w:hAnsi="Calibri" w:cs="Calibri"/>
          <w:color w:val="000000"/>
          <w:sz w:val="20"/>
          <w:szCs w:val="20"/>
          <w:lang w:eastAsia="en-AU"/>
        </w:rPr>
      </w:pPr>
      <w:r w:rsidRPr="006E1C2B">
        <w:rPr>
          <w:rFonts w:ascii="Calibri" w:eastAsia="Times New Roman" w:hAnsi="Calibri" w:cs="Calibri"/>
          <w:color w:val="000000"/>
          <w:sz w:val="20"/>
          <w:szCs w:val="20"/>
          <w:lang w:eastAsia="en-AU"/>
        </w:rPr>
        <w:t>country of birth</w:t>
      </w:r>
    </w:p>
    <w:p w:rsidR="009660C1" w:rsidRPr="006E1C2B" w:rsidRDefault="009660C1" w:rsidP="00066793">
      <w:pPr>
        <w:pStyle w:val="ListParagraph"/>
        <w:numPr>
          <w:ilvl w:val="1"/>
          <w:numId w:val="56"/>
        </w:numPr>
        <w:spacing w:after="0" w:line="240" w:lineRule="auto"/>
        <w:rPr>
          <w:rFonts w:ascii="Calibri" w:eastAsia="Times New Roman" w:hAnsi="Calibri" w:cs="Calibri"/>
          <w:color w:val="000000"/>
          <w:sz w:val="20"/>
          <w:szCs w:val="20"/>
          <w:lang w:eastAsia="en-AU"/>
        </w:rPr>
      </w:pPr>
      <w:r w:rsidRPr="006E1C2B">
        <w:rPr>
          <w:rFonts w:ascii="Calibri" w:eastAsia="Times New Roman" w:hAnsi="Calibri" w:cs="Calibri"/>
          <w:color w:val="000000"/>
          <w:sz w:val="20"/>
          <w:szCs w:val="20"/>
          <w:lang w:eastAsia="en-AU"/>
        </w:rPr>
        <w:t>English proficiency</w:t>
      </w:r>
    </w:p>
    <w:p w:rsidR="009660C1" w:rsidRPr="006E1C2B" w:rsidRDefault="009660C1" w:rsidP="00066793">
      <w:pPr>
        <w:pStyle w:val="ListParagraph"/>
        <w:numPr>
          <w:ilvl w:val="1"/>
          <w:numId w:val="56"/>
        </w:numPr>
        <w:spacing w:after="0" w:line="240" w:lineRule="auto"/>
        <w:rPr>
          <w:rFonts w:ascii="Calibri" w:eastAsia="Times New Roman" w:hAnsi="Calibri" w:cs="Calibri"/>
          <w:color w:val="000000"/>
          <w:sz w:val="20"/>
          <w:szCs w:val="20"/>
          <w:lang w:eastAsia="en-AU"/>
        </w:rPr>
      </w:pPr>
      <w:r w:rsidRPr="006E1C2B">
        <w:rPr>
          <w:rFonts w:ascii="Calibri" w:eastAsia="Times New Roman" w:hAnsi="Calibri" w:cs="Calibri"/>
          <w:color w:val="000000"/>
          <w:sz w:val="20"/>
          <w:szCs w:val="20"/>
          <w:lang w:eastAsia="en-AU"/>
        </w:rPr>
        <w:t>gender</w:t>
      </w:r>
    </w:p>
    <w:p w:rsidR="009660C1" w:rsidRPr="006E1C2B" w:rsidRDefault="009660C1" w:rsidP="00066793">
      <w:pPr>
        <w:pStyle w:val="ListParagraph"/>
        <w:numPr>
          <w:ilvl w:val="1"/>
          <w:numId w:val="56"/>
        </w:numPr>
        <w:spacing w:after="0" w:line="240" w:lineRule="auto"/>
        <w:rPr>
          <w:rFonts w:ascii="Calibri" w:eastAsia="Times New Roman" w:hAnsi="Calibri" w:cs="Calibri"/>
          <w:color w:val="000000"/>
          <w:sz w:val="20"/>
          <w:szCs w:val="20"/>
          <w:lang w:eastAsia="en-AU"/>
        </w:rPr>
      </w:pPr>
      <w:r w:rsidRPr="006E1C2B">
        <w:rPr>
          <w:rFonts w:ascii="Calibri" w:eastAsia="Times New Roman" w:hAnsi="Calibri" w:cs="Calibri"/>
          <w:color w:val="000000"/>
          <w:sz w:val="20"/>
          <w:szCs w:val="20"/>
          <w:lang w:eastAsia="en-AU"/>
        </w:rPr>
        <w:t>geographic level of disadvantage</w:t>
      </w:r>
    </w:p>
    <w:p w:rsidR="009660C1" w:rsidRPr="006E1C2B" w:rsidRDefault="009660C1" w:rsidP="00066793">
      <w:pPr>
        <w:pStyle w:val="ListParagraph"/>
        <w:numPr>
          <w:ilvl w:val="1"/>
          <w:numId w:val="56"/>
        </w:numPr>
        <w:spacing w:after="0" w:line="240" w:lineRule="auto"/>
        <w:rPr>
          <w:rFonts w:ascii="Calibri" w:eastAsia="Times New Roman" w:hAnsi="Calibri" w:cs="Calibri"/>
          <w:color w:val="000000"/>
          <w:sz w:val="20"/>
          <w:szCs w:val="20"/>
          <w:lang w:eastAsia="en-AU"/>
        </w:rPr>
      </w:pPr>
      <w:r w:rsidRPr="006E1C2B">
        <w:rPr>
          <w:rFonts w:ascii="Calibri" w:eastAsia="Times New Roman" w:hAnsi="Calibri" w:cs="Calibri"/>
          <w:color w:val="000000"/>
          <w:sz w:val="20"/>
          <w:szCs w:val="20"/>
          <w:lang w:eastAsia="en-AU"/>
        </w:rPr>
        <w:t>highest level of education</w:t>
      </w:r>
    </w:p>
    <w:p w:rsidR="009660C1" w:rsidRPr="006E1C2B" w:rsidRDefault="009660C1" w:rsidP="00066793">
      <w:pPr>
        <w:pStyle w:val="ListParagraph"/>
        <w:numPr>
          <w:ilvl w:val="1"/>
          <w:numId w:val="56"/>
        </w:numPr>
        <w:spacing w:after="0" w:line="240" w:lineRule="auto"/>
        <w:rPr>
          <w:rFonts w:ascii="Calibri" w:eastAsia="Times New Roman" w:hAnsi="Calibri" w:cs="Calibri"/>
          <w:color w:val="000000"/>
          <w:sz w:val="20"/>
          <w:szCs w:val="20"/>
          <w:lang w:eastAsia="en-AU"/>
        </w:rPr>
      </w:pPr>
      <w:r w:rsidRPr="006E1C2B">
        <w:rPr>
          <w:rFonts w:ascii="Calibri" w:eastAsia="Times New Roman" w:hAnsi="Calibri" w:cs="Calibri"/>
          <w:color w:val="000000"/>
          <w:sz w:val="20"/>
          <w:szCs w:val="20"/>
          <w:lang w:eastAsia="en-AU"/>
        </w:rPr>
        <w:t>if a single parent</w:t>
      </w:r>
    </w:p>
    <w:p w:rsidR="009660C1" w:rsidRPr="006E1C2B" w:rsidRDefault="009660C1" w:rsidP="00066793">
      <w:pPr>
        <w:pStyle w:val="ListParagraph"/>
        <w:numPr>
          <w:ilvl w:val="1"/>
          <w:numId w:val="56"/>
        </w:numPr>
        <w:spacing w:after="0" w:line="240" w:lineRule="auto"/>
        <w:rPr>
          <w:rFonts w:ascii="Calibri" w:eastAsia="Times New Roman" w:hAnsi="Calibri" w:cs="Calibri"/>
          <w:color w:val="000000"/>
          <w:sz w:val="20"/>
          <w:szCs w:val="20"/>
          <w:lang w:eastAsia="en-AU"/>
        </w:rPr>
      </w:pPr>
      <w:r w:rsidRPr="006E1C2B">
        <w:rPr>
          <w:rFonts w:ascii="Calibri" w:eastAsia="Times New Roman" w:hAnsi="Calibri" w:cs="Calibri"/>
          <w:color w:val="000000"/>
          <w:sz w:val="20"/>
          <w:szCs w:val="20"/>
          <w:lang w:eastAsia="en-AU"/>
        </w:rPr>
        <w:t>if an ex-offender</w:t>
      </w:r>
    </w:p>
    <w:p w:rsidR="009660C1" w:rsidRPr="006E1C2B" w:rsidRDefault="009660C1" w:rsidP="00066793">
      <w:pPr>
        <w:pStyle w:val="ListParagraph"/>
        <w:numPr>
          <w:ilvl w:val="1"/>
          <w:numId w:val="56"/>
        </w:numPr>
        <w:spacing w:after="0" w:line="240" w:lineRule="auto"/>
        <w:rPr>
          <w:rFonts w:ascii="Calibri" w:eastAsia="Times New Roman" w:hAnsi="Calibri" w:cs="Calibri"/>
          <w:color w:val="000000"/>
          <w:sz w:val="20"/>
          <w:szCs w:val="20"/>
          <w:lang w:eastAsia="en-AU"/>
        </w:rPr>
      </w:pPr>
      <w:r w:rsidRPr="006E1C2B">
        <w:rPr>
          <w:rFonts w:ascii="Calibri" w:eastAsia="Times New Roman" w:hAnsi="Calibri" w:cs="Calibri"/>
          <w:color w:val="000000"/>
          <w:sz w:val="20"/>
          <w:szCs w:val="20"/>
          <w:lang w:eastAsia="en-AU"/>
        </w:rPr>
        <w:t>if contactable by telephone</w:t>
      </w:r>
    </w:p>
    <w:p w:rsidR="009660C1" w:rsidRPr="006E1C2B" w:rsidRDefault="009660C1" w:rsidP="00066793">
      <w:pPr>
        <w:pStyle w:val="ListParagraph"/>
        <w:numPr>
          <w:ilvl w:val="1"/>
          <w:numId w:val="56"/>
        </w:numPr>
        <w:spacing w:after="0" w:line="240" w:lineRule="auto"/>
        <w:rPr>
          <w:rFonts w:ascii="Calibri" w:eastAsia="Times New Roman" w:hAnsi="Calibri" w:cs="Calibri"/>
          <w:color w:val="000000"/>
          <w:sz w:val="20"/>
          <w:szCs w:val="20"/>
          <w:lang w:eastAsia="en-AU"/>
        </w:rPr>
      </w:pPr>
      <w:r w:rsidRPr="006E1C2B">
        <w:rPr>
          <w:rFonts w:ascii="Calibri" w:eastAsia="Times New Roman" w:hAnsi="Calibri" w:cs="Calibri"/>
          <w:color w:val="000000"/>
          <w:sz w:val="20"/>
          <w:szCs w:val="20"/>
          <w:lang w:eastAsia="en-AU"/>
        </w:rPr>
        <w:t>if Indigenous</w:t>
      </w:r>
    </w:p>
    <w:p w:rsidR="009660C1" w:rsidRPr="006E1C2B" w:rsidRDefault="009660C1" w:rsidP="00066793">
      <w:pPr>
        <w:pStyle w:val="ListParagraph"/>
        <w:numPr>
          <w:ilvl w:val="1"/>
          <w:numId w:val="56"/>
        </w:numPr>
        <w:spacing w:after="0" w:line="240" w:lineRule="auto"/>
        <w:rPr>
          <w:rFonts w:ascii="Calibri" w:eastAsia="Times New Roman" w:hAnsi="Calibri" w:cs="Calibri"/>
          <w:color w:val="000000"/>
          <w:sz w:val="20"/>
          <w:szCs w:val="20"/>
          <w:lang w:eastAsia="en-AU"/>
        </w:rPr>
      </w:pPr>
      <w:r w:rsidRPr="006E1C2B">
        <w:rPr>
          <w:rFonts w:ascii="Calibri" w:eastAsia="Times New Roman" w:hAnsi="Calibri" w:cs="Calibri"/>
          <w:color w:val="000000"/>
          <w:sz w:val="20"/>
          <w:szCs w:val="20"/>
          <w:lang w:eastAsia="en-AU"/>
        </w:rPr>
        <w:t>if with disability</w:t>
      </w:r>
    </w:p>
    <w:p w:rsidR="009660C1" w:rsidRPr="006E1C2B" w:rsidRDefault="009660C1" w:rsidP="00066793">
      <w:pPr>
        <w:pStyle w:val="ListParagraph"/>
        <w:numPr>
          <w:ilvl w:val="1"/>
          <w:numId w:val="56"/>
        </w:numPr>
        <w:spacing w:after="0" w:line="240" w:lineRule="auto"/>
        <w:rPr>
          <w:rFonts w:ascii="Calibri" w:eastAsia="Times New Roman" w:hAnsi="Calibri" w:cs="Calibri"/>
          <w:color w:val="000000"/>
          <w:sz w:val="20"/>
          <w:szCs w:val="20"/>
          <w:lang w:eastAsia="en-AU"/>
        </w:rPr>
      </w:pPr>
      <w:r w:rsidRPr="006E1C2B">
        <w:rPr>
          <w:rFonts w:ascii="Calibri" w:eastAsia="Times New Roman" w:hAnsi="Calibri" w:cs="Calibri"/>
          <w:color w:val="000000"/>
          <w:sz w:val="20"/>
          <w:szCs w:val="20"/>
          <w:lang w:eastAsia="en-AU"/>
        </w:rPr>
        <w:t>job</w:t>
      </w:r>
      <w:r w:rsidR="008477D2">
        <w:rPr>
          <w:rFonts w:ascii="Calibri" w:eastAsia="Times New Roman" w:hAnsi="Calibri" w:cs="Calibri"/>
          <w:color w:val="000000"/>
          <w:sz w:val="20"/>
          <w:szCs w:val="20"/>
          <w:lang w:eastAsia="en-AU"/>
        </w:rPr>
        <w:t xml:space="preserve"> </w:t>
      </w:r>
      <w:r w:rsidRPr="006E1C2B">
        <w:rPr>
          <w:rFonts w:ascii="Calibri" w:eastAsia="Times New Roman" w:hAnsi="Calibri" w:cs="Calibri"/>
          <w:color w:val="000000"/>
          <w:sz w:val="20"/>
          <w:szCs w:val="20"/>
          <w:lang w:eastAsia="en-AU"/>
        </w:rPr>
        <w:t>seeker history</w:t>
      </w:r>
    </w:p>
    <w:p w:rsidR="009660C1" w:rsidRPr="006E1C2B" w:rsidRDefault="009660C1" w:rsidP="00066793">
      <w:pPr>
        <w:pStyle w:val="ListParagraph"/>
        <w:numPr>
          <w:ilvl w:val="1"/>
          <w:numId w:val="56"/>
        </w:numPr>
        <w:spacing w:after="0" w:line="240" w:lineRule="auto"/>
        <w:rPr>
          <w:rFonts w:ascii="Calibri" w:eastAsia="Times New Roman" w:hAnsi="Calibri" w:cs="Calibri"/>
          <w:color w:val="000000"/>
          <w:sz w:val="20"/>
          <w:szCs w:val="20"/>
          <w:lang w:eastAsia="en-AU"/>
        </w:rPr>
      </w:pPr>
      <w:r w:rsidRPr="006E1C2B">
        <w:rPr>
          <w:rFonts w:ascii="Calibri" w:eastAsia="Times New Roman" w:hAnsi="Calibri" w:cs="Calibri"/>
          <w:color w:val="000000"/>
          <w:sz w:val="20"/>
          <w:szCs w:val="20"/>
          <w:lang w:eastAsia="en-AU"/>
        </w:rPr>
        <w:t xml:space="preserve">personal factors </w:t>
      </w:r>
    </w:p>
    <w:p w:rsidR="009660C1" w:rsidRPr="006E1C2B" w:rsidRDefault="009660C1" w:rsidP="00066793">
      <w:pPr>
        <w:pStyle w:val="ListParagraph"/>
        <w:numPr>
          <w:ilvl w:val="1"/>
          <w:numId w:val="56"/>
        </w:numPr>
        <w:spacing w:after="0" w:line="240" w:lineRule="auto"/>
        <w:rPr>
          <w:rFonts w:ascii="Calibri" w:eastAsia="Times New Roman" w:hAnsi="Calibri" w:cs="Calibri"/>
          <w:color w:val="000000"/>
          <w:sz w:val="20"/>
          <w:szCs w:val="20"/>
          <w:lang w:eastAsia="en-AU"/>
        </w:rPr>
      </w:pPr>
      <w:r w:rsidRPr="006E1C2B">
        <w:rPr>
          <w:rFonts w:ascii="Calibri" w:eastAsia="Times New Roman" w:hAnsi="Calibri" w:cs="Calibri"/>
          <w:color w:val="000000"/>
          <w:sz w:val="20"/>
          <w:szCs w:val="20"/>
          <w:lang w:eastAsia="en-AU"/>
        </w:rPr>
        <w:t>proximity to the labour market</w:t>
      </w:r>
    </w:p>
    <w:p w:rsidR="009660C1" w:rsidRPr="006E1C2B" w:rsidRDefault="009660C1" w:rsidP="00066793">
      <w:pPr>
        <w:pStyle w:val="ListParagraph"/>
        <w:numPr>
          <w:ilvl w:val="1"/>
          <w:numId w:val="56"/>
        </w:numPr>
        <w:spacing w:after="0" w:line="240" w:lineRule="auto"/>
        <w:rPr>
          <w:rFonts w:ascii="Calibri" w:eastAsia="Times New Roman" w:hAnsi="Calibri" w:cs="Calibri"/>
          <w:color w:val="000000"/>
          <w:sz w:val="20"/>
          <w:szCs w:val="20"/>
          <w:lang w:eastAsia="en-AU"/>
        </w:rPr>
      </w:pPr>
      <w:r w:rsidRPr="006E1C2B">
        <w:rPr>
          <w:rFonts w:ascii="Calibri" w:eastAsia="Times New Roman" w:hAnsi="Calibri" w:cs="Calibri"/>
          <w:color w:val="000000"/>
          <w:sz w:val="20"/>
          <w:szCs w:val="20"/>
          <w:lang w:eastAsia="en-AU"/>
        </w:rPr>
        <w:t>recent work experience</w:t>
      </w:r>
    </w:p>
    <w:p w:rsidR="009660C1" w:rsidRPr="006E1C2B" w:rsidRDefault="009660C1" w:rsidP="00066793">
      <w:pPr>
        <w:pStyle w:val="ListParagraph"/>
        <w:numPr>
          <w:ilvl w:val="1"/>
          <w:numId w:val="56"/>
        </w:numPr>
        <w:spacing w:after="0" w:line="240" w:lineRule="auto"/>
        <w:rPr>
          <w:rFonts w:ascii="Calibri" w:eastAsia="Times New Roman" w:hAnsi="Calibri" w:cs="Calibri"/>
          <w:color w:val="000000"/>
          <w:sz w:val="20"/>
          <w:szCs w:val="20"/>
          <w:lang w:eastAsia="en-AU"/>
        </w:rPr>
      </w:pPr>
      <w:r w:rsidRPr="006E1C2B">
        <w:rPr>
          <w:rFonts w:ascii="Calibri" w:eastAsia="Times New Roman" w:hAnsi="Calibri" w:cs="Calibri"/>
          <w:color w:val="000000"/>
          <w:sz w:val="20"/>
          <w:szCs w:val="20"/>
          <w:lang w:eastAsia="en-AU"/>
        </w:rPr>
        <w:t>stability of residence</w:t>
      </w:r>
    </w:p>
    <w:p w:rsidR="009660C1" w:rsidRPr="006E1C2B" w:rsidRDefault="009660C1" w:rsidP="00066793">
      <w:pPr>
        <w:pStyle w:val="ListParagraph"/>
        <w:numPr>
          <w:ilvl w:val="1"/>
          <w:numId w:val="56"/>
        </w:numPr>
        <w:spacing w:after="0" w:line="240" w:lineRule="auto"/>
        <w:rPr>
          <w:rFonts w:ascii="Calibri" w:eastAsia="Times New Roman" w:hAnsi="Calibri" w:cs="Calibri"/>
          <w:color w:val="000000"/>
          <w:sz w:val="20"/>
          <w:szCs w:val="20"/>
          <w:lang w:eastAsia="en-AU"/>
        </w:rPr>
      </w:pPr>
      <w:r w:rsidRPr="006E1C2B">
        <w:rPr>
          <w:rFonts w:ascii="Calibri" w:eastAsia="Times New Roman" w:hAnsi="Calibri" w:cs="Calibri"/>
          <w:color w:val="000000"/>
          <w:sz w:val="20"/>
          <w:szCs w:val="20"/>
          <w:lang w:eastAsia="en-AU"/>
        </w:rPr>
        <w:t>time on income support</w:t>
      </w:r>
    </w:p>
    <w:p w:rsidR="009660C1" w:rsidRPr="006E1C2B" w:rsidRDefault="009660C1" w:rsidP="00066793">
      <w:pPr>
        <w:pStyle w:val="ListParagraph"/>
        <w:numPr>
          <w:ilvl w:val="1"/>
          <w:numId w:val="56"/>
        </w:numPr>
        <w:spacing w:after="0" w:line="240" w:lineRule="auto"/>
      </w:pPr>
      <w:r w:rsidRPr="006E1C2B">
        <w:rPr>
          <w:rFonts w:ascii="Calibri" w:eastAsia="Times New Roman" w:hAnsi="Calibri" w:cs="Calibri"/>
          <w:color w:val="000000"/>
          <w:sz w:val="20"/>
          <w:szCs w:val="20"/>
          <w:lang w:eastAsia="en-AU"/>
        </w:rPr>
        <w:t>vocational qualifications.</w:t>
      </w:r>
    </w:p>
    <w:p w:rsidR="009660C1" w:rsidRPr="003A4B00" w:rsidRDefault="009660C1" w:rsidP="009660C1">
      <w:pPr>
        <w:pStyle w:val="Source"/>
        <w:rPr>
          <w:b w:val="0"/>
        </w:rPr>
      </w:pPr>
      <w:r w:rsidRPr="003A4B00">
        <w:t xml:space="preserve">Source: </w:t>
      </w:r>
      <w:r w:rsidRPr="003A4B00">
        <w:rPr>
          <w:b w:val="0"/>
        </w:rPr>
        <w:t xml:space="preserve">DHS and </w:t>
      </w:r>
      <w:r w:rsidR="008B4BC0">
        <w:rPr>
          <w:b w:val="0"/>
        </w:rPr>
        <w:t>DoE monitoring</w:t>
      </w:r>
      <w:r w:rsidRPr="003A4B00">
        <w:rPr>
          <w:b w:val="0"/>
        </w:rPr>
        <w:t xml:space="preserve"> data, </w:t>
      </w:r>
      <w:r w:rsidR="008B4BC0">
        <w:rPr>
          <w:b w:val="0"/>
        </w:rPr>
        <w:t>DoE</w:t>
      </w:r>
      <w:r w:rsidRPr="003A4B00">
        <w:rPr>
          <w:b w:val="0"/>
        </w:rPr>
        <w:t xml:space="preserve"> administrative data and Research and Evaluation Database (RED).</w:t>
      </w:r>
    </w:p>
    <w:p w:rsidR="00683705" w:rsidRPr="003A4B00" w:rsidRDefault="00683705" w:rsidP="00683705">
      <w:pPr>
        <w:pStyle w:val="Source"/>
        <w:spacing w:before="120"/>
        <w:rPr>
          <w:b w:val="0"/>
        </w:rPr>
      </w:pPr>
      <w:r>
        <w:rPr>
          <w:b w:val="0"/>
        </w:rPr>
        <w:t xml:space="preserve">Return to </w:t>
      </w:r>
      <w:hyperlink w:anchor="Place_F4" w:history="1">
        <w:r w:rsidRPr="00683705">
          <w:rPr>
            <w:rStyle w:val="Hyperlink"/>
            <w:b w:val="0"/>
          </w:rPr>
          <w:t>Table 3.4</w:t>
        </w:r>
      </w:hyperlink>
      <w:r>
        <w:rPr>
          <w:b w:val="0"/>
        </w:rPr>
        <w:t>.</w:t>
      </w:r>
    </w:p>
    <w:p w:rsidR="009660C1" w:rsidRDefault="009660C1">
      <w:pPr>
        <w:rPr>
          <w:b/>
        </w:rPr>
      </w:pPr>
      <w:r>
        <w:br w:type="page"/>
      </w:r>
    </w:p>
    <w:p w:rsidR="002213C9" w:rsidRPr="003A4B00" w:rsidRDefault="002213C9" w:rsidP="002213C9">
      <w:pPr>
        <w:pStyle w:val="TableCaption"/>
      </w:pPr>
      <w:bookmarkStart w:id="262" w:name="_Toc507600321"/>
      <w:bookmarkStart w:id="263" w:name="_Toc475459006"/>
      <w:r>
        <w:lastRenderedPageBreak/>
        <w:t xml:space="preserve">Table </w:t>
      </w:r>
      <w:r w:rsidR="00603A49">
        <w:t>F</w:t>
      </w:r>
      <w:r>
        <w:t>.5</w:t>
      </w:r>
      <w:r w:rsidRPr="003A4B00">
        <w:t xml:space="preserve">: </w:t>
      </w:r>
      <w:r>
        <w:t>Difference in p</w:t>
      </w:r>
      <w:r w:rsidRPr="003A4B00">
        <w:t>robability that a</w:t>
      </w:r>
      <w:r>
        <w:t xml:space="preserve"> person</w:t>
      </w:r>
      <w:r w:rsidRPr="003A4B00">
        <w:t xml:space="preserve"> </w:t>
      </w:r>
      <w:r>
        <w:t>will have lodged a claim as opposed to not having claimed</w:t>
      </w:r>
      <w:r w:rsidRPr="003A4B00">
        <w:t xml:space="preserve"> </w:t>
      </w:r>
      <w:r>
        <w:t>considering how much EPF support received (regressed results) (percentage point)</w:t>
      </w:r>
      <w:bookmarkEnd w:id="262"/>
    </w:p>
    <w:tbl>
      <w:tblPr>
        <w:tblW w:w="9229" w:type="dxa"/>
        <w:tblCellMar>
          <w:left w:w="0" w:type="dxa"/>
          <w:right w:w="0" w:type="dxa"/>
        </w:tblCellMar>
        <w:tblLook w:val="04A0" w:firstRow="1" w:lastRow="0" w:firstColumn="1" w:lastColumn="0" w:noHBand="0" w:noVBand="1"/>
      </w:tblPr>
      <w:tblGrid>
        <w:gridCol w:w="4410"/>
        <w:gridCol w:w="3827"/>
        <w:gridCol w:w="992"/>
      </w:tblGrid>
      <w:tr w:rsidR="002213C9" w:rsidTr="00384A85">
        <w:trPr>
          <w:trHeight w:val="504"/>
          <w:tblHeader/>
        </w:trPr>
        <w:tc>
          <w:tcPr>
            <w:tcW w:w="4410" w:type="dxa"/>
            <w:tcBorders>
              <w:top w:val="nil"/>
              <w:left w:val="nil"/>
              <w:bottom w:val="nil"/>
              <w:right w:val="nil"/>
            </w:tcBorders>
            <w:shd w:val="clear" w:color="000000" w:fill="1E3D6B"/>
            <w:tcMar>
              <w:top w:w="15" w:type="dxa"/>
              <w:left w:w="15" w:type="dxa"/>
              <w:bottom w:w="0" w:type="dxa"/>
              <w:right w:w="15" w:type="dxa"/>
            </w:tcMar>
            <w:vAlign w:val="center"/>
            <w:hideMark/>
          </w:tcPr>
          <w:p w:rsidR="002213C9" w:rsidRPr="00C54A19" w:rsidRDefault="002213C9" w:rsidP="00384A85">
            <w:pPr>
              <w:spacing w:after="0"/>
              <w:rPr>
                <w:rFonts w:cstheme="minorHAnsi"/>
                <w:b/>
                <w:bCs/>
                <w:color w:val="FFFFFF"/>
                <w:sz w:val="20"/>
                <w:szCs w:val="20"/>
              </w:rPr>
            </w:pPr>
            <w:bookmarkStart w:id="264" w:name="Title_F5"/>
            <w:bookmarkEnd w:id="264"/>
            <w:r w:rsidRPr="00C54A19">
              <w:rPr>
                <w:rFonts w:cstheme="minorHAnsi"/>
                <w:b/>
                <w:bCs/>
                <w:color w:val="FFFFFF"/>
                <w:sz w:val="20"/>
                <w:szCs w:val="20"/>
              </w:rPr>
              <w:t>Demographic characteristic</w:t>
            </w:r>
          </w:p>
        </w:tc>
        <w:tc>
          <w:tcPr>
            <w:tcW w:w="3827" w:type="dxa"/>
            <w:tcBorders>
              <w:top w:val="nil"/>
              <w:left w:val="nil"/>
              <w:bottom w:val="nil"/>
              <w:right w:val="nil"/>
            </w:tcBorders>
            <w:shd w:val="clear" w:color="000000" w:fill="1E3D6B"/>
            <w:tcMar>
              <w:top w:w="15" w:type="dxa"/>
              <w:left w:w="15" w:type="dxa"/>
              <w:bottom w:w="0" w:type="dxa"/>
              <w:right w:w="15" w:type="dxa"/>
            </w:tcMar>
            <w:vAlign w:val="center"/>
            <w:hideMark/>
          </w:tcPr>
          <w:p w:rsidR="002213C9" w:rsidRPr="00C54A19" w:rsidRDefault="002213C9" w:rsidP="00384A85">
            <w:pPr>
              <w:spacing w:after="0"/>
              <w:rPr>
                <w:rFonts w:cstheme="minorHAnsi"/>
                <w:b/>
                <w:bCs/>
                <w:color w:val="FFFFFF"/>
                <w:sz w:val="20"/>
                <w:szCs w:val="20"/>
              </w:rPr>
            </w:pPr>
            <w:r w:rsidRPr="00C54A19">
              <w:rPr>
                <w:rFonts w:cstheme="minorHAnsi"/>
                <w:b/>
                <w:bCs/>
                <w:color w:val="FFFFFF"/>
                <w:sz w:val="20"/>
                <w:szCs w:val="20"/>
              </w:rPr>
              <w:t>Compared with</w:t>
            </w:r>
          </w:p>
        </w:tc>
        <w:tc>
          <w:tcPr>
            <w:tcW w:w="992" w:type="dxa"/>
            <w:tcBorders>
              <w:top w:val="nil"/>
              <w:left w:val="nil"/>
              <w:bottom w:val="nil"/>
              <w:right w:val="nil"/>
            </w:tcBorders>
            <w:shd w:val="clear" w:color="000000" w:fill="1E3D6B"/>
            <w:tcMar>
              <w:top w:w="15" w:type="dxa"/>
              <w:left w:w="15" w:type="dxa"/>
              <w:bottom w:w="0" w:type="dxa"/>
              <w:right w:w="15" w:type="dxa"/>
            </w:tcMar>
            <w:vAlign w:val="center"/>
            <w:hideMark/>
          </w:tcPr>
          <w:p w:rsidR="002213C9" w:rsidRPr="00C54A19" w:rsidRDefault="002213C9" w:rsidP="00384A85">
            <w:pPr>
              <w:spacing w:after="0"/>
              <w:jc w:val="center"/>
              <w:rPr>
                <w:rFonts w:cstheme="minorHAnsi"/>
                <w:b/>
                <w:bCs/>
                <w:color w:val="FFFFFF"/>
                <w:sz w:val="20"/>
                <w:szCs w:val="20"/>
              </w:rPr>
            </w:pPr>
            <w:r w:rsidRPr="00C54A19">
              <w:rPr>
                <w:rFonts w:cstheme="minorHAnsi"/>
                <w:b/>
                <w:bCs/>
                <w:color w:val="FFFFFF"/>
                <w:sz w:val="20"/>
                <w:szCs w:val="20"/>
              </w:rPr>
              <w:t>MEM</w:t>
            </w:r>
            <w:r w:rsidRPr="00C54A19">
              <w:rPr>
                <w:rFonts w:cstheme="minorHAnsi"/>
                <w:b/>
                <w:bCs/>
                <w:color w:val="FFFFFF"/>
                <w:sz w:val="20"/>
                <w:szCs w:val="20"/>
              </w:rPr>
              <w:br/>
              <w:t>(ppt)</w:t>
            </w:r>
          </w:p>
        </w:tc>
      </w:tr>
      <w:tr w:rsidR="002213C9" w:rsidRPr="00BB501A" w:rsidTr="00AA510E">
        <w:trPr>
          <w:trHeight w:hRule="exact" w:val="510"/>
        </w:trPr>
        <w:tc>
          <w:tcPr>
            <w:tcW w:w="4410"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 xml:space="preserve">Single parent </w:t>
            </w:r>
          </w:p>
        </w:tc>
        <w:tc>
          <w:tcPr>
            <w:tcW w:w="3827"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Not a single parent</w:t>
            </w:r>
          </w:p>
        </w:tc>
        <w:tc>
          <w:tcPr>
            <w:tcW w:w="992"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7.2</w:t>
            </w:r>
          </w:p>
        </w:tc>
      </w:tr>
      <w:tr w:rsidR="002213C9" w:rsidRPr="00BB501A" w:rsidTr="00AA510E">
        <w:trPr>
          <w:trHeight w:hRule="exact" w:val="510"/>
        </w:trPr>
        <w:tc>
          <w:tcPr>
            <w:tcW w:w="4410"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More than $2500 EPF</w:t>
            </w:r>
          </w:p>
        </w:tc>
        <w:tc>
          <w:tcPr>
            <w:tcW w:w="3827"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Less than $300 EPF</w:t>
            </w:r>
          </w:p>
        </w:tc>
        <w:tc>
          <w:tcPr>
            <w:tcW w:w="992"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6.5</w:t>
            </w:r>
          </w:p>
        </w:tc>
      </w:tr>
      <w:tr w:rsidR="002213C9" w:rsidRPr="00BB501A" w:rsidTr="00AA510E">
        <w:trPr>
          <w:trHeight w:hRule="exact" w:val="510"/>
        </w:trPr>
        <w:tc>
          <w:tcPr>
            <w:tcW w:w="4410"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Highest level of education: Degree / post-graduate</w:t>
            </w:r>
          </w:p>
        </w:tc>
        <w:tc>
          <w:tcPr>
            <w:tcW w:w="3827"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Highest level of education: TAFE / diploma</w:t>
            </w:r>
          </w:p>
        </w:tc>
        <w:tc>
          <w:tcPr>
            <w:tcW w:w="992"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5.9</w:t>
            </w:r>
          </w:p>
        </w:tc>
      </w:tr>
      <w:tr w:rsidR="002213C9" w:rsidRPr="00BB501A" w:rsidTr="00AA510E">
        <w:trPr>
          <w:trHeight w:hRule="exact" w:val="510"/>
        </w:trPr>
        <w:tc>
          <w:tcPr>
            <w:tcW w:w="4410"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Female</w:t>
            </w:r>
          </w:p>
        </w:tc>
        <w:tc>
          <w:tcPr>
            <w:tcW w:w="3827"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Male</w:t>
            </w:r>
          </w:p>
        </w:tc>
        <w:tc>
          <w:tcPr>
            <w:tcW w:w="992"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3.9</w:t>
            </w:r>
          </w:p>
        </w:tc>
      </w:tr>
      <w:tr w:rsidR="002213C9" w:rsidRPr="00BB501A" w:rsidTr="00AA510E">
        <w:trPr>
          <w:trHeight w:hRule="exact" w:val="510"/>
        </w:trPr>
        <w:tc>
          <w:tcPr>
            <w:tcW w:w="4410"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CALD</w:t>
            </w:r>
          </w:p>
        </w:tc>
        <w:tc>
          <w:tcPr>
            <w:tcW w:w="3827"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Not CALD</w:t>
            </w:r>
          </w:p>
        </w:tc>
        <w:tc>
          <w:tcPr>
            <w:tcW w:w="992"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3.8</w:t>
            </w:r>
          </w:p>
        </w:tc>
      </w:tr>
      <w:tr w:rsidR="002213C9" w:rsidRPr="00BB501A" w:rsidTr="00AA510E">
        <w:trPr>
          <w:trHeight w:hRule="exact" w:val="510"/>
        </w:trPr>
        <w:tc>
          <w:tcPr>
            <w:tcW w:w="4410"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Between $300 and $1000 EPF</w:t>
            </w:r>
          </w:p>
        </w:tc>
        <w:tc>
          <w:tcPr>
            <w:tcW w:w="3827"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Less than $300 EPF</w:t>
            </w:r>
          </w:p>
        </w:tc>
        <w:tc>
          <w:tcPr>
            <w:tcW w:w="992"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3.8</w:t>
            </w:r>
          </w:p>
        </w:tc>
      </w:tr>
      <w:tr w:rsidR="002213C9" w:rsidRPr="00BB501A" w:rsidTr="00AA510E">
        <w:trPr>
          <w:trHeight w:hRule="exact" w:val="510"/>
        </w:trPr>
        <w:tc>
          <w:tcPr>
            <w:tcW w:w="4410"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25 years or older at time of exit from income support</w:t>
            </w:r>
          </w:p>
        </w:tc>
        <w:tc>
          <w:tcPr>
            <w:tcW w:w="3827"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Less than 25 years at time of exit from income support</w:t>
            </w:r>
          </w:p>
        </w:tc>
        <w:tc>
          <w:tcPr>
            <w:tcW w:w="992"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2.8</w:t>
            </w:r>
          </w:p>
        </w:tc>
      </w:tr>
      <w:tr w:rsidR="002213C9" w:rsidRPr="00BB501A" w:rsidTr="00AA510E">
        <w:trPr>
          <w:trHeight w:hRule="exact" w:val="510"/>
        </w:trPr>
        <w:tc>
          <w:tcPr>
            <w:tcW w:w="4410"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Live in an outer regional or remote area</w:t>
            </w:r>
          </w:p>
        </w:tc>
        <w:tc>
          <w:tcPr>
            <w:tcW w:w="3827"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Live in a metropolitan or inner regional area</w:t>
            </w:r>
          </w:p>
        </w:tc>
        <w:tc>
          <w:tcPr>
            <w:tcW w:w="992"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2.0</w:t>
            </w:r>
          </w:p>
        </w:tc>
      </w:tr>
      <w:tr w:rsidR="002213C9" w:rsidRPr="00BB501A" w:rsidTr="00AA510E">
        <w:trPr>
          <w:trHeight w:hRule="exact" w:val="510"/>
        </w:trPr>
        <w:tc>
          <w:tcPr>
            <w:tcW w:w="4410"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With disability</w:t>
            </w:r>
          </w:p>
        </w:tc>
        <w:tc>
          <w:tcPr>
            <w:tcW w:w="3827"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Without disability</w:t>
            </w:r>
          </w:p>
        </w:tc>
        <w:tc>
          <w:tcPr>
            <w:tcW w:w="992"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1.9</w:t>
            </w:r>
          </w:p>
        </w:tc>
      </w:tr>
      <w:tr w:rsidR="002213C9" w:rsidRPr="00BB501A" w:rsidTr="00AA510E">
        <w:trPr>
          <w:trHeight w:hRule="exact" w:val="510"/>
        </w:trPr>
        <w:tc>
          <w:tcPr>
            <w:tcW w:w="4410"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Lives in ESA of high / extreme disadvantage</w:t>
            </w:r>
          </w:p>
        </w:tc>
        <w:tc>
          <w:tcPr>
            <w:tcW w:w="3827"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Lives in ESA of very low / low disadvantage</w:t>
            </w:r>
          </w:p>
        </w:tc>
        <w:tc>
          <w:tcPr>
            <w:tcW w:w="992"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1.8</w:t>
            </w:r>
          </w:p>
        </w:tc>
      </w:tr>
      <w:tr w:rsidR="002213C9" w:rsidRPr="00BB501A" w:rsidTr="00AA510E">
        <w:trPr>
          <w:trHeight w:hRule="exact" w:val="510"/>
        </w:trPr>
        <w:tc>
          <w:tcPr>
            <w:tcW w:w="4410"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Between $1001 and $2500 EPF</w:t>
            </w:r>
          </w:p>
        </w:tc>
        <w:tc>
          <w:tcPr>
            <w:tcW w:w="3827"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Less than $300 EPF</w:t>
            </w:r>
          </w:p>
        </w:tc>
        <w:tc>
          <w:tcPr>
            <w:tcW w:w="992"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1.5</w:t>
            </w:r>
          </w:p>
        </w:tc>
      </w:tr>
      <w:tr w:rsidR="002213C9" w:rsidRPr="00BB501A" w:rsidTr="00AA510E">
        <w:trPr>
          <w:trHeight w:hRule="exact" w:val="510"/>
        </w:trPr>
        <w:tc>
          <w:tcPr>
            <w:tcW w:w="4410"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Has no vocational qualifications</w:t>
            </w:r>
          </w:p>
        </w:tc>
        <w:tc>
          <w:tcPr>
            <w:tcW w:w="3827"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Has useful vocational qualifications</w:t>
            </w:r>
          </w:p>
        </w:tc>
        <w:tc>
          <w:tcPr>
            <w:tcW w:w="992"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1.3</w:t>
            </w:r>
          </w:p>
        </w:tc>
      </w:tr>
      <w:tr w:rsidR="002213C9" w:rsidRPr="00BB501A" w:rsidTr="00AA510E">
        <w:trPr>
          <w:trHeight w:hRule="exact" w:val="510"/>
        </w:trPr>
        <w:tc>
          <w:tcPr>
            <w:tcW w:w="4410"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Lives in ESA of moderate disadvantage</w:t>
            </w:r>
          </w:p>
        </w:tc>
        <w:tc>
          <w:tcPr>
            <w:tcW w:w="3827"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Lives in ESA of very low / low disadvantage</w:t>
            </w:r>
          </w:p>
        </w:tc>
        <w:tc>
          <w:tcPr>
            <w:tcW w:w="992"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1.3</w:t>
            </w:r>
          </w:p>
        </w:tc>
      </w:tr>
      <w:tr w:rsidR="002213C9" w:rsidRPr="00BB501A" w:rsidTr="00AA510E">
        <w:trPr>
          <w:trHeight w:hRule="exact" w:val="510"/>
        </w:trPr>
        <w:tc>
          <w:tcPr>
            <w:tcW w:w="4410"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Low impact from personal factors</w:t>
            </w:r>
          </w:p>
        </w:tc>
        <w:tc>
          <w:tcPr>
            <w:tcW w:w="3827"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No impact from personal factors</w:t>
            </w:r>
          </w:p>
        </w:tc>
        <w:tc>
          <w:tcPr>
            <w:tcW w:w="992"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-0.2</w:t>
            </w:r>
          </w:p>
        </w:tc>
      </w:tr>
      <w:tr w:rsidR="002213C9" w:rsidRPr="00BB501A" w:rsidTr="00AA510E">
        <w:trPr>
          <w:trHeight w:hRule="exact" w:val="510"/>
        </w:trPr>
        <w:tc>
          <w:tcPr>
            <w:tcW w:w="4410"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Highest level of education: Year 12/13</w:t>
            </w:r>
          </w:p>
        </w:tc>
        <w:tc>
          <w:tcPr>
            <w:tcW w:w="3827"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Highest level of education: TAFE / diploma</w:t>
            </w:r>
          </w:p>
        </w:tc>
        <w:tc>
          <w:tcPr>
            <w:tcW w:w="992"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-0.2</w:t>
            </w:r>
          </w:p>
        </w:tc>
      </w:tr>
      <w:tr w:rsidR="002213C9" w:rsidRPr="00BB501A" w:rsidTr="00AA510E">
        <w:trPr>
          <w:trHeight w:hRule="exact" w:val="510"/>
        </w:trPr>
        <w:tc>
          <w:tcPr>
            <w:tcW w:w="4410"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Medium impact from personal factors</w:t>
            </w:r>
          </w:p>
        </w:tc>
        <w:tc>
          <w:tcPr>
            <w:tcW w:w="3827"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No impact from personal factors</w:t>
            </w:r>
          </w:p>
        </w:tc>
        <w:tc>
          <w:tcPr>
            <w:tcW w:w="992"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-0.5</w:t>
            </w:r>
          </w:p>
        </w:tc>
      </w:tr>
      <w:tr w:rsidR="002213C9" w:rsidRPr="00BB501A" w:rsidTr="00AA510E">
        <w:trPr>
          <w:trHeight w:hRule="exact" w:val="510"/>
        </w:trPr>
        <w:tc>
          <w:tcPr>
            <w:tcW w:w="4410"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Indigenous</w:t>
            </w:r>
          </w:p>
        </w:tc>
        <w:tc>
          <w:tcPr>
            <w:tcW w:w="3827"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Not Indigenous</w:t>
            </w:r>
          </w:p>
        </w:tc>
        <w:tc>
          <w:tcPr>
            <w:tcW w:w="992"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-0.7</w:t>
            </w:r>
          </w:p>
        </w:tc>
      </w:tr>
      <w:tr w:rsidR="002213C9" w:rsidRPr="00BB501A" w:rsidTr="00AA510E">
        <w:trPr>
          <w:trHeight w:hRule="exact" w:val="510"/>
        </w:trPr>
        <w:tc>
          <w:tcPr>
            <w:tcW w:w="4410"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More than once on income support and/or crisis payment</w:t>
            </w:r>
          </w:p>
        </w:tc>
        <w:tc>
          <w:tcPr>
            <w:tcW w:w="3827"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No job seeker history</w:t>
            </w:r>
          </w:p>
        </w:tc>
        <w:tc>
          <w:tcPr>
            <w:tcW w:w="992"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-0.8</w:t>
            </w:r>
          </w:p>
        </w:tc>
      </w:tr>
      <w:tr w:rsidR="002213C9" w:rsidRPr="00BB501A" w:rsidTr="00AA510E">
        <w:trPr>
          <w:trHeight w:hRule="exact" w:val="510"/>
        </w:trPr>
        <w:tc>
          <w:tcPr>
            <w:tcW w:w="4410"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Unstable residence</w:t>
            </w:r>
          </w:p>
        </w:tc>
        <w:tc>
          <w:tcPr>
            <w:tcW w:w="3827"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Stable residence</w:t>
            </w:r>
          </w:p>
        </w:tc>
        <w:tc>
          <w:tcPr>
            <w:tcW w:w="992"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-0.9</w:t>
            </w:r>
          </w:p>
        </w:tc>
      </w:tr>
      <w:tr w:rsidR="002213C9" w:rsidRPr="00BB501A" w:rsidTr="00AA510E">
        <w:trPr>
          <w:trHeight w:hRule="exact" w:val="510"/>
        </w:trPr>
        <w:tc>
          <w:tcPr>
            <w:tcW w:w="4410"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Recent work experience: Unpaid / Not in the labour force</w:t>
            </w:r>
          </w:p>
        </w:tc>
        <w:tc>
          <w:tcPr>
            <w:tcW w:w="3827"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Recent work experience: Paid work full-time / part-time &gt;=8 hours</w:t>
            </w:r>
          </w:p>
        </w:tc>
        <w:tc>
          <w:tcPr>
            <w:tcW w:w="992"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-1.2</w:t>
            </w:r>
          </w:p>
        </w:tc>
      </w:tr>
      <w:tr w:rsidR="002213C9" w:rsidRPr="00BB501A" w:rsidTr="00AA510E">
        <w:trPr>
          <w:trHeight w:hRule="exact" w:val="510"/>
        </w:trPr>
        <w:tc>
          <w:tcPr>
            <w:tcW w:w="4410"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Has access to public transport</w:t>
            </w:r>
          </w:p>
        </w:tc>
        <w:tc>
          <w:tcPr>
            <w:tcW w:w="3827"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Has own transport</w:t>
            </w:r>
          </w:p>
        </w:tc>
        <w:tc>
          <w:tcPr>
            <w:tcW w:w="992"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-1.8</w:t>
            </w:r>
          </w:p>
        </w:tc>
      </w:tr>
      <w:tr w:rsidR="002213C9" w:rsidRPr="00BB501A" w:rsidTr="00AA510E">
        <w:trPr>
          <w:trHeight w:hRule="exact" w:val="510"/>
        </w:trPr>
        <w:tc>
          <w:tcPr>
            <w:tcW w:w="4410"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Highest level of education: Year 10/11</w:t>
            </w:r>
          </w:p>
        </w:tc>
        <w:tc>
          <w:tcPr>
            <w:tcW w:w="3827"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Highest level of education: TAFE / diploma</w:t>
            </w:r>
          </w:p>
        </w:tc>
        <w:tc>
          <w:tcPr>
            <w:tcW w:w="992"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-1.9</w:t>
            </w:r>
          </w:p>
        </w:tc>
      </w:tr>
      <w:tr w:rsidR="002213C9" w:rsidRPr="00BB501A" w:rsidTr="00AA510E">
        <w:trPr>
          <w:trHeight w:hRule="exact" w:val="510"/>
        </w:trPr>
        <w:tc>
          <w:tcPr>
            <w:tcW w:w="4410"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Rec</w:t>
            </w:r>
            <w:r w:rsidR="00C962FC">
              <w:rPr>
                <w:rFonts w:cstheme="minorHAnsi"/>
                <w:bCs/>
                <w:color w:val="000000" w:themeColor="text1"/>
                <w:sz w:val="20"/>
                <w:szCs w:val="20"/>
              </w:rPr>
              <w:t xml:space="preserve">ent work experience: Paid work </w:t>
            </w:r>
            <w:r w:rsidRPr="00C54A19">
              <w:rPr>
                <w:rFonts w:cstheme="minorHAnsi"/>
                <w:bCs/>
                <w:color w:val="000000" w:themeColor="text1"/>
                <w:sz w:val="20"/>
                <w:szCs w:val="20"/>
              </w:rPr>
              <w:t>part-time &lt;8 hours/seasonal or irregular</w:t>
            </w:r>
          </w:p>
        </w:tc>
        <w:tc>
          <w:tcPr>
            <w:tcW w:w="3827"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Recent work experience: Paid work full-time / part-time &gt;=8 hours</w:t>
            </w:r>
          </w:p>
        </w:tc>
        <w:tc>
          <w:tcPr>
            <w:tcW w:w="992"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-2.4</w:t>
            </w:r>
          </w:p>
        </w:tc>
      </w:tr>
      <w:tr w:rsidR="002213C9" w:rsidRPr="00BB501A" w:rsidTr="00AA510E">
        <w:trPr>
          <w:trHeight w:hRule="exact" w:val="510"/>
        </w:trPr>
        <w:tc>
          <w:tcPr>
            <w:tcW w:w="4410"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High impact from personal factors</w:t>
            </w:r>
          </w:p>
        </w:tc>
        <w:tc>
          <w:tcPr>
            <w:tcW w:w="3827"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No impact from personal factors</w:t>
            </w:r>
          </w:p>
        </w:tc>
        <w:tc>
          <w:tcPr>
            <w:tcW w:w="992"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-2.4</w:t>
            </w:r>
          </w:p>
        </w:tc>
      </w:tr>
      <w:tr w:rsidR="002213C9" w:rsidRPr="00BB501A" w:rsidTr="008477D2">
        <w:trPr>
          <w:trHeight w:hRule="exact" w:val="510"/>
        </w:trPr>
        <w:tc>
          <w:tcPr>
            <w:tcW w:w="4410"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Recent work experience: Not working but looking for work</w:t>
            </w:r>
          </w:p>
        </w:tc>
        <w:tc>
          <w:tcPr>
            <w:tcW w:w="3827"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Recent work experience: Paid work full-time / part-time &gt;=8 hours</w:t>
            </w:r>
          </w:p>
        </w:tc>
        <w:tc>
          <w:tcPr>
            <w:tcW w:w="992"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-2.6</w:t>
            </w:r>
          </w:p>
        </w:tc>
      </w:tr>
      <w:tr w:rsidR="002213C9" w:rsidRPr="00BB501A" w:rsidTr="00384A85">
        <w:trPr>
          <w:trHeight w:hRule="exact" w:val="482"/>
        </w:trPr>
        <w:tc>
          <w:tcPr>
            <w:tcW w:w="4410"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lastRenderedPageBreak/>
              <w:t>Poor/mixed English proficiency</w:t>
            </w:r>
          </w:p>
        </w:tc>
        <w:tc>
          <w:tcPr>
            <w:tcW w:w="3827"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Good English proficiency</w:t>
            </w:r>
          </w:p>
        </w:tc>
        <w:tc>
          <w:tcPr>
            <w:tcW w:w="992"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-2.6</w:t>
            </w:r>
          </w:p>
        </w:tc>
      </w:tr>
      <w:tr w:rsidR="002213C9" w:rsidRPr="00BB501A" w:rsidTr="00AA510E">
        <w:trPr>
          <w:trHeight w:hRule="exact" w:val="510"/>
        </w:trPr>
        <w:tc>
          <w:tcPr>
            <w:tcW w:w="4410"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Has access to other private transport</w:t>
            </w:r>
          </w:p>
        </w:tc>
        <w:tc>
          <w:tcPr>
            <w:tcW w:w="3827"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Has own transport</w:t>
            </w:r>
          </w:p>
        </w:tc>
        <w:tc>
          <w:tcPr>
            <w:tcW w:w="992"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-2.7</w:t>
            </w:r>
          </w:p>
        </w:tc>
      </w:tr>
      <w:tr w:rsidR="002213C9" w:rsidRPr="00BB501A" w:rsidTr="00AA510E">
        <w:trPr>
          <w:trHeight w:hRule="exact" w:val="510"/>
        </w:trPr>
        <w:tc>
          <w:tcPr>
            <w:tcW w:w="4410"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Has no useful vocational qualifications</w:t>
            </w:r>
          </w:p>
        </w:tc>
        <w:tc>
          <w:tcPr>
            <w:tcW w:w="3827"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Has useful vocational qualifications</w:t>
            </w:r>
          </w:p>
        </w:tc>
        <w:tc>
          <w:tcPr>
            <w:tcW w:w="992"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-3.3</w:t>
            </w:r>
          </w:p>
        </w:tc>
      </w:tr>
      <w:tr w:rsidR="002213C9" w:rsidRPr="00BB501A" w:rsidTr="00AA510E">
        <w:trPr>
          <w:trHeight w:hRule="exact" w:val="510"/>
        </w:trPr>
        <w:tc>
          <w:tcPr>
            <w:tcW w:w="4410"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Ex-offender</w:t>
            </w:r>
          </w:p>
        </w:tc>
        <w:tc>
          <w:tcPr>
            <w:tcW w:w="3827"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Not an ex-offender</w:t>
            </w:r>
          </w:p>
        </w:tc>
        <w:tc>
          <w:tcPr>
            <w:tcW w:w="992"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-3.6</w:t>
            </w:r>
          </w:p>
        </w:tc>
      </w:tr>
      <w:tr w:rsidR="002213C9" w:rsidRPr="00BB501A" w:rsidTr="00AA510E">
        <w:trPr>
          <w:trHeight w:hRule="exact" w:val="510"/>
        </w:trPr>
        <w:tc>
          <w:tcPr>
            <w:tcW w:w="4410"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Not contactable by telephone</w:t>
            </w:r>
          </w:p>
        </w:tc>
        <w:tc>
          <w:tcPr>
            <w:tcW w:w="3827"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Contactable by telephone</w:t>
            </w:r>
          </w:p>
        </w:tc>
        <w:tc>
          <w:tcPr>
            <w:tcW w:w="992"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-3.8</w:t>
            </w:r>
          </w:p>
        </w:tc>
      </w:tr>
      <w:tr w:rsidR="002213C9" w:rsidRPr="00BB501A" w:rsidTr="00AA510E">
        <w:trPr>
          <w:trHeight w:hRule="exact" w:val="510"/>
        </w:trPr>
        <w:tc>
          <w:tcPr>
            <w:tcW w:w="4410"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 xml:space="preserve">No access to transport </w:t>
            </w:r>
          </w:p>
        </w:tc>
        <w:tc>
          <w:tcPr>
            <w:tcW w:w="3827"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Has own transport</w:t>
            </w:r>
          </w:p>
        </w:tc>
        <w:tc>
          <w:tcPr>
            <w:tcW w:w="992"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-4.8</w:t>
            </w:r>
          </w:p>
        </w:tc>
      </w:tr>
      <w:tr w:rsidR="002213C9" w:rsidRPr="00BB501A" w:rsidTr="00AA510E">
        <w:trPr>
          <w:trHeight w:hRule="exact" w:val="510"/>
        </w:trPr>
        <w:tc>
          <w:tcPr>
            <w:tcW w:w="4410"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Highest level of education: Less than Year 10</w:t>
            </w:r>
          </w:p>
        </w:tc>
        <w:tc>
          <w:tcPr>
            <w:tcW w:w="3827"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Highest level of education: TAFE / diploma</w:t>
            </w:r>
          </w:p>
        </w:tc>
        <w:tc>
          <w:tcPr>
            <w:tcW w:w="992"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-4.9</w:t>
            </w:r>
          </w:p>
        </w:tc>
      </w:tr>
      <w:tr w:rsidR="002213C9" w:rsidRPr="00BB501A" w:rsidTr="00AA510E">
        <w:trPr>
          <w:trHeight w:hRule="exact" w:val="510"/>
        </w:trPr>
        <w:tc>
          <w:tcPr>
            <w:tcW w:w="4410"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Very high disadvantage country of birth</w:t>
            </w:r>
          </w:p>
        </w:tc>
        <w:tc>
          <w:tcPr>
            <w:tcW w:w="3827"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Low disadvantage country of birth</w:t>
            </w:r>
          </w:p>
        </w:tc>
        <w:tc>
          <w:tcPr>
            <w:tcW w:w="992"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-7.0</w:t>
            </w:r>
          </w:p>
        </w:tc>
      </w:tr>
      <w:tr w:rsidR="002213C9" w:rsidRPr="00BB501A" w:rsidTr="00AA510E">
        <w:trPr>
          <w:trHeight w:hRule="exact" w:val="510"/>
        </w:trPr>
        <w:tc>
          <w:tcPr>
            <w:tcW w:w="4410" w:type="dxa"/>
            <w:tcBorders>
              <w:top w:val="nil"/>
              <w:left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Medium disadvantage country of birth</w:t>
            </w:r>
          </w:p>
        </w:tc>
        <w:tc>
          <w:tcPr>
            <w:tcW w:w="3827" w:type="dxa"/>
            <w:tcBorders>
              <w:top w:val="nil"/>
              <w:left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Low disadvantage country of birth</w:t>
            </w:r>
          </w:p>
        </w:tc>
        <w:tc>
          <w:tcPr>
            <w:tcW w:w="992" w:type="dxa"/>
            <w:tcBorders>
              <w:top w:val="nil"/>
              <w:left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-8.3</w:t>
            </w:r>
          </w:p>
        </w:tc>
      </w:tr>
      <w:tr w:rsidR="002213C9" w:rsidRPr="00BB501A" w:rsidTr="00AA510E">
        <w:trPr>
          <w:trHeight w:hRule="exact" w:val="510"/>
        </w:trPr>
        <w:tc>
          <w:tcPr>
            <w:tcW w:w="4410" w:type="dxa"/>
            <w:tcBorders>
              <w:top w:val="nil"/>
              <w:left w:val="nil"/>
              <w:bottom w:val="single" w:sz="4" w:space="0" w:color="auto"/>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High disadvantage country of birth</w:t>
            </w:r>
          </w:p>
        </w:tc>
        <w:tc>
          <w:tcPr>
            <w:tcW w:w="3827" w:type="dxa"/>
            <w:tcBorders>
              <w:top w:val="nil"/>
              <w:left w:val="nil"/>
              <w:bottom w:val="single" w:sz="4" w:space="0" w:color="auto"/>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themeColor="text1"/>
                <w:sz w:val="20"/>
                <w:szCs w:val="20"/>
              </w:rPr>
            </w:pPr>
            <w:r w:rsidRPr="00C54A19">
              <w:rPr>
                <w:rFonts w:cstheme="minorHAnsi"/>
                <w:bCs/>
                <w:color w:val="000000" w:themeColor="text1"/>
                <w:sz w:val="20"/>
                <w:szCs w:val="20"/>
              </w:rPr>
              <w:t>Low disadvantage country of birth</w:t>
            </w:r>
          </w:p>
        </w:tc>
        <w:tc>
          <w:tcPr>
            <w:tcW w:w="992" w:type="dxa"/>
            <w:tcBorders>
              <w:top w:val="nil"/>
              <w:left w:val="nil"/>
              <w:bottom w:val="single" w:sz="4" w:space="0" w:color="auto"/>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jc w:val="center"/>
              <w:rPr>
                <w:rFonts w:cstheme="minorHAnsi"/>
                <w:bCs/>
                <w:color w:val="000000" w:themeColor="text1"/>
                <w:sz w:val="20"/>
                <w:szCs w:val="20"/>
              </w:rPr>
            </w:pPr>
            <w:r w:rsidRPr="00C54A19">
              <w:rPr>
                <w:rFonts w:cstheme="minorHAnsi"/>
                <w:bCs/>
                <w:color w:val="000000" w:themeColor="text1"/>
                <w:sz w:val="20"/>
                <w:szCs w:val="20"/>
              </w:rPr>
              <w:t>-9.9</w:t>
            </w:r>
          </w:p>
        </w:tc>
      </w:tr>
    </w:tbl>
    <w:p w:rsidR="002213C9" w:rsidRDefault="002213C9" w:rsidP="002213C9">
      <w:pPr>
        <w:pStyle w:val="Source"/>
        <w:rPr>
          <w:b w:val="0"/>
        </w:rPr>
      </w:pPr>
      <w:r>
        <w:t>Notes</w:t>
      </w:r>
      <w:r w:rsidRPr="003B4D65">
        <w:rPr>
          <w:b w:val="0"/>
        </w:rPr>
        <w:t xml:space="preserve">: </w:t>
      </w:r>
    </w:p>
    <w:p w:rsidR="002213C9" w:rsidRPr="007B252C" w:rsidRDefault="002213C9" w:rsidP="00066793">
      <w:pPr>
        <w:pStyle w:val="Source"/>
        <w:numPr>
          <w:ilvl w:val="0"/>
          <w:numId w:val="57"/>
        </w:numPr>
      </w:pPr>
      <w:r>
        <w:rPr>
          <w:b w:val="0"/>
        </w:rPr>
        <w:t xml:space="preserve">MEM </w:t>
      </w:r>
      <w:r>
        <w:rPr>
          <w:b w:val="0"/>
          <w:color w:val="000000" w:themeColor="text1"/>
        </w:rPr>
        <w:t>stands for</w:t>
      </w:r>
      <w:r w:rsidRPr="003B4D65">
        <w:rPr>
          <w:b w:val="0"/>
          <w:color w:val="000000" w:themeColor="text1"/>
        </w:rPr>
        <w:t xml:space="preserve"> </w:t>
      </w:r>
      <w:r w:rsidRPr="003B4D65">
        <w:rPr>
          <w:b w:val="0"/>
        </w:rPr>
        <w:t>Marginal effect on the mean</w:t>
      </w:r>
      <w:r>
        <w:rPr>
          <w:b w:val="0"/>
        </w:rPr>
        <w:t>.</w:t>
      </w:r>
      <w:r w:rsidRPr="003B4D65">
        <w:rPr>
          <w:rFonts w:ascii="Arial" w:eastAsia="Times New Roman" w:hAnsi="Arial" w:cs="Arial"/>
          <w:bCs/>
          <w:color w:val="000000" w:themeColor="text1"/>
          <w:sz w:val="18"/>
          <w:szCs w:val="18"/>
          <w:lang w:eastAsia="en-AU"/>
        </w:rPr>
        <w:t xml:space="preserve"> </w:t>
      </w:r>
      <w:r w:rsidRPr="003B4D65">
        <w:rPr>
          <w:b w:val="0"/>
        </w:rPr>
        <w:t>MEM</w:t>
      </w:r>
      <w:r>
        <w:rPr>
          <w:b w:val="0"/>
        </w:rPr>
        <w:t xml:space="preserve"> are</w:t>
      </w:r>
      <w:r w:rsidRPr="003B4D65">
        <w:rPr>
          <w:b w:val="0"/>
        </w:rPr>
        <w:t xml:space="preserve"> sorted in descending order.</w:t>
      </w:r>
      <w:r>
        <w:rPr>
          <w:b w:val="0"/>
        </w:rPr>
        <w:t xml:space="preserve"> For example: single parents (after controlling for all other job seeker characteristics) were 7.</w:t>
      </w:r>
      <w:r w:rsidR="009F13D5">
        <w:rPr>
          <w:b w:val="0"/>
        </w:rPr>
        <w:t xml:space="preserve">2 </w:t>
      </w:r>
      <w:r>
        <w:rPr>
          <w:b w:val="0"/>
        </w:rPr>
        <w:t xml:space="preserve">percentage points more likely to have </w:t>
      </w:r>
      <w:r w:rsidR="009F13D5">
        <w:rPr>
          <w:b w:val="0"/>
        </w:rPr>
        <w:t>lodged a</w:t>
      </w:r>
      <w:r>
        <w:rPr>
          <w:b w:val="0"/>
        </w:rPr>
        <w:t xml:space="preserve"> claim than those who were not single parents.</w:t>
      </w:r>
    </w:p>
    <w:p w:rsidR="002213C9" w:rsidRPr="00F44FBD" w:rsidRDefault="002213C9" w:rsidP="00066793">
      <w:pPr>
        <w:pStyle w:val="Source"/>
        <w:numPr>
          <w:ilvl w:val="0"/>
          <w:numId w:val="57"/>
        </w:numPr>
      </w:pPr>
      <w:r>
        <w:rPr>
          <w:b w:val="0"/>
        </w:rPr>
        <w:t>Demographic characteristics controlled for in the regression analysis are mostly obtained from the JSCI:</w:t>
      </w:r>
    </w:p>
    <w:p w:rsidR="002213C9" w:rsidRPr="007F06E6" w:rsidRDefault="002213C9" w:rsidP="00066793">
      <w:pPr>
        <w:pStyle w:val="ListParagraph"/>
        <w:numPr>
          <w:ilvl w:val="1"/>
          <w:numId w:val="57"/>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a</w:t>
      </w:r>
      <w:r w:rsidRPr="007F06E6">
        <w:rPr>
          <w:rFonts w:ascii="Calibri" w:eastAsia="Times New Roman" w:hAnsi="Calibri" w:cs="Calibri"/>
          <w:color w:val="000000"/>
          <w:sz w:val="20"/>
          <w:szCs w:val="20"/>
          <w:lang w:eastAsia="en-AU"/>
        </w:rPr>
        <w:t>ccess to transport</w:t>
      </w:r>
    </w:p>
    <w:p w:rsidR="002213C9" w:rsidRPr="007F06E6" w:rsidRDefault="002213C9" w:rsidP="00066793">
      <w:pPr>
        <w:pStyle w:val="ListParagraph"/>
        <w:numPr>
          <w:ilvl w:val="1"/>
          <w:numId w:val="57"/>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a</w:t>
      </w:r>
      <w:r w:rsidRPr="007F06E6">
        <w:rPr>
          <w:rFonts w:ascii="Calibri" w:eastAsia="Times New Roman" w:hAnsi="Calibri" w:cs="Calibri"/>
          <w:color w:val="000000"/>
          <w:sz w:val="20"/>
          <w:szCs w:val="20"/>
          <w:lang w:eastAsia="en-AU"/>
        </w:rPr>
        <w:t>ge</w:t>
      </w:r>
    </w:p>
    <w:p w:rsidR="002213C9" w:rsidRPr="007F06E6" w:rsidRDefault="002213C9" w:rsidP="00066793">
      <w:pPr>
        <w:pStyle w:val="ListParagraph"/>
        <w:numPr>
          <w:ilvl w:val="1"/>
          <w:numId w:val="57"/>
        </w:numPr>
        <w:spacing w:after="0" w:line="240" w:lineRule="auto"/>
        <w:rPr>
          <w:rFonts w:ascii="Calibri" w:eastAsia="Times New Roman" w:hAnsi="Calibri" w:cs="Calibri"/>
          <w:color w:val="000000"/>
          <w:sz w:val="20"/>
          <w:szCs w:val="20"/>
          <w:lang w:eastAsia="en-AU"/>
        </w:rPr>
      </w:pPr>
      <w:r w:rsidRPr="007F06E6">
        <w:rPr>
          <w:rFonts w:ascii="Calibri" w:eastAsia="Times New Roman" w:hAnsi="Calibri" w:cs="Calibri"/>
          <w:color w:val="000000"/>
          <w:sz w:val="20"/>
          <w:szCs w:val="20"/>
          <w:lang w:eastAsia="en-AU"/>
        </w:rPr>
        <w:t>CALD</w:t>
      </w:r>
      <w:r>
        <w:rPr>
          <w:rFonts w:ascii="Calibri" w:eastAsia="Times New Roman" w:hAnsi="Calibri" w:cs="Calibri"/>
          <w:color w:val="000000"/>
          <w:sz w:val="20"/>
          <w:szCs w:val="20"/>
          <w:lang w:eastAsia="en-AU"/>
        </w:rPr>
        <w:t xml:space="preserve"> status</w:t>
      </w:r>
    </w:p>
    <w:p w:rsidR="002213C9" w:rsidRPr="007F06E6" w:rsidRDefault="002213C9" w:rsidP="00066793">
      <w:pPr>
        <w:pStyle w:val="ListParagraph"/>
        <w:numPr>
          <w:ilvl w:val="1"/>
          <w:numId w:val="57"/>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c</w:t>
      </w:r>
      <w:r w:rsidRPr="007F06E6">
        <w:rPr>
          <w:rFonts w:ascii="Calibri" w:eastAsia="Times New Roman" w:hAnsi="Calibri" w:cs="Calibri"/>
          <w:color w:val="000000"/>
          <w:sz w:val="20"/>
          <w:szCs w:val="20"/>
          <w:lang w:eastAsia="en-AU"/>
        </w:rPr>
        <w:t>ountry of birth</w:t>
      </w:r>
    </w:p>
    <w:p w:rsidR="002213C9" w:rsidRPr="007F06E6" w:rsidRDefault="002213C9" w:rsidP="00066793">
      <w:pPr>
        <w:pStyle w:val="ListParagraph"/>
        <w:numPr>
          <w:ilvl w:val="1"/>
          <w:numId w:val="57"/>
        </w:numPr>
        <w:spacing w:after="0" w:line="240" w:lineRule="auto"/>
        <w:rPr>
          <w:rFonts w:ascii="Calibri" w:eastAsia="Times New Roman" w:hAnsi="Calibri" w:cs="Calibri"/>
          <w:color w:val="000000"/>
          <w:sz w:val="20"/>
          <w:szCs w:val="20"/>
          <w:lang w:eastAsia="en-AU"/>
        </w:rPr>
      </w:pPr>
      <w:r w:rsidRPr="007F06E6">
        <w:rPr>
          <w:rFonts w:ascii="Calibri" w:eastAsia="Times New Roman" w:hAnsi="Calibri" w:cs="Calibri"/>
          <w:color w:val="000000"/>
          <w:sz w:val="20"/>
          <w:szCs w:val="20"/>
          <w:lang w:eastAsia="en-AU"/>
        </w:rPr>
        <w:t>English proficiency</w:t>
      </w:r>
    </w:p>
    <w:p w:rsidR="002213C9" w:rsidRPr="007F06E6" w:rsidRDefault="002213C9" w:rsidP="00066793">
      <w:pPr>
        <w:pStyle w:val="ListParagraph"/>
        <w:numPr>
          <w:ilvl w:val="1"/>
          <w:numId w:val="57"/>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g</w:t>
      </w:r>
      <w:r w:rsidRPr="007F06E6">
        <w:rPr>
          <w:rFonts w:ascii="Calibri" w:eastAsia="Times New Roman" w:hAnsi="Calibri" w:cs="Calibri"/>
          <w:color w:val="000000"/>
          <w:sz w:val="20"/>
          <w:szCs w:val="20"/>
          <w:lang w:eastAsia="en-AU"/>
        </w:rPr>
        <w:t>ender</w:t>
      </w:r>
    </w:p>
    <w:p w:rsidR="002213C9" w:rsidRPr="007F06E6" w:rsidRDefault="002213C9" w:rsidP="00066793">
      <w:pPr>
        <w:pStyle w:val="ListParagraph"/>
        <w:numPr>
          <w:ilvl w:val="1"/>
          <w:numId w:val="57"/>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g</w:t>
      </w:r>
      <w:r w:rsidRPr="007F06E6">
        <w:rPr>
          <w:rFonts w:ascii="Calibri" w:eastAsia="Times New Roman" w:hAnsi="Calibri" w:cs="Calibri"/>
          <w:color w:val="000000"/>
          <w:sz w:val="20"/>
          <w:szCs w:val="20"/>
          <w:lang w:eastAsia="en-AU"/>
        </w:rPr>
        <w:t>eographic level of disadvantage</w:t>
      </w:r>
    </w:p>
    <w:p w:rsidR="002213C9" w:rsidRPr="007F06E6" w:rsidRDefault="002213C9" w:rsidP="00066793">
      <w:pPr>
        <w:pStyle w:val="ListParagraph"/>
        <w:numPr>
          <w:ilvl w:val="1"/>
          <w:numId w:val="57"/>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h</w:t>
      </w:r>
      <w:r w:rsidRPr="007F06E6">
        <w:rPr>
          <w:rFonts w:ascii="Calibri" w:eastAsia="Times New Roman" w:hAnsi="Calibri" w:cs="Calibri"/>
          <w:color w:val="000000"/>
          <w:sz w:val="20"/>
          <w:szCs w:val="20"/>
          <w:lang w:eastAsia="en-AU"/>
        </w:rPr>
        <w:t>ighest level of education</w:t>
      </w:r>
    </w:p>
    <w:p w:rsidR="002213C9" w:rsidRPr="007F06E6" w:rsidRDefault="002213C9" w:rsidP="00066793">
      <w:pPr>
        <w:pStyle w:val="ListParagraph"/>
        <w:numPr>
          <w:ilvl w:val="1"/>
          <w:numId w:val="57"/>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a single parent</w:t>
      </w:r>
    </w:p>
    <w:p w:rsidR="002213C9" w:rsidRPr="007F06E6" w:rsidRDefault="002213C9" w:rsidP="00066793">
      <w:pPr>
        <w:pStyle w:val="ListParagraph"/>
        <w:numPr>
          <w:ilvl w:val="1"/>
          <w:numId w:val="57"/>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an ex-offender</w:t>
      </w:r>
    </w:p>
    <w:p w:rsidR="002213C9" w:rsidRPr="007F06E6" w:rsidRDefault="002213C9" w:rsidP="00066793">
      <w:pPr>
        <w:pStyle w:val="ListParagraph"/>
        <w:numPr>
          <w:ilvl w:val="1"/>
          <w:numId w:val="57"/>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contactable by telephone</w:t>
      </w:r>
    </w:p>
    <w:p w:rsidR="002213C9" w:rsidRPr="007F06E6" w:rsidRDefault="002213C9" w:rsidP="00066793">
      <w:pPr>
        <w:pStyle w:val="ListParagraph"/>
        <w:numPr>
          <w:ilvl w:val="1"/>
          <w:numId w:val="57"/>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Indigenous</w:t>
      </w:r>
    </w:p>
    <w:p w:rsidR="002213C9" w:rsidRPr="007F06E6" w:rsidRDefault="002213C9" w:rsidP="00066793">
      <w:pPr>
        <w:pStyle w:val="ListParagraph"/>
        <w:numPr>
          <w:ilvl w:val="1"/>
          <w:numId w:val="57"/>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with disability</w:t>
      </w:r>
    </w:p>
    <w:p w:rsidR="002213C9" w:rsidRPr="008477D2" w:rsidRDefault="002213C9" w:rsidP="008477D2">
      <w:pPr>
        <w:pStyle w:val="ListParagraph"/>
        <w:numPr>
          <w:ilvl w:val="1"/>
          <w:numId w:val="57"/>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j</w:t>
      </w:r>
      <w:r w:rsidRPr="007F06E6">
        <w:rPr>
          <w:rFonts w:ascii="Calibri" w:eastAsia="Times New Roman" w:hAnsi="Calibri" w:cs="Calibri"/>
          <w:color w:val="000000"/>
          <w:sz w:val="20"/>
          <w:szCs w:val="20"/>
          <w:lang w:eastAsia="en-AU"/>
        </w:rPr>
        <w:t>ob</w:t>
      </w:r>
      <w:r w:rsidR="008477D2">
        <w:rPr>
          <w:rFonts w:ascii="Calibri" w:eastAsia="Times New Roman" w:hAnsi="Calibri" w:cs="Calibri"/>
          <w:color w:val="000000"/>
          <w:sz w:val="20"/>
          <w:szCs w:val="20"/>
          <w:lang w:eastAsia="en-AU"/>
        </w:rPr>
        <w:t xml:space="preserve"> </w:t>
      </w:r>
      <w:r w:rsidRPr="008477D2">
        <w:rPr>
          <w:rFonts w:ascii="Calibri" w:eastAsia="Times New Roman" w:hAnsi="Calibri" w:cs="Calibri"/>
          <w:color w:val="000000"/>
          <w:sz w:val="20"/>
          <w:szCs w:val="20"/>
          <w:lang w:eastAsia="en-AU"/>
        </w:rPr>
        <w:t>seeker history</w:t>
      </w:r>
    </w:p>
    <w:p w:rsidR="002213C9" w:rsidRPr="007F06E6" w:rsidRDefault="002213C9" w:rsidP="00066793">
      <w:pPr>
        <w:pStyle w:val="ListParagraph"/>
        <w:numPr>
          <w:ilvl w:val="1"/>
          <w:numId w:val="57"/>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 xml:space="preserve">personal </w:t>
      </w:r>
      <w:r w:rsidRPr="007F06E6">
        <w:rPr>
          <w:rFonts w:ascii="Calibri" w:eastAsia="Times New Roman" w:hAnsi="Calibri" w:cs="Calibri"/>
          <w:color w:val="000000"/>
          <w:sz w:val="20"/>
          <w:szCs w:val="20"/>
          <w:lang w:eastAsia="en-AU"/>
        </w:rPr>
        <w:t>factors</w:t>
      </w:r>
      <w:r>
        <w:rPr>
          <w:rFonts w:ascii="Calibri" w:eastAsia="Times New Roman" w:hAnsi="Calibri" w:cs="Calibri"/>
          <w:color w:val="000000"/>
          <w:sz w:val="20"/>
          <w:szCs w:val="20"/>
          <w:lang w:eastAsia="en-AU"/>
        </w:rPr>
        <w:t xml:space="preserve"> </w:t>
      </w:r>
    </w:p>
    <w:p w:rsidR="002213C9" w:rsidRPr="007F06E6" w:rsidRDefault="002213C9" w:rsidP="00066793">
      <w:pPr>
        <w:pStyle w:val="ListParagraph"/>
        <w:numPr>
          <w:ilvl w:val="1"/>
          <w:numId w:val="57"/>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p</w:t>
      </w:r>
      <w:r w:rsidRPr="007F06E6">
        <w:rPr>
          <w:rFonts w:ascii="Calibri" w:eastAsia="Times New Roman" w:hAnsi="Calibri" w:cs="Calibri"/>
          <w:color w:val="000000"/>
          <w:sz w:val="20"/>
          <w:szCs w:val="20"/>
          <w:lang w:eastAsia="en-AU"/>
        </w:rPr>
        <w:t>roximity to the labour market</w:t>
      </w:r>
    </w:p>
    <w:p w:rsidR="002213C9" w:rsidRPr="007F06E6" w:rsidRDefault="002213C9" w:rsidP="00066793">
      <w:pPr>
        <w:pStyle w:val="ListParagraph"/>
        <w:numPr>
          <w:ilvl w:val="1"/>
          <w:numId w:val="57"/>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r</w:t>
      </w:r>
      <w:r w:rsidRPr="007F06E6">
        <w:rPr>
          <w:rFonts w:ascii="Calibri" w:eastAsia="Times New Roman" w:hAnsi="Calibri" w:cs="Calibri"/>
          <w:color w:val="000000"/>
          <w:sz w:val="20"/>
          <w:szCs w:val="20"/>
          <w:lang w:eastAsia="en-AU"/>
        </w:rPr>
        <w:t>ecent work experience</w:t>
      </w:r>
    </w:p>
    <w:p w:rsidR="002213C9" w:rsidRPr="007F06E6" w:rsidRDefault="002213C9" w:rsidP="00066793">
      <w:pPr>
        <w:pStyle w:val="ListParagraph"/>
        <w:numPr>
          <w:ilvl w:val="1"/>
          <w:numId w:val="57"/>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s</w:t>
      </w:r>
      <w:r w:rsidRPr="007F06E6">
        <w:rPr>
          <w:rFonts w:ascii="Calibri" w:eastAsia="Times New Roman" w:hAnsi="Calibri" w:cs="Calibri"/>
          <w:color w:val="000000"/>
          <w:sz w:val="20"/>
          <w:szCs w:val="20"/>
          <w:lang w:eastAsia="en-AU"/>
        </w:rPr>
        <w:t>tability of residence</w:t>
      </w:r>
    </w:p>
    <w:p w:rsidR="002213C9" w:rsidRPr="007F06E6" w:rsidRDefault="002213C9" w:rsidP="00066793">
      <w:pPr>
        <w:pStyle w:val="ListParagraph"/>
        <w:numPr>
          <w:ilvl w:val="1"/>
          <w:numId w:val="57"/>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t</w:t>
      </w:r>
      <w:r w:rsidRPr="007F06E6">
        <w:rPr>
          <w:rFonts w:ascii="Calibri" w:eastAsia="Times New Roman" w:hAnsi="Calibri" w:cs="Calibri"/>
          <w:color w:val="000000"/>
          <w:sz w:val="20"/>
          <w:szCs w:val="20"/>
          <w:lang w:eastAsia="en-AU"/>
        </w:rPr>
        <w:t>ime on income support</w:t>
      </w:r>
    </w:p>
    <w:p w:rsidR="002213C9" w:rsidRPr="00F44FBD" w:rsidRDefault="002213C9" w:rsidP="00066793">
      <w:pPr>
        <w:pStyle w:val="ListParagraph"/>
        <w:numPr>
          <w:ilvl w:val="1"/>
          <w:numId w:val="57"/>
        </w:numPr>
        <w:spacing w:after="0" w:line="240" w:lineRule="auto"/>
      </w:pPr>
      <w:r>
        <w:rPr>
          <w:rFonts w:ascii="Calibri" w:eastAsia="Times New Roman" w:hAnsi="Calibri" w:cs="Calibri"/>
          <w:color w:val="000000"/>
          <w:sz w:val="20"/>
          <w:szCs w:val="20"/>
          <w:lang w:eastAsia="en-AU"/>
        </w:rPr>
        <w:t>v</w:t>
      </w:r>
      <w:r w:rsidRPr="00F44FBD">
        <w:rPr>
          <w:rFonts w:ascii="Calibri" w:eastAsia="Times New Roman" w:hAnsi="Calibri" w:cs="Calibri"/>
          <w:color w:val="000000"/>
          <w:sz w:val="20"/>
          <w:szCs w:val="20"/>
          <w:lang w:eastAsia="en-AU"/>
        </w:rPr>
        <w:t>ocational qualifications.</w:t>
      </w:r>
    </w:p>
    <w:p w:rsidR="00683705" w:rsidRDefault="002213C9" w:rsidP="007F2BBB">
      <w:pPr>
        <w:pStyle w:val="Source"/>
        <w:rPr>
          <w:b w:val="0"/>
        </w:rPr>
      </w:pPr>
      <w:r w:rsidRPr="007F2BBB">
        <w:t>Source:</w:t>
      </w:r>
      <w:r w:rsidRPr="007F2BBB">
        <w:rPr>
          <w:b w:val="0"/>
        </w:rPr>
        <w:t xml:space="preserve"> DHS and </w:t>
      </w:r>
      <w:r w:rsidR="00F458F7">
        <w:rPr>
          <w:b w:val="0"/>
        </w:rPr>
        <w:t>DoE</w:t>
      </w:r>
      <w:r w:rsidRPr="007F2BBB">
        <w:rPr>
          <w:b w:val="0"/>
        </w:rPr>
        <w:t xml:space="preserve"> monitoring data</w:t>
      </w:r>
      <w:r w:rsidR="00AA510E">
        <w:rPr>
          <w:b w:val="0"/>
        </w:rPr>
        <w:t xml:space="preserve">, and </w:t>
      </w:r>
      <w:r w:rsidR="00F458F7">
        <w:rPr>
          <w:b w:val="0"/>
        </w:rPr>
        <w:t>DoE</w:t>
      </w:r>
      <w:r w:rsidRPr="007F2BBB">
        <w:rPr>
          <w:b w:val="0"/>
        </w:rPr>
        <w:t xml:space="preserve"> administrative</w:t>
      </w:r>
      <w:r w:rsidR="00AA510E">
        <w:rPr>
          <w:b w:val="0"/>
        </w:rPr>
        <w:t xml:space="preserve"> data</w:t>
      </w:r>
      <w:r w:rsidRPr="007F2BBB">
        <w:rPr>
          <w:b w:val="0"/>
        </w:rPr>
        <w:t xml:space="preserve">. </w:t>
      </w:r>
    </w:p>
    <w:p w:rsidR="00683705" w:rsidRPr="003A4B00" w:rsidRDefault="00683705" w:rsidP="00683705">
      <w:pPr>
        <w:pStyle w:val="Source"/>
        <w:spacing w:before="120"/>
        <w:rPr>
          <w:b w:val="0"/>
        </w:rPr>
      </w:pPr>
      <w:r>
        <w:rPr>
          <w:b w:val="0"/>
        </w:rPr>
        <w:t xml:space="preserve">Return to </w:t>
      </w:r>
      <w:hyperlink w:anchor="Place_F5" w:history="1">
        <w:r w:rsidRPr="00683705">
          <w:rPr>
            <w:rStyle w:val="Hyperlink"/>
            <w:b w:val="0"/>
          </w:rPr>
          <w:t>Section 3.5.3</w:t>
        </w:r>
      </w:hyperlink>
      <w:r>
        <w:rPr>
          <w:b w:val="0"/>
        </w:rPr>
        <w:t>.</w:t>
      </w:r>
    </w:p>
    <w:p w:rsidR="002213C9" w:rsidRPr="007F2BBB" w:rsidRDefault="002213C9" w:rsidP="007F2BBB">
      <w:pPr>
        <w:pStyle w:val="Source"/>
        <w:rPr>
          <w:b w:val="0"/>
          <w:color w:val="000000" w:themeColor="text1"/>
        </w:rPr>
      </w:pPr>
      <w:r w:rsidRPr="007F2BBB">
        <w:rPr>
          <w:b w:val="0"/>
          <w:color w:val="000000" w:themeColor="text1"/>
        </w:rPr>
        <w:br w:type="page"/>
      </w:r>
    </w:p>
    <w:p w:rsidR="002213C9" w:rsidRPr="003A4B00" w:rsidRDefault="00603A49" w:rsidP="002213C9">
      <w:pPr>
        <w:pStyle w:val="TableCaption"/>
      </w:pPr>
      <w:bookmarkStart w:id="265" w:name="_Toc507600322"/>
      <w:r>
        <w:lastRenderedPageBreak/>
        <w:t>Table F</w:t>
      </w:r>
      <w:r w:rsidR="002213C9">
        <w:t>.6</w:t>
      </w:r>
      <w:r w:rsidR="002213C9" w:rsidRPr="003A4B00">
        <w:t xml:space="preserve">: </w:t>
      </w:r>
      <w:r w:rsidR="002213C9">
        <w:t>Difference in p</w:t>
      </w:r>
      <w:r w:rsidR="002213C9" w:rsidRPr="003A4B00">
        <w:t>robability that a</w:t>
      </w:r>
      <w:r w:rsidR="002213C9">
        <w:t xml:space="preserve"> person</w:t>
      </w:r>
      <w:r w:rsidR="002213C9" w:rsidRPr="003A4B00">
        <w:t xml:space="preserve"> </w:t>
      </w:r>
      <w:r w:rsidR="002213C9">
        <w:t>will have lodged a claim as opposed to not having claimed</w:t>
      </w:r>
      <w:r w:rsidR="002213C9" w:rsidRPr="003A4B00">
        <w:t xml:space="preserve"> </w:t>
      </w:r>
      <w:r w:rsidR="002213C9">
        <w:t>considering type of EPF support received</w:t>
      </w:r>
      <w:r w:rsidR="00746C0E">
        <w:t xml:space="preserve"> </w:t>
      </w:r>
      <w:r w:rsidR="002213C9">
        <w:t>(regressed results) (percentage point)</w:t>
      </w:r>
      <w:bookmarkEnd w:id="265"/>
    </w:p>
    <w:tbl>
      <w:tblPr>
        <w:tblW w:w="9055" w:type="dxa"/>
        <w:tblInd w:w="93" w:type="dxa"/>
        <w:tblLook w:val="04A0" w:firstRow="1" w:lastRow="0" w:firstColumn="1" w:lastColumn="0" w:noHBand="0" w:noVBand="1"/>
      </w:tblPr>
      <w:tblGrid>
        <w:gridCol w:w="3984"/>
        <w:gridCol w:w="142"/>
        <w:gridCol w:w="3827"/>
        <w:gridCol w:w="142"/>
        <w:gridCol w:w="818"/>
        <w:gridCol w:w="142"/>
      </w:tblGrid>
      <w:tr w:rsidR="002213C9" w:rsidRPr="00E67B43" w:rsidTr="00384A85">
        <w:trPr>
          <w:trHeight w:val="480"/>
          <w:tblHeader/>
        </w:trPr>
        <w:tc>
          <w:tcPr>
            <w:tcW w:w="4126" w:type="dxa"/>
            <w:gridSpan w:val="2"/>
            <w:tcBorders>
              <w:top w:val="nil"/>
              <w:left w:val="nil"/>
              <w:bottom w:val="nil"/>
              <w:right w:val="nil"/>
            </w:tcBorders>
            <w:shd w:val="clear" w:color="000000" w:fill="1E3D6B"/>
            <w:vAlign w:val="center"/>
            <w:hideMark/>
          </w:tcPr>
          <w:p w:rsidR="002213C9" w:rsidRPr="00C54A19" w:rsidRDefault="002213C9" w:rsidP="00384A85">
            <w:pPr>
              <w:spacing w:after="0" w:line="240" w:lineRule="auto"/>
              <w:rPr>
                <w:rFonts w:eastAsia="Times New Roman" w:cstheme="minorHAnsi"/>
                <w:b/>
                <w:bCs/>
                <w:color w:val="FFFFFF"/>
                <w:sz w:val="20"/>
                <w:szCs w:val="20"/>
                <w:lang w:eastAsia="en-AU"/>
              </w:rPr>
            </w:pPr>
            <w:bookmarkStart w:id="266" w:name="Title_F6"/>
            <w:bookmarkEnd w:id="266"/>
            <w:r w:rsidRPr="00C54A19">
              <w:rPr>
                <w:rFonts w:eastAsia="Times New Roman" w:cstheme="minorHAnsi"/>
                <w:b/>
                <w:bCs/>
                <w:color w:val="FFFFFF"/>
                <w:sz w:val="20"/>
                <w:szCs w:val="20"/>
                <w:lang w:eastAsia="en-AU"/>
              </w:rPr>
              <w:t>Demographic characteristic</w:t>
            </w:r>
          </w:p>
        </w:tc>
        <w:tc>
          <w:tcPr>
            <w:tcW w:w="3969" w:type="dxa"/>
            <w:gridSpan w:val="2"/>
            <w:tcBorders>
              <w:top w:val="nil"/>
              <w:left w:val="nil"/>
              <w:bottom w:val="nil"/>
              <w:right w:val="nil"/>
            </w:tcBorders>
            <w:shd w:val="clear" w:color="000000" w:fill="1E3D6B"/>
            <w:vAlign w:val="center"/>
            <w:hideMark/>
          </w:tcPr>
          <w:p w:rsidR="002213C9" w:rsidRPr="00C54A19" w:rsidRDefault="002213C9" w:rsidP="00384A85">
            <w:pPr>
              <w:spacing w:after="0" w:line="240" w:lineRule="auto"/>
              <w:rPr>
                <w:rFonts w:eastAsia="Times New Roman" w:cstheme="minorHAnsi"/>
                <w:b/>
                <w:bCs/>
                <w:color w:val="FFFFFF"/>
                <w:sz w:val="20"/>
                <w:szCs w:val="20"/>
                <w:lang w:eastAsia="en-AU"/>
              </w:rPr>
            </w:pPr>
            <w:r w:rsidRPr="00C54A19">
              <w:rPr>
                <w:rFonts w:eastAsia="Times New Roman" w:cstheme="minorHAnsi"/>
                <w:b/>
                <w:bCs/>
                <w:color w:val="FFFFFF"/>
                <w:sz w:val="20"/>
                <w:szCs w:val="20"/>
                <w:lang w:eastAsia="en-AU"/>
              </w:rPr>
              <w:t>Compared with</w:t>
            </w:r>
          </w:p>
        </w:tc>
        <w:tc>
          <w:tcPr>
            <w:tcW w:w="960" w:type="dxa"/>
            <w:gridSpan w:val="2"/>
            <w:tcBorders>
              <w:top w:val="nil"/>
              <w:left w:val="nil"/>
              <w:bottom w:val="nil"/>
              <w:right w:val="nil"/>
            </w:tcBorders>
            <w:shd w:val="clear" w:color="000000" w:fill="1E3D6B"/>
            <w:vAlign w:val="center"/>
            <w:hideMark/>
          </w:tcPr>
          <w:p w:rsidR="002213C9" w:rsidRPr="00C54A19" w:rsidRDefault="002213C9" w:rsidP="00384A85">
            <w:pPr>
              <w:spacing w:after="0" w:line="240" w:lineRule="auto"/>
              <w:jc w:val="center"/>
              <w:rPr>
                <w:rFonts w:eastAsia="Times New Roman" w:cstheme="minorHAnsi"/>
                <w:b/>
                <w:bCs/>
                <w:color w:val="FFFFFF"/>
                <w:sz w:val="20"/>
                <w:szCs w:val="20"/>
                <w:lang w:eastAsia="en-AU"/>
              </w:rPr>
            </w:pPr>
            <w:r w:rsidRPr="00C54A19">
              <w:rPr>
                <w:rFonts w:eastAsia="Times New Roman" w:cstheme="minorHAnsi"/>
                <w:b/>
                <w:bCs/>
                <w:color w:val="FFFFFF"/>
                <w:sz w:val="20"/>
                <w:szCs w:val="20"/>
                <w:lang w:eastAsia="en-AU"/>
              </w:rPr>
              <w:t>MEM</w:t>
            </w:r>
            <w:r w:rsidRPr="00C54A19">
              <w:rPr>
                <w:rFonts w:eastAsia="Times New Roman" w:cstheme="minorHAnsi"/>
                <w:b/>
                <w:bCs/>
                <w:color w:val="FFFFFF"/>
                <w:sz w:val="20"/>
                <w:szCs w:val="20"/>
                <w:lang w:eastAsia="en-AU"/>
              </w:rPr>
              <w:br/>
              <w:t>(ppt)</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 xml:space="preserve">Single parent </w:t>
            </w:r>
          </w:p>
        </w:tc>
        <w:tc>
          <w:tcPr>
            <w:tcW w:w="3969" w:type="dxa"/>
            <w:gridSpan w:val="2"/>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Not a single parent</w:t>
            </w:r>
          </w:p>
        </w:tc>
        <w:tc>
          <w:tcPr>
            <w:tcW w:w="960" w:type="dxa"/>
            <w:gridSpan w:val="2"/>
            <w:tcBorders>
              <w:top w:val="nil"/>
              <w:left w:val="nil"/>
              <w:bottom w:val="nil"/>
              <w:right w:val="nil"/>
            </w:tcBorders>
            <w:shd w:val="clear" w:color="auto" w:fill="FFFFFF" w:themeFill="background2"/>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7.7</w:t>
            </w:r>
          </w:p>
        </w:tc>
      </w:tr>
      <w:tr w:rsidR="002213C9" w:rsidRPr="00BB501A" w:rsidTr="00AA510E">
        <w:tblPrEx>
          <w:tblCellMar>
            <w:left w:w="0" w:type="dxa"/>
            <w:right w:w="0" w:type="dxa"/>
          </w:tblCellMar>
        </w:tblPrEx>
        <w:trPr>
          <w:gridAfter w:val="1"/>
          <w:wAfter w:w="142" w:type="dxa"/>
          <w:trHeight w:hRule="exact" w:val="510"/>
        </w:trPr>
        <w:tc>
          <w:tcPr>
            <w:tcW w:w="3984"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Highest level of education: Degree / post-graduate</w:t>
            </w:r>
          </w:p>
        </w:tc>
        <w:tc>
          <w:tcPr>
            <w:tcW w:w="3969" w:type="dxa"/>
            <w:gridSpan w:val="2"/>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Highest level of education: TAFE / diploma</w:t>
            </w:r>
          </w:p>
        </w:tc>
        <w:tc>
          <w:tcPr>
            <w:tcW w:w="960" w:type="dxa"/>
            <w:gridSpan w:val="2"/>
            <w:tcBorders>
              <w:top w:val="nil"/>
              <w:left w:val="nil"/>
              <w:bottom w:val="nil"/>
              <w:right w:val="nil"/>
            </w:tcBorders>
            <w:shd w:val="clear" w:color="auto" w:fill="E5E5E5" w:themeFill="background1" w:themeFillTint="33"/>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5.9</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sz w:val="20"/>
                <w:szCs w:val="20"/>
              </w:rPr>
            </w:pPr>
            <w:r w:rsidRPr="00C54A19">
              <w:rPr>
                <w:rFonts w:cstheme="minorHAnsi"/>
                <w:bCs/>
                <w:color w:val="000000"/>
                <w:sz w:val="20"/>
                <w:szCs w:val="20"/>
              </w:rPr>
              <w:t>EPF wage subsidy highest expenditure</w:t>
            </w:r>
          </w:p>
        </w:tc>
        <w:tc>
          <w:tcPr>
            <w:tcW w:w="3969" w:type="dxa"/>
            <w:gridSpan w:val="2"/>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sz w:val="20"/>
                <w:szCs w:val="20"/>
              </w:rPr>
            </w:pPr>
            <w:r w:rsidRPr="00C54A19">
              <w:rPr>
                <w:rFonts w:cstheme="minorHAnsi"/>
                <w:bCs/>
                <w:color w:val="000000"/>
                <w:sz w:val="20"/>
                <w:szCs w:val="20"/>
              </w:rPr>
              <w:t>No EPF expenditure</w:t>
            </w:r>
          </w:p>
        </w:tc>
        <w:tc>
          <w:tcPr>
            <w:tcW w:w="960" w:type="dxa"/>
            <w:gridSpan w:val="2"/>
            <w:tcBorders>
              <w:top w:val="nil"/>
              <w:left w:val="nil"/>
              <w:bottom w:val="nil"/>
              <w:right w:val="nil"/>
            </w:tcBorders>
            <w:shd w:val="clear" w:color="auto" w:fill="FFFFFF" w:themeFill="background2"/>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bCs/>
                <w:color w:val="000000"/>
                <w:sz w:val="20"/>
                <w:szCs w:val="20"/>
              </w:rPr>
            </w:pPr>
            <w:r w:rsidRPr="00C54A19">
              <w:rPr>
                <w:rFonts w:cstheme="minorHAnsi"/>
                <w:bCs/>
                <w:color w:val="000000"/>
                <w:sz w:val="20"/>
                <w:szCs w:val="20"/>
              </w:rPr>
              <w:t>5.9</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sz w:val="20"/>
                <w:szCs w:val="20"/>
              </w:rPr>
            </w:pPr>
            <w:r w:rsidRPr="00C54A19">
              <w:rPr>
                <w:rFonts w:cstheme="minorHAnsi"/>
                <w:bCs/>
                <w:color w:val="000000"/>
                <w:sz w:val="20"/>
                <w:szCs w:val="20"/>
              </w:rPr>
              <w:t>EPF other categories highest expenditure</w:t>
            </w:r>
          </w:p>
        </w:tc>
        <w:tc>
          <w:tcPr>
            <w:tcW w:w="3969" w:type="dxa"/>
            <w:gridSpan w:val="2"/>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sz w:val="20"/>
                <w:szCs w:val="20"/>
              </w:rPr>
            </w:pPr>
            <w:r w:rsidRPr="00C54A19">
              <w:rPr>
                <w:rFonts w:cstheme="minorHAnsi"/>
                <w:bCs/>
                <w:color w:val="000000"/>
                <w:sz w:val="20"/>
                <w:szCs w:val="20"/>
              </w:rPr>
              <w:t>No EPF expenditure</w:t>
            </w:r>
          </w:p>
        </w:tc>
        <w:tc>
          <w:tcPr>
            <w:tcW w:w="960" w:type="dxa"/>
            <w:gridSpan w:val="2"/>
            <w:tcBorders>
              <w:top w:val="nil"/>
              <w:left w:val="nil"/>
              <w:bottom w:val="nil"/>
              <w:right w:val="nil"/>
            </w:tcBorders>
            <w:shd w:val="clear" w:color="auto" w:fill="E5E5E5" w:themeFill="background1" w:themeFillTint="33"/>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bCs/>
                <w:color w:val="000000"/>
                <w:sz w:val="20"/>
                <w:szCs w:val="20"/>
              </w:rPr>
            </w:pPr>
            <w:r w:rsidRPr="00C54A19">
              <w:rPr>
                <w:rFonts w:cstheme="minorHAnsi"/>
                <w:bCs/>
                <w:color w:val="000000"/>
                <w:sz w:val="20"/>
                <w:szCs w:val="20"/>
              </w:rPr>
              <w:t>5.3</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sz w:val="20"/>
                <w:szCs w:val="20"/>
              </w:rPr>
            </w:pPr>
            <w:r w:rsidRPr="00C54A19">
              <w:rPr>
                <w:rFonts w:cstheme="minorHAnsi"/>
                <w:bCs/>
                <w:color w:val="000000"/>
                <w:sz w:val="20"/>
                <w:szCs w:val="20"/>
              </w:rPr>
              <w:t>EPF transport and licensing highest expenditure</w:t>
            </w:r>
          </w:p>
        </w:tc>
        <w:tc>
          <w:tcPr>
            <w:tcW w:w="3969" w:type="dxa"/>
            <w:gridSpan w:val="2"/>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sz w:val="20"/>
                <w:szCs w:val="20"/>
              </w:rPr>
            </w:pPr>
            <w:r w:rsidRPr="00C54A19">
              <w:rPr>
                <w:rFonts w:cstheme="minorHAnsi"/>
                <w:bCs/>
                <w:color w:val="000000"/>
                <w:sz w:val="20"/>
                <w:szCs w:val="20"/>
              </w:rPr>
              <w:t>No EPF expenditure</w:t>
            </w:r>
          </w:p>
        </w:tc>
        <w:tc>
          <w:tcPr>
            <w:tcW w:w="960" w:type="dxa"/>
            <w:gridSpan w:val="2"/>
            <w:tcBorders>
              <w:top w:val="nil"/>
              <w:left w:val="nil"/>
              <w:bottom w:val="nil"/>
              <w:right w:val="nil"/>
            </w:tcBorders>
            <w:shd w:val="clear" w:color="auto" w:fill="FFFFFF" w:themeFill="background2"/>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bCs/>
                <w:color w:val="000000"/>
                <w:sz w:val="20"/>
                <w:szCs w:val="20"/>
              </w:rPr>
            </w:pPr>
            <w:r w:rsidRPr="00C54A19">
              <w:rPr>
                <w:rFonts w:cstheme="minorHAnsi"/>
                <w:bCs/>
                <w:color w:val="000000"/>
                <w:sz w:val="20"/>
                <w:szCs w:val="20"/>
              </w:rPr>
              <w:t>4.8</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Female</w:t>
            </w:r>
          </w:p>
        </w:tc>
        <w:tc>
          <w:tcPr>
            <w:tcW w:w="3969" w:type="dxa"/>
            <w:gridSpan w:val="2"/>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Male</w:t>
            </w:r>
          </w:p>
        </w:tc>
        <w:tc>
          <w:tcPr>
            <w:tcW w:w="960" w:type="dxa"/>
            <w:gridSpan w:val="2"/>
            <w:tcBorders>
              <w:top w:val="nil"/>
              <w:left w:val="nil"/>
              <w:bottom w:val="nil"/>
              <w:right w:val="nil"/>
            </w:tcBorders>
            <w:shd w:val="clear" w:color="auto" w:fill="E5E5E5" w:themeFill="background1" w:themeFillTint="33"/>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3.9</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CALD</w:t>
            </w:r>
          </w:p>
        </w:tc>
        <w:tc>
          <w:tcPr>
            <w:tcW w:w="3969" w:type="dxa"/>
            <w:gridSpan w:val="2"/>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Not CALD</w:t>
            </w:r>
          </w:p>
        </w:tc>
        <w:tc>
          <w:tcPr>
            <w:tcW w:w="960" w:type="dxa"/>
            <w:gridSpan w:val="2"/>
            <w:tcBorders>
              <w:top w:val="nil"/>
              <w:left w:val="nil"/>
              <w:bottom w:val="nil"/>
              <w:right w:val="nil"/>
            </w:tcBorders>
            <w:shd w:val="clear" w:color="auto" w:fill="FFFFFF" w:themeFill="background2"/>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3.8</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sz w:val="20"/>
                <w:szCs w:val="20"/>
              </w:rPr>
            </w:pPr>
            <w:r w:rsidRPr="00C54A19">
              <w:rPr>
                <w:rFonts w:cstheme="minorHAnsi"/>
                <w:bCs/>
                <w:color w:val="000000"/>
                <w:sz w:val="20"/>
                <w:szCs w:val="20"/>
              </w:rPr>
              <w:t>EPF provider services highest expenditure</w:t>
            </w:r>
          </w:p>
        </w:tc>
        <w:tc>
          <w:tcPr>
            <w:tcW w:w="3969" w:type="dxa"/>
            <w:gridSpan w:val="2"/>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sz w:val="20"/>
                <w:szCs w:val="20"/>
              </w:rPr>
            </w:pPr>
            <w:r w:rsidRPr="00C54A19">
              <w:rPr>
                <w:rFonts w:cstheme="minorHAnsi"/>
                <w:bCs/>
                <w:color w:val="000000"/>
                <w:sz w:val="20"/>
                <w:szCs w:val="20"/>
              </w:rPr>
              <w:t>No EPF expenditure</w:t>
            </w:r>
          </w:p>
        </w:tc>
        <w:tc>
          <w:tcPr>
            <w:tcW w:w="960" w:type="dxa"/>
            <w:gridSpan w:val="2"/>
            <w:tcBorders>
              <w:top w:val="nil"/>
              <w:left w:val="nil"/>
              <w:bottom w:val="nil"/>
              <w:right w:val="nil"/>
            </w:tcBorders>
            <w:shd w:val="clear" w:color="auto" w:fill="E5E5E5" w:themeFill="background1" w:themeFillTint="33"/>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bCs/>
                <w:color w:val="000000"/>
                <w:sz w:val="20"/>
                <w:szCs w:val="20"/>
              </w:rPr>
            </w:pPr>
            <w:r w:rsidRPr="00C54A19">
              <w:rPr>
                <w:rFonts w:cstheme="minorHAnsi"/>
                <w:bCs/>
                <w:color w:val="000000"/>
                <w:sz w:val="20"/>
                <w:szCs w:val="20"/>
              </w:rPr>
              <w:t>3.5</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sz w:val="20"/>
                <w:szCs w:val="20"/>
              </w:rPr>
            </w:pPr>
            <w:r w:rsidRPr="00C54A19">
              <w:rPr>
                <w:rFonts w:cstheme="minorHAnsi"/>
                <w:bCs/>
                <w:color w:val="000000"/>
                <w:sz w:val="20"/>
                <w:szCs w:val="20"/>
              </w:rPr>
              <w:t>EPF training highest expenditure</w:t>
            </w:r>
          </w:p>
        </w:tc>
        <w:tc>
          <w:tcPr>
            <w:tcW w:w="3969" w:type="dxa"/>
            <w:gridSpan w:val="2"/>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sz w:val="20"/>
                <w:szCs w:val="20"/>
              </w:rPr>
            </w:pPr>
            <w:r w:rsidRPr="00C54A19">
              <w:rPr>
                <w:rFonts w:cstheme="minorHAnsi"/>
                <w:bCs/>
                <w:color w:val="000000"/>
                <w:sz w:val="20"/>
                <w:szCs w:val="20"/>
              </w:rPr>
              <w:t>No EPF expenditure</w:t>
            </w:r>
          </w:p>
        </w:tc>
        <w:tc>
          <w:tcPr>
            <w:tcW w:w="960" w:type="dxa"/>
            <w:gridSpan w:val="2"/>
            <w:tcBorders>
              <w:top w:val="nil"/>
              <w:left w:val="nil"/>
              <w:bottom w:val="nil"/>
              <w:right w:val="nil"/>
            </w:tcBorders>
            <w:shd w:val="clear" w:color="auto" w:fill="FFFFFF" w:themeFill="background2"/>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bCs/>
                <w:color w:val="000000"/>
                <w:sz w:val="20"/>
                <w:szCs w:val="20"/>
              </w:rPr>
            </w:pPr>
            <w:r w:rsidRPr="00C54A19">
              <w:rPr>
                <w:rFonts w:cstheme="minorHAnsi"/>
                <w:bCs/>
                <w:color w:val="000000"/>
                <w:sz w:val="20"/>
                <w:szCs w:val="20"/>
              </w:rPr>
              <w:t>3.0</w:t>
            </w:r>
          </w:p>
        </w:tc>
      </w:tr>
      <w:tr w:rsidR="002213C9" w:rsidRPr="00BB501A" w:rsidTr="00AA510E">
        <w:tblPrEx>
          <w:tblCellMar>
            <w:left w:w="0" w:type="dxa"/>
            <w:right w:w="0" w:type="dxa"/>
          </w:tblCellMar>
        </w:tblPrEx>
        <w:trPr>
          <w:gridAfter w:val="1"/>
          <w:wAfter w:w="142" w:type="dxa"/>
          <w:trHeight w:hRule="exact" w:val="510"/>
        </w:trPr>
        <w:tc>
          <w:tcPr>
            <w:tcW w:w="3984"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25 years or older at time of exit from income support</w:t>
            </w:r>
          </w:p>
        </w:tc>
        <w:tc>
          <w:tcPr>
            <w:tcW w:w="3969" w:type="dxa"/>
            <w:gridSpan w:val="2"/>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Less than 25 years at time of exit from income support</w:t>
            </w:r>
          </w:p>
        </w:tc>
        <w:tc>
          <w:tcPr>
            <w:tcW w:w="960" w:type="dxa"/>
            <w:gridSpan w:val="2"/>
            <w:tcBorders>
              <w:top w:val="nil"/>
              <w:left w:val="nil"/>
              <w:bottom w:val="nil"/>
              <w:right w:val="nil"/>
            </w:tcBorders>
            <w:shd w:val="clear" w:color="auto" w:fill="E5E5E5" w:themeFill="background1" w:themeFillTint="33"/>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2.6</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With disability</w:t>
            </w:r>
          </w:p>
        </w:tc>
        <w:tc>
          <w:tcPr>
            <w:tcW w:w="3969" w:type="dxa"/>
            <w:gridSpan w:val="2"/>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Without disability</w:t>
            </w:r>
          </w:p>
        </w:tc>
        <w:tc>
          <w:tcPr>
            <w:tcW w:w="960" w:type="dxa"/>
            <w:gridSpan w:val="2"/>
            <w:tcBorders>
              <w:top w:val="nil"/>
              <w:left w:val="nil"/>
              <w:bottom w:val="nil"/>
              <w:right w:val="nil"/>
            </w:tcBorders>
            <w:shd w:val="clear" w:color="auto" w:fill="FFFFFF" w:themeFill="background2"/>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2.3</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Live in an outer regional or remote area</w:t>
            </w:r>
          </w:p>
        </w:tc>
        <w:tc>
          <w:tcPr>
            <w:tcW w:w="3969" w:type="dxa"/>
            <w:gridSpan w:val="2"/>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Live in a metropolitan or inner regional area</w:t>
            </w:r>
          </w:p>
        </w:tc>
        <w:tc>
          <w:tcPr>
            <w:tcW w:w="960" w:type="dxa"/>
            <w:gridSpan w:val="2"/>
            <w:tcBorders>
              <w:top w:val="nil"/>
              <w:left w:val="nil"/>
              <w:bottom w:val="nil"/>
              <w:right w:val="nil"/>
            </w:tcBorders>
            <w:shd w:val="clear" w:color="auto" w:fill="E5E5E5" w:themeFill="background1" w:themeFillTint="33"/>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1.8</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Lives in ESA of high / extreme disadvantage</w:t>
            </w:r>
          </w:p>
        </w:tc>
        <w:tc>
          <w:tcPr>
            <w:tcW w:w="3969" w:type="dxa"/>
            <w:gridSpan w:val="2"/>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Lives in ESA of very low / low disadvantage</w:t>
            </w:r>
          </w:p>
        </w:tc>
        <w:tc>
          <w:tcPr>
            <w:tcW w:w="960" w:type="dxa"/>
            <w:gridSpan w:val="2"/>
            <w:tcBorders>
              <w:top w:val="nil"/>
              <w:left w:val="nil"/>
              <w:bottom w:val="nil"/>
              <w:right w:val="nil"/>
            </w:tcBorders>
            <w:shd w:val="clear" w:color="auto" w:fill="FFFFFF" w:themeFill="background2"/>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1.8</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Lives in ESA of moderate disadvantage</w:t>
            </w:r>
          </w:p>
        </w:tc>
        <w:tc>
          <w:tcPr>
            <w:tcW w:w="3969" w:type="dxa"/>
            <w:gridSpan w:val="2"/>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Lives in ESA of very low / low disadvantage</w:t>
            </w:r>
          </w:p>
        </w:tc>
        <w:tc>
          <w:tcPr>
            <w:tcW w:w="960" w:type="dxa"/>
            <w:gridSpan w:val="2"/>
            <w:tcBorders>
              <w:top w:val="nil"/>
              <w:left w:val="nil"/>
              <w:bottom w:val="nil"/>
              <w:right w:val="nil"/>
            </w:tcBorders>
            <w:shd w:val="clear" w:color="auto" w:fill="E5E5E5" w:themeFill="background1" w:themeFillTint="33"/>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1.4</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Has no vocational qualifications</w:t>
            </w:r>
          </w:p>
        </w:tc>
        <w:tc>
          <w:tcPr>
            <w:tcW w:w="3969" w:type="dxa"/>
            <w:gridSpan w:val="2"/>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Has useful vocational qualifications</w:t>
            </w:r>
          </w:p>
        </w:tc>
        <w:tc>
          <w:tcPr>
            <w:tcW w:w="960" w:type="dxa"/>
            <w:gridSpan w:val="2"/>
            <w:tcBorders>
              <w:top w:val="nil"/>
              <w:left w:val="nil"/>
              <w:bottom w:val="nil"/>
              <w:right w:val="nil"/>
            </w:tcBorders>
            <w:shd w:val="clear" w:color="auto" w:fill="FFFFFF" w:themeFill="background2"/>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1.4</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Low impact from personal factors</w:t>
            </w:r>
          </w:p>
        </w:tc>
        <w:tc>
          <w:tcPr>
            <w:tcW w:w="3969" w:type="dxa"/>
            <w:gridSpan w:val="2"/>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No impact from personal factors</w:t>
            </w:r>
          </w:p>
        </w:tc>
        <w:tc>
          <w:tcPr>
            <w:tcW w:w="960" w:type="dxa"/>
            <w:gridSpan w:val="2"/>
            <w:tcBorders>
              <w:top w:val="nil"/>
              <w:left w:val="nil"/>
              <w:bottom w:val="nil"/>
              <w:right w:val="nil"/>
            </w:tcBorders>
            <w:shd w:val="clear" w:color="auto" w:fill="E5E5E5" w:themeFill="background1" w:themeFillTint="33"/>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0.0</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Highest level of education: Year 12/13</w:t>
            </w:r>
          </w:p>
        </w:tc>
        <w:tc>
          <w:tcPr>
            <w:tcW w:w="3969" w:type="dxa"/>
            <w:gridSpan w:val="2"/>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Highest level of education: TAFE / diploma</w:t>
            </w:r>
          </w:p>
        </w:tc>
        <w:tc>
          <w:tcPr>
            <w:tcW w:w="960" w:type="dxa"/>
            <w:gridSpan w:val="2"/>
            <w:tcBorders>
              <w:top w:val="nil"/>
              <w:left w:val="nil"/>
              <w:bottom w:val="nil"/>
              <w:right w:val="nil"/>
            </w:tcBorders>
            <w:shd w:val="clear" w:color="auto" w:fill="FFFFFF" w:themeFill="background2"/>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-0.2</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Medium impact from personal factors</w:t>
            </w:r>
          </w:p>
        </w:tc>
        <w:tc>
          <w:tcPr>
            <w:tcW w:w="3969" w:type="dxa"/>
            <w:gridSpan w:val="2"/>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No impact from personal factors</w:t>
            </w:r>
          </w:p>
        </w:tc>
        <w:tc>
          <w:tcPr>
            <w:tcW w:w="960" w:type="dxa"/>
            <w:gridSpan w:val="2"/>
            <w:tcBorders>
              <w:top w:val="nil"/>
              <w:left w:val="nil"/>
              <w:bottom w:val="nil"/>
              <w:right w:val="nil"/>
            </w:tcBorders>
            <w:shd w:val="clear" w:color="auto" w:fill="E5E5E5" w:themeFill="background1" w:themeFillTint="33"/>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-0.4</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Indigenous</w:t>
            </w:r>
          </w:p>
        </w:tc>
        <w:tc>
          <w:tcPr>
            <w:tcW w:w="3969" w:type="dxa"/>
            <w:gridSpan w:val="2"/>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Not Indigenous</w:t>
            </w:r>
          </w:p>
        </w:tc>
        <w:tc>
          <w:tcPr>
            <w:tcW w:w="960" w:type="dxa"/>
            <w:gridSpan w:val="2"/>
            <w:tcBorders>
              <w:top w:val="nil"/>
              <w:left w:val="nil"/>
              <w:bottom w:val="nil"/>
              <w:right w:val="nil"/>
            </w:tcBorders>
            <w:shd w:val="clear" w:color="auto" w:fill="FFFFFF" w:themeFill="background2"/>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-0.8</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More than once on income support and/or crisis payment</w:t>
            </w:r>
          </w:p>
        </w:tc>
        <w:tc>
          <w:tcPr>
            <w:tcW w:w="3969" w:type="dxa"/>
            <w:gridSpan w:val="2"/>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No job seeker history</w:t>
            </w:r>
          </w:p>
        </w:tc>
        <w:tc>
          <w:tcPr>
            <w:tcW w:w="960" w:type="dxa"/>
            <w:gridSpan w:val="2"/>
            <w:tcBorders>
              <w:top w:val="nil"/>
              <w:left w:val="nil"/>
              <w:bottom w:val="nil"/>
              <w:right w:val="nil"/>
            </w:tcBorders>
            <w:shd w:val="clear" w:color="auto" w:fill="E5E5E5" w:themeFill="background1" w:themeFillTint="33"/>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-0.9</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Unstable residence</w:t>
            </w:r>
          </w:p>
        </w:tc>
        <w:tc>
          <w:tcPr>
            <w:tcW w:w="3969" w:type="dxa"/>
            <w:gridSpan w:val="2"/>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Stable residence</w:t>
            </w:r>
          </w:p>
        </w:tc>
        <w:tc>
          <w:tcPr>
            <w:tcW w:w="960" w:type="dxa"/>
            <w:gridSpan w:val="2"/>
            <w:tcBorders>
              <w:top w:val="nil"/>
              <w:left w:val="nil"/>
              <w:bottom w:val="nil"/>
              <w:right w:val="nil"/>
            </w:tcBorders>
            <w:shd w:val="clear" w:color="auto" w:fill="FFFFFF" w:themeFill="background2"/>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-1.1</w:t>
            </w:r>
          </w:p>
        </w:tc>
      </w:tr>
      <w:tr w:rsidR="002213C9" w:rsidRPr="00BB501A" w:rsidTr="00AA510E">
        <w:tblPrEx>
          <w:tblCellMar>
            <w:left w:w="0" w:type="dxa"/>
            <w:right w:w="0" w:type="dxa"/>
          </w:tblCellMar>
        </w:tblPrEx>
        <w:trPr>
          <w:gridAfter w:val="1"/>
          <w:wAfter w:w="142" w:type="dxa"/>
          <w:trHeight w:hRule="exact" w:val="510"/>
        </w:trPr>
        <w:tc>
          <w:tcPr>
            <w:tcW w:w="3984"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Recent work experience: Unpaid / Not in the labour force</w:t>
            </w:r>
          </w:p>
        </w:tc>
        <w:tc>
          <w:tcPr>
            <w:tcW w:w="3969" w:type="dxa"/>
            <w:gridSpan w:val="2"/>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Recent work experience: Paid work full-time / part-time &gt;=8 hours</w:t>
            </w:r>
          </w:p>
        </w:tc>
        <w:tc>
          <w:tcPr>
            <w:tcW w:w="960" w:type="dxa"/>
            <w:gridSpan w:val="2"/>
            <w:tcBorders>
              <w:top w:val="nil"/>
              <w:left w:val="nil"/>
              <w:bottom w:val="nil"/>
              <w:right w:val="nil"/>
            </w:tcBorders>
            <w:shd w:val="clear" w:color="auto" w:fill="E5E5E5" w:themeFill="background1" w:themeFillTint="33"/>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-1.2</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Has access to public transport</w:t>
            </w:r>
          </w:p>
        </w:tc>
        <w:tc>
          <w:tcPr>
            <w:tcW w:w="3969" w:type="dxa"/>
            <w:gridSpan w:val="2"/>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Has own transport</w:t>
            </w:r>
          </w:p>
        </w:tc>
        <w:tc>
          <w:tcPr>
            <w:tcW w:w="960" w:type="dxa"/>
            <w:gridSpan w:val="2"/>
            <w:tcBorders>
              <w:top w:val="nil"/>
              <w:left w:val="nil"/>
              <w:bottom w:val="nil"/>
              <w:right w:val="nil"/>
            </w:tcBorders>
            <w:shd w:val="clear" w:color="auto" w:fill="FFFFFF" w:themeFill="background2"/>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-1.7</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Highest level of education: Year 10/11</w:t>
            </w:r>
          </w:p>
        </w:tc>
        <w:tc>
          <w:tcPr>
            <w:tcW w:w="3969" w:type="dxa"/>
            <w:gridSpan w:val="2"/>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Highest level of education: TAFE / diploma</w:t>
            </w:r>
          </w:p>
        </w:tc>
        <w:tc>
          <w:tcPr>
            <w:tcW w:w="960" w:type="dxa"/>
            <w:gridSpan w:val="2"/>
            <w:tcBorders>
              <w:top w:val="nil"/>
              <w:left w:val="nil"/>
              <w:bottom w:val="nil"/>
              <w:right w:val="nil"/>
            </w:tcBorders>
            <w:shd w:val="clear" w:color="auto" w:fill="E5E5E5" w:themeFill="background1" w:themeFillTint="33"/>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-1.8</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High impact from personal factors</w:t>
            </w:r>
          </w:p>
        </w:tc>
        <w:tc>
          <w:tcPr>
            <w:tcW w:w="3969" w:type="dxa"/>
            <w:gridSpan w:val="2"/>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No impact from personal factors</w:t>
            </w:r>
          </w:p>
        </w:tc>
        <w:tc>
          <w:tcPr>
            <w:tcW w:w="960" w:type="dxa"/>
            <w:gridSpan w:val="2"/>
            <w:tcBorders>
              <w:top w:val="nil"/>
              <w:left w:val="nil"/>
              <w:bottom w:val="nil"/>
              <w:right w:val="nil"/>
            </w:tcBorders>
            <w:shd w:val="clear" w:color="auto" w:fill="FFFFFF" w:themeFill="background2"/>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-1.9</w:t>
            </w:r>
          </w:p>
        </w:tc>
      </w:tr>
      <w:tr w:rsidR="002213C9" w:rsidRPr="00BB501A" w:rsidTr="00AA510E">
        <w:tblPrEx>
          <w:tblCellMar>
            <w:left w:w="0" w:type="dxa"/>
            <w:right w:w="0" w:type="dxa"/>
          </w:tblCellMar>
        </w:tblPrEx>
        <w:trPr>
          <w:gridAfter w:val="1"/>
          <w:wAfter w:w="142" w:type="dxa"/>
          <w:trHeight w:hRule="exact" w:val="510"/>
        </w:trPr>
        <w:tc>
          <w:tcPr>
            <w:tcW w:w="3984"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Re</w:t>
            </w:r>
            <w:r w:rsidR="00C962FC">
              <w:rPr>
                <w:rFonts w:cstheme="minorHAnsi"/>
                <w:color w:val="000000"/>
                <w:sz w:val="20"/>
                <w:szCs w:val="20"/>
              </w:rPr>
              <w:t>cent work experience: Paid work</w:t>
            </w:r>
            <w:r w:rsidRPr="00C54A19">
              <w:rPr>
                <w:rFonts w:cstheme="minorHAnsi"/>
                <w:color w:val="000000"/>
                <w:sz w:val="20"/>
                <w:szCs w:val="20"/>
              </w:rPr>
              <w:t xml:space="preserve"> part-time &lt;8 hours/seasonal or irregular</w:t>
            </w:r>
          </w:p>
        </w:tc>
        <w:tc>
          <w:tcPr>
            <w:tcW w:w="3969" w:type="dxa"/>
            <w:gridSpan w:val="2"/>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Recent work experience: Paid work full-time / part-time &gt;=8 hours</w:t>
            </w:r>
          </w:p>
        </w:tc>
        <w:tc>
          <w:tcPr>
            <w:tcW w:w="960" w:type="dxa"/>
            <w:gridSpan w:val="2"/>
            <w:tcBorders>
              <w:top w:val="nil"/>
              <w:left w:val="nil"/>
              <w:bottom w:val="nil"/>
              <w:right w:val="nil"/>
            </w:tcBorders>
            <w:shd w:val="clear" w:color="auto" w:fill="E5E5E5" w:themeFill="background1" w:themeFillTint="33"/>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-2.5</w:t>
            </w:r>
          </w:p>
        </w:tc>
      </w:tr>
      <w:tr w:rsidR="002213C9" w:rsidRPr="00BB501A" w:rsidTr="00AA510E">
        <w:tblPrEx>
          <w:tblCellMar>
            <w:left w:w="0" w:type="dxa"/>
            <w:right w:w="0" w:type="dxa"/>
          </w:tblCellMar>
        </w:tblPrEx>
        <w:trPr>
          <w:gridAfter w:val="1"/>
          <w:wAfter w:w="142" w:type="dxa"/>
          <w:trHeight w:hRule="exact" w:val="510"/>
        </w:trPr>
        <w:tc>
          <w:tcPr>
            <w:tcW w:w="3984"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lastRenderedPageBreak/>
              <w:t>Recent work experience: Not working but looking for work</w:t>
            </w:r>
          </w:p>
        </w:tc>
        <w:tc>
          <w:tcPr>
            <w:tcW w:w="3969" w:type="dxa"/>
            <w:gridSpan w:val="2"/>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Recent work experience: Paid work full-time / part-time &gt;=8 hours</w:t>
            </w:r>
          </w:p>
        </w:tc>
        <w:tc>
          <w:tcPr>
            <w:tcW w:w="960" w:type="dxa"/>
            <w:gridSpan w:val="2"/>
            <w:tcBorders>
              <w:top w:val="nil"/>
              <w:left w:val="nil"/>
              <w:bottom w:val="nil"/>
              <w:right w:val="nil"/>
            </w:tcBorders>
            <w:shd w:val="clear" w:color="auto" w:fill="FFFFFF" w:themeFill="background2"/>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-2.6</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Has access to other private transport</w:t>
            </w:r>
          </w:p>
        </w:tc>
        <w:tc>
          <w:tcPr>
            <w:tcW w:w="3969" w:type="dxa"/>
            <w:gridSpan w:val="2"/>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Has own transport</w:t>
            </w:r>
          </w:p>
        </w:tc>
        <w:tc>
          <w:tcPr>
            <w:tcW w:w="960" w:type="dxa"/>
            <w:gridSpan w:val="2"/>
            <w:tcBorders>
              <w:top w:val="nil"/>
              <w:left w:val="nil"/>
              <w:bottom w:val="nil"/>
              <w:right w:val="nil"/>
            </w:tcBorders>
            <w:shd w:val="clear" w:color="auto" w:fill="E5E5E5" w:themeFill="background1" w:themeFillTint="33"/>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-2.7</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Poor/mixed English proficiency</w:t>
            </w:r>
          </w:p>
        </w:tc>
        <w:tc>
          <w:tcPr>
            <w:tcW w:w="3969" w:type="dxa"/>
            <w:gridSpan w:val="2"/>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Good English proficiency</w:t>
            </w:r>
          </w:p>
        </w:tc>
        <w:tc>
          <w:tcPr>
            <w:tcW w:w="960" w:type="dxa"/>
            <w:gridSpan w:val="2"/>
            <w:tcBorders>
              <w:top w:val="nil"/>
              <w:left w:val="nil"/>
              <w:bottom w:val="nil"/>
              <w:right w:val="nil"/>
            </w:tcBorders>
            <w:shd w:val="clear" w:color="auto" w:fill="FFFFFF" w:themeFill="background2"/>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-3.0</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sz w:val="20"/>
                <w:szCs w:val="20"/>
              </w:rPr>
            </w:pPr>
            <w:r w:rsidRPr="00C54A19">
              <w:rPr>
                <w:rFonts w:cstheme="minorHAnsi"/>
                <w:bCs/>
                <w:color w:val="000000"/>
                <w:sz w:val="20"/>
                <w:szCs w:val="20"/>
              </w:rPr>
              <w:t>EPF professional services highest expenditure</w:t>
            </w:r>
          </w:p>
        </w:tc>
        <w:tc>
          <w:tcPr>
            <w:tcW w:w="3969" w:type="dxa"/>
            <w:gridSpan w:val="2"/>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bCs/>
                <w:color w:val="000000"/>
                <w:sz w:val="20"/>
                <w:szCs w:val="20"/>
              </w:rPr>
            </w:pPr>
            <w:r w:rsidRPr="00C54A19">
              <w:rPr>
                <w:rFonts w:cstheme="minorHAnsi"/>
                <w:bCs/>
                <w:color w:val="000000"/>
                <w:sz w:val="20"/>
                <w:szCs w:val="20"/>
              </w:rPr>
              <w:t>No EPF expenditure</w:t>
            </w:r>
          </w:p>
        </w:tc>
        <w:tc>
          <w:tcPr>
            <w:tcW w:w="960" w:type="dxa"/>
            <w:gridSpan w:val="2"/>
            <w:tcBorders>
              <w:top w:val="nil"/>
              <w:left w:val="nil"/>
              <w:bottom w:val="nil"/>
              <w:right w:val="nil"/>
            </w:tcBorders>
            <w:shd w:val="clear" w:color="auto" w:fill="E5E5E5" w:themeFill="background1" w:themeFillTint="33"/>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bCs/>
                <w:color w:val="000000"/>
                <w:sz w:val="20"/>
                <w:szCs w:val="20"/>
              </w:rPr>
            </w:pPr>
            <w:r w:rsidRPr="00C54A19">
              <w:rPr>
                <w:rFonts w:cstheme="minorHAnsi"/>
                <w:bCs/>
                <w:color w:val="000000"/>
                <w:sz w:val="20"/>
                <w:szCs w:val="20"/>
              </w:rPr>
              <w:t>-3.5</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Ex-offender</w:t>
            </w:r>
          </w:p>
        </w:tc>
        <w:tc>
          <w:tcPr>
            <w:tcW w:w="3969" w:type="dxa"/>
            <w:gridSpan w:val="2"/>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Not an ex-offender</w:t>
            </w:r>
          </w:p>
        </w:tc>
        <w:tc>
          <w:tcPr>
            <w:tcW w:w="960" w:type="dxa"/>
            <w:gridSpan w:val="2"/>
            <w:tcBorders>
              <w:top w:val="nil"/>
              <w:left w:val="nil"/>
              <w:bottom w:val="nil"/>
              <w:right w:val="nil"/>
            </w:tcBorders>
            <w:shd w:val="clear" w:color="auto" w:fill="FFFFFF" w:themeFill="background2"/>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-3.6</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Has no useful vocational qualifications</w:t>
            </w:r>
          </w:p>
        </w:tc>
        <w:tc>
          <w:tcPr>
            <w:tcW w:w="3969" w:type="dxa"/>
            <w:gridSpan w:val="2"/>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Has useful vocational qualifications</w:t>
            </w:r>
          </w:p>
        </w:tc>
        <w:tc>
          <w:tcPr>
            <w:tcW w:w="960" w:type="dxa"/>
            <w:gridSpan w:val="2"/>
            <w:tcBorders>
              <w:top w:val="nil"/>
              <w:left w:val="nil"/>
              <w:bottom w:val="nil"/>
              <w:right w:val="nil"/>
            </w:tcBorders>
            <w:shd w:val="clear" w:color="auto" w:fill="E5E5E5" w:themeFill="background1" w:themeFillTint="33"/>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-3.9</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Not contactable by telephone</w:t>
            </w:r>
          </w:p>
        </w:tc>
        <w:tc>
          <w:tcPr>
            <w:tcW w:w="3969" w:type="dxa"/>
            <w:gridSpan w:val="2"/>
            <w:tcBorders>
              <w:top w:val="nil"/>
              <w:left w:val="nil"/>
              <w:bottom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Contactable by telephone</w:t>
            </w:r>
          </w:p>
        </w:tc>
        <w:tc>
          <w:tcPr>
            <w:tcW w:w="960" w:type="dxa"/>
            <w:gridSpan w:val="2"/>
            <w:tcBorders>
              <w:top w:val="nil"/>
              <w:left w:val="nil"/>
              <w:bottom w:val="nil"/>
              <w:right w:val="nil"/>
            </w:tcBorders>
            <w:shd w:val="clear" w:color="auto" w:fill="FFFFFF" w:themeFill="background2"/>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-4.2</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 xml:space="preserve">No access to transport </w:t>
            </w:r>
          </w:p>
        </w:tc>
        <w:tc>
          <w:tcPr>
            <w:tcW w:w="3969" w:type="dxa"/>
            <w:gridSpan w:val="2"/>
            <w:tcBorders>
              <w:top w:val="nil"/>
              <w:left w:val="nil"/>
              <w:bottom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Has own transport</w:t>
            </w:r>
          </w:p>
        </w:tc>
        <w:tc>
          <w:tcPr>
            <w:tcW w:w="960" w:type="dxa"/>
            <w:gridSpan w:val="2"/>
            <w:tcBorders>
              <w:top w:val="nil"/>
              <w:left w:val="nil"/>
              <w:bottom w:val="nil"/>
              <w:right w:val="nil"/>
            </w:tcBorders>
            <w:shd w:val="clear" w:color="auto" w:fill="E5E5E5" w:themeFill="background1" w:themeFillTint="33"/>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-4.6</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Highest level of education: Less than Year 10</w:t>
            </w:r>
          </w:p>
        </w:tc>
        <w:tc>
          <w:tcPr>
            <w:tcW w:w="3969" w:type="dxa"/>
            <w:gridSpan w:val="2"/>
            <w:tcBorders>
              <w:top w:val="nil"/>
              <w:left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Highest level of education: TAFE / diploma</w:t>
            </w:r>
          </w:p>
        </w:tc>
        <w:tc>
          <w:tcPr>
            <w:tcW w:w="960" w:type="dxa"/>
            <w:gridSpan w:val="2"/>
            <w:tcBorders>
              <w:top w:val="nil"/>
              <w:left w:val="nil"/>
              <w:right w:val="nil"/>
            </w:tcBorders>
            <w:shd w:val="clear" w:color="auto" w:fill="FFFFFF" w:themeFill="background2"/>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-5.1</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Very high disadvantage country of birth</w:t>
            </w:r>
          </w:p>
        </w:tc>
        <w:tc>
          <w:tcPr>
            <w:tcW w:w="3969" w:type="dxa"/>
            <w:gridSpan w:val="2"/>
            <w:tcBorders>
              <w:top w:val="nil"/>
              <w:left w:val="nil"/>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Low disadvantage country of birth</w:t>
            </w:r>
          </w:p>
        </w:tc>
        <w:tc>
          <w:tcPr>
            <w:tcW w:w="960" w:type="dxa"/>
            <w:gridSpan w:val="2"/>
            <w:tcBorders>
              <w:top w:val="nil"/>
              <w:left w:val="nil"/>
              <w:right w:val="nil"/>
            </w:tcBorders>
            <w:shd w:val="clear" w:color="auto" w:fill="E5E5E5" w:themeFill="background1" w:themeFillTint="33"/>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-7.1</w:t>
            </w:r>
          </w:p>
        </w:tc>
      </w:tr>
      <w:tr w:rsidR="002213C9" w:rsidRPr="00BB501A" w:rsidTr="00384A85">
        <w:tblPrEx>
          <w:tblCellMar>
            <w:left w:w="0" w:type="dxa"/>
            <w:right w:w="0" w:type="dxa"/>
          </w:tblCellMar>
        </w:tblPrEx>
        <w:trPr>
          <w:gridAfter w:val="1"/>
          <w:wAfter w:w="142" w:type="dxa"/>
          <w:trHeight w:hRule="exact" w:val="482"/>
        </w:trPr>
        <w:tc>
          <w:tcPr>
            <w:tcW w:w="3984" w:type="dxa"/>
            <w:tcBorders>
              <w:left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Medium disadvantage country of birth</w:t>
            </w:r>
          </w:p>
        </w:tc>
        <w:tc>
          <w:tcPr>
            <w:tcW w:w="3969" w:type="dxa"/>
            <w:gridSpan w:val="2"/>
            <w:tcBorders>
              <w:left w:val="nil"/>
              <w:right w:val="nil"/>
            </w:tcBorders>
            <w:shd w:val="clear" w:color="auto" w:fill="FFFFFF" w:themeFill="background2"/>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Low disadvantage country of birth</w:t>
            </w:r>
          </w:p>
        </w:tc>
        <w:tc>
          <w:tcPr>
            <w:tcW w:w="960" w:type="dxa"/>
            <w:gridSpan w:val="2"/>
            <w:tcBorders>
              <w:left w:val="nil"/>
              <w:right w:val="nil"/>
            </w:tcBorders>
            <w:shd w:val="clear" w:color="auto" w:fill="FFFFFF" w:themeFill="background2"/>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-8.4</w:t>
            </w:r>
          </w:p>
        </w:tc>
      </w:tr>
      <w:tr w:rsidR="002213C9" w:rsidRPr="00BB501A" w:rsidTr="00384A85">
        <w:tblPrEx>
          <w:tblCellMar>
            <w:left w:w="0" w:type="dxa"/>
            <w:right w:w="0" w:type="dxa"/>
          </w:tblCellMar>
        </w:tblPrEx>
        <w:trPr>
          <w:gridAfter w:val="1"/>
          <w:wAfter w:w="142" w:type="dxa"/>
          <w:trHeight w:hRule="exact" w:val="482"/>
        </w:trPr>
        <w:tc>
          <w:tcPr>
            <w:tcW w:w="3984" w:type="dxa"/>
            <w:tcBorders>
              <w:top w:val="nil"/>
              <w:left w:val="nil"/>
              <w:bottom w:val="single" w:sz="4" w:space="0" w:color="auto"/>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High disadvantage country of birth</w:t>
            </w:r>
          </w:p>
        </w:tc>
        <w:tc>
          <w:tcPr>
            <w:tcW w:w="3969" w:type="dxa"/>
            <w:gridSpan w:val="2"/>
            <w:tcBorders>
              <w:top w:val="nil"/>
              <w:left w:val="nil"/>
              <w:bottom w:val="single" w:sz="4" w:space="0" w:color="auto"/>
              <w:right w:val="nil"/>
            </w:tcBorders>
            <w:shd w:val="clear" w:color="auto" w:fill="E5E5E5" w:themeFill="background1" w:themeFillTint="33"/>
            <w:tcMar>
              <w:top w:w="15" w:type="dxa"/>
              <w:left w:w="15" w:type="dxa"/>
              <w:bottom w:w="0" w:type="dxa"/>
              <w:right w:w="15" w:type="dxa"/>
            </w:tcMar>
            <w:vAlign w:val="center"/>
            <w:hideMark/>
          </w:tcPr>
          <w:p w:rsidR="002213C9" w:rsidRPr="00C54A19" w:rsidRDefault="002213C9" w:rsidP="00384A85">
            <w:pPr>
              <w:spacing w:after="0"/>
              <w:rPr>
                <w:rFonts w:cstheme="minorHAnsi"/>
                <w:color w:val="000000"/>
                <w:sz w:val="20"/>
                <w:szCs w:val="20"/>
              </w:rPr>
            </w:pPr>
            <w:r w:rsidRPr="00C54A19">
              <w:rPr>
                <w:rFonts w:cstheme="minorHAnsi"/>
                <w:color w:val="000000"/>
                <w:sz w:val="20"/>
                <w:szCs w:val="20"/>
              </w:rPr>
              <w:t>Low disadvantage country of birth</w:t>
            </w:r>
          </w:p>
        </w:tc>
        <w:tc>
          <w:tcPr>
            <w:tcW w:w="960" w:type="dxa"/>
            <w:gridSpan w:val="2"/>
            <w:tcBorders>
              <w:top w:val="nil"/>
              <w:left w:val="nil"/>
              <w:bottom w:val="single" w:sz="4" w:space="0" w:color="auto"/>
              <w:right w:val="nil"/>
            </w:tcBorders>
            <w:shd w:val="clear" w:color="auto" w:fill="E5E5E5" w:themeFill="background1" w:themeFillTint="33"/>
            <w:noWrap/>
            <w:tcMar>
              <w:top w:w="15" w:type="dxa"/>
              <w:left w:w="15" w:type="dxa"/>
              <w:bottom w:w="0" w:type="dxa"/>
              <w:right w:w="15" w:type="dxa"/>
            </w:tcMar>
            <w:vAlign w:val="center"/>
            <w:hideMark/>
          </w:tcPr>
          <w:p w:rsidR="002213C9" w:rsidRPr="00C54A19" w:rsidRDefault="002213C9" w:rsidP="00384A85">
            <w:pPr>
              <w:spacing w:after="0"/>
              <w:jc w:val="right"/>
              <w:rPr>
                <w:rFonts w:cstheme="minorHAnsi"/>
                <w:color w:val="000000"/>
                <w:sz w:val="20"/>
                <w:szCs w:val="20"/>
              </w:rPr>
            </w:pPr>
            <w:r w:rsidRPr="00C54A19">
              <w:rPr>
                <w:rFonts w:cstheme="minorHAnsi"/>
                <w:color w:val="000000"/>
                <w:sz w:val="20"/>
                <w:szCs w:val="20"/>
              </w:rPr>
              <w:t>-9.7</w:t>
            </w:r>
          </w:p>
        </w:tc>
      </w:tr>
    </w:tbl>
    <w:p w:rsidR="002213C9" w:rsidRDefault="002213C9" w:rsidP="002213C9">
      <w:pPr>
        <w:pStyle w:val="Source"/>
        <w:rPr>
          <w:b w:val="0"/>
        </w:rPr>
      </w:pPr>
      <w:r>
        <w:t>Notes</w:t>
      </w:r>
      <w:r w:rsidRPr="003B4D65">
        <w:rPr>
          <w:b w:val="0"/>
        </w:rPr>
        <w:t xml:space="preserve">: </w:t>
      </w:r>
    </w:p>
    <w:p w:rsidR="002213C9" w:rsidRPr="00E67B43" w:rsidRDefault="002213C9" w:rsidP="00683705">
      <w:pPr>
        <w:pStyle w:val="Source"/>
        <w:numPr>
          <w:ilvl w:val="0"/>
          <w:numId w:val="59"/>
        </w:numPr>
        <w:ind w:left="567"/>
      </w:pPr>
      <w:r>
        <w:rPr>
          <w:b w:val="0"/>
        </w:rPr>
        <w:t>The EPF expenditure category against which the largest amount was committed for each job seeker is used for this analysis.</w:t>
      </w:r>
    </w:p>
    <w:p w:rsidR="002213C9" w:rsidRPr="007B252C" w:rsidRDefault="002213C9" w:rsidP="00683705">
      <w:pPr>
        <w:pStyle w:val="Source"/>
        <w:numPr>
          <w:ilvl w:val="0"/>
          <w:numId w:val="59"/>
        </w:numPr>
        <w:ind w:left="567"/>
      </w:pPr>
      <w:r>
        <w:rPr>
          <w:b w:val="0"/>
        </w:rPr>
        <w:t xml:space="preserve">MEM </w:t>
      </w:r>
      <w:r>
        <w:rPr>
          <w:b w:val="0"/>
          <w:color w:val="000000" w:themeColor="text1"/>
        </w:rPr>
        <w:t>stands for</w:t>
      </w:r>
      <w:r w:rsidRPr="003B4D65">
        <w:rPr>
          <w:b w:val="0"/>
          <w:color w:val="000000" w:themeColor="text1"/>
        </w:rPr>
        <w:t xml:space="preserve"> </w:t>
      </w:r>
      <w:r w:rsidRPr="003B4D65">
        <w:rPr>
          <w:b w:val="0"/>
        </w:rPr>
        <w:t>Marginal effect on the mean</w:t>
      </w:r>
      <w:r>
        <w:rPr>
          <w:b w:val="0"/>
        </w:rPr>
        <w:t>.</w:t>
      </w:r>
      <w:r w:rsidRPr="003B4D65">
        <w:rPr>
          <w:rFonts w:ascii="Arial" w:eastAsia="Times New Roman" w:hAnsi="Arial" w:cs="Arial"/>
          <w:bCs/>
          <w:color w:val="000000" w:themeColor="text1"/>
          <w:sz w:val="18"/>
          <w:szCs w:val="18"/>
          <w:lang w:eastAsia="en-AU"/>
        </w:rPr>
        <w:t xml:space="preserve"> </w:t>
      </w:r>
      <w:r w:rsidRPr="003B4D65">
        <w:rPr>
          <w:b w:val="0"/>
        </w:rPr>
        <w:t>MEM</w:t>
      </w:r>
      <w:r>
        <w:rPr>
          <w:b w:val="0"/>
        </w:rPr>
        <w:t xml:space="preserve"> are</w:t>
      </w:r>
      <w:r w:rsidRPr="003B4D65">
        <w:rPr>
          <w:b w:val="0"/>
        </w:rPr>
        <w:t xml:space="preserve"> sorted in descending order.</w:t>
      </w:r>
      <w:r>
        <w:rPr>
          <w:b w:val="0"/>
        </w:rPr>
        <w:t xml:space="preserve"> For example: single parents (after controlling for all other job seeker characteristics) were 7.</w:t>
      </w:r>
      <w:r w:rsidR="009F13D5">
        <w:rPr>
          <w:b w:val="0"/>
        </w:rPr>
        <w:t xml:space="preserve">7 </w:t>
      </w:r>
      <w:r>
        <w:rPr>
          <w:b w:val="0"/>
        </w:rPr>
        <w:t xml:space="preserve">percentage points more likely to have </w:t>
      </w:r>
      <w:r w:rsidR="009F13D5">
        <w:rPr>
          <w:b w:val="0"/>
        </w:rPr>
        <w:t>lodged a</w:t>
      </w:r>
      <w:r>
        <w:rPr>
          <w:b w:val="0"/>
        </w:rPr>
        <w:t xml:space="preserve"> claim than those who were not single parents.</w:t>
      </w:r>
    </w:p>
    <w:p w:rsidR="002213C9" w:rsidRPr="00F44FBD" w:rsidRDefault="002213C9" w:rsidP="00683705">
      <w:pPr>
        <w:pStyle w:val="Source"/>
        <w:numPr>
          <w:ilvl w:val="0"/>
          <w:numId w:val="59"/>
        </w:numPr>
        <w:ind w:left="567"/>
      </w:pPr>
      <w:r>
        <w:rPr>
          <w:b w:val="0"/>
        </w:rPr>
        <w:t>Demographic characteristics controlled for in the regression analysis are mostly obtained from the JSCI:</w:t>
      </w:r>
    </w:p>
    <w:p w:rsidR="002213C9" w:rsidRPr="007F06E6" w:rsidRDefault="002213C9" w:rsidP="00066793">
      <w:pPr>
        <w:pStyle w:val="ListParagraph"/>
        <w:numPr>
          <w:ilvl w:val="1"/>
          <w:numId w:val="58"/>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a</w:t>
      </w:r>
      <w:r w:rsidRPr="007F06E6">
        <w:rPr>
          <w:rFonts w:ascii="Calibri" w:eastAsia="Times New Roman" w:hAnsi="Calibri" w:cs="Calibri"/>
          <w:color w:val="000000"/>
          <w:sz w:val="20"/>
          <w:szCs w:val="20"/>
          <w:lang w:eastAsia="en-AU"/>
        </w:rPr>
        <w:t>ccess to transport</w:t>
      </w:r>
    </w:p>
    <w:p w:rsidR="002213C9" w:rsidRPr="007F06E6" w:rsidRDefault="002213C9" w:rsidP="00066793">
      <w:pPr>
        <w:pStyle w:val="ListParagraph"/>
        <w:numPr>
          <w:ilvl w:val="1"/>
          <w:numId w:val="58"/>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a</w:t>
      </w:r>
      <w:r w:rsidRPr="007F06E6">
        <w:rPr>
          <w:rFonts w:ascii="Calibri" w:eastAsia="Times New Roman" w:hAnsi="Calibri" w:cs="Calibri"/>
          <w:color w:val="000000"/>
          <w:sz w:val="20"/>
          <w:szCs w:val="20"/>
          <w:lang w:eastAsia="en-AU"/>
        </w:rPr>
        <w:t>ge</w:t>
      </w:r>
    </w:p>
    <w:p w:rsidR="002213C9" w:rsidRPr="007F06E6" w:rsidRDefault="002213C9" w:rsidP="00066793">
      <w:pPr>
        <w:pStyle w:val="ListParagraph"/>
        <w:numPr>
          <w:ilvl w:val="1"/>
          <w:numId w:val="58"/>
        </w:numPr>
        <w:spacing w:after="0" w:line="240" w:lineRule="auto"/>
        <w:rPr>
          <w:rFonts w:ascii="Calibri" w:eastAsia="Times New Roman" w:hAnsi="Calibri" w:cs="Calibri"/>
          <w:color w:val="000000"/>
          <w:sz w:val="20"/>
          <w:szCs w:val="20"/>
          <w:lang w:eastAsia="en-AU"/>
        </w:rPr>
      </w:pPr>
      <w:r w:rsidRPr="007F06E6">
        <w:rPr>
          <w:rFonts w:ascii="Calibri" w:eastAsia="Times New Roman" w:hAnsi="Calibri" w:cs="Calibri"/>
          <w:color w:val="000000"/>
          <w:sz w:val="20"/>
          <w:szCs w:val="20"/>
          <w:lang w:eastAsia="en-AU"/>
        </w:rPr>
        <w:t>CALD</w:t>
      </w:r>
      <w:r>
        <w:rPr>
          <w:rFonts w:ascii="Calibri" w:eastAsia="Times New Roman" w:hAnsi="Calibri" w:cs="Calibri"/>
          <w:color w:val="000000"/>
          <w:sz w:val="20"/>
          <w:szCs w:val="20"/>
          <w:lang w:eastAsia="en-AU"/>
        </w:rPr>
        <w:t xml:space="preserve"> status</w:t>
      </w:r>
    </w:p>
    <w:p w:rsidR="002213C9" w:rsidRPr="007F06E6" w:rsidRDefault="002213C9" w:rsidP="00066793">
      <w:pPr>
        <w:pStyle w:val="ListParagraph"/>
        <w:numPr>
          <w:ilvl w:val="1"/>
          <w:numId w:val="58"/>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c</w:t>
      </w:r>
      <w:r w:rsidRPr="007F06E6">
        <w:rPr>
          <w:rFonts w:ascii="Calibri" w:eastAsia="Times New Roman" w:hAnsi="Calibri" w:cs="Calibri"/>
          <w:color w:val="000000"/>
          <w:sz w:val="20"/>
          <w:szCs w:val="20"/>
          <w:lang w:eastAsia="en-AU"/>
        </w:rPr>
        <w:t>ountry of birth</w:t>
      </w:r>
    </w:p>
    <w:p w:rsidR="002213C9" w:rsidRPr="007F06E6" w:rsidRDefault="002213C9" w:rsidP="00066793">
      <w:pPr>
        <w:pStyle w:val="ListParagraph"/>
        <w:numPr>
          <w:ilvl w:val="1"/>
          <w:numId w:val="58"/>
        </w:numPr>
        <w:spacing w:after="0" w:line="240" w:lineRule="auto"/>
        <w:rPr>
          <w:rFonts w:ascii="Calibri" w:eastAsia="Times New Roman" w:hAnsi="Calibri" w:cs="Calibri"/>
          <w:color w:val="000000"/>
          <w:sz w:val="20"/>
          <w:szCs w:val="20"/>
          <w:lang w:eastAsia="en-AU"/>
        </w:rPr>
      </w:pPr>
      <w:r w:rsidRPr="007F06E6">
        <w:rPr>
          <w:rFonts w:ascii="Calibri" w:eastAsia="Times New Roman" w:hAnsi="Calibri" w:cs="Calibri"/>
          <w:color w:val="000000"/>
          <w:sz w:val="20"/>
          <w:szCs w:val="20"/>
          <w:lang w:eastAsia="en-AU"/>
        </w:rPr>
        <w:t>English proficiency</w:t>
      </w:r>
    </w:p>
    <w:p w:rsidR="002213C9" w:rsidRPr="007F06E6" w:rsidRDefault="002213C9" w:rsidP="00066793">
      <w:pPr>
        <w:pStyle w:val="ListParagraph"/>
        <w:numPr>
          <w:ilvl w:val="1"/>
          <w:numId w:val="58"/>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g</w:t>
      </w:r>
      <w:r w:rsidRPr="007F06E6">
        <w:rPr>
          <w:rFonts w:ascii="Calibri" w:eastAsia="Times New Roman" w:hAnsi="Calibri" w:cs="Calibri"/>
          <w:color w:val="000000"/>
          <w:sz w:val="20"/>
          <w:szCs w:val="20"/>
          <w:lang w:eastAsia="en-AU"/>
        </w:rPr>
        <w:t>ender</w:t>
      </w:r>
    </w:p>
    <w:p w:rsidR="002213C9" w:rsidRPr="007F06E6" w:rsidRDefault="002213C9" w:rsidP="00066793">
      <w:pPr>
        <w:pStyle w:val="ListParagraph"/>
        <w:numPr>
          <w:ilvl w:val="1"/>
          <w:numId w:val="58"/>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g</w:t>
      </w:r>
      <w:r w:rsidRPr="007F06E6">
        <w:rPr>
          <w:rFonts w:ascii="Calibri" w:eastAsia="Times New Roman" w:hAnsi="Calibri" w:cs="Calibri"/>
          <w:color w:val="000000"/>
          <w:sz w:val="20"/>
          <w:szCs w:val="20"/>
          <w:lang w:eastAsia="en-AU"/>
        </w:rPr>
        <w:t>eographic level of disadvantage</w:t>
      </w:r>
    </w:p>
    <w:p w:rsidR="002213C9" w:rsidRPr="007F06E6" w:rsidRDefault="002213C9" w:rsidP="00066793">
      <w:pPr>
        <w:pStyle w:val="ListParagraph"/>
        <w:numPr>
          <w:ilvl w:val="1"/>
          <w:numId w:val="58"/>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h</w:t>
      </w:r>
      <w:r w:rsidRPr="007F06E6">
        <w:rPr>
          <w:rFonts w:ascii="Calibri" w:eastAsia="Times New Roman" w:hAnsi="Calibri" w:cs="Calibri"/>
          <w:color w:val="000000"/>
          <w:sz w:val="20"/>
          <w:szCs w:val="20"/>
          <w:lang w:eastAsia="en-AU"/>
        </w:rPr>
        <w:t>ighest level of education</w:t>
      </w:r>
    </w:p>
    <w:p w:rsidR="002213C9" w:rsidRPr="007F06E6" w:rsidRDefault="002213C9" w:rsidP="00066793">
      <w:pPr>
        <w:pStyle w:val="ListParagraph"/>
        <w:numPr>
          <w:ilvl w:val="1"/>
          <w:numId w:val="58"/>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a single parent</w:t>
      </w:r>
    </w:p>
    <w:p w:rsidR="002213C9" w:rsidRPr="007F06E6" w:rsidRDefault="002213C9" w:rsidP="00066793">
      <w:pPr>
        <w:pStyle w:val="ListParagraph"/>
        <w:numPr>
          <w:ilvl w:val="1"/>
          <w:numId w:val="58"/>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an ex-offender</w:t>
      </w:r>
    </w:p>
    <w:p w:rsidR="002213C9" w:rsidRPr="007F06E6" w:rsidRDefault="002213C9" w:rsidP="00066793">
      <w:pPr>
        <w:pStyle w:val="ListParagraph"/>
        <w:numPr>
          <w:ilvl w:val="1"/>
          <w:numId w:val="58"/>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contactable by telephone</w:t>
      </w:r>
    </w:p>
    <w:p w:rsidR="002213C9" w:rsidRPr="007F06E6" w:rsidRDefault="002213C9" w:rsidP="00066793">
      <w:pPr>
        <w:pStyle w:val="ListParagraph"/>
        <w:numPr>
          <w:ilvl w:val="1"/>
          <w:numId w:val="58"/>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Indigenous</w:t>
      </w:r>
    </w:p>
    <w:p w:rsidR="002213C9" w:rsidRPr="007F06E6" w:rsidRDefault="002213C9" w:rsidP="00066793">
      <w:pPr>
        <w:pStyle w:val="ListParagraph"/>
        <w:numPr>
          <w:ilvl w:val="1"/>
          <w:numId w:val="58"/>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with disability</w:t>
      </w:r>
    </w:p>
    <w:p w:rsidR="002213C9" w:rsidRPr="007F06E6" w:rsidRDefault="002213C9" w:rsidP="00066793">
      <w:pPr>
        <w:pStyle w:val="ListParagraph"/>
        <w:numPr>
          <w:ilvl w:val="1"/>
          <w:numId w:val="58"/>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j</w:t>
      </w:r>
      <w:r w:rsidRPr="007F06E6">
        <w:rPr>
          <w:rFonts w:ascii="Calibri" w:eastAsia="Times New Roman" w:hAnsi="Calibri" w:cs="Calibri"/>
          <w:color w:val="000000"/>
          <w:sz w:val="20"/>
          <w:szCs w:val="20"/>
          <w:lang w:eastAsia="en-AU"/>
        </w:rPr>
        <w:t>ob</w:t>
      </w:r>
      <w:r w:rsidR="008477D2">
        <w:rPr>
          <w:rFonts w:ascii="Calibri" w:eastAsia="Times New Roman" w:hAnsi="Calibri" w:cs="Calibri"/>
          <w:color w:val="000000"/>
          <w:sz w:val="20"/>
          <w:szCs w:val="20"/>
          <w:lang w:eastAsia="en-AU"/>
        </w:rPr>
        <w:t xml:space="preserve"> </w:t>
      </w:r>
      <w:r w:rsidRPr="007F06E6">
        <w:rPr>
          <w:rFonts w:ascii="Calibri" w:eastAsia="Times New Roman" w:hAnsi="Calibri" w:cs="Calibri"/>
          <w:color w:val="000000"/>
          <w:sz w:val="20"/>
          <w:szCs w:val="20"/>
          <w:lang w:eastAsia="en-AU"/>
        </w:rPr>
        <w:t>seeker history</w:t>
      </w:r>
    </w:p>
    <w:p w:rsidR="002213C9" w:rsidRPr="007F06E6" w:rsidRDefault="002213C9" w:rsidP="00066793">
      <w:pPr>
        <w:pStyle w:val="ListParagraph"/>
        <w:numPr>
          <w:ilvl w:val="1"/>
          <w:numId w:val="58"/>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 xml:space="preserve">personal </w:t>
      </w:r>
      <w:r w:rsidRPr="007F06E6">
        <w:rPr>
          <w:rFonts w:ascii="Calibri" w:eastAsia="Times New Roman" w:hAnsi="Calibri" w:cs="Calibri"/>
          <w:color w:val="000000"/>
          <w:sz w:val="20"/>
          <w:szCs w:val="20"/>
          <w:lang w:eastAsia="en-AU"/>
        </w:rPr>
        <w:t>factors</w:t>
      </w:r>
      <w:r>
        <w:rPr>
          <w:rFonts w:ascii="Calibri" w:eastAsia="Times New Roman" w:hAnsi="Calibri" w:cs="Calibri"/>
          <w:color w:val="000000"/>
          <w:sz w:val="20"/>
          <w:szCs w:val="20"/>
          <w:lang w:eastAsia="en-AU"/>
        </w:rPr>
        <w:t xml:space="preserve"> </w:t>
      </w:r>
    </w:p>
    <w:p w:rsidR="002213C9" w:rsidRPr="007F06E6" w:rsidRDefault="002213C9" w:rsidP="00066793">
      <w:pPr>
        <w:pStyle w:val="ListParagraph"/>
        <w:numPr>
          <w:ilvl w:val="1"/>
          <w:numId w:val="58"/>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p</w:t>
      </w:r>
      <w:r w:rsidRPr="007F06E6">
        <w:rPr>
          <w:rFonts w:ascii="Calibri" w:eastAsia="Times New Roman" w:hAnsi="Calibri" w:cs="Calibri"/>
          <w:color w:val="000000"/>
          <w:sz w:val="20"/>
          <w:szCs w:val="20"/>
          <w:lang w:eastAsia="en-AU"/>
        </w:rPr>
        <w:t>roximity to the labour market</w:t>
      </w:r>
    </w:p>
    <w:p w:rsidR="002213C9" w:rsidRPr="007F06E6" w:rsidRDefault="002213C9" w:rsidP="00066793">
      <w:pPr>
        <w:pStyle w:val="ListParagraph"/>
        <w:numPr>
          <w:ilvl w:val="1"/>
          <w:numId w:val="58"/>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r</w:t>
      </w:r>
      <w:r w:rsidRPr="007F06E6">
        <w:rPr>
          <w:rFonts w:ascii="Calibri" w:eastAsia="Times New Roman" w:hAnsi="Calibri" w:cs="Calibri"/>
          <w:color w:val="000000"/>
          <w:sz w:val="20"/>
          <w:szCs w:val="20"/>
          <w:lang w:eastAsia="en-AU"/>
        </w:rPr>
        <w:t>ecent work experience</w:t>
      </w:r>
    </w:p>
    <w:p w:rsidR="002213C9" w:rsidRPr="007F06E6" w:rsidRDefault="002213C9" w:rsidP="00066793">
      <w:pPr>
        <w:pStyle w:val="ListParagraph"/>
        <w:numPr>
          <w:ilvl w:val="1"/>
          <w:numId w:val="58"/>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s</w:t>
      </w:r>
      <w:r w:rsidRPr="007F06E6">
        <w:rPr>
          <w:rFonts w:ascii="Calibri" w:eastAsia="Times New Roman" w:hAnsi="Calibri" w:cs="Calibri"/>
          <w:color w:val="000000"/>
          <w:sz w:val="20"/>
          <w:szCs w:val="20"/>
          <w:lang w:eastAsia="en-AU"/>
        </w:rPr>
        <w:t>tability of residence</w:t>
      </w:r>
    </w:p>
    <w:p w:rsidR="002213C9" w:rsidRPr="007F06E6" w:rsidRDefault="002213C9" w:rsidP="00066793">
      <w:pPr>
        <w:pStyle w:val="ListParagraph"/>
        <w:numPr>
          <w:ilvl w:val="1"/>
          <w:numId w:val="58"/>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t</w:t>
      </w:r>
      <w:r w:rsidRPr="007F06E6">
        <w:rPr>
          <w:rFonts w:ascii="Calibri" w:eastAsia="Times New Roman" w:hAnsi="Calibri" w:cs="Calibri"/>
          <w:color w:val="000000"/>
          <w:sz w:val="20"/>
          <w:szCs w:val="20"/>
          <w:lang w:eastAsia="en-AU"/>
        </w:rPr>
        <w:t>ime on income support</w:t>
      </w:r>
    </w:p>
    <w:p w:rsidR="002213C9" w:rsidRPr="00F44FBD" w:rsidRDefault="002213C9" w:rsidP="00066793">
      <w:pPr>
        <w:pStyle w:val="ListParagraph"/>
        <w:numPr>
          <w:ilvl w:val="1"/>
          <w:numId w:val="58"/>
        </w:numPr>
        <w:spacing w:after="0" w:line="240" w:lineRule="auto"/>
      </w:pPr>
      <w:r>
        <w:rPr>
          <w:rFonts w:ascii="Calibri" w:eastAsia="Times New Roman" w:hAnsi="Calibri" w:cs="Calibri"/>
          <w:color w:val="000000"/>
          <w:sz w:val="20"/>
          <w:szCs w:val="20"/>
          <w:lang w:eastAsia="en-AU"/>
        </w:rPr>
        <w:t>v</w:t>
      </w:r>
      <w:r w:rsidRPr="00F44FBD">
        <w:rPr>
          <w:rFonts w:ascii="Calibri" w:eastAsia="Times New Roman" w:hAnsi="Calibri" w:cs="Calibri"/>
          <w:color w:val="000000"/>
          <w:sz w:val="20"/>
          <w:szCs w:val="20"/>
          <w:lang w:eastAsia="en-AU"/>
        </w:rPr>
        <w:t>ocational qualifications.</w:t>
      </w:r>
    </w:p>
    <w:p w:rsidR="00683705" w:rsidRDefault="002213C9" w:rsidP="002213C9">
      <w:pPr>
        <w:pStyle w:val="Source"/>
        <w:rPr>
          <w:b w:val="0"/>
        </w:rPr>
      </w:pPr>
      <w:r w:rsidRPr="003A4B00">
        <w:t xml:space="preserve">Source: </w:t>
      </w:r>
      <w:r w:rsidRPr="00C33265">
        <w:rPr>
          <w:b w:val="0"/>
        </w:rPr>
        <w:t xml:space="preserve">DHS and </w:t>
      </w:r>
      <w:r w:rsidR="00F458F7">
        <w:rPr>
          <w:b w:val="0"/>
        </w:rPr>
        <w:t>DoE</w:t>
      </w:r>
      <w:r w:rsidRPr="00C33265">
        <w:rPr>
          <w:b w:val="0"/>
        </w:rPr>
        <w:t xml:space="preserve"> monitoring data</w:t>
      </w:r>
      <w:r w:rsidR="00AA510E">
        <w:rPr>
          <w:b w:val="0"/>
        </w:rPr>
        <w:t xml:space="preserve">, and </w:t>
      </w:r>
      <w:r w:rsidR="00F458F7">
        <w:rPr>
          <w:b w:val="0"/>
        </w:rPr>
        <w:t>DoE</w:t>
      </w:r>
      <w:r w:rsidRPr="00C33265">
        <w:rPr>
          <w:b w:val="0"/>
        </w:rPr>
        <w:t xml:space="preserve"> administrative</w:t>
      </w:r>
      <w:r w:rsidR="00AA510E">
        <w:rPr>
          <w:b w:val="0"/>
        </w:rPr>
        <w:t xml:space="preserve"> data</w:t>
      </w:r>
    </w:p>
    <w:p w:rsidR="002213C9" w:rsidRDefault="00683705" w:rsidP="00683705">
      <w:pPr>
        <w:pStyle w:val="Source"/>
        <w:spacing w:before="120"/>
        <w:rPr>
          <w:color w:val="000000" w:themeColor="text1"/>
        </w:rPr>
      </w:pPr>
      <w:r>
        <w:rPr>
          <w:b w:val="0"/>
        </w:rPr>
        <w:t xml:space="preserve">Return to </w:t>
      </w:r>
      <w:hyperlink w:anchor="Place_F6" w:history="1">
        <w:r w:rsidRPr="00683705">
          <w:rPr>
            <w:rStyle w:val="Hyperlink"/>
            <w:b w:val="0"/>
          </w:rPr>
          <w:t>Table 3.5</w:t>
        </w:r>
      </w:hyperlink>
      <w:r>
        <w:rPr>
          <w:b w:val="0"/>
        </w:rPr>
        <w:t>.</w:t>
      </w:r>
      <w:r w:rsidR="002213C9" w:rsidRPr="003A4B00">
        <w:t xml:space="preserve"> </w:t>
      </w:r>
      <w:r w:rsidR="002213C9">
        <w:rPr>
          <w:color w:val="000000" w:themeColor="text1"/>
        </w:rPr>
        <w:br w:type="page"/>
      </w:r>
    </w:p>
    <w:p w:rsidR="002213C9" w:rsidRPr="003A4B00" w:rsidRDefault="00603A49" w:rsidP="002213C9">
      <w:pPr>
        <w:pStyle w:val="TableCaption"/>
      </w:pPr>
      <w:bookmarkStart w:id="267" w:name="_Toc507600323"/>
      <w:r>
        <w:lastRenderedPageBreak/>
        <w:t>Table F</w:t>
      </w:r>
      <w:r w:rsidR="002213C9">
        <w:t>.7</w:t>
      </w:r>
      <w:r w:rsidR="002213C9" w:rsidRPr="003A4B00">
        <w:t xml:space="preserve">: </w:t>
      </w:r>
      <w:r w:rsidR="002213C9">
        <w:t>Difference in p</w:t>
      </w:r>
      <w:r w:rsidR="002213C9" w:rsidRPr="003A4B00">
        <w:t>robability that a</w:t>
      </w:r>
      <w:r w:rsidR="002213C9">
        <w:t xml:space="preserve"> person</w:t>
      </w:r>
      <w:r w:rsidR="002213C9" w:rsidRPr="003A4B00">
        <w:t xml:space="preserve"> </w:t>
      </w:r>
      <w:r w:rsidR="002213C9">
        <w:t>will have lodged a claim as opposed to not having left income support within 12 mont</w:t>
      </w:r>
      <w:r w:rsidR="00C962FC">
        <w:t xml:space="preserve">hs of becoming LTU by level of </w:t>
      </w:r>
      <w:r w:rsidR="002213C9">
        <w:t>EPF expenditure from commencement to 12 months after becoming LTU</w:t>
      </w:r>
      <w:r w:rsidR="00746C0E">
        <w:t xml:space="preserve"> </w:t>
      </w:r>
      <w:r w:rsidR="002213C9">
        <w:t>(regressed results) (percentage point)</w:t>
      </w:r>
      <w:bookmarkEnd w:id="267"/>
    </w:p>
    <w:tbl>
      <w:tblPr>
        <w:tblW w:w="8913" w:type="dxa"/>
        <w:tblInd w:w="93" w:type="dxa"/>
        <w:tblLook w:val="04A0" w:firstRow="1" w:lastRow="0" w:firstColumn="1" w:lastColumn="0" w:noHBand="0" w:noVBand="1"/>
      </w:tblPr>
      <w:tblGrid>
        <w:gridCol w:w="4410"/>
        <w:gridCol w:w="3543"/>
        <w:gridCol w:w="960"/>
      </w:tblGrid>
      <w:tr w:rsidR="002213C9" w:rsidRPr="00741D4E" w:rsidTr="00384A85">
        <w:trPr>
          <w:trHeight w:val="567"/>
          <w:tblHeader/>
        </w:trPr>
        <w:tc>
          <w:tcPr>
            <w:tcW w:w="4410" w:type="dxa"/>
            <w:shd w:val="clear" w:color="000000" w:fill="1E3D6B"/>
            <w:vAlign w:val="center"/>
            <w:hideMark/>
          </w:tcPr>
          <w:p w:rsidR="002213C9" w:rsidRPr="00C54A19" w:rsidRDefault="002213C9" w:rsidP="00384A85">
            <w:pPr>
              <w:spacing w:after="0" w:line="240" w:lineRule="auto"/>
              <w:rPr>
                <w:rFonts w:eastAsia="Times New Roman" w:cstheme="minorHAnsi"/>
                <w:b/>
                <w:bCs/>
                <w:color w:val="FFFFFF"/>
                <w:sz w:val="20"/>
                <w:szCs w:val="20"/>
                <w:lang w:eastAsia="en-AU"/>
              </w:rPr>
            </w:pPr>
            <w:bookmarkStart w:id="268" w:name="Title_F7"/>
            <w:bookmarkEnd w:id="268"/>
            <w:r w:rsidRPr="00C54A19">
              <w:rPr>
                <w:rFonts w:eastAsia="Times New Roman" w:cstheme="minorHAnsi"/>
                <w:b/>
                <w:bCs/>
                <w:color w:val="FFFFFF"/>
                <w:sz w:val="20"/>
                <w:szCs w:val="20"/>
                <w:lang w:eastAsia="en-AU"/>
              </w:rPr>
              <w:t>Demographic characteristic</w:t>
            </w:r>
          </w:p>
        </w:tc>
        <w:tc>
          <w:tcPr>
            <w:tcW w:w="3543" w:type="dxa"/>
            <w:shd w:val="clear" w:color="000000" w:fill="1E3D6B"/>
            <w:vAlign w:val="center"/>
            <w:hideMark/>
          </w:tcPr>
          <w:p w:rsidR="002213C9" w:rsidRPr="00C54A19" w:rsidRDefault="002213C9" w:rsidP="00384A85">
            <w:pPr>
              <w:spacing w:after="0" w:line="240" w:lineRule="auto"/>
              <w:rPr>
                <w:rFonts w:eastAsia="Times New Roman" w:cstheme="minorHAnsi"/>
                <w:b/>
                <w:bCs/>
                <w:color w:val="FFFFFF"/>
                <w:sz w:val="20"/>
                <w:szCs w:val="20"/>
                <w:lang w:eastAsia="en-AU"/>
              </w:rPr>
            </w:pPr>
            <w:r w:rsidRPr="00C54A19">
              <w:rPr>
                <w:rFonts w:eastAsia="Times New Roman" w:cstheme="minorHAnsi"/>
                <w:b/>
                <w:bCs/>
                <w:color w:val="FFFFFF"/>
                <w:sz w:val="20"/>
                <w:szCs w:val="20"/>
                <w:lang w:eastAsia="en-AU"/>
              </w:rPr>
              <w:t>Compared with</w:t>
            </w:r>
          </w:p>
        </w:tc>
        <w:tc>
          <w:tcPr>
            <w:tcW w:w="960" w:type="dxa"/>
            <w:shd w:val="clear" w:color="000000" w:fill="1E3D6B"/>
            <w:vAlign w:val="center"/>
            <w:hideMark/>
          </w:tcPr>
          <w:p w:rsidR="002213C9" w:rsidRPr="00C54A19" w:rsidRDefault="002213C9" w:rsidP="00384A85">
            <w:pPr>
              <w:spacing w:after="0" w:line="240" w:lineRule="auto"/>
              <w:jc w:val="center"/>
              <w:rPr>
                <w:rFonts w:eastAsia="Times New Roman" w:cstheme="minorHAnsi"/>
                <w:b/>
                <w:bCs/>
                <w:color w:val="FFFFFF"/>
                <w:sz w:val="20"/>
                <w:szCs w:val="20"/>
                <w:lang w:eastAsia="en-AU"/>
              </w:rPr>
            </w:pPr>
            <w:r w:rsidRPr="00C54A19">
              <w:rPr>
                <w:rFonts w:eastAsia="Times New Roman" w:cstheme="minorHAnsi"/>
                <w:b/>
                <w:bCs/>
                <w:color w:val="FFFFFF"/>
                <w:sz w:val="20"/>
                <w:szCs w:val="20"/>
                <w:lang w:eastAsia="en-AU"/>
              </w:rPr>
              <w:t>MEM</w:t>
            </w:r>
            <w:r w:rsidRPr="00C54A19">
              <w:rPr>
                <w:rFonts w:eastAsia="Times New Roman" w:cstheme="minorHAnsi"/>
                <w:b/>
                <w:bCs/>
                <w:color w:val="FFFFFF"/>
                <w:sz w:val="20"/>
                <w:szCs w:val="20"/>
                <w:lang w:eastAsia="en-AU"/>
              </w:rPr>
              <w:br/>
              <w:t>(ppt)</w:t>
            </w:r>
          </w:p>
        </w:tc>
      </w:tr>
      <w:tr w:rsidR="002213C9" w:rsidRPr="00FC1AD1"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More than $2500 EPF</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 xml:space="preserve"> Less than $300 EPF</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5.7</w:t>
            </w:r>
          </w:p>
        </w:tc>
      </w:tr>
      <w:tr w:rsidR="002213C9" w:rsidRPr="00FC1AD1"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Highest level of education: Degree / post-graduate</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Highest level of education: TAFE / diploma</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4.8</w:t>
            </w:r>
          </w:p>
        </w:tc>
      </w:tr>
      <w:tr w:rsidR="002213C9" w:rsidRPr="00FC1AD1"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Between $300 and $1000 EPF</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Less than $300 EPF</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4.3</w:t>
            </w:r>
          </w:p>
        </w:tc>
      </w:tr>
      <w:tr w:rsidR="002213C9" w:rsidRPr="00FC1AD1"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Between $1001 and $2500 EPF</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 xml:space="preserve"> Less than $300 EPF</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3.2</w:t>
            </w:r>
          </w:p>
        </w:tc>
      </w:tr>
      <w:tr w:rsidR="002213C9" w:rsidRPr="00FC1AD1"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25 years or older at time of exit from income support</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Less than 25 years at time of exit from income support</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1.2</w:t>
            </w:r>
          </w:p>
        </w:tc>
      </w:tr>
      <w:tr w:rsidR="002213C9" w:rsidRPr="00FC1AD1"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CALD</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Not CALD</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1.0</w:t>
            </w:r>
          </w:p>
        </w:tc>
      </w:tr>
      <w:tr w:rsidR="002213C9" w:rsidRPr="00FC1AD1"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Lives in ESA of moderate disadvantage</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Lives in ESA of very low / low disadvantage</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1.0</w:t>
            </w:r>
          </w:p>
        </w:tc>
      </w:tr>
      <w:tr w:rsidR="002213C9" w:rsidRPr="00FC1AD1"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Female</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Male</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0.4</w:t>
            </w:r>
          </w:p>
        </w:tc>
      </w:tr>
      <w:tr w:rsidR="002213C9" w:rsidRPr="00FC1AD1"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Lives in ESA of high / extreme disadvantage</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Lives in ESA of very low / low disadvantage</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0.4</w:t>
            </w:r>
          </w:p>
        </w:tc>
      </w:tr>
      <w:tr w:rsidR="002213C9" w:rsidRPr="00FC1AD1"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Has no vocational qualifications</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Has useful vocational qualifications</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0.3</w:t>
            </w:r>
          </w:p>
        </w:tc>
      </w:tr>
      <w:tr w:rsidR="002213C9" w:rsidRPr="00FC1AD1"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Highest level of education: Year 12/13</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Highest level of education: TAFE / diploma</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0.0</w:t>
            </w:r>
          </w:p>
        </w:tc>
      </w:tr>
      <w:tr w:rsidR="002213C9" w:rsidRPr="00FC1AD1"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Rec</w:t>
            </w:r>
            <w:r w:rsidR="00C962FC">
              <w:rPr>
                <w:rFonts w:eastAsia="Times New Roman" w:cstheme="minorHAnsi"/>
                <w:bCs/>
                <w:color w:val="000000" w:themeColor="text1"/>
                <w:sz w:val="20"/>
                <w:szCs w:val="20"/>
                <w:lang w:eastAsia="en-AU"/>
              </w:rPr>
              <w:t xml:space="preserve">ent work experience: Paid work </w:t>
            </w:r>
            <w:r w:rsidRPr="00C54A19">
              <w:rPr>
                <w:rFonts w:eastAsia="Times New Roman" w:cstheme="minorHAnsi"/>
                <w:bCs/>
                <w:color w:val="000000" w:themeColor="text1"/>
                <w:sz w:val="20"/>
                <w:szCs w:val="20"/>
                <w:lang w:eastAsia="en-AU"/>
              </w:rPr>
              <w:t>part-time &lt;8 hours/seasonal or irregular</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Recent work experience: Paid work full-time / part-time &gt;=8 hours</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-0.2</w:t>
            </w:r>
          </w:p>
        </w:tc>
      </w:tr>
      <w:tr w:rsidR="002213C9" w:rsidRPr="00FC1AD1"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With disability</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Without disability</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-0.2</w:t>
            </w:r>
          </w:p>
        </w:tc>
      </w:tr>
      <w:tr w:rsidR="002213C9" w:rsidRPr="00FC1AD1"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 xml:space="preserve">Single parent </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Not a single parent</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-0.2</w:t>
            </w:r>
          </w:p>
        </w:tc>
      </w:tr>
      <w:tr w:rsidR="002213C9" w:rsidRPr="00FC1AD1"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Live in an outer regional or remote area</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Live in a metropolitan or inner regional area</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-0.5</w:t>
            </w:r>
          </w:p>
        </w:tc>
      </w:tr>
      <w:tr w:rsidR="002213C9" w:rsidRPr="00FC1AD1"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Low impact from personal factors</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No impact from personal factors</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-0.6</w:t>
            </w:r>
          </w:p>
        </w:tc>
      </w:tr>
      <w:tr w:rsidR="002213C9" w:rsidRPr="00FC1AD1"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More than once on income support and/or crisis payment</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No job seeker history</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-0.6</w:t>
            </w:r>
          </w:p>
        </w:tc>
      </w:tr>
      <w:tr w:rsidR="002213C9" w:rsidRPr="00FC1AD1"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Unstable residence</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Stable residence</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-0.9</w:t>
            </w:r>
          </w:p>
        </w:tc>
      </w:tr>
      <w:tr w:rsidR="002213C9" w:rsidRPr="00FC1AD1"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Poor/mixed English proficiency</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Good English proficiency</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-1.0</w:t>
            </w:r>
          </w:p>
        </w:tc>
      </w:tr>
      <w:tr w:rsidR="002213C9" w:rsidRPr="00FC1AD1"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Recent work experience: Unpaid / Not in the labour force</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Recent work experience: Paid work full-time / part-time &gt;=8 hours</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-1.1</w:t>
            </w:r>
          </w:p>
        </w:tc>
      </w:tr>
      <w:tr w:rsidR="002213C9" w:rsidRPr="00FC1AD1"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Highest level of education: Year 10/11</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Highest level of education: TAFE / diploma</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-1.3</w:t>
            </w:r>
          </w:p>
        </w:tc>
      </w:tr>
      <w:tr w:rsidR="002213C9" w:rsidRPr="00FC1AD1"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Has access to other private transport</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Has own transport</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-1.7</w:t>
            </w:r>
          </w:p>
        </w:tc>
      </w:tr>
      <w:tr w:rsidR="002213C9" w:rsidRPr="00FC1AD1" w:rsidTr="00384A85">
        <w:trPr>
          <w:trHeight w:hRule="exact" w:val="482"/>
        </w:trPr>
        <w:tc>
          <w:tcPr>
            <w:tcW w:w="4410" w:type="dxa"/>
            <w:shd w:val="clear" w:color="auto" w:fill="FFFFFF" w:themeFill="background2"/>
            <w:vAlign w:val="center"/>
            <w:hideMark/>
          </w:tcPr>
          <w:p w:rsidR="002213C9" w:rsidRPr="00C54A19" w:rsidRDefault="00A6270F"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Recent work experience: Not working but looking for work</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Recent work experience: Paid work full-time / part-time &gt;=8 hours</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-1.7</w:t>
            </w:r>
          </w:p>
        </w:tc>
      </w:tr>
      <w:tr w:rsidR="002213C9" w:rsidRPr="00FC1AD1"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Indigenous</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Not Indigenous</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-1.8</w:t>
            </w:r>
          </w:p>
        </w:tc>
      </w:tr>
      <w:tr w:rsidR="002213C9" w:rsidRPr="00FC1AD1"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Has no useful vocational qualifications</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Has useful vocational qualifications</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-1.8</w:t>
            </w:r>
          </w:p>
        </w:tc>
      </w:tr>
      <w:tr w:rsidR="002213C9" w:rsidRPr="00FC1AD1"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Ex-offender</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Not an ex-offender</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-1.9</w:t>
            </w:r>
          </w:p>
        </w:tc>
      </w:tr>
      <w:tr w:rsidR="002213C9" w:rsidRPr="00FC1AD1"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lastRenderedPageBreak/>
              <w:t>Medium impact from personal factors</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No impact from personal factors</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-2.0</w:t>
            </w:r>
          </w:p>
        </w:tc>
      </w:tr>
      <w:tr w:rsidR="002213C9" w:rsidRPr="00FC1AD1"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Has access to public transport</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Has own transport</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-2.0</w:t>
            </w:r>
          </w:p>
        </w:tc>
      </w:tr>
      <w:tr w:rsidR="002213C9" w:rsidRPr="00FC1AD1"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Not contactable by telephone</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Contactable by telephone</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-2.6</w:t>
            </w:r>
          </w:p>
        </w:tc>
      </w:tr>
      <w:tr w:rsidR="002213C9" w:rsidRPr="00FC1AD1"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 xml:space="preserve">No access to transport </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Has own transport</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-2.7</w:t>
            </w:r>
          </w:p>
        </w:tc>
      </w:tr>
      <w:tr w:rsidR="002213C9" w:rsidRPr="00FC1AD1"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Highest level of education: Less than Year 10</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Highest level of education: TAFE / diploma</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-2.7</w:t>
            </w:r>
          </w:p>
        </w:tc>
      </w:tr>
      <w:tr w:rsidR="002213C9" w:rsidRPr="00FC1AD1"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High impact from personal factors</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No impact from personal factors</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-3.4</w:t>
            </w:r>
          </w:p>
        </w:tc>
      </w:tr>
      <w:tr w:rsidR="002213C9" w:rsidRPr="00FC1AD1"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Medium disadvantage country of birth</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Low disadvantage country of birth</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-3.6</w:t>
            </w:r>
          </w:p>
        </w:tc>
      </w:tr>
      <w:tr w:rsidR="002213C9" w:rsidRPr="00FC1AD1"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High disadvantage country of birth</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Low disadvantage country of birth</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-4.1</w:t>
            </w:r>
          </w:p>
        </w:tc>
      </w:tr>
      <w:tr w:rsidR="002213C9" w:rsidRPr="00FC1AD1" w:rsidTr="00384A85">
        <w:trPr>
          <w:trHeight w:hRule="exact" w:val="482"/>
        </w:trPr>
        <w:tc>
          <w:tcPr>
            <w:tcW w:w="4410" w:type="dxa"/>
            <w:tcBorders>
              <w:bottom w:val="single" w:sz="4" w:space="0" w:color="auto"/>
            </w:tcBorders>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Very high disadvantage country of birth</w:t>
            </w:r>
          </w:p>
        </w:tc>
        <w:tc>
          <w:tcPr>
            <w:tcW w:w="3543" w:type="dxa"/>
            <w:tcBorders>
              <w:bottom w:val="single" w:sz="4" w:space="0" w:color="auto"/>
            </w:tcBorders>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Low disadvantage country of birth</w:t>
            </w:r>
          </w:p>
        </w:tc>
        <w:tc>
          <w:tcPr>
            <w:tcW w:w="960" w:type="dxa"/>
            <w:tcBorders>
              <w:bottom w:val="single" w:sz="4" w:space="0" w:color="auto"/>
            </w:tcBorders>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-4.5</w:t>
            </w:r>
          </w:p>
        </w:tc>
      </w:tr>
    </w:tbl>
    <w:p w:rsidR="002213C9" w:rsidRDefault="002213C9" w:rsidP="002213C9">
      <w:pPr>
        <w:pStyle w:val="Source"/>
        <w:shd w:val="clear" w:color="auto" w:fill="FFFFFF" w:themeFill="background2"/>
        <w:rPr>
          <w:b w:val="0"/>
        </w:rPr>
      </w:pPr>
      <w:r>
        <w:t>Notes</w:t>
      </w:r>
      <w:r w:rsidRPr="003B4D65">
        <w:rPr>
          <w:b w:val="0"/>
        </w:rPr>
        <w:t xml:space="preserve">: </w:t>
      </w:r>
    </w:p>
    <w:p w:rsidR="002213C9" w:rsidRPr="007B252C" w:rsidRDefault="002213C9" w:rsidP="00E3205B">
      <w:pPr>
        <w:pStyle w:val="Source"/>
        <w:numPr>
          <w:ilvl w:val="0"/>
          <w:numId w:val="60"/>
        </w:numPr>
      </w:pPr>
      <w:r>
        <w:rPr>
          <w:b w:val="0"/>
        </w:rPr>
        <w:t xml:space="preserve">MEM </w:t>
      </w:r>
      <w:r>
        <w:rPr>
          <w:b w:val="0"/>
          <w:color w:val="000000" w:themeColor="text1"/>
        </w:rPr>
        <w:t>stands for</w:t>
      </w:r>
      <w:r w:rsidRPr="003B4D65">
        <w:rPr>
          <w:b w:val="0"/>
          <w:color w:val="000000" w:themeColor="text1"/>
        </w:rPr>
        <w:t xml:space="preserve"> </w:t>
      </w:r>
      <w:r w:rsidRPr="003B4D65">
        <w:rPr>
          <w:b w:val="0"/>
        </w:rPr>
        <w:t>Marginal effect on the mean</w:t>
      </w:r>
      <w:r>
        <w:rPr>
          <w:b w:val="0"/>
        </w:rPr>
        <w:t>.</w:t>
      </w:r>
      <w:r w:rsidRPr="003B4D65">
        <w:rPr>
          <w:rFonts w:ascii="Arial" w:eastAsia="Times New Roman" w:hAnsi="Arial" w:cs="Arial"/>
          <w:bCs/>
          <w:color w:val="000000" w:themeColor="text1"/>
          <w:sz w:val="18"/>
          <w:szCs w:val="18"/>
          <w:lang w:eastAsia="en-AU"/>
        </w:rPr>
        <w:t xml:space="preserve"> </w:t>
      </w:r>
      <w:r w:rsidRPr="003B4D65">
        <w:rPr>
          <w:b w:val="0"/>
        </w:rPr>
        <w:t>MEM</w:t>
      </w:r>
      <w:r>
        <w:rPr>
          <w:b w:val="0"/>
        </w:rPr>
        <w:t xml:space="preserve"> are</w:t>
      </w:r>
      <w:r w:rsidRPr="003B4D65">
        <w:rPr>
          <w:b w:val="0"/>
        </w:rPr>
        <w:t xml:space="preserve"> sorted in descending order.</w:t>
      </w:r>
      <w:r>
        <w:rPr>
          <w:b w:val="0"/>
        </w:rPr>
        <w:t xml:space="preserve"> For example: single parents (after controlling for all other job seeker characteristics) were </w:t>
      </w:r>
      <w:r w:rsidR="009F13D5">
        <w:rPr>
          <w:b w:val="0"/>
        </w:rPr>
        <w:t>0.2</w:t>
      </w:r>
      <w:r>
        <w:rPr>
          <w:b w:val="0"/>
        </w:rPr>
        <w:t xml:space="preserve"> percentage points </w:t>
      </w:r>
      <w:r w:rsidR="009F13D5">
        <w:rPr>
          <w:b w:val="0"/>
        </w:rPr>
        <w:t xml:space="preserve">less </w:t>
      </w:r>
      <w:r>
        <w:rPr>
          <w:b w:val="0"/>
        </w:rPr>
        <w:t xml:space="preserve">likely to have </w:t>
      </w:r>
      <w:r w:rsidR="009F13D5">
        <w:rPr>
          <w:b w:val="0"/>
        </w:rPr>
        <w:t>lodged a</w:t>
      </w:r>
      <w:r>
        <w:rPr>
          <w:b w:val="0"/>
        </w:rPr>
        <w:t xml:space="preserve"> claim than those who were not single parents.</w:t>
      </w:r>
    </w:p>
    <w:p w:rsidR="002213C9" w:rsidRPr="00F44FBD" w:rsidRDefault="002213C9" w:rsidP="00E3205B">
      <w:pPr>
        <w:pStyle w:val="Source"/>
        <w:numPr>
          <w:ilvl w:val="0"/>
          <w:numId w:val="60"/>
        </w:numPr>
      </w:pPr>
      <w:r>
        <w:rPr>
          <w:b w:val="0"/>
        </w:rPr>
        <w:t>Demographic characteristics controlled for in the regression analysis are mostly obtained from the JSCI:</w:t>
      </w:r>
    </w:p>
    <w:p w:rsidR="00066793" w:rsidRPr="007F06E6" w:rsidRDefault="00066793" w:rsidP="00E3205B">
      <w:pPr>
        <w:pStyle w:val="ListParagraph"/>
        <w:numPr>
          <w:ilvl w:val="1"/>
          <w:numId w:val="60"/>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a</w:t>
      </w:r>
      <w:r w:rsidRPr="007F06E6">
        <w:rPr>
          <w:rFonts w:ascii="Calibri" w:eastAsia="Times New Roman" w:hAnsi="Calibri" w:cs="Calibri"/>
          <w:color w:val="000000"/>
          <w:sz w:val="20"/>
          <w:szCs w:val="20"/>
          <w:lang w:eastAsia="en-AU"/>
        </w:rPr>
        <w:t>ccess to transport</w:t>
      </w:r>
    </w:p>
    <w:p w:rsidR="00066793" w:rsidRPr="007F06E6" w:rsidRDefault="00066793" w:rsidP="00E3205B">
      <w:pPr>
        <w:pStyle w:val="ListParagraph"/>
        <w:numPr>
          <w:ilvl w:val="1"/>
          <w:numId w:val="60"/>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a</w:t>
      </w:r>
      <w:r w:rsidRPr="007F06E6">
        <w:rPr>
          <w:rFonts w:ascii="Calibri" w:eastAsia="Times New Roman" w:hAnsi="Calibri" w:cs="Calibri"/>
          <w:color w:val="000000"/>
          <w:sz w:val="20"/>
          <w:szCs w:val="20"/>
          <w:lang w:eastAsia="en-AU"/>
        </w:rPr>
        <w:t>ge</w:t>
      </w:r>
    </w:p>
    <w:p w:rsidR="00066793" w:rsidRPr="007F06E6" w:rsidRDefault="00066793" w:rsidP="00E3205B">
      <w:pPr>
        <w:pStyle w:val="ListParagraph"/>
        <w:numPr>
          <w:ilvl w:val="1"/>
          <w:numId w:val="60"/>
        </w:numPr>
        <w:spacing w:after="0" w:line="240" w:lineRule="auto"/>
        <w:rPr>
          <w:rFonts w:ascii="Calibri" w:eastAsia="Times New Roman" w:hAnsi="Calibri" w:cs="Calibri"/>
          <w:color w:val="000000"/>
          <w:sz w:val="20"/>
          <w:szCs w:val="20"/>
          <w:lang w:eastAsia="en-AU"/>
        </w:rPr>
      </w:pPr>
      <w:r w:rsidRPr="007F06E6">
        <w:rPr>
          <w:rFonts w:ascii="Calibri" w:eastAsia="Times New Roman" w:hAnsi="Calibri" w:cs="Calibri"/>
          <w:color w:val="000000"/>
          <w:sz w:val="20"/>
          <w:szCs w:val="20"/>
          <w:lang w:eastAsia="en-AU"/>
        </w:rPr>
        <w:t>CALD</w:t>
      </w:r>
      <w:r>
        <w:rPr>
          <w:rFonts w:ascii="Calibri" w:eastAsia="Times New Roman" w:hAnsi="Calibri" w:cs="Calibri"/>
          <w:color w:val="000000"/>
          <w:sz w:val="20"/>
          <w:szCs w:val="20"/>
          <w:lang w:eastAsia="en-AU"/>
        </w:rPr>
        <w:t xml:space="preserve"> status</w:t>
      </w:r>
    </w:p>
    <w:p w:rsidR="00066793" w:rsidRPr="007F06E6" w:rsidRDefault="00066793" w:rsidP="00E3205B">
      <w:pPr>
        <w:pStyle w:val="ListParagraph"/>
        <w:numPr>
          <w:ilvl w:val="1"/>
          <w:numId w:val="60"/>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c</w:t>
      </w:r>
      <w:r w:rsidRPr="007F06E6">
        <w:rPr>
          <w:rFonts w:ascii="Calibri" w:eastAsia="Times New Roman" w:hAnsi="Calibri" w:cs="Calibri"/>
          <w:color w:val="000000"/>
          <w:sz w:val="20"/>
          <w:szCs w:val="20"/>
          <w:lang w:eastAsia="en-AU"/>
        </w:rPr>
        <w:t>ountry of birth</w:t>
      </w:r>
    </w:p>
    <w:p w:rsidR="00066793" w:rsidRPr="007F06E6" w:rsidRDefault="00066793" w:rsidP="00E3205B">
      <w:pPr>
        <w:pStyle w:val="ListParagraph"/>
        <w:numPr>
          <w:ilvl w:val="1"/>
          <w:numId w:val="60"/>
        </w:numPr>
        <w:spacing w:after="0" w:line="240" w:lineRule="auto"/>
        <w:rPr>
          <w:rFonts w:ascii="Calibri" w:eastAsia="Times New Roman" w:hAnsi="Calibri" w:cs="Calibri"/>
          <w:color w:val="000000"/>
          <w:sz w:val="20"/>
          <w:szCs w:val="20"/>
          <w:lang w:eastAsia="en-AU"/>
        </w:rPr>
      </w:pPr>
      <w:r w:rsidRPr="007F06E6">
        <w:rPr>
          <w:rFonts w:ascii="Calibri" w:eastAsia="Times New Roman" w:hAnsi="Calibri" w:cs="Calibri"/>
          <w:color w:val="000000"/>
          <w:sz w:val="20"/>
          <w:szCs w:val="20"/>
          <w:lang w:eastAsia="en-AU"/>
        </w:rPr>
        <w:t>English proficiency</w:t>
      </w:r>
    </w:p>
    <w:p w:rsidR="00066793" w:rsidRPr="007F06E6" w:rsidRDefault="00066793" w:rsidP="00E3205B">
      <w:pPr>
        <w:pStyle w:val="ListParagraph"/>
        <w:numPr>
          <w:ilvl w:val="1"/>
          <w:numId w:val="60"/>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g</w:t>
      </w:r>
      <w:r w:rsidRPr="007F06E6">
        <w:rPr>
          <w:rFonts w:ascii="Calibri" w:eastAsia="Times New Roman" w:hAnsi="Calibri" w:cs="Calibri"/>
          <w:color w:val="000000"/>
          <w:sz w:val="20"/>
          <w:szCs w:val="20"/>
          <w:lang w:eastAsia="en-AU"/>
        </w:rPr>
        <w:t>ender</w:t>
      </w:r>
    </w:p>
    <w:p w:rsidR="00066793" w:rsidRPr="007F06E6" w:rsidRDefault="00066793" w:rsidP="00E3205B">
      <w:pPr>
        <w:pStyle w:val="ListParagraph"/>
        <w:numPr>
          <w:ilvl w:val="1"/>
          <w:numId w:val="60"/>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g</w:t>
      </w:r>
      <w:r w:rsidRPr="007F06E6">
        <w:rPr>
          <w:rFonts w:ascii="Calibri" w:eastAsia="Times New Roman" w:hAnsi="Calibri" w:cs="Calibri"/>
          <w:color w:val="000000"/>
          <w:sz w:val="20"/>
          <w:szCs w:val="20"/>
          <w:lang w:eastAsia="en-AU"/>
        </w:rPr>
        <w:t>eographic level of disadvantage</w:t>
      </w:r>
    </w:p>
    <w:p w:rsidR="00066793" w:rsidRPr="007F06E6" w:rsidRDefault="00066793" w:rsidP="00E3205B">
      <w:pPr>
        <w:pStyle w:val="ListParagraph"/>
        <w:numPr>
          <w:ilvl w:val="1"/>
          <w:numId w:val="60"/>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h</w:t>
      </w:r>
      <w:r w:rsidRPr="007F06E6">
        <w:rPr>
          <w:rFonts w:ascii="Calibri" w:eastAsia="Times New Roman" w:hAnsi="Calibri" w:cs="Calibri"/>
          <w:color w:val="000000"/>
          <w:sz w:val="20"/>
          <w:szCs w:val="20"/>
          <w:lang w:eastAsia="en-AU"/>
        </w:rPr>
        <w:t>ighest level of education</w:t>
      </w:r>
    </w:p>
    <w:p w:rsidR="00066793" w:rsidRPr="007F06E6" w:rsidRDefault="00066793" w:rsidP="00E3205B">
      <w:pPr>
        <w:pStyle w:val="ListParagraph"/>
        <w:numPr>
          <w:ilvl w:val="1"/>
          <w:numId w:val="60"/>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a single parent</w:t>
      </w:r>
    </w:p>
    <w:p w:rsidR="00066793" w:rsidRPr="007F06E6" w:rsidRDefault="00066793" w:rsidP="00E3205B">
      <w:pPr>
        <w:pStyle w:val="ListParagraph"/>
        <w:numPr>
          <w:ilvl w:val="1"/>
          <w:numId w:val="60"/>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an ex-offender</w:t>
      </w:r>
    </w:p>
    <w:p w:rsidR="00066793" w:rsidRPr="007F06E6" w:rsidRDefault="00066793" w:rsidP="00E3205B">
      <w:pPr>
        <w:pStyle w:val="ListParagraph"/>
        <w:numPr>
          <w:ilvl w:val="1"/>
          <w:numId w:val="60"/>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contactable by telephone</w:t>
      </w:r>
    </w:p>
    <w:p w:rsidR="00066793" w:rsidRPr="007F06E6" w:rsidRDefault="00066793" w:rsidP="00E3205B">
      <w:pPr>
        <w:pStyle w:val="ListParagraph"/>
        <w:numPr>
          <w:ilvl w:val="1"/>
          <w:numId w:val="60"/>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Indigenous</w:t>
      </w:r>
    </w:p>
    <w:p w:rsidR="00066793" w:rsidRPr="007F06E6" w:rsidRDefault="00066793" w:rsidP="00E3205B">
      <w:pPr>
        <w:pStyle w:val="ListParagraph"/>
        <w:numPr>
          <w:ilvl w:val="1"/>
          <w:numId w:val="60"/>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with disability</w:t>
      </w:r>
    </w:p>
    <w:p w:rsidR="00066793" w:rsidRPr="007F06E6" w:rsidRDefault="00066793" w:rsidP="00E3205B">
      <w:pPr>
        <w:pStyle w:val="ListParagraph"/>
        <w:numPr>
          <w:ilvl w:val="1"/>
          <w:numId w:val="60"/>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j</w:t>
      </w:r>
      <w:r w:rsidRPr="007F06E6">
        <w:rPr>
          <w:rFonts w:ascii="Calibri" w:eastAsia="Times New Roman" w:hAnsi="Calibri" w:cs="Calibri"/>
          <w:color w:val="000000"/>
          <w:sz w:val="20"/>
          <w:szCs w:val="20"/>
          <w:lang w:eastAsia="en-AU"/>
        </w:rPr>
        <w:t>ob</w:t>
      </w:r>
      <w:r w:rsidR="008477D2">
        <w:rPr>
          <w:rFonts w:ascii="Calibri" w:eastAsia="Times New Roman" w:hAnsi="Calibri" w:cs="Calibri"/>
          <w:color w:val="000000"/>
          <w:sz w:val="20"/>
          <w:szCs w:val="20"/>
          <w:lang w:eastAsia="en-AU"/>
        </w:rPr>
        <w:t xml:space="preserve"> </w:t>
      </w:r>
      <w:r w:rsidRPr="007F06E6">
        <w:rPr>
          <w:rFonts w:ascii="Calibri" w:eastAsia="Times New Roman" w:hAnsi="Calibri" w:cs="Calibri"/>
          <w:color w:val="000000"/>
          <w:sz w:val="20"/>
          <w:szCs w:val="20"/>
          <w:lang w:eastAsia="en-AU"/>
        </w:rPr>
        <w:t>seeker history</w:t>
      </w:r>
    </w:p>
    <w:p w:rsidR="00066793" w:rsidRPr="007F06E6" w:rsidRDefault="00066793" w:rsidP="00E3205B">
      <w:pPr>
        <w:pStyle w:val="ListParagraph"/>
        <w:numPr>
          <w:ilvl w:val="1"/>
          <w:numId w:val="60"/>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 xml:space="preserve">personal </w:t>
      </w:r>
      <w:r w:rsidRPr="007F06E6">
        <w:rPr>
          <w:rFonts w:ascii="Calibri" w:eastAsia="Times New Roman" w:hAnsi="Calibri" w:cs="Calibri"/>
          <w:color w:val="000000"/>
          <w:sz w:val="20"/>
          <w:szCs w:val="20"/>
          <w:lang w:eastAsia="en-AU"/>
        </w:rPr>
        <w:t>factors</w:t>
      </w:r>
      <w:r>
        <w:rPr>
          <w:rFonts w:ascii="Calibri" w:eastAsia="Times New Roman" w:hAnsi="Calibri" w:cs="Calibri"/>
          <w:color w:val="000000"/>
          <w:sz w:val="20"/>
          <w:szCs w:val="20"/>
          <w:lang w:eastAsia="en-AU"/>
        </w:rPr>
        <w:t xml:space="preserve"> </w:t>
      </w:r>
    </w:p>
    <w:p w:rsidR="00066793" w:rsidRPr="007F06E6" w:rsidRDefault="00066793" w:rsidP="00E3205B">
      <w:pPr>
        <w:pStyle w:val="ListParagraph"/>
        <w:numPr>
          <w:ilvl w:val="1"/>
          <w:numId w:val="60"/>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p</w:t>
      </w:r>
      <w:r w:rsidRPr="007F06E6">
        <w:rPr>
          <w:rFonts w:ascii="Calibri" w:eastAsia="Times New Roman" w:hAnsi="Calibri" w:cs="Calibri"/>
          <w:color w:val="000000"/>
          <w:sz w:val="20"/>
          <w:szCs w:val="20"/>
          <w:lang w:eastAsia="en-AU"/>
        </w:rPr>
        <w:t>roximity to the labour market</w:t>
      </w:r>
    </w:p>
    <w:p w:rsidR="00066793" w:rsidRPr="007F06E6" w:rsidRDefault="00066793" w:rsidP="00E3205B">
      <w:pPr>
        <w:pStyle w:val="ListParagraph"/>
        <w:numPr>
          <w:ilvl w:val="1"/>
          <w:numId w:val="60"/>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r</w:t>
      </w:r>
      <w:r w:rsidRPr="007F06E6">
        <w:rPr>
          <w:rFonts w:ascii="Calibri" w:eastAsia="Times New Roman" w:hAnsi="Calibri" w:cs="Calibri"/>
          <w:color w:val="000000"/>
          <w:sz w:val="20"/>
          <w:szCs w:val="20"/>
          <w:lang w:eastAsia="en-AU"/>
        </w:rPr>
        <w:t>ecent work experience</w:t>
      </w:r>
    </w:p>
    <w:p w:rsidR="00066793" w:rsidRPr="007F06E6" w:rsidRDefault="00066793" w:rsidP="00E3205B">
      <w:pPr>
        <w:pStyle w:val="ListParagraph"/>
        <w:numPr>
          <w:ilvl w:val="1"/>
          <w:numId w:val="60"/>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s</w:t>
      </w:r>
      <w:r w:rsidRPr="007F06E6">
        <w:rPr>
          <w:rFonts w:ascii="Calibri" w:eastAsia="Times New Roman" w:hAnsi="Calibri" w:cs="Calibri"/>
          <w:color w:val="000000"/>
          <w:sz w:val="20"/>
          <w:szCs w:val="20"/>
          <w:lang w:eastAsia="en-AU"/>
        </w:rPr>
        <w:t>tability of residence</w:t>
      </w:r>
    </w:p>
    <w:p w:rsidR="00066793" w:rsidRPr="007F06E6" w:rsidRDefault="00066793" w:rsidP="00E3205B">
      <w:pPr>
        <w:pStyle w:val="ListParagraph"/>
        <w:numPr>
          <w:ilvl w:val="1"/>
          <w:numId w:val="60"/>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t</w:t>
      </w:r>
      <w:r w:rsidRPr="007F06E6">
        <w:rPr>
          <w:rFonts w:ascii="Calibri" w:eastAsia="Times New Roman" w:hAnsi="Calibri" w:cs="Calibri"/>
          <w:color w:val="000000"/>
          <w:sz w:val="20"/>
          <w:szCs w:val="20"/>
          <w:lang w:eastAsia="en-AU"/>
        </w:rPr>
        <w:t>ime on income support</w:t>
      </w:r>
    </w:p>
    <w:p w:rsidR="00066793" w:rsidRPr="00F44FBD" w:rsidRDefault="00066793" w:rsidP="00E3205B">
      <w:pPr>
        <w:pStyle w:val="ListParagraph"/>
        <w:numPr>
          <w:ilvl w:val="1"/>
          <w:numId w:val="60"/>
        </w:numPr>
        <w:spacing w:after="0" w:line="240" w:lineRule="auto"/>
      </w:pPr>
      <w:r>
        <w:rPr>
          <w:rFonts w:ascii="Calibri" w:eastAsia="Times New Roman" w:hAnsi="Calibri" w:cs="Calibri"/>
          <w:color w:val="000000"/>
          <w:sz w:val="20"/>
          <w:szCs w:val="20"/>
          <w:lang w:eastAsia="en-AU"/>
        </w:rPr>
        <w:t>v</w:t>
      </w:r>
      <w:r w:rsidRPr="00F44FBD">
        <w:rPr>
          <w:rFonts w:ascii="Calibri" w:eastAsia="Times New Roman" w:hAnsi="Calibri" w:cs="Calibri"/>
          <w:color w:val="000000"/>
          <w:sz w:val="20"/>
          <w:szCs w:val="20"/>
          <w:lang w:eastAsia="en-AU"/>
        </w:rPr>
        <w:t>ocational qualifications.</w:t>
      </w:r>
    </w:p>
    <w:p w:rsidR="002213C9" w:rsidRPr="00AA510E" w:rsidRDefault="00F458F7" w:rsidP="002213C9">
      <w:pPr>
        <w:rPr>
          <w:b/>
          <w:color w:val="000000" w:themeColor="text1"/>
          <w:sz w:val="20"/>
          <w:szCs w:val="20"/>
        </w:rPr>
      </w:pPr>
      <w:r w:rsidRPr="00AA510E">
        <w:rPr>
          <w:b/>
          <w:sz w:val="20"/>
          <w:szCs w:val="20"/>
        </w:rPr>
        <w:t>Source:</w:t>
      </w:r>
      <w:r w:rsidRPr="00AA510E">
        <w:rPr>
          <w:sz w:val="20"/>
          <w:szCs w:val="20"/>
        </w:rPr>
        <w:t xml:space="preserve"> DHS and DoE monitoring data,</w:t>
      </w:r>
      <w:r w:rsidR="00AA510E" w:rsidRPr="00AA510E">
        <w:rPr>
          <w:sz w:val="20"/>
          <w:szCs w:val="20"/>
        </w:rPr>
        <w:t xml:space="preserve"> and</w:t>
      </w:r>
      <w:r w:rsidRPr="00AA510E">
        <w:rPr>
          <w:sz w:val="20"/>
          <w:szCs w:val="20"/>
        </w:rPr>
        <w:t xml:space="preserve"> DoE administrative</w:t>
      </w:r>
      <w:r w:rsidR="00AA510E" w:rsidRPr="00AA510E">
        <w:rPr>
          <w:sz w:val="20"/>
          <w:szCs w:val="20"/>
        </w:rPr>
        <w:t xml:space="preserve"> data</w:t>
      </w:r>
      <w:r w:rsidRPr="00AA510E">
        <w:rPr>
          <w:sz w:val="20"/>
          <w:szCs w:val="20"/>
        </w:rPr>
        <w:t xml:space="preserve">. </w:t>
      </w:r>
      <w:r w:rsidR="002213C9" w:rsidRPr="00AA510E">
        <w:rPr>
          <w:b/>
          <w:color w:val="000000" w:themeColor="text1"/>
          <w:sz w:val="20"/>
          <w:szCs w:val="20"/>
        </w:rPr>
        <w:br w:type="page"/>
      </w:r>
    </w:p>
    <w:p w:rsidR="002213C9" w:rsidRPr="003A4B00" w:rsidRDefault="00603A49" w:rsidP="002213C9">
      <w:pPr>
        <w:pStyle w:val="TableCaption"/>
      </w:pPr>
      <w:bookmarkStart w:id="269" w:name="_Toc507600324"/>
      <w:r>
        <w:lastRenderedPageBreak/>
        <w:t>Table F</w:t>
      </w:r>
      <w:r w:rsidR="002213C9">
        <w:t>.8</w:t>
      </w:r>
      <w:r w:rsidR="002213C9" w:rsidRPr="003A4B00">
        <w:t xml:space="preserve">: </w:t>
      </w:r>
      <w:r w:rsidR="002213C9">
        <w:t>Difference in p</w:t>
      </w:r>
      <w:r w:rsidR="002213C9" w:rsidRPr="003A4B00">
        <w:t>robability that a</w:t>
      </w:r>
      <w:r w:rsidR="002213C9">
        <w:t xml:space="preserve"> person</w:t>
      </w:r>
      <w:r w:rsidR="002213C9" w:rsidRPr="003A4B00">
        <w:t xml:space="preserve"> </w:t>
      </w:r>
      <w:r w:rsidR="002213C9">
        <w:t>will have lodged a claim as opposed to not having churned back on to income support within 12 mont</w:t>
      </w:r>
      <w:r w:rsidR="00C962FC">
        <w:t xml:space="preserve">hs of becoming LTU by level of </w:t>
      </w:r>
      <w:r w:rsidR="002213C9">
        <w:t>EPF expenditure from commencement to 12 months after becoming LTU</w:t>
      </w:r>
      <w:r w:rsidR="003F16D0">
        <w:t xml:space="preserve"> </w:t>
      </w:r>
      <w:r w:rsidR="002213C9">
        <w:t>(regressed results) (percentage point)</w:t>
      </w:r>
      <w:bookmarkEnd w:id="269"/>
    </w:p>
    <w:tbl>
      <w:tblPr>
        <w:tblW w:w="8913" w:type="dxa"/>
        <w:tblInd w:w="93" w:type="dxa"/>
        <w:tblLook w:val="04A0" w:firstRow="1" w:lastRow="0" w:firstColumn="1" w:lastColumn="0" w:noHBand="0" w:noVBand="1"/>
      </w:tblPr>
      <w:tblGrid>
        <w:gridCol w:w="4410"/>
        <w:gridCol w:w="3543"/>
        <w:gridCol w:w="960"/>
      </w:tblGrid>
      <w:tr w:rsidR="002213C9" w:rsidRPr="00741D4E" w:rsidTr="00384A85">
        <w:trPr>
          <w:trHeight w:val="567"/>
          <w:tblHeader/>
        </w:trPr>
        <w:tc>
          <w:tcPr>
            <w:tcW w:w="4410" w:type="dxa"/>
            <w:shd w:val="clear" w:color="000000" w:fill="1E3D6B"/>
            <w:vAlign w:val="center"/>
            <w:hideMark/>
          </w:tcPr>
          <w:p w:rsidR="002213C9" w:rsidRPr="00C54A19" w:rsidRDefault="002213C9" w:rsidP="00384A85">
            <w:pPr>
              <w:spacing w:after="0" w:line="240" w:lineRule="auto"/>
              <w:rPr>
                <w:rFonts w:eastAsia="Times New Roman" w:cstheme="minorHAnsi"/>
                <w:b/>
                <w:bCs/>
                <w:color w:val="FFFFFF"/>
                <w:sz w:val="20"/>
                <w:szCs w:val="20"/>
                <w:lang w:eastAsia="en-AU"/>
              </w:rPr>
            </w:pPr>
            <w:bookmarkStart w:id="270" w:name="Title_F8"/>
            <w:bookmarkEnd w:id="270"/>
            <w:r w:rsidRPr="00C54A19">
              <w:rPr>
                <w:rFonts w:eastAsia="Times New Roman" w:cstheme="minorHAnsi"/>
                <w:b/>
                <w:bCs/>
                <w:color w:val="FFFFFF"/>
                <w:sz w:val="20"/>
                <w:szCs w:val="20"/>
                <w:lang w:eastAsia="en-AU"/>
              </w:rPr>
              <w:t>Demographic characteristic</w:t>
            </w:r>
          </w:p>
        </w:tc>
        <w:tc>
          <w:tcPr>
            <w:tcW w:w="3543" w:type="dxa"/>
            <w:shd w:val="clear" w:color="000000" w:fill="1E3D6B"/>
            <w:vAlign w:val="center"/>
            <w:hideMark/>
          </w:tcPr>
          <w:p w:rsidR="002213C9" w:rsidRPr="00C54A19" w:rsidRDefault="002213C9" w:rsidP="00384A85">
            <w:pPr>
              <w:spacing w:after="0" w:line="240" w:lineRule="auto"/>
              <w:rPr>
                <w:rFonts w:eastAsia="Times New Roman" w:cstheme="minorHAnsi"/>
                <w:b/>
                <w:bCs/>
                <w:color w:val="FFFFFF"/>
                <w:sz w:val="20"/>
                <w:szCs w:val="20"/>
                <w:lang w:eastAsia="en-AU"/>
              </w:rPr>
            </w:pPr>
            <w:r w:rsidRPr="00C54A19">
              <w:rPr>
                <w:rFonts w:eastAsia="Times New Roman" w:cstheme="minorHAnsi"/>
                <w:b/>
                <w:bCs/>
                <w:color w:val="FFFFFF"/>
                <w:sz w:val="20"/>
                <w:szCs w:val="20"/>
                <w:lang w:eastAsia="en-AU"/>
              </w:rPr>
              <w:t>Compared with</w:t>
            </w:r>
          </w:p>
        </w:tc>
        <w:tc>
          <w:tcPr>
            <w:tcW w:w="960" w:type="dxa"/>
            <w:shd w:val="clear" w:color="000000" w:fill="1E3D6B"/>
            <w:vAlign w:val="center"/>
            <w:hideMark/>
          </w:tcPr>
          <w:p w:rsidR="002213C9" w:rsidRPr="00C54A19" w:rsidRDefault="002213C9" w:rsidP="00384A85">
            <w:pPr>
              <w:spacing w:after="0" w:line="240" w:lineRule="auto"/>
              <w:jc w:val="center"/>
              <w:rPr>
                <w:rFonts w:eastAsia="Times New Roman" w:cstheme="minorHAnsi"/>
                <w:b/>
                <w:bCs/>
                <w:color w:val="FFFFFF"/>
                <w:sz w:val="20"/>
                <w:szCs w:val="20"/>
                <w:lang w:eastAsia="en-AU"/>
              </w:rPr>
            </w:pPr>
            <w:r w:rsidRPr="00C54A19">
              <w:rPr>
                <w:rFonts w:eastAsia="Times New Roman" w:cstheme="minorHAnsi"/>
                <w:b/>
                <w:bCs/>
                <w:color w:val="FFFFFF"/>
                <w:sz w:val="20"/>
                <w:szCs w:val="20"/>
                <w:lang w:eastAsia="en-AU"/>
              </w:rPr>
              <w:t>MEM</w:t>
            </w:r>
            <w:r w:rsidRPr="00C54A19">
              <w:rPr>
                <w:rFonts w:eastAsia="Times New Roman" w:cstheme="minorHAnsi"/>
                <w:b/>
                <w:bCs/>
                <w:color w:val="FFFFFF"/>
                <w:sz w:val="20"/>
                <w:szCs w:val="20"/>
                <w:lang w:eastAsia="en-AU"/>
              </w:rPr>
              <w:br/>
              <w:t>(ppt)</w:t>
            </w:r>
          </w:p>
        </w:tc>
      </w:tr>
      <w:tr w:rsidR="002213C9" w:rsidRPr="002101C3"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Highest level of education: Degree / post-graduate</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Highest level of education: TAFE / diploma</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18.7</w:t>
            </w:r>
          </w:p>
        </w:tc>
      </w:tr>
      <w:tr w:rsidR="002213C9" w:rsidRPr="002101C3"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More than $2500 EPF</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Less than $300 EPF</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16.8</w:t>
            </w:r>
          </w:p>
        </w:tc>
      </w:tr>
      <w:tr w:rsidR="002213C9" w:rsidRPr="002101C3"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Between $300 and $1000 EPF</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Less than $300 EPF</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8.9</w:t>
            </w:r>
          </w:p>
        </w:tc>
      </w:tr>
      <w:tr w:rsidR="002213C9" w:rsidRPr="002101C3"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 xml:space="preserve">Single parent </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Not a single parent</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8.1</w:t>
            </w:r>
          </w:p>
        </w:tc>
      </w:tr>
      <w:tr w:rsidR="002213C9" w:rsidRPr="002101C3"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Lives in ESA of moderate disadvantage</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Lives in ESA of very low / low disadvantage</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6.2</w:t>
            </w:r>
          </w:p>
        </w:tc>
      </w:tr>
      <w:tr w:rsidR="002213C9" w:rsidRPr="002101C3"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Between $1001 and $2500 EPF</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Less than $300 EPF</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5.8</w:t>
            </w:r>
          </w:p>
        </w:tc>
      </w:tr>
      <w:tr w:rsidR="002213C9" w:rsidRPr="002101C3"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Lives in ESA of high / extreme disadvantage</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Lives in ESA of very low / low disadvantage</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5.6</w:t>
            </w:r>
          </w:p>
        </w:tc>
      </w:tr>
      <w:tr w:rsidR="002213C9" w:rsidRPr="002101C3"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25 years or older at time of exit from income support</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Less than 25 years at time of exit from income support</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5.3</w:t>
            </w:r>
          </w:p>
        </w:tc>
      </w:tr>
      <w:tr w:rsidR="002213C9" w:rsidRPr="002101C3"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CALD</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Not CALD</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5.0</w:t>
            </w:r>
          </w:p>
        </w:tc>
      </w:tr>
      <w:tr w:rsidR="002213C9" w:rsidRPr="002101C3"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Has no vocational qualifications</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Has useful vocational qualifications</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3.8</w:t>
            </w:r>
          </w:p>
        </w:tc>
      </w:tr>
      <w:tr w:rsidR="002213C9" w:rsidRPr="002101C3"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Female</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Male</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2.5</w:t>
            </w:r>
          </w:p>
        </w:tc>
      </w:tr>
      <w:tr w:rsidR="002213C9" w:rsidRPr="002101C3"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Low impact from personal factors</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No impact from personal factors</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2.0</w:t>
            </w:r>
          </w:p>
        </w:tc>
      </w:tr>
      <w:tr w:rsidR="002213C9" w:rsidRPr="002101C3"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With disability</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Without disability</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1.9</w:t>
            </w:r>
          </w:p>
        </w:tc>
      </w:tr>
      <w:tr w:rsidR="002213C9" w:rsidRPr="002101C3"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Poor/mixed English proficiency</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Good English proficiency</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1.1</w:t>
            </w:r>
          </w:p>
        </w:tc>
      </w:tr>
      <w:tr w:rsidR="002213C9" w:rsidRPr="002101C3"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Re</w:t>
            </w:r>
            <w:r w:rsidR="00C962FC">
              <w:rPr>
                <w:rFonts w:eastAsia="Times New Roman" w:cstheme="minorHAnsi"/>
                <w:bCs/>
                <w:color w:val="000000" w:themeColor="text1"/>
                <w:sz w:val="20"/>
                <w:szCs w:val="20"/>
                <w:lang w:eastAsia="en-AU"/>
              </w:rPr>
              <w:t>cent work experience: Paid work</w:t>
            </w:r>
            <w:r w:rsidRPr="00C54A19">
              <w:rPr>
                <w:rFonts w:eastAsia="Times New Roman" w:cstheme="minorHAnsi"/>
                <w:bCs/>
                <w:color w:val="000000" w:themeColor="text1"/>
                <w:sz w:val="20"/>
                <w:szCs w:val="20"/>
                <w:lang w:eastAsia="en-AU"/>
              </w:rPr>
              <w:t xml:space="preserve"> part-time &lt;8 hours/seasonal or irregular</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Recent work experience: Paid work full-time / part-time &gt;=8 hours</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0.8</w:t>
            </w:r>
          </w:p>
        </w:tc>
      </w:tr>
      <w:tr w:rsidR="002213C9" w:rsidRPr="002101C3"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Live in an outer regional or remote area</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Live in a metropolitan or inner regional area</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0.6</w:t>
            </w:r>
          </w:p>
        </w:tc>
      </w:tr>
      <w:tr w:rsidR="002213C9" w:rsidRPr="002101C3"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Indigenous</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Not Indigenous</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-0.2</w:t>
            </w:r>
          </w:p>
        </w:tc>
      </w:tr>
      <w:tr w:rsidR="002213C9" w:rsidRPr="002101C3"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Recent work experience: Unpaid / Not in the labour force</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Recent work experience: Paid work full-time / part-time &gt;=8 hours</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-0.6</w:t>
            </w:r>
          </w:p>
        </w:tc>
      </w:tr>
      <w:tr w:rsidR="002213C9" w:rsidRPr="002101C3"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Highest level of education: Year 12/13</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Highest level of education: TAFE / diploma</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-0.7</w:t>
            </w:r>
          </w:p>
        </w:tc>
      </w:tr>
      <w:tr w:rsidR="002213C9" w:rsidRPr="002101C3"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Recent work experience: Not working but looking for work</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Recent work experience: Paid work full-time / part-time &gt;=8 hours</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-3.3</w:t>
            </w:r>
          </w:p>
        </w:tc>
      </w:tr>
      <w:tr w:rsidR="002213C9" w:rsidRPr="002101C3"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Has access to other private transport</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Has own transport</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-3.8</w:t>
            </w:r>
          </w:p>
        </w:tc>
      </w:tr>
      <w:tr w:rsidR="002213C9" w:rsidRPr="002101C3"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Medium impact from personal factors</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No impact from personal factors</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-4.7</w:t>
            </w:r>
          </w:p>
        </w:tc>
      </w:tr>
      <w:tr w:rsidR="002213C9" w:rsidRPr="002101C3"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 xml:space="preserve">No access to transport </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Has own transport</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-4.7</w:t>
            </w:r>
          </w:p>
        </w:tc>
      </w:tr>
      <w:tr w:rsidR="002213C9" w:rsidRPr="002101C3"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More than once on income support and/or crisis payment</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No job seeker history</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-5.0</w:t>
            </w:r>
          </w:p>
        </w:tc>
      </w:tr>
      <w:tr w:rsidR="002213C9" w:rsidRPr="002101C3"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Has access to public transport</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Has own transport</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-5.7</w:t>
            </w:r>
          </w:p>
        </w:tc>
      </w:tr>
      <w:tr w:rsidR="002213C9" w:rsidRPr="002101C3"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Ex-offender</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Not an ex-offender</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-6.3</w:t>
            </w:r>
          </w:p>
        </w:tc>
      </w:tr>
      <w:tr w:rsidR="002213C9" w:rsidRPr="002101C3"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lastRenderedPageBreak/>
              <w:t>Unstable residence</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Stable residence</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-7.8</w:t>
            </w:r>
          </w:p>
        </w:tc>
      </w:tr>
      <w:tr w:rsidR="002213C9" w:rsidRPr="002101C3"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Highest level of education: Year 10/11</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Highest level of education: TAFE / diploma</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-8.1</w:t>
            </w:r>
          </w:p>
        </w:tc>
      </w:tr>
      <w:tr w:rsidR="002213C9" w:rsidRPr="002101C3"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High disadvantage country of birth</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Low disadvantage country of birth</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-9.7</w:t>
            </w:r>
          </w:p>
        </w:tc>
      </w:tr>
      <w:tr w:rsidR="002213C9" w:rsidRPr="002101C3"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Medium disadvantage country of birth</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Low disadvantage country of birth</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-10.5</w:t>
            </w:r>
          </w:p>
        </w:tc>
      </w:tr>
      <w:tr w:rsidR="002213C9" w:rsidRPr="002101C3"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High impact from personal factors</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No impact from personal factors</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-12.4</w:t>
            </w:r>
          </w:p>
        </w:tc>
      </w:tr>
      <w:tr w:rsidR="002213C9" w:rsidRPr="002101C3"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Very high disadvantage country of birth</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Low disadvantage country of birth</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-13.7</w:t>
            </w:r>
          </w:p>
        </w:tc>
      </w:tr>
      <w:tr w:rsidR="002213C9" w:rsidRPr="002101C3" w:rsidTr="00384A85">
        <w:trPr>
          <w:trHeight w:hRule="exact" w:val="482"/>
        </w:trPr>
        <w:tc>
          <w:tcPr>
            <w:tcW w:w="4410"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Highest level of education: Less than Year 10</w:t>
            </w:r>
          </w:p>
        </w:tc>
        <w:tc>
          <w:tcPr>
            <w:tcW w:w="3543" w:type="dxa"/>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Highest level of education: TAFE / diploma</w:t>
            </w:r>
          </w:p>
        </w:tc>
        <w:tc>
          <w:tcPr>
            <w:tcW w:w="960" w:type="dxa"/>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-14.2</w:t>
            </w:r>
          </w:p>
        </w:tc>
      </w:tr>
      <w:tr w:rsidR="002213C9" w:rsidRPr="002101C3" w:rsidTr="00384A85">
        <w:trPr>
          <w:trHeight w:hRule="exact" w:val="482"/>
        </w:trPr>
        <w:tc>
          <w:tcPr>
            <w:tcW w:w="4410"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Has no useful vocational qualifications</w:t>
            </w:r>
          </w:p>
        </w:tc>
        <w:tc>
          <w:tcPr>
            <w:tcW w:w="3543" w:type="dxa"/>
            <w:shd w:val="clear" w:color="auto" w:fill="E5E5E5" w:themeFill="background1" w:themeFillTint="33"/>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Has useful vocational qualifications</w:t>
            </w:r>
          </w:p>
        </w:tc>
        <w:tc>
          <w:tcPr>
            <w:tcW w:w="960" w:type="dxa"/>
            <w:shd w:val="clear" w:color="auto" w:fill="E5E5E5" w:themeFill="background1" w:themeFillTint="33"/>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-14.6</w:t>
            </w:r>
          </w:p>
        </w:tc>
      </w:tr>
      <w:tr w:rsidR="002213C9" w:rsidRPr="002101C3" w:rsidTr="00384A85">
        <w:trPr>
          <w:trHeight w:hRule="exact" w:val="482"/>
        </w:trPr>
        <w:tc>
          <w:tcPr>
            <w:tcW w:w="4410" w:type="dxa"/>
            <w:tcBorders>
              <w:bottom w:val="single" w:sz="4" w:space="0" w:color="auto"/>
            </w:tcBorders>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Not contactable by telephone</w:t>
            </w:r>
          </w:p>
        </w:tc>
        <w:tc>
          <w:tcPr>
            <w:tcW w:w="3543" w:type="dxa"/>
            <w:tcBorders>
              <w:bottom w:val="single" w:sz="4" w:space="0" w:color="auto"/>
            </w:tcBorders>
            <w:shd w:val="clear" w:color="auto" w:fill="FFFFFF" w:themeFill="background2"/>
            <w:vAlign w:val="center"/>
            <w:hideMark/>
          </w:tcPr>
          <w:p w:rsidR="002213C9" w:rsidRPr="00C54A19" w:rsidRDefault="002213C9" w:rsidP="00384A85">
            <w:pPr>
              <w:spacing w:after="0" w:line="240" w:lineRule="auto"/>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Contactable by telephone</w:t>
            </w:r>
          </w:p>
        </w:tc>
        <w:tc>
          <w:tcPr>
            <w:tcW w:w="960" w:type="dxa"/>
            <w:tcBorders>
              <w:bottom w:val="single" w:sz="4" w:space="0" w:color="auto"/>
            </w:tcBorders>
            <w:shd w:val="clear" w:color="auto" w:fill="FFFFFF" w:themeFill="background2"/>
            <w:vAlign w:val="center"/>
            <w:hideMark/>
          </w:tcPr>
          <w:p w:rsidR="002213C9" w:rsidRPr="00C54A19" w:rsidRDefault="002213C9" w:rsidP="00384A85">
            <w:pPr>
              <w:spacing w:after="0" w:line="240" w:lineRule="auto"/>
              <w:jc w:val="center"/>
              <w:rPr>
                <w:rFonts w:eastAsia="Times New Roman" w:cstheme="minorHAnsi"/>
                <w:bCs/>
                <w:color w:val="000000" w:themeColor="text1"/>
                <w:sz w:val="20"/>
                <w:szCs w:val="20"/>
                <w:lang w:eastAsia="en-AU"/>
              </w:rPr>
            </w:pPr>
            <w:r w:rsidRPr="00C54A19">
              <w:rPr>
                <w:rFonts w:eastAsia="Times New Roman" w:cstheme="minorHAnsi"/>
                <w:bCs/>
                <w:color w:val="000000" w:themeColor="text1"/>
                <w:sz w:val="20"/>
                <w:szCs w:val="20"/>
                <w:lang w:eastAsia="en-AU"/>
              </w:rPr>
              <w:t>-15.9</w:t>
            </w:r>
          </w:p>
        </w:tc>
      </w:tr>
    </w:tbl>
    <w:p w:rsidR="002213C9" w:rsidRDefault="002213C9" w:rsidP="002213C9">
      <w:pPr>
        <w:pStyle w:val="Source"/>
        <w:shd w:val="clear" w:color="auto" w:fill="FFFFFF" w:themeFill="background2"/>
        <w:rPr>
          <w:b w:val="0"/>
        </w:rPr>
      </w:pPr>
      <w:r>
        <w:t>Notes</w:t>
      </w:r>
      <w:r w:rsidRPr="003B4D65">
        <w:rPr>
          <w:b w:val="0"/>
        </w:rPr>
        <w:t xml:space="preserve">: </w:t>
      </w:r>
    </w:p>
    <w:p w:rsidR="002213C9" w:rsidRPr="007B252C" w:rsidRDefault="002213C9" w:rsidP="00E3205B">
      <w:pPr>
        <w:pStyle w:val="Source"/>
        <w:numPr>
          <w:ilvl w:val="0"/>
          <w:numId w:val="62"/>
        </w:numPr>
      </w:pPr>
      <w:r>
        <w:rPr>
          <w:b w:val="0"/>
        </w:rPr>
        <w:t xml:space="preserve">MEM </w:t>
      </w:r>
      <w:r>
        <w:rPr>
          <w:b w:val="0"/>
          <w:color w:val="000000" w:themeColor="text1"/>
        </w:rPr>
        <w:t>stands for</w:t>
      </w:r>
      <w:r w:rsidRPr="003B4D65">
        <w:rPr>
          <w:b w:val="0"/>
          <w:color w:val="000000" w:themeColor="text1"/>
        </w:rPr>
        <w:t xml:space="preserve"> </w:t>
      </w:r>
      <w:r w:rsidRPr="003B4D65">
        <w:rPr>
          <w:b w:val="0"/>
        </w:rPr>
        <w:t>Marginal effect on the mean</w:t>
      </w:r>
      <w:r>
        <w:rPr>
          <w:b w:val="0"/>
        </w:rPr>
        <w:t>.</w:t>
      </w:r>
      <w:r w:rsidRPr="003B4D65">
        <w:rPr>
          <w:rFonts w:ascii="Arial" w:eastAsia="Times New Roman" w:hAnsi="Arial" w:cs="Arial"/>
          <w:bCs/>
          <w:color w:val="000000" w:themeColor="text1"/>
          <w:sz w:val="18"/>
          <w:szCs w:val="18"/>
          <w:lang w:eastAsia="en-AU"/>
        </w:rPr>
        <w:t xml:space="preserve"> </w:t>
      </w:r>
      <w:r w:rsidRPr="003B4D65">
        <w:rPr>
          <w:b w:val="0"/>
        </w:rPr>
        <w:t>MEM</w:t>
      </w:r>
      <w:r>
        <w:rPr>
          <w:b w:val="0"/>
        </w:rPr>
        <w:t xml:space="preserve"> are</w:t>
      </w:r>
      <w:r w:rsidRPr="003B4D65">
        <w:rPr>
          <w:b w:val="0"/>
        </w:rPr>
        <w:t xml:space="preserve"> sorted in descending order.</w:t>
      </w:r>
      <w:r>
        <w:rPr>
          <w:b w:val="0"/>
        </w:rPr>
        <w:t xml:space="preserve"> For example: single parents (after controlling for all other job seeker characteristics) were </w:t>
      </w:r>
      <w:r w:rsidR="009F13D5">
        <w:rPr>
          <w:b w:val="0"/>
        </w:rPr>
        <w:t>8.1</w:t>
      </w:r>
      <w:r>
        <w:rPr>
          <w:b w:val="0"/>
        </w:rPr>
        <w:t xml:space="preserve"> percentage points more likely to have </w:t>
      </w:r>
      <w:r w:rsidR="009F13D5">
        <w:rPr>
          <w:b w:val="0"/>
        </w:rPr>
        <w:t>lodged a</w:t>
      </w:r>
      <w:r>
        <w:rPr>
          <w:b w:val="0"/>
        </w:rPr>
        <w:t xml:space="preserve"> claim than those who were not single parents.</w:t>
      </w:r>
    </w:p>
    <w:p w:rsidR="002213C9" w:rsidRPr="00F44FBD" w:rsidRDefault="002213C9" w:rsidP="00E3205B">
      <w:pPr>
        <w:pStyle w:val="Source"/>
        <w:numPr>
          <w:ilvl w:val="0"/>
          <w:numId w:val="62"/>
        </w:numPr>
      </w:pPr>
      <w:r>
        <w:rPr>
          <w:b w:val="0"/>
        </w:rPr>
        <w:t>Demographic characteristics controlled for in the regression analysis are mostly obtained from the JSCI:</w:t>
      </w:r>
    </w:p>
    <w:p w:rsidR="00066793" w:rsidRPr="007F06E6" w:rsidRDefault="00066793" w:rsidP="00E3205B">
      <w:pPr>
        <w:pStyle w:val="ListParagraph"/>
        <w:numPr>
          <w:ilvl w:val="1"/>
          <w:numId w:val="6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a</w:t>
      </w:r>
      <w:r w:rsidRPr="007F06E6">
        <w:rPr>
          <w:rFonts w:ascii="Calibri" w:eastAsia="Times New Roman" w:hAnsi="Calibri" w:cs="Calibri"/>
          <w:color w:val="000000"/>
          <w:sz w:val="20"/>
          <w:szCs w:val="20"/>
          <w:lang w:eastAsia="en-AU"/>
        </w:rPr>
        <w:t>ccess to transport</w:t>
      </w:r>
    </w:p>
    <w:p w:rsidR="00066793" w:rsidRPr="007F06E6" w:rsidRDefault="00066793" w:rsidP="00E3205B">
      <w:pPr>
        <w:pStyle w:val="ListParagraph"/>
        <w:numPr>
          <w:ilvl w:val="1"/>
          <w:numId w:val="6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a</w:t>
      </w:r>
      <w:r w:rsidRPr="007F06E6">
        <w:rPr>
          <w:rFonts w:ascii="Calibri" w:eastAsia="Times New Roman" w:hAnsi="Calibri" w:cs="Calibri"/>
          <w:color w:val="000000"/>
          <w:sz w:val="20"/>
          <w:szCs w:val="20"/>
          <w:lang w:eastAsia="en-AU"/>
        </w:rPr>
        <w:t>ge</w:t>
      </w:r>
    </w:p>
    <w:p w:rsidR="00066793" w:rsidRPr="007F06E6" w:rsidRDefault="00066793" w:rsidP="00E3205B">
      <w:pPr>
        <w:pStyle w:val="ListParagraph"/>
        <w:numPr>
          <w:ilvl w:val="1"/>
          <w:numId w:val="62"/>
        </w:numPr>
        <w:spacing w:after="0" w:line="240" w:lineRule="auto"/>
        <w:rPr>
          <w:rFonts w:ascii="Calibri" w:eastAsia="Times New Roman" w:hAnsi="Calibri" w:cs="Calibri"/>
          <w:color w:val="000000"/>
          <w:sz w:val="20"/>
          <w:szCs w:val="20"/>
          <w:lang w:eastAsia="en-AU"/>
        </w:rPr>
      </w:pPr>
      <w:r w:rsidRPr="007F06E6">
        <w:rPr>
          <w:rFonts w:ascii="Calibri" w:eastAsia="Times New Roman" w:hAnsi="Calibri" w:cs="Calibri"/>
          <w:color w:val="000000"/>
          <w:sz w:val="20"/>
          <w:szCs w:val="20"/>
          <w:lang w:eastAsia="en-AU"/>
        </w:rPr>
        <w:t>CALD</w:t>
      </w:r>
      <w:r>
        <w:rPr>
          <w:rFonts w:ascii="Calibri" w:eastAsia="Times New Roman" w:hAnsi="Calibri" w:cs="Calibri"/>
          <w:color w:val="000000"/>
          <w:sz w:val="20"/>
          <w:szCs w:val="20"/>
          <w:lang w:eastAsia="en-AU"/>
        </w:rPr>
        <w:t xml:space="preserve"> status</w:t>
      </w:r>
    </w:p>
    <w:p w:rsidR="00066793" w:rsidRPr="007F06E6" w:rsidRDefault="00066793" w:rsidP="00E3205B">
      <w:pPr>
        <w:pStyle w:val="ListParagraph"/>
        <w:numPr>
          <w:ilvl w:val="1"/>
          <w:numId w:val="6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c</w:t>
      </w:r>
      <w:r w:rsidRPr="007F06E6">
        <w:rPr>
          <w:rFonts w:ascii="Calibri" w:eastAsia="Times New Roman" w:hAnsi="Calibri" w:cs="Calibri"/>
          <w:color w:val="000000"/>
          <w:sz w:val="20"/>
          <w:szCs w:val="20"/>
          <w:lang w:eastAsia="en-AU"/>
        </w:rPr>
        <w:t>ountry of birth</w:t>
      </w:r>
    </w:p>
    <w:p w:rsidR="00066793" w:rsidRPr="007F06E6" w:rsidRDefault="00066793" w:rsidP="00E3205B">
      <w:pPr>
        <w:pStyle w:val="ListParagraph"/>
        <w:numPr>
          <w:ilvl w:val="1"/>
          <w:numId w:val="62"/>
        </w:numPr>
        <w:spacing w:after="0" w:line="240" w:lineRule="auto"/>
        <w:rPr>
          <w:rFonts w:ascii="Calibri" w:eastAsia="Times New Roman" w:hAnsi="Calibri" w:cs="Calibri"/>
          <w:color w:val="000000"/>
          <w:sz w:val="20"/>
          <w:szCs w:val="20"/>
          <w:lang w:eastAsia="en-AU"/>
        </w:rPr>
      </w:pPr>
      <w:r w:rsidRPr="007F06E6">
        <w:rPr>
          <w:rFonts w:ascii="Calibri" w:eastAsia="Times New Roman" w:hAnsi="Calibri" w:cs="Calibri"/>
          <w:color w:val="000000"/>
          <w:sz w:val="20"/>
          <w:szCs w:val="20"/>
          <w:lang w:eastAsia="en-AU"/>
        </w:rPr>
        <w:t>English proficiency</w:t>
      </w:r>
    </w:p>
    <w:p w:rsidR="00066793" w:rsidRPr="007F06E6" w:rsidRDefault="00066793" w:rsidP="00E3205B">
      <w:pPr>
        <w:pStyle w:val="ListParagraph"/>
        <w:numPr>
          <w:ilvl w:val="1"/>
          <w:numId w:val="6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g</w:t>
      </w:r>
      <w:r w:rsidRPr="007F06E6">
        <w:rPr>
          <w:rFonts w:ascii="Calibri" w:eastAsia="Times New Roman" w:hAnsi="Calibri" w:cs="Calibri"/>
          <w:color w:val="000000"/>
          <w:sz w:val="20"/>
          <w:szCs w:val="20"/>
          <w:lang w:eastAsia="en-AU"/>
        </w:rPr>
        <w:t>ender</w:t>
      </w:r>
    </w:p>
    <w:p w:rsidR="00066793" w:rsidRPr="007F06E6" w:rsidRDefault="00066793" w:rsidP="00E3205B">
      <w:pPr>
        <w:pStyle w:val="ListParagraph"/>
        <w:numPr>
          <w:ilvl w:val="1"/>
          <w:numId w:val="6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g</w:t>
      </w:r>
      <w:r w:rsidRPr="007F06E6">
        <w:rPr>
          <w:rFonts w:ascii="Calibri" w:eastAsia="Times New Roman" w:hAnsi="Calibri" w:cs="Calibri"/>
          <w:color w:val="000000"/>
          <w:sz w:val="20"/>
          <w:szCs w:val="20"/>
          <w:lang w:eastAsia="en-AU"/>
        </w:rPr>
        <w:t>eographic level of disadvantage</w:t>
      </w:r>
    </w:p>
    <w:p w:rsidR="00066793" w:rsidRPr="007F06E6" w:rsidRDefault="00066793" w:rsidP="00E3205B">
      <w:pPr>
        <w:pStyle w:val="ListParagraph"/>
        <w:numPr>
          <w:ilvl w:val="1"/>
          <w:numId w:val="6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h</w:t>
      </w:r>
      <w:r w:rsidRPr="007F06E6">
        <w:rPr>
          <w:rFonts w:ascii="Calibri" w:eastAsia="Times New Roman" w:hAnsi="Calibri" w:cs="Calibri"/>
          <w:color w:val="000000"/>
          <w:sz w:val="20"/>
          <w:szCs w:val="20"/>
          <w:lang w:eastAsia="en-AU"/>
        </w:rPr>
        <w:t>ighest level of education</w:t>
      </w:r>
    </w:p>
    <w:p w:rsidR="00066793" w:rsidRPr="007F06E6" w:rsidRDefault="00066793" w:rsidP="00E3205B">
      <w:pPr>
        <w:pStyle w:val="ListParagraph"/>
        <w:numPr>
          <w:ilvl w:val="1"/>
          <w:numId w:val="6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a single parent</w:t>
      </w:r>
    </w:p>
    <w:p w:rsidR="00066793" w:rsidRPr="007F06E6" w:rsidRDefault="00066793" w:rsidP="00E3205B">
      <w:pPr>
        <w:pStyle w:val="ListParagraph"/>
        <w:numPr>
          <w:ilvl w:val="1"/>
          <w:numId w:val="6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an ex-offender</w:t>
      </w:r>
    </w:p>
    <w:p w:rsidR="00066793" w:rsidRPr="007F06E6" w:rsidRDefault="00066793" w:rsidP="00E3205B">
      <w:pPr>
        <w:pStyle w:val="ListParagraph"/>
        <w:numPr>
          <w:ilvl w:val="1"/>
          <w:numId w:val="6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contactable by telephone</w:t>
      </w:r>
    </w:p>
    <w:p w:rsidR="00066793" w:rsidRPr="007F06E6" w:rsidRDefault="00066793" w:rsidP="00E3205B">
      <w:pPr>
        <w:pStyle w:val="ListParagraph"/>
        <w:numPr>
          <w:ilvl w:val="1"/>
          <w:numId w:val="6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Indigenous</w:t>
      </w:r>
    </w:p>
    <w:p w:rsidR="00066793" w:rsidRPr="007F06E6" w:rsidRDefault="00066793" w:rsidP="00E3205B">
      <w:pPr>
        <w:pStyle w:val="ListParagraph"/>
        <w:numPr>
          <w:ilvl w:val="1"/>
          <w:numId w:val="6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with disability</w:t>
      </w:r>
    </w:p>
    <w:p w:rsidR="00066793" w:rsidRPr="007F06E6" w:rsidRDefault="00066793" w:rsidP="00E3205B">
      <w:pPr>
        <w:pStyle w:val="ListParagraph"/>
        <w:numPr>
          <w:ilvl w:val="1"/>
          <w:numId w:val="6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j</w:t>
      </w:r>
      <w:r w:rsidRPr="007F06E6">
        <w:rPr>
          <w:rFonts w:ascii="Calibri" w:eastAsia="Times New Roman" w:hAnsi="Calibri" w:cs="Calibri"/>
          <w:color w:val="000000"/>
          <w:sz w:val="20"/>
          <w:szCs w:val="20"/>
          <w:lang w:eastAsia="en-AU"/>
        </w:rPr>
        <w:t>ob</w:t>
      </w:r>
      <w:r w:rsidR="008477D2">
        <w:rPr>
          <w:rFonts w:ascii="Calibri" w:eastAsia="Times New Roman" w:hAnsi="Calibri" w:cs="Calibri"/>
          <w:color w:val="000000"/>
          <w:sz w:val="20"/>
          <w:szCs w:val="20"/>
          <w:lang w:eastAsia="en-AU"/>
        </w:rPr>
        <w:t xml:space="preserve"> </w:t>
      </w:r>
      <w:r w:rsidRPr="007F06E6">
        <w:rPr>
          <w:rFonts w:ascii="Calibri" w:eastAsia="Times New Roman" w:hAnsi="Calibri" w:cs="Calibri"/>
          <w:color w:val="000000"/>
          <w:sz w:val="20"/>
          <w:szCs w:val="20"/>
          <w:lang w:eastAsia="en-AU"/>
        </w:rPr>
        <w:t>seeker history</w:t>
      </w:r>
    </w:p>
    <w:p w:rsidR="00066793" w:rsidRPr="007F06E6" w:rsidRDefault="00066793" w:rsidP="00E3205B">
      <w:pPr>
        <w:pStyle w:val="ListParagraph"/>
        <w:numPr>
          <w:ilvl w:val="1"/>
          <w:numId w:val="6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 xml:space="preserve">personal </w:t>
      </w:r>
      <w:r w:rsidRPr="007F06E6">
        <w:rPr>
          <w:rFonts w:ascii="Calibri" w:eastAsia="Times New Roman" w:hAnsi="Calibri" w:cs="Calibri"/>
          <w:color w:val="000000"/>
          <w:sz w:val="20"/>
          <w:szCs w:val="20"/>
          <w:lang w:eastAsia="en-AU"/>
        </w:rPr>
        <w:t>factors</w:t>
      </w:r>
      <w:r>
        <w:rPr>
          <w:rFonts w:ascii="Calibri" w:eastAsia="Times New Roman" w:hAnsi="Calibri" w:cs="Calibri"/>
          <w:color w:val="000000"/>
          <w:sz w:val="20"/>
          <w:szCs w:val="20"/>
          <w:lang w:eastAsia="en-AU"/>
        </w:rPr>
        <w:t xml:space="preserve"> </w:t>
      </w:r>
    </w:p>
    <w:p w:rsidR="00066793" w:rsidRPr="007F06E6" w:rsidRDefault="00066793" w:rsidP="00E3205B">
      <w:pPr>
        <w:pStyle w:val="ListParagraph"/>
        <w:numPr>
          <w:ilvl w:val="1"/>
          <w:numId w:val="6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p</w:t>
      </w:r>
      <w:r w:rsidRPr="007F06E6">
        <w:rPr>
          <w:rFonts w:ascii="Calibri" w:eastAsia="Times New Roman" w:hAnsi="Calibri" w:cs="Calibri"/>
          <w:color w:val="000000"/>
          <w:sz w:val="20"/>
          <w:szCs w:val="20"/>
          <w:lang w:eastAsia="en-AU"/>
        </w:rPr>
        <w:t>roximity to the labour market</w:t>
      </w:r>
    </w:p>
    <w:p w:rsidR="00066793" w:rsidRPr="007F06E6" w:rsidRDefault="00066793" w:rsidP="00E3205B">
      <w:pPr>
        <w:pStyle w:val="ListParagraph"/>
        <w:numPr>
          <w:ilvl w:val="1"/>
          <w:numId w:val="6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r</w:t>
      </w:r>
      <w:r w:rsidRPr="007F06E6">
        <w:rPr>
          <w:rFonts w:ascii="Calibri" w:eastAsia="Times New Roman" w:hAnsi="Calibri" w:cs="Calibri"/>
          <w:color w:val="000000"/>
          <w:sz w:val="20"/>
          <w:szCs w:val="20"/>
          <w:lang w:eastAsia="en-AU"/>
        </w:rPr>
        <w:t>ecent work experience</w:t>
      </w:r>
    </w:p>
    <w:p w:rsidR="00066793" w:rsidRPr="007F06E6" w:rsidRDefault="00066793" w:rsidP="00E3205B">
      <w:pPr>
        <w:pStyle w:val="ListParagraph"/>
        <w:numPr>
          <w:ilvl w:val="1"/>
          <w:numId w:val="6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s</w:t>
      </w:r>
      <w:r w:rsidRPr="007F06E6">
        <w:rPr>
          <w:rFonts w:ascii="Calibri" w:eastAsia="Times New Roman" w:hAnsi="Calibri" w:cs="Calibri"/>
          <w:color w:val="000000"/>
          <w:sz w:val="20"/>
          <w:szCs w:val="20"/>
          <w:lang w:eastAsia="en-AU"/>
        </w:rPr>
        <w:t>tability of residence</w:t>
      </w:r>
    </w:p>
    <w:p w:rsidR="00066793" w:rsidRPr="007F06E6" w:rsidRDefault="00066793" w:rsidP="00E3205B">
      <w:pPr>
        <w:pStyle w:val="ListParagraph"/>
        <w:numPr>
          <w:ilvl w:val="1"/>
          <w:numId w:val="6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t</w:t>
      </w:r>
      <w:r w:rsidRPr="007F06E6">
        <w:rPr>
          <w:rFonts w:ascii="Calibri" w:eastAsia="Times New Roman" w:hAnsi="Calibri" w:cs="Calibri"/>
          <w:color w:val="000000"/>
          <w:sz w:val="20"/>
          <w:szCs w:val="20"/>
          <w:lang w:eastAsia="en-AU"/>
        </w:rPr>
        <w:t>ime on income support</w:t>
      </w:r>
    </w:p>
    <w:p w:rsidR="00066793" w:rsidRPr="00F44FBD" w:rsidRDefault="00066793" w:rsidP="00E3205B">
      <w:pPr>
        <w:pStyle w:val="ListParagraph"/>
        <w:numPr>
          <w:ilvl w:val="1"/>
          <w:numId w:val="62"/>
        </w:numPr>
        <w:spacing w:after="0" w:line="240" w:lineRule="auto"/>
      </w:pPr>
      <w:r>
        <w:rPr>
          <w:rFonts w:ascii="Calibri" w:eastAsia="Times New Roman" w:hAnsi="Calibri" w:cs="Calibri"/>
          <w:color w:val="000000"/>
          <w:sz w:val="20"/>
          <w:szCs w:val="20"/>
          <w:lang w:eastAsia="en-AU"/>
        </w:rPr>
        <w:t>v</w:t>
      </w:r>
      <w:r w:rsidRPr="00F44FBD">
        <w:rPr>
          <w:rFonts w:ascii="Calibri" w:eastAsia="Times New Roman" w:hAnsi="Calibri" w:cs="Calibri"/>
          <w:color w:val="000000"/>
          <w:sz w:val="20"/>
          <w:szCs w:val="20"/>
          <w:lang w:eastAsia="en-AU"/>
        </w:rPr>
        <w:t>ocational qualifications.</w:t>
      </w:r>
    </w:p>
    <w:p w:rsidR="002213C9" w:rsidRPr="000615B6" w:rsidRDefault="002213C9" w:rsidP="000615B6">
      <w:pPr>
        <w:pStyle w:val="Source"/>
        <w:rPr>
          <w:b w:val="0"/>
        </w:rPr>
      </w:pPr>
      <w:r w:rsidRPr="000615B6">
        <w:t>Source:</w:t>
      </w:r>
      <w:r w:rsidRPr="000615B6">
        <w:rPr>
          <w:b w:val="0"/>
        </w:rPr>
        <w:t xml:space="preserve"> DHS and </w:t>
      </w:r>
      <w:r w:rsidR="00F458F7">
        <w:rPr>
          <w:b w:val="0"/>
        </w:rPr>
        <w:t>DoE</w:t>
      </w:r>
      <w:r w:rsidRPr="000615B6">
        <w:rPr>
          <w:b w:val="0"/>
        </w:rPr>
        <w:t xml:space="preserve"> monitoring data, </w:t>
      </w:r>
      <w:r w:rsidR="00AA510E">
        <w:rPr>
          <w:b w:val="0"/>
        </w:rPr>
        <w:t xml:space="preserve">and </w:t>
      </w:r>
      <w:r w:rsidR="00F458F7">
        <w:rPr>
          <w:b w:val="0"/>
        </w:rPr>
        <w:t>DoE</w:t>
      </w:r>
      <w:r w:rsidRPr="000615B6">
        <w:rPr>
          <w:b w:val="0"/>
        </w:rPr>
        <w:t xml:space="preserve"> administrative</w:t>
      </w:r>
      <w:r w:rsidR="00AA510E">
        <w:rPr>
          <w:b w:val="0"/>
        </w:rPr>
        <w:t xml:space="preserve"> data</w:t>
      </w:r>
      <w:r w:rsidRPr="000615B6">
        <w:rPr>
          <w:b w:val="0"/>
        </w:rPr>
        <w:t>.</w:t>
      </w:r>
    </w:p>
    <w:p w:rsidR="002213C9" w:rsidRDefault="002213C9">
      <w:pPr>
        <w:rPr>
          <w:b/>
        </w:rPr>
      </w:pPr>
      <w:r>
        <w:br w:type="page"/>
      </w:r>
    </w:p>
    <w:p w:rsidR="00A82001" w:rsidRPr="00D83A7E" w:rsidRDefault="00603A49" w:rsidP="00A82001">
      <w:pPr>
        <w:pStyle w:val="TableCaption"/>
      </w:pPr>
      <w:bookmarkStart w:id="271" w:name="_Toc507600325"/>
      <w:r>
        <w:lastRenderedPageBreak/>
        <w:t>Table F</w:t>
      </w:r>
      <w:r w:rsidR="00B75730">
        <w:t>.</w:t>
      </w:r>
      <w:r w:rsidR="002213C9">
        <w:t>9</w:t>
      </w:r>
      <w:r w:rsidR="00A82001">
        <w:t>: E</w:t>
      </w:r>
      <w:r w:rsidR="00A82001" w:rsidRPr="00D83A7E">
        <w:t>mployees with paid leave entitlements, 18 to 30 year olds</w:t>
      </w:r>
      <w:bookmarkEnd w:id="271"/>
    </w:p>
    <w:tbl>
      <w:tblPr>
        <w:tblW w:w="7009" w:type="dxa"/>
        <w:tblInd w:w="93" w:type="dxa"/>
        <w:tblLook w:val="04A0" w:firstRow="1" w:lastRow="0" w:firstColumn="1" w:lastColumn="0" w:noHBand="0" w:noVBand="1"/>
      </w:tblPr>
      <w:tblGrid>
        <w:gridCol w:w="2709"/>
        <w:gridCol w:w="4300"/>
      </w:tblGrid>
      <w:tr w:rsidR="00B75730" w:rsidRPr="00C84892" w:rsidTr="003F16D0">
        <w:trPr>
          <w:trHeight w:hRule="exact" w:val="454"/>
          <w:tblHeader/>
        </w:trPr>
        <w:tc>
          <w:tcPr>
            <w:tcW w:w="2709" w:type="dxa"/>
            <w:shd w:val="clear" w:color="auto" w:fill="1E3D6B"/>
            <w:noWrap/>
            <w:vAlign w:val="center"/>
            <w:hideMark/>
          </w:tcPr>
          <w:p w:rsidR="00B75730" w:rsidRPr="00C54A19" w:rsidRDefault="00C962FC" w:rsidP="00BB27F4">
            <w:pPr>
              <w:spacing w:after="0" w:line="240" w:lineRule="auto"/>
              <w:rPr>
                <w:rFonts w:ascii="Calibri" w:eastAsia="Times New Roman" w:hAnsi="Calibri" w:cs="Calibri"/>
                <w:color w:val="000000"/>
                <w:sz w:val="20"/>
                <w:szCs w:val="20"/>
                <w:lang w:eastAsia="en-AU"/>
              </w:rPr>
            </w:pPr>
            <w:bookmarkStart w:id="272" w:name="Title_F9"/>
            <w:bookmarkEnd w:id="272"/>
            <w:r>
              <w:rPr>
                <w:rFonts w:ascii="Calibri" w:eastAsia="Times New Roman" w:hAnsi="Calibri" w:cs="Calibri"/>
                <w:b/>
                <w:bCs/>
                <w:color w:val="FFFFFF"/>
                <w:sz w:val="20"/>
                <w:szCs w:val="20"/>
                <w:lang w:eastAsia="en-AU"/>
              </w:rPr>
              <w:t>Age</w:t>
            </w:r>
            <w:r w:rsidR="00BB27F4" w:rsidRPr="00C54A19">
              <w:rPr>
                <w:rFonts w:ascii="Calibri" w:eastAsia="Times New Roman" w:hAnsi="Calibri" w:cs="Calibri"/>
                <w:b/>
                <w:bCs/>
                <w:color w:val="FFFFFF"/>
                <w:sz w:val="20"/>
                <w:szCs w:val="20"/>
                <w:lang w:eastAsia="en-AU"/>
              </w:rPr>
              <w:t xml:space="preserve"> and gender</w:t>
            </w:r>
          </w:p>
        </w:tc>
        <w:tc>
          <w:tcPr>
            <w:tcW w:w="4300" w:type="dxa"/>
            <w:shd w:val="clear" w:color="000000" w:fill="1E3D6B"/>
            <w:noWrap/>
            <w:vAlign w:val="center"/>
            <w:hideMark/>
          </w:tcPr>
          <w:p w:rsidR="00B75730" w:rsidRPr="00C54A19" w:rsidRDefault="00B75730" w:rsidP="009D2BAC">
            <w:pPr>
              <w:spacing w:after="0" w:line="240" w:lineRule="auto"/>
              <w:jc w:val="right"/>
              <w:rPr>
                <w:rFonts w:ascii="Calibri" w:eastAsia="Times New Roman" w:hAnsi="Calibri" w:cs="Calibri"/>
                <w:b/>
                <w:bCs/>
                <w:color w:val="FFFFFF"/>
                <w:sz w:val="20"/>
                <w:szCs w:val="20"/>
                <w:lang w:eastAsia="en-AU"/>
              </w:rPr>
            </w:pPr>
            <w:r w:rsidRPr="00C54A19">
              <w:rPr>
                <w:rFonts w:ascii="Calibri" w:eastAsia="Times New Roman" w:hAnsi="Calibri" w:cs="Calibri"/>
                <w:b/>
                <w:bCs/>
                <w:color w:val="FFFFFF"/>
                <w:sz w:val="20"/>
                <w:szCs w:val="20"/>
                <w:lang w:eastAsia="en-AU"/>
              </w:rPr>
              <w:t>Employees with paid leave</w:t>
            </w:r>
          </w:p>
        </w:tc>
      </w:tr>
      <w:tr w:rsidR="00B75730" w:rsidRPr="00C84892" w:rsidTr="00A82001">
        <w:trPr>
          <w:trHeight w:hRule="exact" w:val="454"/>
        </w:trPr>
        <w:tc>
          <w:tcPr>
            <w:tcW w:w="2709" w:type="dxa"/>
            <w:shd w:val="clear" w:color="auto" w:fill="auto"/>
            <w:noWrap/>
            <w:vAlign w:val="center"/>
            <w:hideMark/>
          </w:tcPr>
          <w:p w:rsidR="00B75730" w:rsidRPr="00C54A19" w:rsidRDefault="00B75730" w:rsidP="009D2BAC">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18-24, males</w:t>
            </w:r>
          </w:p>
        </w:tc>
        <w:tc>
          <w:tcPr>
            <w:tcW w:w="4300" w:type="dxa"/>
            <w:shd w:val="clear" w:color="auto" w:fill="auto"/>
            <w:noWrap/>
            <w:vAlign w:val="center"/>
            <w:hideMark/>
          </w:tcPr>
          <w:p w:rsidR="00B75730" w:rsidRPr="00C54A19" w:rsidRDefault="00B75730" w:rsidP="009D2BAC">
            <w:pPr>
              <w:spacing w:after="0" w:line="240" w:lineRule="auto"/>
              <w:ind w:right="1074"/>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56.2</w:t>
            </w:r>
          </w:p>
        </w:tc>
      </w:tr>
      <w:tr w:rsidR="00B75730" w:rsidRPr="00C84892" w:rsidTr="00A82001">
        <w:trPr>
          <w:trHeight w:hRule="exact" w:val="454"/>
        </w:trPr>
        <w:tc>
          <w:tcPr>
            <w:tcW w:w="2709" w:type="dxa"/>
            <w:shd w:val="clear" w:color="auto" w:fill="E5E5E5" w:themeFill="background1" w:themeFillTint="33"/>
            <w:noWrap/>
            <w:vAlign w:val="center"/>
            <w:hideMark/>
          </w:tcPr>
          <w:p w:rsidR="00B75730" w:rsidRPr="00C54A19" w:rsidRDefault="00B75730" w:rsidP="009D2BAC">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18-24, females</w:t>
            </w:r>
          </w:p>
        </w:tc>
        <w:tc>
          <w:tcPr>
            <w:tcW w:w="4300" w:type="dxa"/>
            <w:shd w:val="clear" w:color="auto" w:fill="E5E5E5" w:themeFill="background1" w:themeFillTint="33"/>
            <w:noWrap/>
            <w:vAlign w:val="center"/>
            <w:hideMark/>
          </w:tcPr>
          <w:p w:rsidR="00B75730" w:rsidRPr="00C54A19" w:rsidRDefault="00B75730" w:rsidP="009D2BAC">
            <w:pPr>
              <w:spacing w:after="0" w:line="240" w:lineRule="auto"/>
              <w:ind w:right="1074"/>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50.9</w:t>
            </w:r>
          </w:p>
        </w:tc>
      </w:tr>
      <w:tr w:rsidR="00B75730" w:rsidRPr="00C84892" w:rsidTr="00A82001">
        <w:trPr>
          <w:trHeight w:hRule="exact" w:val="454"/>
        </w:trPr>
        <w:tc>
          <w:tcPr>
            <w:tcW w:w="2709" w:type="dxa"/>
            <w:shd w:val="clear" w:color="auto" w:fill="auto"/>
            <w:noWrap/>
            <w:vAlign w:val="center"/>
            <w:hideMark/>
          </w:tcPr>
          <w:p w:rsidR="00B75730" w:rsidRPr="00C54A19" w:rsidRDefault="00B75730" w:rsidP="009D2BAC">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25-30, males</w:t>
            </w:r>
          </w:p>
        </w:tc>
        <w:tc>
          <w:tcPr>
            <w:tcW w:w="4300" w:type="dxa"/>
            <w:shd w:val="clear" w:color="auto" w:fill="auto"/>
            <w:noWrap/>
            <w:vAlign w:val="center"/>
            <w:hideMark/>
          </w:tcPr>
          <w:p w:rsidR="00B75730" w:rsidRPr="00C54A19" w:rsidRDefault="00B75730" w:rsidP="009D2BAC">
            <w:pPr>
              <w:spacing w:after="0" w:line="240" w:lineRule="auto"/>
              <w:ind w:right="1074"/>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78.2</w:t>
            </w:r>
          </w:p>
        </w:tc>
      </w:tr>
      <w:tr w:rsidR="00B75730" w:rsidRPr="00C84892" w:rsidTr="00A82001">
        <w:trPr>
          <w:trHeight w:hRule="exact" w:val="454"/>
        </w:trPr>
        <w:tc>
          <w:tcPr>
            <w:tcW w:w="2709" w:type="dxa"/>
            <w:shd w:val="clear" w:color="auto" w:fill="E5E5E5" w:themeFill="background1" w:themeFillTint="33"/>
            <w:noWrap/>
            <w:vAlign w:val="center"/>
            <w:hideMark/>
          </w:tcPr>
          <w:p w:rsidR="00B75730" w:rsidRPr="00C54A19" w:rsidRDefault="00B75730" w:rsidP="009D2BAC">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25-30, females</w:t>
            </w:r>
          </w:p>
        </w:tc>
        <w:tc>
          <w:tcPr>
            <w:tcW w:w="4300" w:type="dxa"/>
            <w:shd w:val="clear" w:color="auto" w:fill="E5E5E5" w:themeFill="background1" w:themeFillTint="33"/>
            <w:noWrap/>
            <w:vAlign w:val="center"/>
            <w:hideMark/>
          </w:tcPr>
          <w:p w:rsidR="00B75730" w:rsidRPr="00C54A19" w:rsidRDefault="00B75730" w:rsidP="009D2BAC">
            <w:pPr>
              <w:spacing w:after="0" w:line="240" w:lineRule="auto"/>
              <w:ind w:right="1074"/>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78.5</w:t>
            </w:r>
          </w:p>
        </w:tc>
      </w:tr>
      <w:tr w:rsidR="00B75730" w:rsidRPr="00C84892" w:rsidTr="00A82001">
        <w:trPr>
          <w:trHeight w:hRule="exact" w:val="454"/>
        </w:trPr>
        <w:tc>
          <w:tcPr>
            <w:tcW w:w="2709" w:type="dxa"/>
            <w:shd w:val="clear" w:color="auto" w:fill="auto"/>
            <w:noWrap/>
            <w:vAlign w:val="center"/>
            <w:hideMark/>
          </w:tcPr>
          <w:p w:rsidR="00B75730" w:rsidRPr="00C54A19" w:rsidRDefault="00B75730" w:rsidP="009D2BAC">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18-24 year olds</w:t>
            </w:r>
          </w:p>
        </w:tc>
        <w:tc>
          <w:tcPr>
            <w:tcW w:w="4300" w:type="dxa"/>
            <w:shd w:val="clear" w:color="auto" w:fill="auto"/>
            <w:noWrap/>
            <w:vAlign w:val="center"/>
            <w:hideMark/>
          </w:tcPr>
          <w:p w:rsidR="00B75730" w:rsidRPr="00C54A19" w:rsidRDefault="00B75730" w:rsidP="009D2BAC">
            <w:pPr>
              <w:spacing w:after="0" w:line="240" w:lineRule="auto"/>
              <w:ind w:right="1074"/>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53.6</w:t>
            </w:r>
          </w:p>
        </w:tc>
      </w:tr>
      <w:tr w:rsidR="00B75730" w:rsidRPr="00C84892" w:rsidTr="00A82001">
        <w:trPr>
          <w:trHeight w:hRule="exact" w:val="454"/>
        </w:trPr>
        <w:tc>
          <w:tcPr>
            <w:tcW w:w="2709" w:type="dxa"/>
            <w:shd w:val="clear" w:color="auto" w:fill="E5E5E5" w:themeFill="background1" w:themeFillTint="33"/>
            <w:noWrap/>
            <w:vAlign w:val="center"/>
            <w:hideMark/>
          </w:tcPr>
          <w:p w:rsidR="00B75730" w:rsidRPr="00C54A19" w:rsidRDefault="00B75730" w:rsidP="009D2BAC">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25 - 30 year olds</w:t>
            </w:r>
          </w:p>
        </w:tc>
        <w:tc>
          <w:tcPr>
            <w:tcW w:w="4300" w:type="dxa"/>
            <w:shd w:val="clear" w:color="auto" w:fill="E5E5E5" w:themeFill="background1" w:themeFillTint="33"/>
            <w:noWrap/>
            <w:vAlign w:val="center"/>
            <w:hideMark/>
          </w:tcPr>
          <w:p w:rsidR="00B75730" w:rsidRPr="00C54A19" w:rsidRDefault="00B75730" w:rsidP="009D2BAC">
            <w:pPr>
              <w:spacing w:after="0" w:line="240" w:lineRule="auto"/>
              <w:ind w:right="1074"/>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78.3</w:t>
            </w:r>
          </w:p>
        </w:tc>
      </w:tr>
      <w:tr w:rsidR="00B75730" w:rsidRPr="00C84892" w:rsidTr="00A82001">
        <w:trPr>
          <w:trHeight w:hRule="exact" w:val="454"/>
        </w:trPr>
        <w:tc>
          <w:tcPr>
            <w:tcW w:w="2709" w:type="dxa"/>
            <w:shd w:val="clear" w:color="auto" w:fill="auto"/>
            <w:noWrap/>
            <w:vAlign w:val="center"/>
            <w:hideMark/>
          </w:tcPr>
          <w:p w:rsidR="00B75730" w:rsidRPr="00C54A19" w:rsidRDefault="00B75730" w:rsidP="009D2BAC">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Males</w:t>
            </w:r>
          </w:p>
        </w:tc>
        <w:tc>
          <w:tcPr>
            <w:tcW w:w="4300" w:type="dxa"/>
            <w:shd w:val="clear" w:color="auto" w:fill="auto"/>
            <w:noWrap/>
            <w:vAlign w:val="center"/>
            <w:hideMark/>
          </w:tcPr>
          <w:p w:rsidR="00B75730" w:rsidRPr="00C54A19" w:rsidRDefault="00B75730" w:rsidP="009D2BAC">
            <w:pPr>
              <w:spacing w:after="0" w:line="240" w:lineRule="auto"/>
              <w:ind w:right="1074"/>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67.4</w:t>
            </w:r>
          </w:p>
        </w:tc>
      </w:tr>
      <w:tr w:rsidR="00B75730" w:rsidRPr="00C84892" w:rsidTr="00A82001">
        <w:trPr>
          <w:trHeight w:hRule="exact" w:val="454"/>
        </w:trPr>
        <w:tc>
          <w:tcPr>
            <w:tcW w:w="2709" w:type="dxa"/>
            <w:shd w:val="clear" w:color="auto" w:fill="E5E5E5" w:themeFill="background1" w:themeFillTint="33"/>
            <w:noWrap/>
            <w:vAlign w:val="center"/>
            <w:hideMark/>
          </w:tcPr>
          <w:p w:rsidR="00B75730" w:rsidRPr="00C54A19" w:rsidRDefault="00B75730" w:rsidP="009D2BAC">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Females</w:t>
            </w:r>
          </w:p>
        </w:tc>
        <w:tc>
          <w:tcPr>
            <w:tcW w:w="4300" w:type="dxa"/>
            <w:shd w:val="clear" w:color="auto" w:fill="E5E5E5" w:themeFill="background1" w:themeFillTint="33"/>
            <w:noWrap/>
            <w:vAlign w:val="center"/>
            <w:hideMark/>
          </w:tcPr>
          <w:p w:rsidR="00B75730" w:rsidRPr="00C54A19" w:rsidRDefault="00B75730" w:rsidP="009D2BAC">
            <w:pPr>
              <w:spacing w:after="0" w:line="240" w:lineRule="auto"/>
              <w:ind w:right="1074"/>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64.6</w:t>
            </w:r>
          </w:p>
        </w:tc>
      </w:tr>
      <w:tr w:rsidR="00B75730" w:rsidRPr="00C84892" w:rsidTr="00A82001">
        <w:trPr>
          <w:trHeight w:hRule="exact" w:val="454"/>
        </w:trPr>
        <w:tc>
          <w:tcPr>
            <w:tcW w:w="2709" w:type="dxa"/>
            <w:shd w:val="clear" w:color="auto" w:fill="8EAEDE"/>
            <w:noWrap/>
            <w:vAlign w:val="center"/>
          </w:tcPr>
          <w:p w:rsidR="00B75730" w:rsidRPr="00C54A19" w:rsidRDefault="00B75730" w:rsidP="009D2BAC">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Overall, 18-30 year olds</w:t>
            </w:r>
          </w:p>
        </w:tc>
        <w:tc>
          <w:tcPr>
            <w:tcW w:w="4300" w:type="dxa"/>
            <w:shd w:val="clear" w:color="auto" w:fill="8EAEDE"/>
            <w:noWrap/>
            <w:vAlign w:val="center"/>
          </w:tcPr>
          <w:p w:rsidR="00B75730" w:rsidRPr="00C54A19" w:rsidRDefault="00B75730" w:rsidP="009D2BAC">
            <w:pPr>
              <w:spacing w:after="0" w:line="240" w:lineRule="auto"/>
              <w:ind w:right="1074"/>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66.1</w:t>
            </w:r>
          </w:p>
        </w:tc>
      </w:tr>
    </w:tbl>
    <w:p w:rsidR="004B625A" w:rsidRDefault="00A82001" w:rsidP="000615B6">
      <w:pPr>
        <w:pStyle w:val="Source"/>
      </w:pPr>
      <w:r w:rsidRPr="000615B6">
        <w:rPr>
          <w:rStyle w:val="SourceandnotetextChar"/>
        </w:rPr>
        <w:t>Source:</w:t>
      </w:r>
      <w:r w:rsidRPr="000615B6">
        <w:rPr>
          <w:rStyle w:val="SourceandnotetextChar"/>
          <w:b w:val="0"/>
        </w:rPr>
        <w:t xml:space="preserve"> Derived from </w:t>
      </w:r>
      <w:r w:rsidR="00A162B9">
        <w:rPr>
          <w:rStyle w:val="SourceandnotetextChar"/>
          <w:b w:val="0"/>
        </w:rPr>
        <w:t xml:space="preserve">customised </w:t>
      </w:r>
      <w:r w:rsidRPr="000615B6">
        <w:rPr>
          <w:rStyle w:val="SourceandnotetextChar"/>
          <w:b w:val="0"/>
        </w:rPr>
        <w:t xml:space="preserve">data </w:t>
      </w:r>
      <w:r w:rsidR="00A162B9">
        <w:rPr>
          <w:rStyle w:val="SourceandnotetextChar"/>
          <w:b w:val="0"/>
        </w:rPr>
        <w:t xml:space="preserve">extract </w:t>
      </w:r>
      <w:r w:rsidRPr="000615B6">
        <w:rPr>
          <w:rStyle w:val="SourceandnotetextChar"/>
          <w:b w:val="0"/>
        </w:rPr>
        <w:t xml:space="preserve">provided by the ABS from the Labour Force </w:t>
      </w:r>
      <w:r w:rsidR="00A162B9">
        <w:rPr>
          <w:rStyle w:val="SourceandnotetextChar"/>
          <w:b w:val="0"/>
        </w:rPr>
        <w:t>S</w:t>
      </w:r>
      <w:r w:rsidRPr="000615B6">
        <w:rPr>
          <w:rStyle w:val="SourceandnotetextChar"/>
          <w:b w:val="0"/>
        </w:rPr>
        <w:t>urvey, Australia. Calculations conducted by the Department of Employment</w:t>
      </w:r>
      <w:r w:rsidRPr="00A82001">
        <w:t>.</w:t>
      </w:r>
    </w:p>
    <w:p w:rsidR="00A82001" w:rsidRDefault="004B625A" w:rsidP="003244B7">
      <w:pPr>
        <w:pStyle w:val="Source"/>
        <w:spacing w:before="120"/>
      </w:pPr>
      <w:r>
        <w:rPr>
          <w:b w:val="0"/>
        </w:rPr>
        <w:t xml:space="preserve">Return to </w:t>
      </w:r>
      <w:hyperlink w:anchor="Place_F9" w:history="1">
        <w:r w:rsidRPr="003244B7">
          <w:rPr>
            <w:rStyle w:val="Hyperlink"/>
            <w:b w:val="0"/>
          </w:rPr>
          <w:t>Figure 3.5</w:t>
        </w:r>
        <w:r w:rsidR="003244B7" w:rsidRPr="003244B7">
          <w:rPr>
            <w:rStyle w:val="Hyperlink"/>
            <w:b w:val="0"/>
          </w:rPr>
          <w:t>.</w:t>
        </w:r>
      </w:hyperlink>
    </w:p>
    <w:p w:rsidR="007C3E39" w:rsidRDefault="007C3E39" w:rsidP="003A5262">
      <w:pPr>
        <w:pStyle w:val="TableCaption"/>
        <w:sectPr w:rsidR="007C3E39" w:rsidSect="0009256A">
          <w:headerReference w:type="even" r:id="rId63"/>
          <w:headerReference w:type="default" r:id="rId64"/>
          <w:footerReference w:type="default" r:id="rId65"/>
          <w:headerReference w:type="first" r:id="rId66"/>
          <w:pgSz w:w="11906" w:h="16838" w:code="9"/>
          <w:pgMar w:top="1440" w:right="1440" w:bottom="1440" w:left="1440" w:header="709" w:footer="709" w:gutter="0"/>
          <w:cols w:space="708"/>
          <w:docGrid w:linePitch="360"/>
        </w:sectPr>
      </w:pPr>
    </w:p>
    <w:p w:rsidR="004C6EC0" w:rsidRDefault="004C6EC0" w:rsidP="004C6EC0">
      <w:pPr>
        <w:pStyle w:val="TableCaption"/>
      </w:pPr>
      <w:bookmarkStart w:id="273" w:name="_Toc507600326"/>
      <w:r w:rsidRPr="00BF71D4">
        <w:lastRenderedPageBreak/>
        <w:t xml:space="preserve">Table F.10: </w:t>
      </w:r>
      <w:r>
        <w:t>Preferred payment options</w:t>
      </w:r>
      <w:bookmarkEnd w:id="273"/>
    </w:p>
    <w:tbl>
      <w:tblPr>
        <w:tblW w:w="12595" w:type="dxa"/>
        <w:tblInd w:w="108" w:type="dxa"/>
        <w:tblLook w:val="04A0" w:firstRow="1" w:lastRow="0" w:firstColumn="1" w:lastColumn="0" w:noHBand="0" w:noVBand="1"/>
      </w:tblPr>
      <w:tblGrid>
        <w:gridCol w:w="3340"/>
        <w:gridCol w:w="1564"/>
        <w:gridCol w:w="1614"/>
        <w:gridCol w:w="1813"/>
        <w:gridCol w:w="1602"/>
        <w:gridCol w:w="1702"/>
        <w:gridCol w:w="960"/>
      </w:tblGrid>
      <w:tr w:rsidR="004C6EC0" w:rsidRPr="004C6EC0" w:rsidTr="00344ADF">
        <w:trPr>
          <w:trHeight w:hRule="exact" w:val="340"/>
          <w:tblHeader/>
        </w:trPr>
        <w:tc>
          <w:tcPr>
            <w:tcW w:w="3340" w:type="dxa"/>
            <w:tcBorders>
              <w:top w:val="nil"/>
              <w:left w:val="nil"/>
              <w:bottom w:val="nil"/>
              <w:right w:val="nil"/>
            </w:tcBorders>
            <w:shd w:val="clear" w:color="000000" w:fill="1E3D6B"/>
            <w:noWrap/>
            <w:vAlign w:val="center"/>
            <w:hideMark/>
          </w:tcPr>
          <w:p w:rsidR="004C6EC0" w:rsidRPr="004C6EC0" w:rsidRDefault="004C6EC0" w:rsidP="004C6EC0">
            <w:pPr>
              <w:spacing w:after="0" w:line="240" w:lineRule="auto"/>
              <w:rPr>
                <w:rFonts w:ascii="Calibri" w:eastAsia="Times New Roman" w:hAnsi="Calibri" w:cs="Calibri"/>
                <w:b/>
                <w:bCs/>
                <w:color w:val="FFFFFF"/>
                <w:lang w:eastAsia="en-AU"/>
              </w:rPr>
            </w:pPr>
            <w:bookmarkStart w:id="274" w:name="Title_f10"/>
            <w:r w:rsidRPr="004C6EC0">
              <w:rPr>
                <w:rFonts w:ascii="Calibri" w:eastAsia="Times New Roman" w:hAnsi="Calibri" w:cs="Calibri"/>
                <w:b/>
                <w:bCs/>
                <w:color w:val="FFFFFF"/>
                <w:lang w:eastAsia="en-AU"/>
              </w:rPr>
              <w:t> </w:t>
            </w:r>
            <w:bookmarkEnd w:id="274"/>
          </w:p>
        </w:tc>
        <w:tc>
          <w:tcPr>
            <w:tcW w:w="1564" w:type="dxa"/>
            <w:tcBorders>
              <w:top w:val="nil"/>
              <w:left w:val="nil"/>
              <w:bottom w:val="nil"/>
              <w:right w:val="nil"/>
            </w:tcBorders>
            <w:shd w:val="clear" w:color="000000" w:fill="1E3D6B"/>
            <w:noWrap/>
            <w:vAlign w:val="center"/>
            <w:hideMark/>
          </w:tcPr>
          <w:p w:rsidR="004C6EC0" w:rsidRPr="004C6EC0" w:rsidRDefault="004C6EC0" w:rsidP="004C6EC0">
            <w:pPr>
              <w:spacing w:after="0" w:line="240" w:lineRule="auto"/>
              <w:jc w:val="center"/>
              <w:rPr>
                <w:rFonts w:ascii="Calibri" w:eastAsia="Times New Roman" w:hAnsi="Calibri" w:cs="Calibri"/>
                <w:b/>
                <w:bCs/>
                <w:color w:val="FFFFFF"/>
                <w:lang w:eastAsia="en-AU"/>
              </w:rPr>
            </w:pPr>
            <w:r w:rsidRPr="004C6EC0">
              <w:rPr>
                <w:rFonts w:ascii="Calibri" w:eastAsia="Times New Roman" w:hAnsi="Calibri" w:cs="Calibri"/>
                <w:b/>
                <w:bCs/>
                <w:color w:val="FFFFFF"/>
                <w:lang w:eastAsia="en-AU"/>
              </w:rPr>
              <w:t>One payment</w:t>
            </w:r>
          </w:p>
        </w:tc>
        <w:tc>
          <w:tcPr>
            <w:tcW w:w="1614" w:type="dxa"/>
            <w:tcBorders>
              <w:top w:val="nil"/>
              <w:left w:val="nil"/>
              <w:bottom w:val="nil"/>
              <w:right w:val="nil"/>
            </w:tcBorders>
            <w:shd w:val="clear" w:color="000000" w:fill="1E3D6B"/>
            <w:noWrap/>
            <w:vAlign w:val="center"/>
            <w:hideMark/>
          </w:tcPr>
          <w:p w:rsidR="004C6EC0" w:rsidRPr="004C6EC0" w:rsidRDefault="004C6EC0" w:rsidP="004C6EC0">
            <w:pPr>
              <w:spacing w:after="0" w:line="240" w:lineRule="auto"/>
              <w:jc w:val="center"/>
              <w:rPr>
                <w:rFonts w:ascii="Calibri" w:eastAsia="Times New Roman" w:hAnsi="Calibri" w:cs="Calibri"/>
                <w:b/>
                <w:bCs/>
                <w:color w:val="FFFFFF"/>
                <w:lang w:eastAsia="en-AU"/>
              </w:rPr>
            </w:pPr>
            <w:r w:rsidRPr="004C6EC0">
              <w:rPr>
                <w:rFonts w:ascii="Calibri" w:eastAsia="Times New Roman" w:hAnsi="Calibri" w:cs="Calibri"/>
                <w:b/>
                <w:bCs/>
                <w:color w:val="FFFFFF"/>
                <w:lang w:eastAsia="en-AU"/>
              </w:rPr>
              <w:t>Two payments</w:t>
            </w:r>
          </w:p>
        </w:tc>
        <w:tc>
          <w:tcPr>
            <w:tcW w:w="1813" w:type="dxa"/>
            <w:tcBorders>
              <w:top w:val="nil"/>
              <w:left w:val="nil"/>
              <w:bottom w:val="nil"/>
              <w:right w:val="nil"/>
            </w:tcBorders>
            <w:shd w:val="clear" w:color="000000" w:fill="1E3D6B"/>
            <w:noWrap/>
            <w:vAlign w:val="center"/>
            <w:hideMark/>
          </w:tcPr>
          <w:p w:rsidR="004C6EC0" w:rsidRPr="004C6EC0" w:rsidRDefault="004C6EC0" w:rsidP="004C6EC0">
            <w:pPr>
              <w:spacing w:after="0" w:line="240" w:lineRule="auto"/>
              <w:jc w:val="center"/>
              <w:rPr>
                <w:rFonts w:ascii="Calibri" w:eastAsia="Times New Roman" w:hAnsi="Calibri" w:cs="Calibri"/>
                <w:b/>
                <w:bCs/>
                <w:color w:val="FFFFFF"/>
                <w:lang w:eastAsia="en-AU"/>
              </w:rPr>
            </w:pPr>
            <w:r w:rsidRPr="004C6EC0">
              <w:rPr>
                <w:rFonts w:ascii="Calibri" w:eastAsia="Times New Roman" w:hAnsi="Calibri" w:cs="Calibri"/>
                <w:b/>
                <w:bCs/>
                <w:color w:val="FFFFFF"/>
                <w:lang w:eastAsia="en-AU"/>
              </w:rPr>
              <w:t>Four payments</w:t>
            </w:r>
          </w:p>
        </w:tc>
        <w:tc>
          <w:tcPr>
            <w:tcW w:w="1602" w:type="dxa"/>
            <w:tcBorders>
              <w:top w:val="nil"/>
              <w:left w:val="nil"/>
              <w:bottom w:val="nil"/>
              <w:right w:val="nil"/>
            </w:tcBorders>
            <w:shd w:val="clear" w:color="000000" w:fill="1E3D6B"/>
            <w:noWrap/>
            <w:vAlign w:val="center"/>
            <w:hideMark/>
          </w:tcPr>
          <w:p w:rsidR="004C6EC0" w:rsidRPr="004C6EC0" w:rsidRDefault="004C6EC0" w:rsidP="004C6EC0">
            <w:pPr>
              <w:spacing w:after="0" w:line="240" w:lineRule="auto"/>
              <w:jc w:val="center"/>
              <w:rPr>
                <w:rFonts w:ascii="Calibri" w:eastAsia="Times New Roman" w:hAnsi="Calibri" w:cs="Calibri"/>
                <w:b/>
                <w:bCs/>
                <w:color w:val="FFFFFF"/>
                <w:lang w:eastAsia="en-AU"/>
              </w:rPr>
            </w:pPr>
            <w:r w:rsidRPr="004C6EC0">
              <w:rPr>
                <w:rFonts w:ascii="Calibri" w:eastAsia="Times New Roman" w:hAnsi="Calibri" w:cs="Calibri"/>
                <w:b/>
                <w:bCs/>
                <w:color w:val="FFFFFF"/>
                <w:lang w:eastAsia="en-AU"/>
              </w:rPr>
              <w:t>Both appeal</w:t>
            </w:r>
          </w:p>
        </w:tc>
        <w:tc>
          <w:tcPr>
            <w:tcW w:w="1702" w:type="dxa"/>
            <w:tcBorders>
              <w:top w:val="nil"/>
              <w:left w:val="nil"/>
              <w:bottom w:val="nil"/>
              <w:right w:val="nil"/>
            </w:tcBorders>
            <w:shd w:val="clear" w:color="000000" w:fill="1E3D6B"/>
            <w:noWrap/>
            <w:vAlign w:val="center"/>
            <w:hideMark/>
          </w:tcPr>
          <w:p w:rsidR="004C6EC0" w:rsidRPr="004C6EC0" w:rsidRDefault="004C6EC0" w:rsidP="004C6EC0">
            <w:pPr>
              <w:spacing w:after="0" w:line="240" w:lineRule="auto"/>
              <w:jc w:val="center"/>
              <w:rPr>
                <w:rFonts w:ascii="Calibri" w:eastAsia="Times New Roman" w:hAnsi="Calibri" w:cs="Calibri"/>
                <w:b/>
                <w:bCs/>
                <w:color w:val="FFFFFF"/>
                <w:lang w:eastAsia="en-AU"/>
              </w:rPr>
            </w:pPr>
            <w:r w:rsidRPr="004C6EC0">
              <w:rPr>
                <w:rFonts w:ascii="Calibri" w:eastAsia="Times New Roman" w:hAnsi="Calibri" w:cs="Calibri"/>
                <w:b/>
                <w:bCs/>
                <w:color w:val="FFFFFF"/>
                <w:lang w:eastAsia="en-AU"/>
              </w:rPr>
              <w:t>Neither appeal</w:t>
            </w:r>
          </w:p>
        </w:tc>
        <w:tc>
          <w:tcPr>
            <w:tcW w:w="960" w:type="dxa"/>
            <w:tcBorders>
              <w:top w:val="nil"/>
              <w:left w:val="nil"/>
              <w:bottom w:val="nil"/>
              <w:right w:val="nil"/>
            </w:tcBorders>
            <w:shd w:val="clear" w:color="000000" w:fill="1E3D6B"/>
            <w:noWrap/>
            <w:vAlign w:val="center"/>
            <w:hideMark/>
          </w:tcPr>
          <w:p w:rsidR="004C6EC0" w:rsidRPr="004C6EC0" w:rsidRDefault="004C6EC0" w:rsidP="004C6EC0">
            <w:pPr>
              <w:spacing w:after="0" w:line="240" w:lineRule="auto"/>
              <w:jc w:val="center"/>
              <w:rPr>
                <w:rFonts w:ascii="Calibri" w:eastAsia="Times New Roman" w:hAnsi="Calibri" w:cs="Calibri"/>
                <w:b/>
                <w:bCs/>
                <w:color w:val="FFFFFF"/>
                <w:lang w:eastAsia="en-AU"/>
              </w:rPr>
            </w:pPr>
            <w:r w:rsidRPr="004C6EC0">
              <w:rPr>
                <w:rFonts w:ascii="Calibri" w:eastAsia="Times New Roman" w:hAnsi="Calibri" w:cs="Calibri"/>
                <w:b/>
                <w:bCs/>
                <w:color w:val="FFFFFF"/>
                <w:lang w:eastAsia="en-AU"/>
              </w:rPr>
              <w:t> </w:t>
            </w:r>
            <w:r>
              <w:rPr>
                <w:rFonts w:ascii="Calibri" w:eastAsia="Times New Roman" w:hAnsi="Calibri" w:cs="Calibri"/>
                <w:b/>
                <w:bCs/>
                <w:color w:val="FFFFFF"/>
                <w:lang w:eastAsia="en-AU"/>
              </w:rPr>
              <w:t>Total</w:t>
            </w:r>
          </w:p>
        </w:tc>
      </w:tr>
      <w:tr w:rsidR="004C6EC0" w:rsidRPr="004C6EC0" w:rsidTr="004C6EC0">
        <w:trPr>
          <w:trHeight w:hRule="exact" w:val="340"/>
        </w:trPr>
        <w:tc>
          <w:tcPr>
            <w:tcW w:w="3340" w:type="dxa"/>
            <w:tcBorders>
              <w:top w:val="nil"/>
              <w:left w:val="nil"/>
              <w:bottom w:val="nil"/>
              <w:right w:val="nil"/>
            </w:tcBorders>
            <w:shd w:val="clear" w:color="auto" w:fill="auto"/>
            <w:noWrap/>
            <w:vAlign w:val="center"/>
            <w:hideMark/>
          </w:tcPr>
          <w:p w:rsidR="004C6EC0" w:rsidRPr="00344ADF" w:rsidRDefault="004C6EC0">
            <w:pPr>
              <w:spacing w:after="0" w:line="240" w:lineRule="auto"/>
              <w:rPr>
                <w:rFonts w:eastAsia="Times New Roman" w:cstheme="minorHAnsi"/>
                <w:color w:val="000000"/>
                <w:sz w:val="20"/>
                <w:szCs w:val="20"/>
                <w:lang w:eastAsia="en-AU"/>
              </w:rPr>
            </w:pPr>
            <w:r w:rsidRPr="00344ADF">
              <w:rPr>
                <w:rFonts w:eastAsia="Times New Roman" w:cstheme="minorHAnsi"/>
                <w:color w:val="000000"/>
                <w:sz w:val="20"/>
                <w:szCs w:val="20"/>
                <w:lang w:eastAsia="en-AU"/>
              </w:rPr>
              <w:t>Total</w:t>
            </w:r>
          </w:p>
        </w:tc>
        <w:tc>
          <w:tcPr>
            <w:tcW w:w="1564"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30.0 </w:t>
            </w:r>
          </w:p>
        </w:tc>
        <w:tc>
          <w:tcPr>
            <w:tcW w:w="1614"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60.1 </w:t>
            </w:r>
          </w:p>
        </w:tc>
        <w:tc>
          <w:tcPr>
            <w:tcW w:w="1813"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Pr>
                <w:rFonts w:eastAsia="Times New Roman" w:cstheme="minorHAnsi"/>
                <w:color w:val="000000"/>
                <w:sz w:val="20"/>
                <w:szCs w:val="20"/>
                <w:lang w:eastAsia="en-AU"/>
              </w:rPr>
              <w:t>-</w:t>
            </w:r>
          </w:p>
        </w:tc>
        <w:tc>
          <w:tcPr>
            <w:tcW w:w="1602"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6.4 </w:t>
            </w:r>
          </w:p>
        </w:tc>
        <w:tc>
          <w:tcPr>
            <w:tcW w:w="1702"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3.5 </w:t>
            </w:r>
          </w:p>
        </w:tc>
        <w:tc>
          <w:tcPr>
            <w:tcW w:w="960" w:type="dxa"/>
            <w:tcBorders>
              <w:top w:val="nil"/>
              <w:left w:val="nil"/>
              <w:bottom w:val="nil"/>
              <w:right w:val="nil"/>
            </w:tcBorders>
            <w:shd w:val="clear" w:color="auto" w:fill="auto"/>
            <w:noWrap/>
            <w:vAlign w:val="center"/>
            <w:hideMark/>
          </w:tcPr>
          <w:p w:rsidR="004C6EC0" w:rsidRPr="00344ADF" w:rsidRDefault="004C6EC0">
            <w:pPr>
              <w:spacing w:after="0" w:line="240" w:lineRule="auto"/>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100.0 </w:t>
            </w:r>
          </w:p>
        </w:tc>
      </w:tr>
      <w:tr w:rsidR="004C6EC0" w:rsidRPr="004C6EC0" w:rsidTr="00344ADF">
        <w:trPr>
          <w:trHeight w:hRule="exact" w:val="340"/>
        </w:trPr>
        <w:tc>
          <w:tcPr>
            <w:tcW w:w="3340" w:type="dxa"/>
            <w:tcBorders>
              <w:top w:val="nil"/>
              <w:left w:val="nil"/>
              <w:bottom w:val="nil"/>
              <w:right w:val="nil"/>
            </w:tcBorders>
            <w:shd w:val="clear" w:color="auto" w:fill="E5E5E5" w:themeFill="background1" w:themeFillTint="33"/>
            <w:noWrap/>
            <w:vAlign w:val="center"/>
            <w:hideMark/>
          </w:tcPr>
          <w:p w:rsidR="004C6EC0" w:rsidRPr="00344ADF" w:rsidRDefault="004C6EC0">
            <w:pPr>
              <w:spacing w:after="0" w:line="240" w:lineRule="auto"/>
              <w:rPr>
                <w:rFonts w:eastAsia="Times New Roman" w:cstheme="minorHAnsi"/>
                <w:color w:val="000000"/>
                <w:sz w:val="20"/>
                <w:szCs w:val="20"/>
                <w:lang w:eastAsia="en-AU"/>
              </w:rPr>
            </w:pPr>
            <w:r w:rsidRPr="00344ADF">
              <w:rPr>
                <w:rFonts w:eastAsia="Times New Roman" w:cstheme="minorHAnsi"/>
                <w:color w:val="000000"/>
                <w:sz w:val="20"/>
                <w:szCs w:val="20"/>
                <w:lang w:eastAsia="en-AU"/>
              </w:rPr>
              <w:t>Total</w:t>
            </w:r>
          </w:p>
        </w:tc>
        <w:tc>
          <w:tcPr>
            <w:tcW w:w="1564"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34.5 </w:t>
            </w:r>
          </w:p>
        </w:tc>
        <w:tc>
          <w:tcPr>
            <w:tcW w:w="1614"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Pr>
                <w:rFonts w:eastAsia="Times New Roman" w:cstheme="minorHAnsi"/>
                <w:color w:val="000000"/>
                <w:sz w:val="20"/>
                <w:szCs w:val="20"/>
                <w:lang w:eastAsia="en-AU"/>
              </w:rPr>
              <w:t>-</w:t>
            </w:r>
          </w:p>
        </w:tc>
        <w:tc>
          <w:tcPr>
            <w:tcW w:w="1813"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56.3 </w:t>
            </w:r>
          </w:p>
        </w:tc>
        <w:tc>
          <w:tcPr>
            <w:tcW w:w="1602"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3.8 </w:t>
            </w:r>
          </w:p>
        </w:tc>
        <w:tc>
          <w:tcPr>
            <w:tcW w:w="1702"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5.4 </w:t>
            </w:r>
          </w:p>
        </w:tc>
        <w:tc>
          <w:tcPr>
            <w:tcW w:w="960" w:type="dxa"/>
            <w:tcBorders>
              <w:top w:val="nil"/>
              <w:left w:val="nil"/>
              <w:bottom w:val="nil"/>
              <w:right w:val="nil"/>
            </w:tcBorders>
            <w:shd w:val="clear" w:color="auto" w:fill="E5E5E5" w:themeFill="background1" w:themeFillTint="33"/>
            <w:noWrap/>
            <w:vAlign w:val="center"/>
            <w:hideMark/>
          </w:tcPr>
          <w:p w:rsidR="004C6EC0" w:rsidRPr="00344ADF" w:rsidRDefault="004C6EC0">
            <w:pPr>
              <w:spacing w:after="0" w:line="240" w:lineRule="auto"/>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100.0 </w:t>
            </w:r>
          </w:p>
        </w:tc>
      </w:tr>
      <w:tr w:rsidR="004C6EC0" w:rsidRPr="004C6EC0" w:rsidTr="004C6EC0">
        <w:trPr>
          <w:trHeight w:hRule="exact" w:val="340"/>
        </w:trPr>
        <w:tc>
          <w:tcPr>
            <w:tcW w:w="3340" w:type="dxa"/>
            <w:tcBorders>
              <w:top w:val="nil"/>
              <w:left w:val="nil"/>
              <w:bottom w:val="nil"/>
              <w:right w:val="nil"/>
            </w:tcBorders>
            <w:shd w:val="clear" w:color="auto" w:fill="auto"/>
            <w:noWrap/>
            <w:vAlign w:val="center"/>
            <w:hideMark/>
          </w:tcPr>
          <w:p w:rsidR="004C6EC0" w:rsidRPr="00344ADF" w:rsidRDefault="004C6EC0">
            <w:pPr>
              <w:spacing w:after="0" w:line="240" w:lineRule="auto"/>
              <w:rPr>
                <w:rFonts w:eastAsia="Times New Roman" w:cstheme="minorHAnsi"/>
                <w:color w:val="000000"/>
                <w:sz w:val="20"/>
                <w:szCs w:val="20"/>
                <w:lang w:eastAsia="en-AU"/>
              </w:rPr>
            </w:pPr>
            <w:r w:rsidRPr="00344ADF">
              <w:rPr>
                <w:rFonts w:eastAsia="Times New Roman" w:cstheme="minorHAnsi"/>
                <w:color w:val="000000"/>
                <w:sz w:val="20"/>
                <w:szCs w:val="20"/>
                <w:lang w:eastAsia="en-AU"/>
              </w:rPr>
              <w:t>Total</w:t>
            </w:r>
          </w:p>
        </w:tc>
        <w:tc>
          <w:tcPr>
            <w:tcW w:w="1564"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Pr>
                <w:rFonts w:eastAsia="Times New Roman" w:cstheme="minorHAnsi"/>
                <w:color w:val="000000"/>
                <w:sz w:val="20"/>
                <w:szCs w:val="20"/>
                <w:lang w:eastAsia="en-AU"/>
              </w:rPr>
              <w:t>-</w:t>
            </w:r>
          </w:p>
        </w:tc>
        <w:tc>
          <w:tcPr>
            <w:tcW w:w="1614"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39.1 </w:t>
            </w:r>
          </w:p>
        </w:tc>
        <w:tc>
          <w:tcPr>
            <w:tcW w:w="1813"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50.6 </w:t>
            </w:r>
          </w:p>
        </w:tc>
        <w:tc>
          <w:tcPr>
            <w:tcW w:w="1602"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3.9 </w:t>
            </w:r>
          </w:p>
        </w:tc>
        <w:tc>
          <w:tcPr>
            <w:tcW w:w="1702"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6.5 </w:t>
            </w:r>
          </w:p>
        </w:tc>
        <w:tc>
          <w:tcPr>
            <w:tcW w:w="960" w:type="dxa"/>
            <w:tcBorders>
              <w:top w:val="nil"/>
              <w:left w:val="nil"/>
              <w:bottom w:val="nil"/>
              <w:right w:val="nil"/>
            </w:tcBorders>
            <w:shd w:val="clear" w:color="auto" w:fill="auto"/>
            <w:noWrap/>
            <w:vAlign w:val="center"/>
            <w:hideMark/>
          </w:tcPr>
          <w:p w:rsidR="004C6EC0" w:rsidRPr="00344ADF" w:rsidRDefault="004C6EC0">
            <w:pPr>
              <w:spacing w:after="0" w:line="240" w:lineRule="auto"/>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100.0 </w:t>
            </w:r>
          </w:p>
        </w:tc>
      </w:tr>
      <w:tr w:rsidR="004C6EC0" w:rsidRPr="004C6EC0" w:rsidTr="00344ADF">
        <w:trPr>
          <w:trHeight w:hRule="exact" w:val="340"/>
        </w:trPr>
        <w:tc>
          <w:tcPr>
            <w:tcW w:w="3340" w:type="dxa"/>
            <w:tcBorders>
              <w:top w:val="nil"/>
              <w:left w:val="nil"/>
              <w:bottom w:val="nil"/>
              <w:right w:val="nil"/>
            </w:tcBorders>
            <w:shd w:val="clear" w:color="auto" w:fill="E5E5E5" w:themeFill="background1" w:themeFillTint="33"/>
            <w:noWrap/>
            <w:vAlign w:val="center"/>
            <w:hideMark/>
          </w:tcPr>
          <w:p w:rsidR="004C6EC0" w:rsidRPr="00344ADF" w:rsidRDefault="004C6EC0">
            <w:pPr>
              <w:spacing w:after="0" w:line="240" w:lineRule="auto"/>
              <w:rPr>
                <w:rFonts w:eastAsia="Times New Roman" w:cstheme="minorHAnsi"/>
                <w:color w:val="000000"/>
                <w:sz w:val="20"/>
                <w:szCs w:val="20"/>
                <w:lang w:eastAsia="en-AU"/>
              </w:rPr>
            </w:pPr>
            <w:r w:rsidRPr="00344ADF">
              <w:rPr>
                <w:rFonts w:eastAsia="Times New Roman" w:cstheme="minorHAnsi"/>
                <w:color w:val="000000"/>
                <w:sz w:val="20"/>
                <w:szCs w:val="20"/>
                <w:lang w:eastAsia="en-AU"/>
              </w:rPr>
              <w:t>Female</w:t>
            </w:r>
          </w:p>
        </w:tc>
        <w:tc>
          <w:tcPr>
            <w:tcW w:w="1564"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32.7 </w:t>
            </w:r>
          </w:p>
        </w:tc>
        <w:tc>
          <w:tcPr>
            <w:tcW w:w="1614"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60.9 </w:t>
            </w:r>
          </w:p>
        </w:tc>
        <w:tc>
          <w:tcPr>
            <w:tcW w:w="1813"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Pr>
                <w:rFonts w:eastAsia="Times New Roman" w:cstheme="minorHAnsi"/>
                <w:color w:val="000000"/>
                <w:sz w:val="20"/>
                <w:szCs w:val="20"/>
                <w:lang w:eastAsia="en-AU"/>
              </w:rPr>
              <w:t>-</w:t>
            </w:r>
          </w:p>
        </w:tc>
        <w:tc>
          <w:tcPr>
            <w:tcW w:w="1602"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2.8 </w:t>
            </w:r>
          </w:p>
        </w:tc>
        <w:tc>
          <w:tcPr>
            <w:tcW w:w="1702"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3.5 </w:t>
            </w:r>
          </w:p>
        </w:tc>
        <w:tc>
          <w:tcPr>
            <w:tcW w:w="960" w:type="dxa"/>
            <w:tcBorders>
              <w:top w:val="nil"/>
              <w:left w:val="nil"/>
              <w:bottom w:val="nil"/>
              <w:right w:val="nil"/>
            </w:tcBorders>
            <w:shd w:val="clear" w:color="auto" w:fill="E5E5E5" w:themeFill="background1" w:themeFillTint="33"/>
            <w:noWrap/>
            <w:vAlign w:val="center"/>
            <w:hideMark/>
          </w:tcPr>
          <w:p w:rsidR="004C6EC0" w:rsidRPr="00344ADF" w:rsidRDefault="004C6EC0">
            <w:pPr>
              <w:spacing w:after="0" w:line="240" w:lineRule="auto"/>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100.0 </w:t>
            </w:r>
          </w:p>
        </w:tc>
      </w:tr>
      <w:tr w:rsidR="004C6EC0" w:rsidRPr="004C6EC0" w:rsidTr="004C6EC0">
        <w:trPr>
          <w:trHeight w:hRule="exact" w:val="340"/>
        </w:trPr>
        <w:tc>
          <w:tcPr>
            <w:tcW w:w="3340" w:type="dxa"/>
            <w:tcBorders>
              <w:top w:val="nil"/>
              <w:left w:val="nil"/>
              <w:bottom w:val="nil"/>
              <w:right w:val="nil"/>
            </w:tcBorders>
            <w:shd w:val="clear" w:color="auto" w:fill="auto"/>
            <w:noWrap/>
            <w:vAlign w:val="center"/>
            <w:hideMark/>
          </w:tcPr>
          <w:p w:rsidR="004C6EC0" w:rsidRPr="00344ADF" w:rsidRDefault="004C6EC0">
            <w:pPr>
              <w:spacing w:after="0" w:line="240" w:lineRule="auto"/>
              <w:rPr>
                <w:rFonts w:eastAsia="Times New Roman" w:cstheme="minorHAnsi"/>
                <w:color w:val="000000"/>
                <w:sz w:val="20"/>
                <w:szCs w:val="20"/>
                <w:lang w:eastAsia="en-AU"/>
              </w:rPr>
            </w:pPr>
            <w:r w:rsidRPr="00344ADF">
              <w:rPr>
                <w:rFonts w:eastAsia="Times New Roman" w:cstheme="minorHAnsi"/>
                <w:color w:val="000000"/>
                <w:sz w:val="20"/>
                <w:szCs w:val="20"/>
                <w:lang w:eastAsia="en-AU"/>
              </w:rPr>
              <w:t>Female</w:t>
            </w:r>
          </w:p>
        </w:tc>
        <w:tc>
          <w:tcPr>
            <w:tcW w:w="1564"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35.9 </w:t>
            </w:r>
          </w:p>
        </w:tc>
        <w:tc>
          <w:tcPr>
            <w:tcW w:w="1614"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Pr>
                <w:rFonts w:eastAsia="Times New Roman" w:cstheme="minorHAnsi"/>
                <w:color w:val="000000"/>
                <w:sz w:val="20"/>
                <w:szCs w:val="20"/>
                <w:lang w:eastAsia="en-AU"/>
              </w:rPr>
              <w:t>-</w:t>
            </w:r>
          </w:p>
        </w:tc>
        <w:tc>
          <w:tcPr>
            <w:tcW w:w="1813"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54.0 </w:t>
            </w:r>
          </w:p>
        </w:tc>
        <w:tc>
          <w:tcPr>
            <w:tcW w:w="1602"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5.5 </w:t>
            </w:r>
          </w:p>
        </w:tc>
        <w:tc>
          <w:tcPr>
            <w:tcW w:w="1702"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4.7 </w:t>
            </w:r>
          </w:p>
        </w:tc>
        <w:tc>
          <w:tcPr>
            <w:tcW w:w="960" w:type="dxa"/>
            <w:tcBorders>
              <w:top w:val="nil"/>
              <w:left w:val="nil"/>
              <w:bottom w:val="nil"/>
              <w:right w:val="nil"/>
            </w:tcBorders>
            <w:shd w:val="clear" w:color="auto" w:fill="auto"/>
            <w:noWrap/>
            <w:vAlign w:val="center"/>
            <w:hideMark/>
          </w:tcPr>
          <w:p w:rsidR="004C6EC0" w:rsidRPr="00344ADF" w:rsidRDefault="004C6EC0">
            <w:pPr>
              <w:spacing w:after="0" w:line="240" w:lineRule="auto"/>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100.0 </w:t>
            </w:r>
          </w:p>
        </w:tc>
      </w:tr>
      <w:tr w:rsidR="004C6EC0" w:rsidRPr="004C6EC0" w:rsidTr="00344ADF">
        <w:trPr>
          <w:trHeight w:hRule="exact" w:val="340"/>
        </w:trPr>
        <w:tc>
          <w:tcPr>
            <w:tcW w:w="3340" w:type="dxa"/>
            <w:tcBorders>
              <w:top w:val="nil"/>
              <w:left w:val="nil"/>
              <w:bottom w:val="nil"/>
              <w:right w:val="nil"/>
            </w:tcBorders>
            <w:shd w:val="clear" w:color="auto" w:fill="E5E5E5" w:themeFill="background1" w:themeFillTint="33"/>
            <w:noWrap/>
            <w:vAlign w:val="center"/>
            <w:hideMark/>
          </w:tcPr>
          <w:p w:rsidR="004C6EC0" w:rsidRPr="00344ADF" w:rsidRDefault="004C6EC0">
            <w:pPr>
              <w:spacing w:after="0" w:line="240" w:lineRule="auto"/>
              <w:rPr>
                <w:rFonts w:eastAsia="Times New Roman" w:cstheme="minorHAnsi"/>
                <w:color w:val="000000"/>
                <w:sz w:val="20"/>
                <w:szCs w:val="20"/>
                <w:lang w:eastAsia="en-AU"/>
              </w:rPr>
            </w:pPr>
            <w:r w:rsidRPr="00344ADF">
              <w:rPr>
                <w:rFonts w:eastAsia="Times New Roman" w:cstheme="minorHAnsi"/>
                <w:color w:val="000000"/>
                <w:sz w:val="20"/>
                <w:szCs w:val="20"/>
                <w:lang w:eastAsia="en-AU"/>
              </w:rPr>
              <w:t>Female</w:t>
            </w:r>
          </w:p>
        </w:tc>
        <w:tc>
          <w:tcPr>
            <w:tcW w:w="1564"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Pr>
                <w:rFonts w:eastAsia="Times New Roman" w:cstheme="minorHAnsi"/>
                <w:color w:val="000000"/>
                <w:sz w:val="20"/>
                <w:szCs w:val="20"/>
                <w:lang w:eastAsia="en-AU"/>
              </w:rPr>
              <w:t>-</w:t>
            </w:r>
          </w:p>
        </w:tc>
        <w:tc>
          <w:tcPr>
            <w:tcW w:w="1614"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39.2 </w:t>
            </w:r>
          </w:p>
        </w:tc>
        <w:tc>
          <w:tcPr>
            <w:tcW w:w="1813"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49.5 </w:t>
            </w:r>
          </w:p>
        </w:tc>
        <w:tc>
          <w:tcPr>
            <w:tcW w:w="1602"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3.8 </w:t>
            </w:r>
          </w:p>
        </w:tc>
        <w:tc>
          <w:tcPr>
            <w:tcW w:w="1702"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7.6 </w:t>
            </w:r>
          </w:p>
        </w:tc>
        <w:tc>
          <w:tcPr>
            <w:tcW w:w="960" w:type="dxa"/>
            <w:tcBorders>
              <w:top w:val="nil"/>
              <w:left w:val="nil"/>
              <w:bottom w:val="nil"/>
              <w:right w:val="nil"/>
            </w:tcBorders>
            <w:shd w:val="clear" w:color="auto" w:fill="E5E5E5" w:themeFill="background1" w:themeFillTint="33"/>
            <w:noWrap/>
            <w:vAlign w:val="center"/>
            <w:hideMark/>
          </w:tcPr>
          <w:p w:rsidR="004C6EC0" w:rsidRPr="00344ADF" w:rsidRDefault="004C6EC0">
            <w:pPr>
              <w:spacing w:after="0" w:line="240" w:lineRule="auto"/>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100.0 </w:t>
            </w:r>
          </w:p>
        </w:tc>
      </w:tr>
      <w:tr w:rsidR="004C6EC0" w:rsidRPr="004C6EC0" w:rsidTr="004C6EC0">
        <w:trPr>
          <w:trHeight w:hRule="exact" w:val="340"/>
        </w:trPr>
        <w:tc>
          <w:tcPr>
            <w:tcW w:w="3340" w:type="dxa"/>
            <w:tcBorders>
              <w:top w:val="nil"/>
              <w:left w:val="nil"/>
              <w:bottom w:val="nil"/>
              <w:right w:val="nil"/>
            </w:tcBorders>
            <w:shd w:val="clear" w:color="auto" w:fill="auto"/>
            <w:noWrap/>
            <w:vAlign w:val="center"/>
            <w:hideMark/>
          </w:tcPr>
          <w:p w:rsidR="004C6EC0" w:rsidRPr="00344ADF" w:rsidRDefault="004C6EC0">
            <w:pPr>
              <w:spacing w:after="0" w:line="240" w:lineRule="auto"/>
              <w:rPr>
                <w:rFonts w:eastAsia="Times New Roman" w:cstheme="minorHAnsi"/>
                <w:color w:val="000000"/>
                <w:sz w:val="20"/>
                <w:szCs w:val="20"/>
                <w:lang w:eastAsia="en-AU"/>
              </w:rPr>
            </w:pPr>
            <w:r w:rsidRPr="00344ADF">
              <w:rPr>
                <w:rFonts w:eastAsia="Times New Roman" w:cstheme="minorHAnsi"/>
                <w:color w:val="000000"/>
                <w:sz w:val="20"/>
                <w:szCs w:val="20"/>
                <w:lang w:eastAsia="en-AU"/>
              </w:rPr>
              <w:t>Male</w:t>
            </w:r>
          </w:p>
        </w:tc>
        <w:tc>
          <w:tcPr>
            <w:tcW w:w="1564"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26.4 </w:t>
            </w:r>
          </w:p>
        </w:tc>
        <w:tc>
          <w:tcPr>
            <w:tcW w:w="1614"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59.7 </w:t>
            </w:r>
          </w:p>
        </w:tc>
        <w:tc>
          <w:tcPr>
            <w:tcW w:w="1813"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Pr>
                <w:rFonts w:eastAsia="Times New Roman" w:cstheme="minorHAnsi"/>
                <w:color w:val="000000"/>
                <w:sz w:val="20"/>
                <w:szCs w:val="20"/>
                <w:lang w:eastAsia="en-AU"/>
              </w:rPr>
              <w:t>-</w:t>
            </w:r>
          </w:p>
        </w:tc>
        <w:tc>
          <w:tcPr>
            <w:tcW w:w="1602"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10.4 </w:t>
            </w:r>
          </w:p>
        </w:tc>
        <w:tc>
          <w:tcPr>
            <w:tcW w:w="1702"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3.5 </w:t>
            </w:r>
          </w:p>
        </w:tc>
        <w:tc>
          <w:tcPr>
            <w:tcW w:w="960" w:type="dxa"/>
            <w:tcBorders>
              <w:top w:val="nil"/>
              <w:left w:val="nil"/>
              <w:bottom w:val="nil"/>
              <w:right w:val="nil"/>
            </w:tcBorders>
            <w:shd w:val="clear" w:color="auto" w:fill="auto"/>
            <w:noWrap/>
            <w:vAlign w:val="center"/>
            <w:hideMark/>
          </w:tcPr>
          <w:p w:rsidR="004C6EC0" w:rsidRPr="00344ADF" w:rsidRDefault="004C6EC0">
            <w:pPr>
              <w:spacing w:after="0" w:line="240" w:lineRule="auto"/>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100.0 </w:t>
            </w:r>
          </w:p>
        </w:tc>
      </w:tr>
      <w:tr w:rsidR="004C6EC0" w:rsidRPr="004C6EC0" w:rsidTr="00344ADF">
        <w:trPr>
          <w:trHeight w:hRule="exact" w:val="340"/>
        </w:trPr>
        <w:tc>
          <w:tcPr>
            <w:tcW w:w="3340" w:type="dxa"/>
            <w:tcBorders>
              <w:top w:val="nil"/>
              <w:left w:val="nil"/>
              <w:bottom w:val="nil"/>
              <w:right w:val="nil"/>
            </w:tcBorders>
            <w:shd w:val="clear" w:color="auto" w:fill="E5E5E5" w:themeFill="background1" w:themeFillTint="33"/>
            <w:noWrap/>
            <w:vAlign w:val="center"/>
            <w:hideMark/>
          </w:tcPr>
          <w:p w:rsidR="004C6EC0" w:rsidRPr="00344ADF" w:rsidRDefault="004C6EC0">
            <w:pPr>
              <w:spacing w:after="0" w:line="240" w:lineRule="auto"/>
              <w:rPr>
                <w:rFonts w:eastAsia="Times New Roman" w:cstheme="minorHAnsi"/>
                <w:color w:val="000000"/>
                <w:sz w:val="20"/>
                <w:szCs w:val="20"/>
                <w:lang w:eastAsia="en-AU"/>
              </w:rPr>
            </w:pPr>
            <w:r w:rsidRPr="00344ADF">
              <w:rPr>
                <w:rFonts w:eastAsia="Times New Roman" w:cstheme="minorHAnsi"/>
                <w:color w:val="000000"/>
                <w:sz w:val="20"/>
                <w:szCs w:val="20"/>
                <w:lang w:eastAsia="en-AU"/>
              </w:rPr>
              <w:t>Male</w:t>
            </w:r>
          </w:p>
        </w:tc>
        <w:tc>
          <w:tcPr>
            <w:tcW w:w="1564"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33.4 </w:t>
            </w:r>
          </w:p>
        </w:tc>
        <w:tc>
          <w:tcPr>
            <w:tcW w:w="1614"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Pr>
                <w:rFonts w:eastAsia="Times New Roman" w:cstheme="minorHAnsi"/>
                <w:color w:val="000000"/>
                <w:sz w:val="20"/>
                <w:szCs w:val="20"/>
                <w:lang w:eastAsia="en-AU"/>
              </w:rPr>
              <w:t>-</w:t>
            </w:r>
          </w:p>
        </w:tc>
        <w:tc>
          <w:tcPr>
            <w:tcW w:w="1813"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58.3 </w:t>
            </w:r>
          </w:p>
        </w:tc>
        <w:tc>
          <w:tcPr>
            <w:tcW w:w="1602"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2.3 </w:t>
            </w:r>
          </w:p>
        </w:tc>
        <w:tc>
          <w:tcPr>
            <w:tcW w:w="1702"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6.0 </w:t>
            </w:r>
          </w:p>
        </w:tc>
        <w:tc>
          <w:tcPr>
            <w:tcW w:w="960" w:type="dxa"/>
            <w:tcBorders>
              <w:top w:val="nil"/>
              <w:left w:val="nil"/>
              <w:bottom w:val="nil"/>
              <w:right w:val="nil"/>
            </w:tcBorders>
            <w:shd w:val="clear" w:color="auto" w:fill="E5E5E5" w:themeFill="background1" w:themeFillTint="33"/>
            <w:noWrap/>
            <w:vAlign w:val="center"/>
            <w:hideMark/>
          </w:tcPr>
          <w:p w:rsidR="004C6EC0" w:rsidRPr="00344ADF" w:rsidRDefault="004C6EC0">
            <w:pPr>
              <w:spacing w:after="0" w:line="240" w:lineRule="auto"/>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100.0 </w:t>
            </w:r>
          </w:p>
        </w:tc>
      </w:tr>
      <w:tr w:rsidR="004C6EC0" w:rsidRPr="004C6EC0" w:rsidTr="004C6EC0">
        <w:trPr>
          <w:trHeight w:hRule="exact" w:val="340"/>
        </w:trPr>
        <w:tc>
          <w:tcPr>
            <w:tcW w:w="3340" w:type="dxa"/>
            <w:tcBorders>
              <w:top w:val="nil"/>
              <w:left w:val="nil"/>
              <w:bottom w:val="nil"/>
              <w:right w:val="nil"/>
            </w:tcBorders>
            <w:shd w:val="clear" w:color="auto" w:fill="auto"/>
            <w:noWrap/>
            <w:vAlign w:val="center"/>
            <w:hideMark/>
          </w:tcPr>
          <w:p w:rsidR="004C6EC0" w:rsidRPr="00344ADF" w:rsidRDefault="004C6EC0">
            <w:pPr>
              <w:spacing w:after="0" w:line="240" w:lineRule="auto"/>
              <w:rPr>
                <w:rFonts w:eastAsia="Times New Roman" w:cstheme="minorHAnsi"/>
                <w:color w:val="000000"/>
                <w:sz w:val="20"/>
                <w:szCs w:val="20"/>
                <w:lang w:eastAsia="en-AU"/>
              </w:rPr>
            </w:pPr>
            <w:r w:rsidRPr="00344ADF">
              <w:rPr>
                <w:rFonts w:eastAsia="Times New Roman" w:cstheme="minorHAnsi"/>
                <w:color w:val="000000"/>
                <w:sz w:val="20"/>
                <w:szCs w:val="20"/>
                <w:lang w:eastAsia="en-AU"/>
              </w:rPr>
              <w:t>Male</w:t>
            </w:r>
          </w:p>
        </w:tc>
        <w:tc>
          <w:tcPr>
            <w:tcW w:w="1564"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Pr>
                <w:rFonts w:eastAsia="Times New Roman" w:cstheme="minorHAnsi"/>
                <w:color w:val="000000"/>
                <w:sz w:val="20"/>
                <w:szCs w:val="20"/>
                <w:lang w:eastAsia="en-AU"/>
              </w:rPr>
              <w:t>-</w:t>
            </w:r>
          </w:p>
        </w:tc>
        <w:tc>
          <w:tcPr>
            <w:tcW w:w="1614"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38.6 </w:t>
            </w:r>
          </w:p>
        </w:tc>
        <w:tc>
          <w:tcPr>
            <w:tcW w:w="1813"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52.0 </w:t>
            </w:r>
          </w:p>
        </w:tc>
        <w:tc>
          <w:tcPr>
            <w:tcW w:w="1602"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3.9 </w:t>
            </w:r>
          </w:p>
        </w:tc>
        <w:tc>
          <w:tcPr>
            <w:tcW w:w="1702"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5.4 </w:t>
            </w:r>
          </w:p>
        </w:tc>
        <w:tc>
          <w:tcPr>
            <w:tcW w:w="960" w:type="dxa"/>
            <w:tcBorders>
              <w:top w:val="nil"/>
              <w:left w:val="nil"/>
              <w:bottom w:val="nil"/>
              <w:right w:val="nil"/>
            </w:tcBorders>
            <w:shd w:val="clear" w:color="auto" w:fill="auto"/>
            <w:noWrap/>
            <w:vAlign w:val="center"/>
            <w:hideMark/>
          </w:tcPr>
          <w:p w:rsidR="004C6EC0" w:rsidRPr="00344ADF" w:rsidRDefault="004C6EC0">
            <w:pPr>
              <w:spacing w:after="0" w:line="240" w:lineRule="auto"/>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100.0 </w:t>
            </w:r>
          </w:p>
        </w:tc>
      </w:tr>
      <w:tr w:rsidR="004C6EC0" w:rsidRPr="004C6EC0" w:rsidTr="00344ADF">
        <w:trPr>
          <w:trHeight w:hRule="exact" w:val="340"/>
        </w:trPr>
        <w:tc>
          <w:tcPr>
            <w:tcW w:w="3340" w:type="dxa"/>
            <w:tcBorders>
              <w:top w:val="nil"/>
              <w:left w:val="nil"/>
              <w:bottom w:val="nil"/>
              <w:right w:val="nil"/>
            </w:tcBorders>
            <w:shd w:val="clear" w:color="auto" w:fill="E5E5E5" w:themeFill="background1" w:themeFillTint="33"/>
            <w:noWrap/>
            <w:vAlign w:val="center"/>
            <w:hideMark/>
          </w:tcPr>
          <w:p w:rsidR="004C6EC0" w:rsidRPr="00344ADF" w:rsidRDefault="004C6EC0">
            <w:pPr>
              <w:spacing w:after="0" w:line="240" w:lineRule="auto"/>
              <w:rPr>
                <w:rFonts w:eastAsia="Times New Roman" w:cstheme="minorHAnsi"/>
                <w:color w:val="000000"/>
                <w:sz w:val="20"/>
                <w:szCs w:val="20"/>
                <w:lang w:eastAsia="en-AU"/>
              </w:rPr>
            </w:pPr>
            <w:r w:rsidRPr="00344ADF">
              <w:rPr>
                <w:rFonts w:eastAsia="Times New Roman" w:cstheme="minorHAnsi"/>
                <w:color w:val="000000"/>
                <w:sz w:val="20"/>
                <w:szCs w:val="20"/>
                <w:lang w:eastAsia="en-AU"/>
              </w:rPr>
              <w:t>Female , JCB age group</w:t>
            </w:r>
          </w:p>
        </w:tc>
        <w:tc>
          <w:tcPr>
            <w:tcW w:w="1564"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28.5 </w:t>
            </w:r>
          </w:p>
        </w:tc>
        <w:tc>
          <w:tcPr>
            <w:tcW w:w="1614"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71.5 </w:t>
            </w:r>
          </w:p>
        </w:tc>
        <w:tc>
          <w:tcPr>
            <w:tcW w:w="1813"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Pr>
                <w:rFonts w:eastAsia="Times New Roman" w:cstheme="minorHAnsi"/>
                <w:color w:val="000000"/>
                <w:sz w:val="20"/>
                <w:szCs w:val="20"/>
                <w:lang w:eastAsia="en-AU"/>
              </w:rPr>
              <w:t>-</w:t>
            </w:r>
          </w:p>
        </w:tc>
        <w:tc>
          <w:tcPr>
            <w:tcW w:w="1602"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   </w:t>
            </w:r>
          </w:p>
        </w:tc>
        <w:tc>
          <w:tcPr>
            <w:tcW w:w="1702"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   </w:t>
            </w:r>
          </w:p>
        </w:tc>
        <w:tc>
          <w:tcPr>
            <w:tcW w:w="960" w:type="dxa"/>
            <w:tcBorders>
              <w:top w:val="nil"/>
              <w:left w:val="nil"/>
              <w:bottom w:val="nil"/>
              <w:right w:val="nil"/>
            </w:tcBorders>
            <w:shd w:val="clear" w:color="auto" w:fill="E5E5E5" w:themeFill="background1" w:themeFillTint="33"/>
            <w:noWrap/>
            <w:vAlign w:val="center"/>
            <w:hideMark/>
          </w:tcPr>
          <w:p w:rsidR="004C6EC0" w:rsidRPr="00344ADF" w:rsidRDefault="004C6EC0">
            <w:pPr>
              <w:spacing w:after="0" w:line="240" w:lineRule="auto"/>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100.0 </w:t>
            </w:r>
          </w:p>
        </w:tc>
      </w:tr>
      <w:tr w:rsidR="004C6EC0" w:rsidRPr="004C6EC0" w:rsidTr="004C6EC0">
        <w:trPr>
          <w:trHeight w:hRule="exact" w:val="340"/>
        </w:trPr>
        <w:tc>
          <w:tcPr>
            <w:tcW w:w="3340" w:type="dxa"/>
            <w:tcBorders>
              <w:top w:val="nil"/>
              <w:left w:val="nil"/>
              <w:bottom w:val="nil"/>
              <w:right w:val="nil"/>
            </w:tcBorders>
            <w:shd w:val="clear" w:color="auto" w:fill="auto"/>
            <w:noWrap/>
            <w:vAlign w:val="center"/>
            <w:hideMark/>
          </w:tcPr>
          <w:p w:rsidR="004C6EC0" w:rsidRPr="00344ADF" w:rsidRDefault="004C6EC0">
            <w:pPr>
              <w:spacing w:after="0" w:line="240" w:lineRule="auto"/>
              <w:rPr>
                <w:rFonts w:eastAsia="Times New Roman" w:cstheme="minorHAnsi"/>
                <w:color w:val="000000"/>
                <w:sz w:val="20"/>
                <w:szCs w:val="20"/>
                <w:lang w:eastAsia="en-AU"/>
              </w:rPr>
            </w:pPr>
            <w:r w:rsidRPr="00344ADF">
              <w:rPr>
                <w:rFonts w:eastAsia="Times New Roman" w:cstheme="minorHAnsi"/>
                <w:color w:val="000000"/>
                <w:sz w:val="20"/>
                <w:szCs w:val="20"/>
                <w:lang w:eastAsia="en-AU"/>
              </w:rPr>
              <w:t>Female , JCB age group</w:t>
            </w:r>
          </w:p>
        </w:tc>
        <w:tc>
          <w:tcPr>
            <w:tcW w:w="1564"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46.8 </w:t>
            </w:r>
          </w:p>
        </w:tc>
        <w:tc>
          <w:tcPr>
            <w:tcW w:w="1614"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Pr>
                <w:rFonts w:eastAsia="Times New Roman" w:cstheme="minorHAnsi"/>
                <w:color w:val="000000"/>
                <w:sz w:val="20"/>
                <w:szCs w:val="20"/>
                <w:lang w:eastAsia="en-AU"/>
              </w:rPr>
              <w:t>-</w:t>
            </w:r>
          </w:p>
        </w:tc>
        <w:tc>
          <w:tcPr>
            <w:tcW w:w="1813"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49.4 </w:t>
            </w:r>
          </w:p>
        </w:tc>
        <w:tc>
          <w:tcPr>
            <w:tcW w:w="1602"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Pr>
                <w:rFonts w:eastAsia="Times New Roman" w:cstheme="minorHAnsi"/>
                <w:color w:val="000000"/>
                <w:sz w:val="20"/>
                <w:szCs w:val="20"/>
                <w:lang w:eastAsia="en-AU"/>
              </w:rPr>
              <w:t>-</w:t>
            </w:r>
          </w:p>
        </w:tc>
        <w:tc>
          <w:tcPr>
            <w:tcW w:w="1702"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3.8 </w:t>
            </w:r>
          </w:p>
        </w:tc>
        <w:tc>
          <w:tcPr>
            <w:tcW w:w="960" w:type="dxa"/>
            <w:tcBorders>
              <w:top w:val="nil"/>
              <w:left w:val="nil"/>
              <w:bottom w:val="nil"/>
              <w:right w:val="nil"/>
            </w:tcBorders>
            <w:shd w:val="clear" w:color="auto" w:fill="auto"/>
            <w:noWrap/>
            <w:vAlign w:val="center"/>
            <w:hideMark/>
          </w:tcPr>
          <w:p w:rsidR="004C6EC0" w:rsidRPr="00344ADF" w:rsidRDefault="004C6EC0">
            <w:pPr>
              <w:spacing w:after="0" w:line="240" w:lineRule="auto"/>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100.0 </w:t>
            </w:r>
          </w:p>
        </w:tc>
      </w:tr>
      <w:tr w:rsidR="004C6EC0" w:rsidRPr="004C6EC0" w:rsidTr="00344ADF">
        <w:trPr>
          <w:trHeight w:hRule="exact" w:val="340"/>
        </w:trPr>
        <w:tc>
          <w:tcPr>
            <w:tcW w:w="3340" w:type="dxa"/>
            <w:tcBorders>
              <w:top w:val="nil"/>
              <w:left w:val="nil"/>
              <w:bottom w:val="nil"/>
              <w:right w:val="nil"/>
            </w:tcBorders>
            <w:shd w:val="clear" w:color="auto" w:fill="E5E5E5" w:themeFill="background1" w:themeFillTint="33"/>
            <w:noWrap/>
            <w:vAlign w:val="center"/>
            <w:hideMark/>
          </w:tcPr>
          <w:p w:rsidR="004C6EC0" w:rsidRPr="00344ADF" w:rsidRDefault="004C6EC0">
            <w:pPr>
              <w:spacing w:after="0" w:line="240" w:lineRule="auto"/>
              <w:rPr>
                <w:rFonts w:eastAsia="Times New Roman" w:cstheme="minorHAnsi"/>
                <w:color w:val="000000"/>
                <w:sz w:val="20"/>
                <w:szCs w:val="20"/>
                <w:lang w:eastAsia="en-AU"/>
              </w:rPr>
            </w:pPr>
            <w:r w:rsidRPr="00344ADF">
              <w:rPr>
                <w:rFonts w:eastAsia="Times New Roman" w:cstheme="minorHAnsi"/>
                <w:color w:val="000000"/>
                <w:sz w:val="20"/>
                <w:szCs w:val="20"/>
                <w:lang w:eastAsia="en-AU"/>
              </w:rPr>
              <w:t>Female , JCB age group</w:t>
            </w:r>
          </w:p>
        </w:tc>
        <w:tc>
          <w:tcPr>
            <w:tcW w:w="1564"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Pr>
                <w:rFonts w:eastAsia="Times New Roman" w:cstheme="minorHAnsi"/>
                <w:color w:val="000000"/>
                <w:sz w:val="20"/>
                <w:szCs w:val="20"/>
                <w:lang w:eastAsia="en-AU"/>
              </w:rPr>
              <w:t>-</w:t>
            </w:r>
          </w:p>
        </w:tc>
        <w:tc>
          <w:tcPr>
            <w:tcW w:w="1614"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38.5 </w:t>
            </w:r>
          </w:p>
        </w:tc>
        <w:tc>
          <w:tcPr>
            <w:tcW w:w="1813"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57.5 </w:t>
            </w:r>
          </w:p>
        </w:tc>
        <w:tc>
          <w:tcPr>
            <w:tcW w:w="1602"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   </w:t>
            </w:r>
          </w:p>
        </w:tc>
        <w:tc>
          <w:tcPr>
            <w:tcW w:w="1702"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4.0 </w:t>
            </w:r>
          </w:p>
        </w:tc>
        <w:tc>
          <w:tcPr>
            <w:tcW w:w="960" w:type="dxa"/>
            <w:tcBorders>
              <w:top w:val="nil"/>
              <w:left w:val="nil"/>
              <w:bottom w:val="nil"/>
              <w:right w:val="nil"/>
            </w:tcBorders>
            <w:shd w:val="clear" w:color="auto" w:fill="E5E5E5" w:themeFill="background1" w:themeFillTint="33"/>
            <w:noWrap/>
            <w:vAlign w:val="center"/>
            <w:hideMark/>
          </w:tcPr>
          <w:p w:rsidR="004C6EC0" w:rsidRPr="00344ADF" w:rsidRDefault="004C6EC0">
            <w:pPr>
              <w:spacing w:after="0" w:line="240" w:lineRule="auto"/>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100.0 </w:t>
            </w:r>
          </w:p>
        </w:tc>
      </w:tr>
      <w:tr w:rsidR="004C6EC0" w:rsidRPr="004C6EC0" w:rsidTr="004C6EC0">
        <w:trPr>
          <w:trHeight w:hRule="exact" w:val="340"/>
        </w:trPr>
        <w:tc>
          <w:tcPr>
            <w:tcW w:w="3340" w:type="dxa"/>
            <w:tcBorders>
              <w:top w:val="nil"/>
              <w:left w:val="nil"/>
              <w:bottom w:val="nil"/>
              <w:right w:val="nil"/>
            </w:tcBorders>
            <w:shd w:val="clear" w:color="auto" w:fill="auto"/>
            <w:noWrap/>
            <w:vAlign w:val="center"/>
            <w:hideMark/>
          </w:tcPr>
          <w:p w:rsidR="004C6EC0" w:rsidRPr="00344ADF" w:rsidRDefault="004C6EC0">
            <w:pPr>
              <w:spacing w:after="0" w:line="240" w:lineRule="auto"/>
              <w:rPr>
                <w:rFonts w:eastAsia="Times New Roman" w:cstheme="minorHAnsi"/>
                <w:color w:val="000000"/>
                <w:sz w:val="20"/>
                <w:szCs w:val="20"/>
                <w:lang w:eastAsia="en-AU"/>
              </w:rPr>
            </w:pPr>
            <w:r w:rsidRPr="00344ADF">
              <w:rPr>
                <w:rFonts w:eastAsia="Times New Roman" w:cstheme="minorHAnsi"/>
                <w:color w:val="000000"/>
                <w:sz w:val="20"/>
                <w:szCs w:val="20"/>
                <w:lang w:eastAsia="en-AU"/>
              </w:rPr>
              <w:t>Male, JCB age group</w:t>
            </w:r>
          </w:p>
        </w:tc>
        <w:tc>
          <w:tcPr>
            <w:tcW w:w="1564"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22.3 </w:t>
            </w:r>
          </w:p>
        </w:tc>
        <w:tc>
          <w:tcPr>
            <w:tcW w:w="1614"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67.5 </w:t>
            </w:r>
          </w:p>
        </w:tc>
        <w:tc>
          <w:tcPr>
            <w:tcW w:w="1813"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Pr>
                <w:rFonts w:eastAsia="Times New Roman" w:cstheme="minorHAnsi"/>
                <w:color w:val="000000"/>
                <w:sz w:val="20"/>
                <w:szCs w:val="20"/>
                <w:lang w:eastAsia="en-AU"/>
              </w:rPr>
              <w:t>-</w:t>
            </w:r>
          </w:p>
        </w:tc>
        <w:tc>
          <w:tcPr>
            <w:tcW w:w="1602"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7.0 </w:t>
            </w:r>
          </w:p>
        </w:tc>
        <w:tc>
          <w:tcPr>
            <w:tcW w:w="1702" w:type="dxa"/>
            <w:tcBorders>
              <w:top w:val="nil"/>
              <w:left w:val="nil"/>
              <w:bottom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3.3 </w:t>
            </w:r>
          </w:p>
        </w:tc>
        <w:tc>
          <w:tcPr>
            <w:tcW w:w="960" w:type="dxa"/>
            <w:tcBorders>
              <w:top w:val="nil"/>
              <w:left w:val="nil"/>
              <w:bottom w:val="nil"/>
              <w:right w:val="nil"/>
            </w:tcBorders>
            <w:shd w:val="clear" w:color="auto" w:fill="auto"/>
            <w:noWrap/>
            <w:vAlign w:val="center"/>
            <w:hideMark/>
          </w:tcPr>
          <w:p w:rsidR="004C6EC0" w:rsidRPr="00344ADF" w:rsidRDefault="004C6EC0">
            <w:pPr>
              <w:spacing w:after="0" w:line="240" w:lineRule="auto"/>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100.0 </w:t>
            </w:r>
          </w:p>
        </w:tc>
      </w:tr>
      <w:tr w:rsidR="004C6EC0" w:rsidRPr="004C6EC0" w:rsidTr="00344ADF">
        <w:trPr>
          <w:trHeight w:hRule="exact" w:val="340"/>
        </w:trPr>
        <w:tc>
          <w:tcPr>
            <w:tcW w:w="3340" w:type="dxa"/>
            <w:tcBorders>
              <w:top w:val="nil"/>
              <w:left w:val="nil"/>
              <w:bottom w:val="nil"/>
              <w:right w:val="nil"/>
            </w:tcBorders>
            <w:shd w:val="clear" w:color="auto" w:fill="E5E5E5" w:themeFill="background1" w:themeFillTint="33"/>
            <w:noWrap/>
            <w:vAlign w:val="center"/>
            <w:hideMark/>
          </w:tcPr>
          <w:p w:rsidR="004C6EC0" w:rsidRPr="00344ADF" w:rsidRDefault="004C6EC0">
            <w:pPr>
              <w:spacing w:after="0" w:line="240" w:lineRule="auto"/>
              <w:rPr>
                <w:rFonts w:eastAsia="Times New Roman" w:cstheme="minorHAnsi"/>
                <w:color w:val="000000"/>
                <w:sz w:val="20"/>
                <w:szCs w:val="20"/>
                <w:lang w:eastAsia="en-AU"/>
              </w:rPr>
            </w:pPr>
            <w:r w:rsidRPr="00344ADF">
              <w:rPr>
                <w:rFonts w:eastAsia="Times New Roman" w:cstheme="minorHAnsi"/>
                <w:color w:val="000000"/>
                <w:sz w:val="20"/>
                <w:szCs w:val="20"/>
                <w:lang w:eastAsia="en-AU"/>
              </w:rPr>
              <w:t>Male, JCB age group</w:t>
            </w:r>
          </w:p>
        </w:tc>
        <w:tc>
          <w:tcPr>
            <w:tcW w:w="1564"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33.1 </w:t>
            </w:r>
          </w:p>
        </w:tc>
        <w:tc>
          <w:tcPr>
            <w:tcW w:w="1614"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Pr>
                <w:rFonts w:eastAsia="Times New Roman" w:cstheme="minorHAnsi"/>
                <w:color w:val="000000"/>
                <w:sz w:val="20"/>
                <w:szCs w:val="20"/>
                <w:lang w:eastAsia="en-AU"/>
              </w:rPr>
              <w:t>-</w:t>
            </w:r>
          </w:p>
        </w:tc>
        <w:tc>
          <w:tcPr>
            <w:tcW w:w="1813"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64.6 </w:t>
            </w:r>
          </w:p>
        </w:tc>
        <w:tc>
          <w:tcPr>
            <w:tcW w:w="1602"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Pr>
                <w:rFonts w:eastAsia="Times New Roman" w:cstheme="minorHAnsi"/>
                <w:color w:val="000000"/>
                <w:sz w:val="20"/>
                <w:szCs w:val="20"/>
                <w:lang w:eastAsia="en-AU"/>
              </w:rPr>
              <w:t>-</w:t>
            </w:r>
          </w:p>
        </w:tc>
        <w:tc>
          <w:tcPr>
            <w:tcW w:w="1702"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2.4 </w:t>
            </w:r>
          </w:p>
        </w:tc>
        <w:tc>
          <w:tcPr>
            <w:tcW w:w="960" w:type="dxa"/>
            <w:tcBorders>
              <w:top w:val="nil"/>
              <w:left w:val="nil"/>
              <w:bottom w:val="nil"/>
              <w:right w:val="nil"/>
            </w:tcBorders>
            <w:shd w:val="clear" w:color="auto" w:fill="E5E5E5" w:themeFill="background1" w:themeFillTint="33"/>
            <w:noWrap/>
            <w:vAlign w:val="center"/>
            <w:hideMark/>
          </w:tcPr>
          <w:p w:rsidR="004C6EC0" w:rsidRPr="00344ADF" w:rsidRDefault="004C6EC0">
            <w:pPr>
              <w:spacing w:after="0" w:line="240" w:lineRule="auto"/>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100.0 </w:t>
            </w:r>
          </w:p>
        </w:tc>
      </w:tr>
      <w:tr w:rsidR="004C6EC0" w:rsidRPr="004C6EC0" w:rsidTr="00344ADF">
        <w:trPr>
          <w:trHeight w:hRule="exact" w:val="340"/>
        </w:trPr>
        <w:tc>
          <w:tcPr>
            <w:tcW w:w="3340" w:type="dxa"/>
            <w:tcBorders>
              <w:top w:val="nil"/>
              <w:left w:val="nil"/>
              <w:bottom w:val="nil"/>
              <w:right w:val="nil"/>
            </w:tcBorders>
            <w:shd w:val="clear" w:color="auto" w:fill="FFFFFF" w:themeFill="background2"/>
            <w:noWrap/>
            <w:vAlign w:val="center"/>
            <w:hideMark/>
          </w:tcPr>
          <w:p w:rsidR="004C6EC0" w:rsidRPr="00344ADF" w:rsidRDefault="004C6EC0">
            <w:pPr>
              <w:spacing w:after="0" w:line="240" w:lineRule="auto"/>
              <w:rPr>
                <w:rFonts w:eastAsia="Times New Roman" w:cstheme="minorHAnsi"/>
                <w:color w:val="000000"/>
                <w:sz w:val="20"/>
                <w:szCs w:val="20"/>
                <w:lang w:eastAsia="en-AU"/>
              </w:rPr>
            </w:pPr>
            <w:r w:rsidRPr="00344ADF">
              <w:rPr>
                <w:rFonts w:eastAsia="Times New Roman" w:cstheme="minorHAnsi"/>
                <w:color w:val="000000"/>
                <w:sz w:val="20"/>
                <w:szCs w:val="20"/>
                <w:lang w:eastAsia="en-AU"/>
              </w:rPr>
              <w:t>Male, JCB age group</w:t>
            </w:r>
          </w:p>
        </w:tc>
        <w:tc>
          <w:tcPr>
            <w:tcW w:w="1564" w:type="dxa"/>
            <w:tcBorders>
              <w:top w:val="nil"/>
              <w:left w:val="nil"/>
              <w:bottom w:val="nil"/>
              <w:right w:val="nil"/>
            </w:tcBorders>
            <w:shd w:val="clear" w:color="auto" w:fill="FFFFFF" w:themeFill="background2"/>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Pr>
                <w:rFonts w:eastAsia="Times New Roman" w:cstheme="minorHAnsi"/>
                <w:color w:val="000000"/>
                <w:sz w:val="20"/>
                <w:szCs w:val="20"/>
                <w:lang w:eastAsia="en-AU"/>
              </w:rPr>
              <w:t>-</w:t>
            </w:r>
          </w:p>
        </w:tc>
        <w:tc>
          <w:tcPr>
            <w:tcW w:w="1614" w:type="dxa"/>
            <w:tcBorders>
              <w:top w:val="nil"/>
              <w:left w:val="nil"/>
              <w:bottom w:val="nil"/>
              <w:right w:val="nil"/>
            </w:tcBorders>
            <w:shd w:val="clear" w:color="auto" w:fill="FFFFFF" w:themeFill="background2"/>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37.9 </w:t>
            </w:r>
          </w:p>
        </w:tc>
        <w:tc>
          <w:tcPr>
            <w:tcW w:w="1813" w:type="dxa"/>
            <w:tcBorders>
              <w:top w:val="nil"/>
              <w:left w:val="nil"/>
              <w:bottom w:val="nil"/>
              <w:right w:val="nil"/>
            </w:tcBorders>
            <w:shd w:val="clear" w:color="auto" w:fill="FFFFFF" w:themeFill="background2"/>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58.1 </w:t>
            </w:r>
          </w:p>
        </w:tc>
        <w:tc>
          <w:tcPr>
            <w:tcW w:w="1602" w:type="dxa"/>
            <w:tcBorders>
              <w:top w:val="nil"/>
              <w:left w:val="nil"/>
              <w:bottom w:val="nil"/>
              <w:right w:val="nil"/>
            </w:tcBorders>
            <w:shd w:val="clear" w:color="auto" w:fill="FFFFFF" w:themeFill="background2"/>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1.7 </w:t>
            </w:r>
          </w:p>
        </w:tc>
        <w:tc>
          <w:tcPr>
            <w:tcW w:w="1702" w:type="dxa"/>
            <w:tcBorders>
              <w:top w:val="nil"/>
              <w:left w:val="nil"/>
              <w:bottom w:val="nil"/>
              <w:right w:val="nil"/>
            </w:tcBorders>
            <w:shd w:val="clear" w:color="auto" w:fill="FFFFFF" w:themeFill="background2"/>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2.2 </w:t>
            </w:r>
          </w:p>
        </w:tc>
        <w:tc>
          <w:tcPr>
            <w:tcW w:w="960" w:type="dxa"/>
            <w:tcBorders>
              <w:top w:val="nil"/>
              <w:left w:val="nil"/>
              <w:bottom w:val="nil"/>
              <w:right w:val="nil"/>
            </w:tcBorders>
            <w:shd w:val="clear" w:color="auto" w:fill="FFFFFF" w:themeFill="background2"/>
            <w:noWrap/>
            <w:vAlign w:val="center"/>
            <w:hideMark/>
          </w:tcPr>
          <w:p w:rsidR="004C6EC0" w:rsidRPr="00344ADF" w:rsidRDefault="004C6EC0">
            <w:pPr>
              <w:spacing w:after="0" w:line="240" w:lineRule="auto"/>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100.0 </w:t>
            </w:r>
          </w:p>
        </w:tc>
      </w:tr>
      <w:tr w:rsidR="004C6EC0" w:rsidRPr="004C6EC0" w:rsidTr="00344ADF">
        <w:trPr>
          <w:trHeight w:hRule="exact" w:val="340"/>
        </w:trPr>
        <w:tc>
          <w:tcPr>
            <w:tcW w:w="3340" w:type="dxa"/>
            <w:tcBorders>
              <w:top w:val="nil"/>
              <w:left w:val="nil"/>
              <w:bottom w:val="nil"/>
              <w:right w:val="nil"/>
            </w:tcBorders>
            <w:shd w:val="clear" w:color="auto" w:fill="E5E5E5" w:themeFill="background1" w:themeFillTint="33"/>
            <w:noWrap/>
            <w:vAlign w:val="center"/>
            <w:hideMark/>
          </w:tcPr>
          <w:p w:rsidR="004C6EC0" w:rsidRPr="00344ADF" w:rsidRDefault="004C6EC0">
            <w:pPr>
              <w:spacing w:after="0" w:line="240" w:lineRule="auto"/>
              <w:rPr>
                <w:rFonts w:eastAsia="Times New Roman" w:cstheme="minorHAnsi"/>
                <w:color w:val="000000"/>
                <w:sz w:val="20"/>
                <w:szCs w:val="20"/>
                <w:lang w:eastAsia="en-AU"/>
              </w:rPr>
            </w:pPr>
            <w:r w:rsidRPr="00344ADF">
              <w:rPr>
                <w:rFonts w:eastAsia="Times New Roman" w:cstheme="minorHAnsi"/>
                <w:color w:val="000000"/>
                <w:sz w:val="20"/>
                <w:szCs w:val="20"/>
                <w:lang w:eastAsia="en-AU"/>
              </w:rPr>
              <w:t>JCB age cohort</w:t>
            </w:r>
          </w:p>
        </w:tc>
        <w:tc>
          <w:tcPr>
            <w:tcW w:w="1564"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25.5 </w:t>
            </w:r>
          </w:p>
        </w:tc>
        <w:tc>
          <w:tcPr>
            <w:tcW w:w="1614"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69.5 </w:t>
            </w:r>
          </w:p>
        </w:tc>
        <w:tc>
          <w:tcPr>
            <w:tcW w:w="1813"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Pr>
                <w:rFonts w:eastAsia="Times New Roman" w:cstheme="minorHAnsi"/>
                <w:color w:val="000000"/>
                <w:sz w:val="20"/>
                <w:szCs w:val="20"/>
                <w:lang w:eastAsia="en-AU"/>
              </w:rPr>
              <w:t>-</w:t>
            </w:r>
          </w:p>
        </w:tc>
        <w:tc>
          <w:tcPr>
            <w:tcW w:w="1602"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3.4 </w:t>
            </w:r>
          </w:p>
        </w:tc>
        <w:tc>
          <w:tcPr>
            <w:tcW w:w="1702" w:type="dxa"/>
            <w:tcBorders>
              <w:top w:val="nil"/>
              <w:left w:val="nil"/>
              <w:bottom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1.6 </w:t>
            </w:r>
          </w:p>
        </w:tc>
        <w:tc>
          <w:tcPr>
            <w:tcW w:w="960" w:type="dxa"/>
            <w:tcBorders>
              <w:top w:val="nil"/>
              <w:left w:val="nil"/>
              <w:bottom w:val="nil"/>
              <w:right w:val="nil"/>
            </w:tcBorders>
            <w:shd w:val="clear" w:color="auto" w:fill="E5E5E5" w:themeFill="background1" w:themeFillTint="33"/>
            <w:noWrap/>
            <w:vAlign w:val="center"/>
            <w:hideMark/>
          </w:tcPr>
          <w:p w:rsidR="004C6EC0" w:rsidRPr="00344ADF" w:rsidRDefault="004C6EC0">
            <w:pPr>
              <w:spacing w:after="0" w:line="240" w:lineRule="auto"/>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100.0 </w:t>
            </w:r>
          </w:p>
        </w:tc>
      </w:tr>
      <w:tr w:rsidR="004C6EC0" w:rsidRPr="004C6EC0" w:rsidTr="00344ADF">
        <w:trPr>
          <w:trHeight w:hRule="exact" w:val="340"/>
        </w:trPr>
        <w:tc>
          <w:tcPr>
            <w:tcW w:w="3340" w:type="dxa"/>
            <w:tcBorders>
              <w:top w:val="nil"/>
              <w:left w:val="nil"/>
              <w:right w:val="nil"/>
            </w:tcBorders>
            <w:shd w:val="clear" w:color="auto" w:fill="auto"/>
            <w:noWrap/>
            <w:vAlign w:val="center"/>
            <w:hideMark/>
          </w:tcPr>
          <w:p w:rsidR="004C6EC0" w:rsidRPr="00344ADF" w:rsidRDefault="004C6EC0">
            <w:pPr>
              <w:spacing w:after="0" w:line="240" w:lineRule="auto"/>
              <w:rPr>
                <w:rFonts w:eastAsia="Times New Roman" w:cstheme="minorHAnsi"/>
                <w:color w:val="000000"/>
                <w:sz w:val="20"/>
                <w:szCs w:val="20"/>
                <w:lang w:eastAsia="en-AU"/>
              </w:rPr>
            </w:pPr>
            <w:r w:rsidRPr="00344ADF">
              <w:rPr>
                <w:rFonts w:eastAsia="Times New Roman" w:cstheme="minorHAnsi"/>
                <w:color w:val="000000"/>
                <w:sz w:val="20"/>
                <w:szCs w:val="20"/>
                <w:lang w:eastAsia="en-AU"/>
              </w:rPr>
              <w:t>JCB age cohort</w:t>
            </w:r>
          </w:p>
        </w:tc>
        <w:tc>
          <w:tcPr>
            <w:tcW w:w="1564" w:type="dxa"/>
            <w:tcBorders>
              <w:top w:val="nil"/>
              <w:left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39.6 </w:t>
            </w:r>
          </w:p>
        </w:tc>
        <w:tc>
          <w:tcPr>
            <w:tcW w:w="1614" w:type="dxa"/>
            <w:tcBorders>
              <w:top w:val="nil"/>
              <w:left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Pr>
                <w:rFonts w:eastAsia="Times New Roman" w:cstheme="minorHAnsi"/>
                <w:color w:val="000000"/>
                <w:sz w:val="20"/>
                <w:szCs w:val="20"/>
                <w:lang w:eastAsia="en-AU"/>
              </w:rPr>
              <w:t>-</w:t>
            </w:r>
          </w:p>
        </w:tc>
        <w:tc>
          <w:tcPr>
            <w:tcW w:w="1813" w:type="dxa"/>
            <w:tcBorders>
              <w:top w:val="nil"/>
              <w:left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57.3 </w:t>
            </w:r>
          </w:p>
        </w:tc>
        <w:tc>
          <w:tcPr>
            <w:tcW w:w="1602" w:type="dxa"/>
            <w:tcBorders>
              <w:top w:val="nil"/>
              <w:left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   </w:t>
            </w:r>
          </w:p>
        </w:tc>
        <w:tc>
          <w:tcPr>
            <w:tcW w:w="1702" w:type="dxa"/>
            <w:tcBorders>
              <w:top w:val="nil"/>
              <w:left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3.1 </w:t>
            </w:r>
          </w:p>
        </w:tc>
        <w:tc>
          <w:tcPr>
            <w:tcW w:w="960" w:type="dxa"/>
            <w:tcBorders>
              <w:top w:val="nil"/>
              <w:left w:val="nil"/>
              <w:right w:val="nil"/>
            </w:tcBorders>
            <w:shd w:val="clear" w:color="auto" w:fill="auto"/>
            <w:noWrap/>
            <w:vAlign w:val="center"/>
            <w:hideMark/>
          </w:tcPr>
          <w:p w:rsidR="004C6EC0" w:rsidRPr="00344ADF" w:rsidRDefault="004C6EC0">
            <w:pPr>
              <w:spacing w:after="0" w:line="240" w:lineRule="auto"/>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100.0 </w:t>
            </w:r>
          </w:p>
        </w:tc>
      </w:tr>
      <w:tr w:rsidR="004C6EC0" w:rsidRPr="004C6EC0" w:rsidTr="00344ADF">
        <w:trPr>
          <w:trHeight w:hRule="exact" w:val="340"/>
        </w:trPr>
        <w:tc>
          <w:tcPr>
            <w:tcW w:w="3340" w:type="dxa"/>
            <w:tcBorders>
              <w:top w:val="nil"/>
              <w:left w:val="nil"/>
              <w:right w:val="nil"/>
            </w:tcBorders>
            <w:shd w:val="clear" w:color="auto" w:fill="E5E5E5" w:themeFill="background1" w:themeFillTint="33"/>
            <w:noWrap/>
            <w:vAlign w:val="center"/>
            <w:hideMark/>
          </w:tcPr>
          <w:p w:rsidR="004C6EC0" w:rsidRPr="00344ADF" w:rsidRDefault="004C6EC0">
            <w:pPr>
              <w:spacing w:after="0" w:line="240" w:lineRule="auto"/>
              <w:rPr>
                <w:rFonts w:eastAsia="Times New Roman" w:cstheme="minorHAnsi"/>
                <w:color w:val="000000"/>
                <w:sz w:val="20"/>
                <w:szCs w:val="20"/>
                <w:lang w:eastAsia="en-AU"/>
              </w:rPr>
            </w:pPr>
            <w:r w:rsidRPr="00344ADF">
              <w:rPr>
                <w:rFonts w:eastAsia="Times New Roman" w:cstheme="minorHAnsi"/>
                <w:color w:val="000000"/>
                <w:sz w:val="20"/>
                <w:szCs w:val="20"/>
                <w:lang w:eastAsia="en-AU"/>
              </w:rPr>
              <w:t>JCB age cohort</w:t>
            </w:r>
          </w:p>
        </w:tc>
        <w:tc>
          <w:tcPr>
            <w:tcW w:w="1564" w:type="dxa"/>
            <w:tcBorders>
              <w:top w:val="nil"/>
              <w:left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Pr>
                <w:rFonts w:eastAsia="Times New Roman" w:cstheme="minorHAnsi"/>
                <w:color w:val="000000"/>
                <w:sz w:val="20"/>
                <w:szCs w:val="20"/>
                <w:lang w:eastAsia="en-AU"/>
              </w:rPr>
              <w:t>-</w:t>
            </w:r>
          </w:p>
        </w:tc>
        <w:tc>
          <w:tcPr>
            <w:tcW w:w="1614" w:type="dxa"/>
            <w:tcBorders>
              <w:top w:val="nil"/>
              <w:left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38.2 </w:t>
            </w:r>
          </w:p>
        </w:tc>
        <w:tc>
          <w:tcPr>
            <w:tcW w:w="1813" w:type="dxa"/>
            <w:tcBorders>
              <w:top w:val="nil"/>
              <w:left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57.9 </w:t>
            </w:r>
          </w:p>
        </w:tc>
        <w:tc>
          <w:tcPr>
            <w:tcW w:w="1602" w:type="dxa"/>
            <w:tcBorders>
              <w:top w:val="nil"/>
              <w:left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1.1 </w:t>
            </w:r>
          </w:p>
        </w:tc>
        <w:tc>
          <w:tcPr>
            <w:tcW w:w="1702" w:type="dxa"/>
            <w:tcBorders>
              <w:top w:val="nil"/>
              <w:left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2.9 </w:t>
            </w:r>
          </w:p>
        </w:tc>
        <w:tc>
          <w:tcPr>
            <w:tcW w:w="960" w:type="dxa"/>
            <w:tcBorders>
              <w:top w:val="nil"/>
              <w:left w:val="nil"/>
              <w:right w:val="nil"/>
            </w:tcBorders>
            <w:shd w:val="clear" w:color="auto" w:fill="E5E5E5" w:themeFill="background1" w:themeFillTint="33"/>
            <w:noWrap/>
            <w:vAlign w:val="center"/>
            <w:hideMark/>
          </w:tcPr>
          <w:p w:rsidR="004C6EC0" w:rsidRPr="00344ADF" w:rsidRDefault="004C6EC0">
            <w:pPr>
              <w:spacing w:after="0" w:line="240" w:lineRule="auto"/>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100.0 </w:t>
            </w:r>
          </w:p>
        </w:tc>
      </w:tr>
      <w:tr w:rsidR="004C6EC0" w:rsidRPr="004C6EC0" w:rsidTr="00344ADF">
        <w:trPr>
          <w:trHeight w:hRule="exact" w:val="340"/>
        </w:trPr>
        <w:tc>
          <w:tcPr>
            <w:tcW w:w="3340" w:type="dxa"/>
            <w:tcBorders>
              <w:left w:val="nil"/>
              <w:right w:val="nil"/>
            </w:tcBorders>
            <w:shd w:val="clear" w:color="auto" w:fill="auto"/>
            <w:noWrap/>
            <w:vAlign w:val="center"/>
            <w:hideMark/>
          </w:tcPr>
          <w:p w:rsidR="004C6EC0" w:rsidRPr="00344ADF" w:rsidRDefault="004C6EC0">
            <w:pPr>
              <w:spacing w:after="0" w:line="240" w:lineRule="auto"/>
              <w:rPr>
                <w:rFonts w:eastAsia="Times New Roman" w:cstheme="minorHAnsi"/>
                <w:color w:val="000000"/>
                <w:sz w:val="20"/>
                <w:szCs w:val="20"/>
                <w:lang w:eastAsia="en-AU"/>
              </w:rPr>
            </w:pPr>
            <w:r w:rsidRPr="00344ADF">
              <w:rPr>
                <w:rFonts w:eastAsia="Times New Roman" w:cstheme="minorHAnsi"/>
                <w:color w:val="000000"/>
                <w:sz w:val="20"/>
                <w:szCs w:val="20"/>
                <w:lang w:eastAsia="en-AU"/>
              </w:rPr>
              <w:t>Older than JCB age range</w:t>
            </w:r>
          </w:p>
        </w:tc>
        <w:tc>
          <w:tcPr>
            <w:tcW w:w="1564" w:type="dxa"/>
            <w:tcBorders>
              <w:left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32.7 </w:t>
            </w:r>
          </w:p>
        </w:tc>
        <w:tc>
          <w:tcPr>
            <w:tcW w:w="1614" w:type="dxa"/>
            <w:tcBorders>
              <w:left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54.4 </w:t>
            </w:r>
          </w:p>
        </w:tc>
        <w:tc>
          <w:tcPr>
            <w:tcW w:w="1813" w:type="dxa"/>
            <w:tcBorders>
              <w:left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Pr>
                <w:rFonts w:eastAsia="Times New Roman" w:cstheme="minorHAnsi"/>
                <w:color w:val="000000"/>
                <w:sz w:val="20"/>
                <w:szCs w:val="20"/>
                <w:lang w:eastAsia="en-AU"/>
              </w:rPr>
              <w:t>-</w:t>
            </w:r>
          </w:p>
        </w:tc>
        <w:tc>
          <w:tcPr>
            <w:tcW w:w="1602" w:type="dxa"/>
            <w:tcBorders>
              <w:left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8.2 </w:t>
            </w:r>
          </w:p>
        </w:tc>
        <w:tc>
          <w:tcPr>
            <w:tcW w:w="1702" w:type="dxa"/>
            <w:tcBorders>
              <w:left w:val="nil"/>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4.7 </w:t>
            </w:r>
          </w:p>
        </w:tc>
        <w:tc>
          <w:tcPr>
            <w:tcW w:w="960" w:type="dxa"/>
            <w:tcBorders>
              <w:left w:val="nil"/>
              <w:right w:val="nil"/>
            </w:tcBorders>
            <w:shd w:val="clear" w:color="auto" w:fill="auto"/>
            <w:noWrap/>
            <w:vAlign w:val="center"/>
            <w:hideMark/>
          </w:tcPr>
          <w:p w:rsidR="004C6EC0" w:rsidRPr="00344ADF" w:rsidRDefault="004C6EC0">
            <w:pPr>
              <w:spacing w:after="0" w:line="240" w:lineRule="auto"/>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100.0 </w:t>
            </w:r>
          </w:p>
        </w:tc>
      </w:tr>
      <w:tr w:rsidR="004C6EC0" w:rsidRPr="004C6EC0" w:rsidTr="00344ADF">
        <w:trPr>
          <w:trHeight w:hRule="exact" w:val="340"/>
        </w:trPr>
        <w:tc>
          <w:tcPr>
            <w:tcW w:w="3340" w:type="dxa"/>
            <w:tcBorders>
              <w:top w:val="nil"/>
              <w:left w:val="nil"/>
              <w:right w:val="nil"/>
            </w:tcBorders>
            <w:shd w:val="clear" w:color="auto" w:fill="E5E5E5" w:themeFill="background1" w:themeFillTint="33"/>
            <w:noWrap/>
            <w:vAlign w:val="center"/>
            <w:hideMark/>
          </w:tcPr>
          <w:p w:rsidR="004C6EC0" w:rsidRPr="00344ADF" w:rsidRDefault="004C6EC0">
            <w:pPr>
              <w:spacing w:after="0" w:line="240" w:lineRule="auto"/>
              <w:rPr>
                <w:rFonts w:eastAsia="Times New Roman" w:cstheme="minorHAnsi"/>
                <w:color w:val="000000"/>
                <w:sz w:val="20"/>
                <w:szCs w:val="20"/>
                <w:lang w:eastAsia="en-AU"/>
              </w:rPr>
            </w:pPr>
            <w:r w:rsidRPr="00344ADF">
              <w:rPr>
                <w:rFonts w:eastAsia="Times New Roman" w:cstheme="minorHAnsi"/>
                <w:color w:val="000000"/>
                <w:sz w:val="20"/>
                <w:szCs w:val="20"/>
                <w:lang w:eastAsia="en-AU"/>
              </w:rPr>
              <w:t>Older than JCB age range</w:t>
            </w:r>
          </w:p>
        </w:tc>
        <w:tc>
          <w:tcPr>
            <w:tcW w:w="1564" w:type="dxa"/>
            <w:tcBorders>
              <w:top w:val="nil"/>
              <w:left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31.6 </w:t>
            </w:r>
          </w:p>
        </w:tc>
        <w:tc>
          <w:tcPr>
            <w:tcW w:w="1614" w:type="dxa"/>
            <w:tcBorders>
              <w:top w:val="nil"/>
              <w:left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Pr>
                <w:rFonts w:eastAsia="Times New Roman" w:cstheme="minorHAnsi"/>
                <w:color w:val="000000"/>
                <w:sz w:val="20"/>
                <w:szCs w:val="20"/>
                <w:lang w:eastAsia="en-AU"/>
              </w:rPr>
              <w:t>-</w:t>
            </w:r>
          </w:p>
        </w:tc>
        <w:tc>
          <w:tcPr>
            <w:tcW w:w="1813" w:type="dxa"/>
            <w:tcBorders>
              <w:top w:val="nil"/>
              <w:left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55.8 </w:t>
            </w:r>
          </w:p>
        </w:tc>
        <w:tc>
          <w:tcPr>
            <w:tcW w:w="1602" w:type="dxa"/>
            <w:tcBorders>
              <w:top w:val="nil"/>
              <w:left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5.9 </w:t>
            </w:r>
          </w:p>
        </w:tc>
        <w:tc>
          <w:tcPr>
            <w:tcW w:w="1702" w:type="dxa"/>
            <w:tcBorders>
              <w:top w:val="nil"/>
              <w:left w:val="nil"/>
              <w:right w:val="nil"/>
            </w:tcBorders>
            <w:shd w:val="clear" w:color="auto" w:fill="E5E5E5" w:themeFill="background1" w:themeFillTint="33"/>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6.7 </w:t>
            </w:r>
          </w:p>
        </w:tc>
        <w:tc>
          <w:tcPr>
            <w:tcW w:w="960" w:type="dxa"/>
            <w:tcBorders>
              <w:top w:val="nil"/>
              <w:left w:val="nil"/>
              <w:right w:val="nil"/>
            </w:tcBorders>
            <w:shd w:val="clear" w:color="auto" w:fill="E5E5E5" w:themeFill="background1" w:themeFillTint="33"/>
            <w:noWrap/>
            <w:vAlign w:val="center"/>
            <w:hideMark/>
          </w:tcPr>
          <w:p w:rsidR="004C6EC0" w:rsidRPr="00344ADF" w:rsidRDefault="004C6EC0">
            <w:pPr>
              <w:spacing w:after="0" w:line="240" w:lineRule="auto"/>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100.0 </w:t>
            </w:r>
          </w:p>
        </w:tc>
      </w:tr>
      <w:tr w:rsidR="004C6EC0" w:rsidRPr="004C6EC0" w:rsidTr="00344ADF">
        <w:trPr>
          <w:trHeight w:hRule="exact" w:val="340"/>
        </w:trPr>
        <w:tc>
          <w:tcPr>
            <w:tcW w:w="3340" w:type="dxa"/>
            <w:tcBorders>
              <w:left w:val="nil"/>
              <w:bottom w:val="single" w:sz="4" w:space="0" w:color="auto"/>
              <w:right w:val="nil"/>
            </w:tcBorders>
            <w:shd w:val="clear" w:color="auto" w:fill="auto"/>
            <w:noWrap/>
            <w:vAlign w:val="center"/>
            <w:hideMark/>
          </w:tcPr>
          <w:p w:rsidR="004C6EC0" w:rsidRPr="00344ADF" w:rsidRDefault="004C6EC0">
            <w:pPr>
              <w:spacing w:after="0" w:line="240" w:lineRule="auto"/>
              <w:rPr>
                <w:rFonts w:eastAsia="Times New Roman" w:cstheme="minorHAnsi"/>
                <w:color w:val="000000"/>
                <w:sz w:val="20"/>
                <w:szCs w:val="20"/>
                <w:lang w:eastAsia="en-AU"/>
              </w:rPr>
            </w:pPr>
            <w:r w:rsidRPr="00344ADF">
              <w:rPr>
                <w:rFonts w:eastAsia="Times New Roman" w:cstheme="minorHAnsi"/>
                <w:color w:val="000000"/>
                <w:sz w:val="20"/>
                <w:szCs w:val="20"/>
                <w:lang w:eastAsia="en-AU"/>
              </w:rPr>
              <w:t>Older than JCB age range</w:t>
            </w:r>
          </w:p>
        </w:tc>
        <w:tc>
          <w:tcPr>
            <w:tcW w:w="1564" w:type="dxa"/>
            <w:tcBorders>
              <w:left w:val="nil"/>
              <w:bottom w:val="single" w:sz="4" w:space="0" w:color="auto"/>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w:t>
            </w:r>
            <w:r>
              <w:rPr>
                <w:rFonts w:eastAsia="Times New Roman" w:cstheme="minorHAnsi"/>
                <w:color w:val="000000"/>
                <w:sz w:val="20"/>
                <w:szCs w:val="20"/>
                <w:lang w:eastAsia="en-AU"/>
              </w:rPr>
              <w:t>-</w:t>
            </w:r>
          </w:p>
        </w:tc>
        <w:tc>
          <w:tcPr>
            <w:tcW w:w="1614" w:type="dxa"/>
            <w:tcBorders>
              <w:left w:val="nil"/>
              <w:bottom w:val="single" w:sz="4" w:space="0" w:color="auto"/>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39.6 </w:t>
            </w:r>
          </w:p>
        </w:tc>
        <w:tc>
          <w:tcPr>
            <w:tcW w:w="1813" w:type="dxa"/>
            <w:tcBorders>
              <w:left w:val="nil"/>
              <w:bottom w:val="single" w:sz="4" w:space="0" w:color="auto"/>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46.6 </w:t>
            </w:r>
          </w:p>
        </w:tc>
        <w:tc>
          <w:tcPr>
            <w:tcW w:w="1602" w:type="dxa"/>
            <w:tcBorders>
              <w:left w:val="nil"/>
              <w:bottom w:val="single" w:sz="4" w:space="0" w:color="auto"/>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5.4 </w:t>
            </w:r>
          </w:p>
        </w:tc>
        <w:tc>
          <w:tcPr>
            <w:tcW w:w="1702" w:type="dxa"/>
            <w:tcBorders>
              <w:left w:val="nil"/>
              <w:bottom w:val="single" w:sz="4" w:space="0" w:color="auto"/>
              <w:right w:val="nil"/>
            </w:tcBorders>
            <w:shd w:val="clear" w:color="auto" w:fill="auto"/>
            <w:noWrap/>
            <w:vAlign w:val="center"/>
            <w:hideMark/>
          </w:tcPr>
          <w:p w:rsidR="004C6EC0" w:rsidRPr="00344ADF" w:rsidRDefault="004C6EC0" w:rsidP="00344ADF">
            <w:pPr>
              <w:spacing w:after="0" w:line="240" w:lineRule="auto"/>
              <w:ind w:right="401"/>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8.4 </w:t>
            </w:r>
          </w:p>
        </w:tc>
        <w:tc>
          <w:tcPr>
            <w:tcW w:w="960" w:type="dxa"/>
            <w:tcBorders>
              <w:left w:val="nil"/>
              <w:bottom w:val="single" w:sz="4" w:space="0" w:color="auto"/>
              <w:right w:val="nil"/>
            </w:tcBorders>
            <w:shd w:val="clear" w:color="auto" w:fill="auto"/>
            <w:noWrap/>
            <w:vAlign w:val="center"/>
            <w:hideMark/>
          </w:tcPr>
          <w:p w:rsidR="004C6EC0" w:rsidRPr="00344ADF" w:rsidRDefault="004C6EC0">
            <w:pPr>
              <w:spacing w:after="0" w:line="240" w:lineRule="auto"/>
              <w:jc w:val="right"/>
              <w:rPr>
                <w:rFonts w:eastAsia="Times New Roman" w:cstheme="minorHAnsi"/>
                <w:color w:val="000000"/>
                <w:sz w:val="20"/>
                <w:szCs w:val="20"/>
                <w:lang w:eastAsia="en-AU"/>
              </w:rPr>
            </w:pPr>
            <w:r w:rsidRPr="00344ADF">
              <w:rPr>
                <w:rFonts w:eastAsia="Times New Roman" w:cstheme="minorHAnsi"/>
                <w:color w:val="000000"/>
                <w:sz w:val="20"/>
                <w:szCs w:val="20"/>
                <w:lang w:eastAsia="en-AU"/>
              </w:rPr>
              <w:t xml:space="preserve">100.0 </w:t>
            </w:r>
          </w:p>
        </w:tc>
      </w:tr>
    </w:tbl>
    <w:p w:rsidR="004A24A3" w:rsidRPr="00344ADF" w:rsidRDefault="004A24A3" w:rsidP="00344ADF">
      <w:pPr>
        <w:spacing w:after="0" w:line="240" w:lineRule="auto"/>
        <w:rPr>
          <w:rFonts w:cstheme="minorHAnsi"/>
          <w:sz w:val="20"/>
          <w:szCs w:val="20"/>
        </w:rPr>
      </w:pPr>
      <w:r>
        <w:rPr>
          <w:rFonts w:cstheme="minorHAnsi"/>
          <w:b/>
          <w:sz w:val="20"/>
          <w:szCs w:val="20"/>
        </w:rPr>
        <w:t xml:space="preserve">Note: </w:t>
      </w:r>
      <w:r w:rsidR="00CE0609">
        <w:rPr>
          <w:rFonts w:cstheme="minorHAnsi"/>
          <w:sz w:val="20"/>
          <w:szCs w:val="20"/>
        </w:rPr>
        <w:t>Job seeker</w:t>
      </w:r>
      <w:r w:rsidRPr="00344ADF">
        <w:rPr>
          <w:rFonts w:cstheme="minorHAnsi"/>
          <w:sz w:val="20"/>
          <w:szCs w:val="20"/>
        </w:rPr>
        <w:t>s were asked to choose between potential bonus payment options:</w:t>
      </w:r>
      <w:r>
        <w:rPr>
          <w:rFonts w:cstheme="minorHAnsi"/>
          <w:sz w:val="20"/>
          <w:szCs w:val="20"/>
        </w:rPr>
        <w:t xml:space="preserve"> a</w:t>
      </w:r>
      <w:r w:rsidRPr="00344ADF">
        <w:rPr>
          <w:rFonts w:cstheme="minorHAnsi"/>
          <w:sz w:val="20"/>
          <w:szCs w:val="20"/>
        </w:rPr>
        <w:t xml:space="preserve"> lump sum payment</w:t>
      </w:r>
      <w:r>
        <w:rPr>
          <w:rFonts w:cstheme="minorHAnsi"/>
          <w:sz w:val="20"/>
          <w:szCs w:val="20"/>
        </w:rPr>
        <w:t>, t</w:t>
      </w:r>
      <w:r w:rsidRPr="00344ADF">
        <w:rPr>
          <w:rFonts w:cstheme="minorHAnsi"/>
          <w:sz w:val="20"/>
          <w:szCs w:val="20"/>
        </w:rPr>
        <w:t>wo equal payments</w:t>
      </w:r>
      <w:r>
        <w:rPr>
          <w:rFonts w:cstheme="minorHAnsi"/>
          <w:sz w:val="20"/>
          <w:szCs w:val="20"/>
        </w:rPr>
        <w:t xml:space="preserve"> or f</w:t>
      </w:r>
      <w:r w:rsidRPr="00344ADF">
        <w:rPr>
          <w:rFonts w:cstheme="minorHAnsi"/>
          <w:sz w:val="20"/>
          <w:szCs w:val="20"/>
        </w:rPr>
        <w:t>our equal payments.</w:t>
      </w:r>
      <w:r w:rsidR="00CE0609">
        <w:rPr>
          <w:rFonts w:cstheme="minorHAnsi"/>
          <w:sz w:val="20"/>
          <w:szCs w:val="20"/>
        </w:rPr>
        <w:t xml:space="preserve"> </w:t>
      </w:r>
      <w:r w:rsidRPr="00344ADF">
        <w:rPr>
          <w:rFonts w:cstheme="minorHAnsi"/>
          <w:sz w:val="20"/>
          <w:szCs w:val="20"/>
        </w:rPr>
        <w:t>Respondents were presented with two payment options only (i.e. one payment compared to two payments, one compared to four or two compared to four).</w:t>
      </w:r>
    </w:p>
    <w:p w:rsidR="0095497C" w:rsidRDefault="004C6EC0" w:rsidP="00344ADF">
      <w:pPr>
        <w:spacing w:after="120"/>
        <w:rPr>
          <w:rFonts w:cstheme="minorHAnsi"/>
          <w:sz w:val="20"/>
          <w:szCs w:val="20"/>
        </w:rPr>
      </w:pPr>
      <w:r w:rsidRPr="00AA2118">
        <w:rPr>
          <w:rFonts w:cstheme="minorHAnsi"/>
          <w:b/>
          <w:sz w:val="20"/>
          <w:szCs w:val="20"/>
        </w:rPr>
        <w:t>Source:</w:t>
      </w:r>
      <w:r w:rsidRPr="004C5B83">
        <w:rPr>
          <w:b/>
        </w:rPr>
        <w:t xml:space="preserve"> </w:t>
      </w:r>
      <w:r w:rsidRPr="00AA2118">
        <w:rPr>
          <w:rFonts w:cstheme="minorHAnsi"/>
          <w:sz w:val="20"/>
          <w:szCs w:val="20"/>
        </w:rPr>
        <w:t xml:space="preserve">Department of Employment </w:t>
      </w:r>
      <w:r>
        <w:rPr>
          <w:rFonts w:cstheme="minorHAnsi"/>
          <w:sz w:val="20"/>
          <w:szCs w:val="20"/>
        </w:rPr>
        <w:t>2017 Job Seeker Experiences of Employment Services</w:t>
      </w:r>
      <w:r w:rsidRPr="00AA2118">
        <w:rPr>
          <w:rFonts w:cstheme="minorHAnsi"/>
          <w:sz w:val="20"/>
          <w:szCs w:val="20"/>
        </w:rPr>
        <w:t xml:space="preserve"> survey</w:t>
      </w:r>
      <w:r>
        <w:rPr>
          <w:rFonts w:cstheme="minorHAnsi"/>
          <w:sz w:val="20"/>
          <w:szCs w:val="20"/>
        </w:rPr>
        <w:t>.</w:t>
      </w:r>
    </w:p>
    <w:p w:rsidR="004C6EC0" w:rsidRPr="00344ADF" w:rsidRDefault="0095497C" w:rsidP="00344ADF">
      <w:pPr>
        <w:spacing w:before="120"/>
        <w:rPr>
          <w:sz w:val="20"/>
          <w:szCs w:val="20"/>
        </w:rPr>
      </w:pPr>
      <w:r w:rsidRPr="00344ADF">
        <w:rPr>
          <w:sz w:val="20"/>
          <w:szCs w:val="20"/>
        </w:rPr>
        <w:t xml:space="preserve">Return to </w:t>
      </w:r>
      <w:hyperlink w:anchor="Place_F10" w:history="1">
        <w:r w:rsidRPr="00344ADF">
          <w:rPr>
            <w:rStyle w:val="Hyperlink"/>
            <w:sz w:val="20"/>
            <w:szCs w:val="20"/>
          </w:rPr>
          <w:t>Section 4.1</w:t>
        </w:r>
        <w:r w:rsidRPr="0095497C">
          <w:rPr>
            <w:rStyle w:val="Hyperlink"/>
            <w:sz w:val="20"/>
            <w:szCs w:val="20"/>
          </w:rPr>
          <w:t>.4</w:t>
        </w:r>
      </w:hyperlink>
      <w:r w:rsidR="004C6EC0" w:rsidRPr="00344ADF">
        <w:rPr>
          <w:sz w:val="20"/>
          <w:szCs w:val="20"/>
        </w:rPr>
        <w:br w:type="page"/>
      </w:r>
    </w:p>
    <w:p w:rsidR="007C3E39" w:rsidRPr="00BF71D4" w:rsidRDefault="003A5262" w:rsidP="00BF71D4">
      <w:pPr>
        <w:pStyle w:val="TableCaption"/>
      </w:pPr>
      <w:bookmarkStart w:id="275" w:name="_Toc507600327"/>
      <w:r w:rsidRPr="00BF71D4">
        <w:lastRenderedPageBreak/>
        <w:t xml:space="preserve">Table </w:t>
      </w:r>
      <w:r w:rsidR="00C54A19" w:rsidRPr="00BF71D4">
        <w:t>F</w:t>
      </w:r>
      <w:r w:rsidRPr="00BF71D4">
        <w:t>.</w:t>
      </w:r>
      <w:r w:rsidR="00E76396" w:rsidRPr="00BF71D4">
        <w:t>1</w:t>
      </w:r>
      <w:r w:rsidR="00E76396">
        <w:t>1</w:t>
      </w:r>
      <w:r w:rsidRPr="00BF71D4">
        <w:t xml:space="preserve">: </w:t>
      </w:r>
      <w:r w:rsidR="00BF71D4" w:rsidRPr="00BF71D4">
        <w:t>Employment outcomes for those aged 18 to 30 years who had been on either NSA or YA(O) and unemployed 12 months or longer</w:t>
      </w:r>
      <w:bookmarkEnd w:id="275"/>
      <w:r w:rsidR="00BF71D4" w:rsidRPr="00BF71D4">
        <w:t xml:space="preserve">  </w:t>
      </w:r>
    </w:p>
    <w:tbl>
      <w:tblPr>
        <w:tblW w:w="13462" w:type="dxa"/>
        <w:tblInd w:w="113" w:type="dxa"/>
        <w:tblLayout w:type="fixed"/>
        <w:tblLook w:val="04A0" w:firstRow="1" w:lastRow="0" w:firstColumn="1" w:lastColumn="0" w:noHBand="0" w:noVBand="1"/>
      </w:tblPr>
      <w:tblGrid>
        <w:gridCol w:w="2688"/>
        <w:gridCol w:w="1276"/>
        <w:gridCol w:w="1134"/>
        <w:gridCol w:w="1276"/>
        <w:gridCol w:w="1272"/>
        <w:gridCol w:w="1138"/>
        <w:gridCol w:w="1276"/>
        <w:gridCol w:w="1275"/>
        <w:gridCol w:w="993"/>
        <w:gridCol w:w="1134"/>
      </w:tblGrid>
      <w:tr w:rsidR="00F26FDF" w:rsidRPr="00F70159" w:rsidTr="00BF451A">
        <w:trPr>
          <w:trHeight w:val="510"/>
          <w:tblHeader/>
        </w:trPr>
        <w:tc>
          <w:tcPr>
            <w:tcW w:w="2688" w:type="dxa"/>
            <w:shd w:val="clear" w:color="000000" w:fill="1E3D6B"/>
            <w:vAlign w:val="center"/>
            <w:hideMark/>
          </w:tcPr>
          <w:p w:rsidR="007C3E39" w:rsidRPr="00F70159" w:rsidRDefault="007C3E39" w:rsidP="007C3E39">
            <w:pPr>
              <w:spacing w:after="0" w:line="240" w:lineRule="auto"/>
              <w:rPr>
                <w:rFonts w:eastAsia="Times New Roman" w:cstheme="minorHAnsi"/>
                <w:b/>
                <w:bCs/>
                <w:color w:val="FFFFFF"/>
                <w:sz w:val="20"/>
                <w:szCs w:val="20"/>
                <w:lang w:eastAsia="en-AU"/>
              </w:rPr>
            </w:pPr>
            <w:bookmarkStart w:id="276" w:name="Title_10"/>
            <w:bookmarkEnd w:id="276"/>
            <w:r w:rsidRPr="00F70159">
              <w:rPr>
                <w:rFonts w:eastAsia="Times New Roman" w:cstheme="minorHAnsi"/>
                <w:b/>
                <w:bCs/>
                <w:color w:val="FFFFFF"/>
                <w:sz w:val="20"/>
                <w:szCs w:val="20"/>
                <w:lang w:eastAsia="en-AU"/>
              </w:rPr>
              <w:t>Characteristic</w:t>
            </w:r>
          </w:p>
        </w:tc>
        <w:tc>
          <w:tcPr>
            <w:tcW w:w="1276" w:type="dxa"/>
            <w:shd w:val="clear" w:color="000000" w:fill="1E3D6B"/>
            <w:vAlign w:val="center"/>
            <w:hideMark/>
          </w:tcPr>
          <w:p w:rsidR="007C3E39" w:rsidRPr="00F70159" w:rsidRDefault="007C3E39" w:rsidP="00C13A81">
            <w:pPr>
              <w:spacing w:after="0" w:line="240" w:lineRule="auto"/>
              <w:jc w:val="center"/>
              <w:rPr>
                <w:rFonts w:eastAsia="Times New Roman" w:cstheme="minorHAnsi"/>
                <w:b/>
                <w:bCs/>
                <w:color w:val="FFFFFF"/>
                <w:sz w:val="20"/>
                <w:szCs w:val="20"/>
                <w:lang w:eastAsia="en-AU"/>
              </w:rPr>
            </w:pPr>
            <w:r w:rsidRPr="00F70159">
              <w:rPr>
                <w:rFonts w:eastAsia="Times New Roman" w:cstheme="minorHAnsi"/>
                <w:b/>
                <w:bCs/>
                <w:color w:val="FFFFFF"/>
                <w:sz w:val="20"/>
                <w:szCs w:val="20"/>
                <w:lang w:eastAsia="en-AU"/>
              </w:rPr>
              <w:t xml:space="preserve">Oct12 </w:t>
            </w:r>
            <w:r w:rsidR="009060D1">
              <w:rPr>
                <w:rFonts w:eastAsia="Times New Roman" w:cstheme="minorHAnsi"/>
                <w:b/>
                <w:bCs/>
                <w:color w:val="FFFFFF"/>
                <w:sz w:val="20"/>
                <w:szCs w:val="20"/>
                <w:lang w:eastAsia="en-AU"/>
              </w:rPr>
              <w:t>–</w:t>
            </w:r>
            <w:r w:rsidRPr="00F70159">
              <w:rPr>
                <w:rFonts w:eastAsia="Times New Roman" w:cstheme="minorHAnsi"/>
                <w:b/>
                <w:bCs/>
                <w:color w:val="FFFFFF"/>
                <w:sz w:val="20"/>
                <w:szCs w:val="20"/>
                <w:lang w:eastAsia="en-AU"/>
              </w:rPr>
              <w:br/>
              <w:t>Sep13</w:t>
            </w:r>
          </w:p>
        </w:tc>
        <w:tc>
          <w:tcPr>
            <w:tcW w:w="1134" w:type="dxa"/>
            <w:shd w:val="clear" w:color="000000" w:fill="1E3D6B"/>
            <w:vAlign w:val="center"/>
            <w:hideMark/>
          </w:tcPr>
          <w:p w:rsidR="007C3E39" w:rsidRPr="00F70159" w:rsidRDefault="007C3E39" w:rsidP="007C3E39">
            <w:pPr>
              <w:spacing w:after="0" w:line="240" w:lineRule="auto"/>
              <w:jc w:val="center"/>
              <w:rPr>
                <w:rFonts w:eastAsia="Times New Roman" w:cstheme="minorHAnsi"/>
                <w:b/>
                <w:bCs/>
                <w:color w:val="FFFFFF"/>
                <w:sz w:val="20"/>
                <w:szCs w:val="20"/>
                <w:lang w:eastAsia="en-AU"/>
              </w:rPr>
            </w:pPr>
            <w:r w:rsidRPr="00F70159">
              <w:rPr>
                <w:rFonts w:eastAsia="Times New Roman" w:cstheme="minorHAnsi"/>
                <w:b/>
                <w:bCs/>
                <w:color w:val="FFFFFF"/>
                <w:sz w:val="20"/>
                <w:szCs w:val="20"/>
                <w:lang w:eastAsia="en-AU"/>
              </w:rPr>
              <w:t xml:space="preserve">Jan13 </w:t>
            </w:r>
            <w:r w:rsidR="009060D1">
              <w:rPr>
                <w:rFonts w:eastAsia="Times New Roman" w:cstheme="minorHAnsi"/>
                <w:b/>
                <w:bCs/>
                <w:color w:val="FFFFFF"/>
                <w:sz w:val="20"/>
                <w:szCs w:val="20"/>
                <w:lang w:eastAsia="en-AU"/>
              </w:rPr>
              <w:t>–</w:t>
            </w:r>
            <w:r w:rsidRPr="00F70159">
              <w:rPr>
                <w:rFonts w:eastAsia="Times New Roman" w:cstheme="minorHAnsi"/>
                <w:b/>
                <w:bCs/>
                <w:color w:val="FFFFFF"/>
                <w:sz w:val="20"/>
                <w:szCs w:val="20"/>
                <w:lang w:eastAsia="en-AU"/>
              </w:rPr>
              <w:br/>
              <w:t>Dec13</w:t>
            </w:r>
          </w:p>
        </w:tc>
        <w:tc>
          <w:tcPr>
            <w:tcW w:w="1276" w:type="dxa"/>
            <w:shd w:val="clear" w:color="000000" w:fill="1E3D6B"/>
            <w:vAlign w:val="center"/>
            <w:hideMark/>
          </w:tcPr>
          <w:p w:rsidR="007C3E39" w:rsidRPr="00F70159" w:rsidRDefault="007C3E39" w:rsidP="007C3E39">
            <w:pPr>
              <w:spacing w:after="0" w:line="240" w:lineRule="auto"/>
              <w:jc w:val="center"/>
              <w:rPr>
                <w:rFonts w:eastAsia="Times New Roman" w:cstheme="minorHAnsi"/>
                <w:b/>
                <w:bCs/>
                <w:color w:val="FFFFFF"/>
                <w:sz w:val="20"/>
                <w:szCs w:val="20"/>
                <w:lang w:eastAsia="en-AU"/>
              </w:rPr>
            </w:pPr>
            <w:r w:rsidRPr="00F70159">
              <w:rPr>
                <w:rFonts w:eastAsia="Times New Roman" w:cstheme="minorHAnsi"/>
                <w:b/>
                <w:bCs/>
                <w:color w:val="FFFFFF"/>
                <w:sz w:val="20"/>
                <w:szCs w:val="20"/>
                <w:lang w:eastAsia="en-AU"/>
              </w:rPr>
              <w:t xml:space="preserve">Apr13 </w:t>
            </w:r>
            <w:r w:rsidR="009060D1">
              <w:rPr>
                <w:rFonts w:eastAsia="Times New Roman" w:cstheme="minorHAnsi"/>
                <w:b/>
                <w:bCs/>
                <w:color w:val="FFFFFF"/>
                <w:sz w:val="20"/>
                <w:szCs w:val="20"/>
                <w:lang w:eastAsia="en-AU"/>
              </w:rPr>
              <w:t>–</w:t>
            </w:r>
            <w:r w:rsidRPr="00F70159">
              <w:rPr>
                <w:rFonts w:eastAsia="Times New Roman" w:cstheme="minorHAnsi"/>
                <w:b/>
                <w:bCs/>
                <w:color w:val="FFFFFF"/>
                <w:sz w:val="20"/>
                <w:szCs w:val="20"/>
                <w:lang w:eastAsia="en-AU"/>
              </w:rPr>
              <w:br/>
              <w:t>Mar14</w:t>
            </w:r>
          </w:p>
        </w:tc>
        <w:tc>
          <w:tcPr>
            <w:tcW w:w="1272" w:type="dxa"/>
            <w:shd w:val="clear" w:color="000000" w:fill="1E3D6B"/>
            <w:vAlign w:val="center"/>
            <w:hideMark/>
          </w:tcPr>
          <w:p w:rsidR="007C3E39" w:rsidRPr="00F70159" w:rsidRDefault="007C3E39" w:rsidP="007C3E39">
            <w:pPr>
              <w:spacing w:after="0" w:line="240" w:lineRule="auto"/>
              <w:jc w:val="center"/>
              <w:rPr>
                <w:rFonts w:eastAsia="Times New Roman" w:cstheme="minorHAnsi"/>
                <w:b/>
                <w:bCs/>
                <w:color w:val="FFFFFF"/>
                <w:sz w:val="20"/>
                <w:szCs w:val="20"/>
                <w:lang w:eastAsia="en-AU"/>
              </w:rPr>
            </w:pPr>
            <w:r w:rsidRPr="00F70159">
              <w:rPr>
                <w:rFonts w:eastAsia="Times New Roman" w:cstheme="minorHAnsi"/>
                <w:b/>
                <w:bCs/>
                <w:color w:val="FFFFFF"/>
                <w:sz w:val="20"/>
                <w:szCs w:val="20"/>
                <w:lang w:eastAsia="en-AU"/>
              </w:rPr>
              <w:t>Jul13</w:t>
            </w:r>
            <w:r w:rsidR="009060D1">
              <w:rPr>
                <w:rFonts w:eastAsia="Times New Roman" w:cstheme="minorHAnsi"/>
                <w:b/>
                <w:bCs/>
                <w:color w:val="FFFFFF"/>
                <w:sz w:val="20"/>
                <w:szCs w:val="20"/>
                <w:lang w:eastAsia="en-AU"/>
              </w:rPr>
              <w:t xml:space="preserve"> </w:t>
            </w:r>
            <w:r w:rsidRPr="00F70159">
              <w:rPr>
                <w:rFonts w:eastAsia="Times New Roman" w:cstheme="minorHAnsi"/>
                <w:b/>
                <w:bCs/>
                <w:color w:val="FFFFFF"/>
                <w:sz w:val="20"/>
                <w:szCs w:val="20"/>
                <w:lang w:eastAsia="en-AU"/>
              </w:rPr>
              <w:t xml:space="preserve"> </w:t>
            </w:r>
            <w:r w:rsidR="009060D1">
              <w:rPr>
                <w:rFonts w:eastAsia="Times New Roman" w:cstheme="minorHAnsi"/>
                <w:b/>
                <w:bCs/>
                <w:color w:val="FFFFFF"/>
                <w:sz w:val="20"/>
                <w:szCs w:val="20"/>
                <w:lang w:eastAsia="en-AU"/>
              </w:rPr>
              <w:t>–</w:t>
            </w:r>
            <w:r w:rsidRPr="00F70159">
              <w:rPr>
                <w:rFonts w:eastAsia="Times New Roman" w:cstheme="minorHAnsi"/>
                <w:b/>
                <w:bCs/>
                <w:color w:val="FFFFFF"/>
                <w:sz w:val="20"/>
                <w:szCs w:val="20"/>
                <w:lang w:eastAsia="en-AU"/>
              </w:rPr>
              <w:br/>
              <w:t>Jun14</w:t>
            </w:r>
          </w:p>
        </w:tc>
        <w:tc>
          <w:tcPr>
            <w:tcW w:w="1138" w:type="dxa"/>
            <w:shd w:val="clear" w:color="000000" w:fill="1E3D6B"/>
            <w:vAlign w:val="center"/>
            <w:hideMark/>
          </w:tcPr>
          <w:p w:rsidR="007C3E39" w:rsidRPr="00F70159" w:rsidRDefault="007C3E39" w:rsidP="00C13A81">
            <w:pPr>
              <w:spacing w:after="0" w:line="240" w:lineRule="auto"/>
              <w:jc w:val="center"/>
              <w:rPr>
                <w:rFonts w:eastAsia="Times New Roman" w:cstheme="minorHAnsi"/>
                <w:b/>
                <w:bCs/>
                <w:color w:val="FFFFFF"/>
                <w:sz w:val="20"/>
                <w:szCs w:val="20"/>
                <w:lang w:eastAsia="en-AU"/>
              </w:rPr>
            </w:pPr>
            <w:r w:rsidRPr="00F70159">
              <w:rPr>
                <w:rFonts w:eastAsia="Times New Roman" w:cstheme="minorHAnsi"/>
                <w:b/>
                <w:bCs/>
                <w:color w:val="FFFFFF"/>
                <w:sz w:val="20"/>
                <w:szCs w:val="20"/>
                <w:lang w:eastAsia="en-AU"/>
              </w:rPr>
              <w:t>Jan14</w:t>
            </w:r>
            <w:r w:rsidR="009060D1">
              <w:rPr>
                <w:rFonts w:eastAsia="Times New Roman" w:cstheme="minorHAnsi"/>
                <w:b/>
                <w:bCs/>
                <w:color w:val="FFFFFF"/>
                <w:sz w:val="20"/>
                <w:szCs w:val="20"/>
                <w:lang w:eastAsia="en-AU"/>
              </w:rPr>
              <w:t xml:space="preserve"> –</w:t>
            </w:r>
            <w:r w:rsidRPr="00F70159">
              <w:rPr>
                <w:rFonts w:eastAsia="Times New Roman" w:cstheme="minorHAnsi"/>
                <w:b/>
                <w:bCs/>
                <w:color w:val="FFFFFF"/>
                <w:sz w:val="20"/>
                <w:szCs w:val="20"/>
                <w:lang w:eastAsia="en-AU"/>
              </w:rPr>
              <w:br/>
              <w:t>Dec14</w:t>
            </w:r>
          </w:p>
        </w:tc>
        <w:tc>
          <w:tcPr>
            <w:tcW w:w="1276" w:type="dxa"/>
            <w:shd w:val="clear" w:color="000000" w:fill="1E3D6B"/>
            <w:vAlign w:val="center"/>
            <w:hideMark/>
          </w:tcPr>
          <w:p w:rsidR="007C3E39" w:rsidRPr="00F70159" w:rsidRDefault="007C3E39" w:rsidP="007C3E39">
            <w:pPr>
              <w:spacing w:after="0" w:line="240" w:lineRule="auto"/>
              <w:jc w:val="center"/>
              <w:rPr>
                <w:rFonts w:eastAsia="Times New Roman" w:cstheme="minorHAnsi"/>
                <w:b/>
                <w:bCs/>
                <w:color w:val="FFFFFF"/>
                <w:sz w:val="20"/>
                <w:szCs w:val="20"/>
                <w:lang w:eastAsia="en-AU"/>
              </w:rPr>
            </w:pPr>
            <w:r w:rsidRPr="00F70159">
              <w:rPr>
                <w:rFonts w:eastAsia="Times New Roman" w:cstheme="minorHAnsi"/>
                <w:b/>
                <w:bCs/>
                <w:color w:val="FFFFFF"/>
                <w:sz w:val="20"/>
                <w:szCs w:val="20"/>
                <w:lang w:eastAsia="en-AU"/>
              </w:rPr>
              <w:t xml:space="preserve">Apr14 </w:t>
            </w:r>
            <w:r w:rsidR="009060D1">
              <w:rPr>
                <w:rFonts w:eastAsia="Times New Roman" w:cstheme="minorHAnsi"/>
                <w:b/>
                <w:bCs/>
                <w:color w:val="FFFFFF"/>
                <w:sz w:val="20"/>
                <w:szCs w:val="20"/>
                <w:lang w:eastAsia="en-AU"/>
              </w:rPr>
              <w:t>–</w:t>
            </w:r>
            <w:r w:rsidRPr="00F70159">
              <w:rPr>
                <w:rFonts w:eastAsia="Times New Roman" w:cstheme="minorHAnsi"/>
                <w:b/>
                <w:bCs/>
                <w:color w:val="FFFFFF"/>
                <w:sz w:val="20"/>
                <w:szCs w:val="20"/>
                <w:lang w:eastAsia="en-AU"/>
              </w:rPr>
              <w:br/>
              <w:t>Mar15</w:t>
            </w:r>
          </w:p>
        </w:tc>
        <w:tc>
          <w:tcPr>
            <w:tcW w:w="1275" w:type="dxa"/>
            <w:shd w:val="clear" w:color="000000" w:fill="1E3D6B"/>
            <w:vAlign w:val="center"/>
            <w:hideMark/>
          </w:tcPr>
          <w:p w:rsidR="007C3E39" w:rsidRPr="00F70159" w:rsidRDefault="007C3E39" w:rsidP="007C3E39">
            <w:pPr>
              <w:spacing w:after="0" w:line="240" w:lineRule="auto"/>
              <w:jc w:val="center"/>
              <w:rPr>
                <w:rFonts w:eastAsia="Times New Roman" w:cstheme="minorHAnsi"/>
                <w:b/>
                <w:bCs/>
                <w:color w:val="FFFFFF"/>
                <w:sz w:val="20"/>
                <w:szCs w:val="20"/>
                <w:lang w:eastAsia="en-AU"/>
              </w:rPr>
            </w:pPr>
            <w:r w:rsidRPr="00F70159">
              <w:rPr>
                <w:rFonts w:eastAsia="Times New Roman" w:cstheme="minorHAnsi"/>
                <w:b/>
                <w:bCs/>
                <w:color w:val="FFFFFF"/>
                <w:sz w:val="20"/>
                <w:szCs w:val="20"/>
                <w:lang w:eastAsia="en-AU"/>
              </w:rPr>
              <w:t xml:space="preserve">Jul14 </w:t>
            </w:r>
            <w:r w:rsidR="009060D1">
              <w:rPr>
                <w:rFonts w:eastAsia="Times New Roman" w:cstheme="minorHAnsi"/>
                <w:b/>
                <w:bCs/>
                <w:color w:val="FFFFFF"/>
                <w:sz w:val="20"/>
                <w:szCs w:val="20"/>
                <w:lang w:eastAsia="en-AU"/>
              </w:rPr>
              <w:t xml:space="preserve"> –</w:t>
            </w:r>
            <w:r w:rsidRPr="00F70159">
              <w:rPr>
                <w:rFonts w:eastAsia="Times New Roman" w:cstheme="minorHAnsi"/>
                <w:b/>
                <w:bCs/>
                <w:color w:val="FFFFFF"/>
                <w:sz w:val="20"/>
                <w:szCs w:val="20"/>
                <w:lang w:eastAsia="en-AU"/>
              </w:rPr>
              <w:br/>
              <w:t>Jun15</w:t>
            </w:r>
          </w:p>
        </w:tc>
        <w:tc>
          <w:tcPr>
            <w:tcW w:w="993" w:type="dxa"/>
            <w:shd w:val="clear" w:color="000000" w:fill="1E3D6B"/>
            <w:vAlign w:val="center"/>
            <w:hideMark/>
          </w:tcPr>
          <w:p w:rsidR="007C3E39" w:rsidRPr="00F70159" w:rsidRDefault="007C3E39" w:rsidP="007C3E39">
            <w:pPr>
              <w:spacing w:after="0" w:line="240" w:lineRule="auto"/>
              <w:jc w:val="center"/>
              <w:rPr>
                <w:rFonts w:eastAsia="Times New Roman" w:cstheme="minorHAnsi"/>
                <w:b/>
                <w:bCs/>
                <w:color w:val="FFFFFF"/>
                <w:sz w:val="20"/>
                <w:szCs w:val="20"/>
                <w:lang w:eastAsia="en-AU"/>
              </w:rPr>
            </w:pPr>
            <w:r w:rsidRPr="00F70159">
              <w:rPr>
                <w:rFonts w:eastAsia="Times New Roman" w:cstheme="minorHAnsi"/>
                <w:b/>
                <w:bCs/>
                <w:color w:val="FFFFFF"/>
                <w:sz w:val="20"/>
                <w:szCs w:val="20"/>
                <w:lang w:eastAsia="en-AU"/>
              </w:rPr>
              <w:t>Jul15</w:t>
            </w:r>
            <w:r w:rsidR="009060D1">
              <w:rPr>
                <w:rFonts w:eastAsia="Times New Roman" w:cstheme="minorHAnsi"/>
                <w:b/>
                <w:bCs/>
                <w:color w:val="FFFFFF"/>
                <w:sz w:val="20"/>
                <w:szCs w:val="20"/>
                <w:lang w:eastAsia="en-AU"/>
              </w:rPr>
              <w:t xml:space="preserve"> </w:t>
            </w:r>
            <w:r w:rsidRPr="00F70159">
              <w:rPr>
                <w:rFonts w:eastAsia="Times New Roman" w:cstheme="minorHAnsi"/>
                <w:b/>
                <w:bCs/>
                <w:color w:val="FFFFFF"/>
                <w:sz w:val="20"/>
                <w:szCs w:val="20"/>
                <w:lang w:eastAsia="en-AU"/>
              </w:rPr>
              <w:t xml:space="preserve"> </w:t>
            </w:r>
            <w:r w:rsidR="009060D1">
              <w:rPr>
                <w:rFonts w:eastAsia="Times New Roman" w:cstheme="minorHAnsi"/>
                <w:b/>
                <w:bCs/>
                <w:color w:val="FFFFFF"/>
                <w:sz w:val="20"/>
                <w:szCs w:val="20"/>
                <w:lang w:eastAsia="en-AU"/>
              </w:rPr>
              <w:t>–</w:t>
            </w:r>
            <w:r w:rsidRPr="00F70159">
              <w:rPr>
                <w:rFonts w:eastAsia="Times New Roman" w:cstheme="minorHAnsi"/>
                <w:b/>
                <w:bCs/>
                <w:color w:val="FFFFFF"/>
                <w:sz w:val="20"/>
                <w:szCs w:val="20"/>
                <w:lang w:eastAsia="en-AU"/>
              </w:rPr>
              <w:br/>
              <w:t>Jun16</w:t>
            </w:r>
          </w:p>
        </w:tc>
        <w:tc>
          <w:tcPr>
            <w:tcW w:w="1134" w:type="dxa"/>
            <w:shd w:val="clear" w:color="000000" w:fill="1E3D6B"/>
            <w:vAlign w:val="center"/>
            <w:hideMark/>
          </w:tcPr>
          <w:p w:rsidR="007C3E39" w:rsidRPr="00F70159" w:rsidRDefault="007C3E39" w:rsidP="007C3E39">
            <w:pPr>
              <w:spacing w:after="0" w:line="240" w:lineRule="auto"/>
              <w:jc w:val="center"/>
              <w:rPr>
                <w:rFonts w:eastAsia="Times New Roman" w:cstheme="minorHAnsi"/>
                <w:b/>
                <w:bCs/>
                <w:color w:val="FFFFFF"/>
                <w:sz w:val="20"/>
                <w:szCs w:val="20"/>
                <w:lang w:eastAsia="en-AU"/>
              </w:rPr>
            </w:pPr>
            <w:r w:rsidRPr="00F70159">
              <w:rPr>
                <w:rFonts w:eastAsia="Times New Roman" w:cstheme="minorHAnsi"/>
                <w:b/>
                <w:bCs/>
                <w:color w:val="FFFFFF"/>
                <w:sz w:val="20"/>
                <w:szCs w:val="20"/>
                <w:lang w:eastAsia="en-AU"/>
              </w:rPr>
              <w:t xml:space="preserve">Oct15 </w:t>
            </w:r>
            <w:r w:rsidR="009060D1">
              <w:rPr>
                <w:rFonts w:eastAsia="Times New Roman" w:cstheme="minorHAnsi"/>
                <w:b/>
                <w:bCs/>
                <w:color w:val="FFFFFF"/>
                <w:sz w:val="20"/>
                <w:szCs w:val="20"/>
                <w:lang w:eastAsia="en-AU"/>
              </w:rPr>
              <w:t>–</w:t>
            </w:r>
            <w:r w:rsidRPr="00F70159">
              <w:rPr>
                <w:rFonts w:eastAsia="Times New Roman" w:cstheme="minorHAnsi"/>
                <w:b/>
                <w:bCs/>
                <w:color w:val="FFFFFF"/>
                <w:sz w:val="20"/>
                <w:szCs w:val="20"/>
                <w:lang w:eastAsia="en-AU"/>
              </w:rPr>
              <w:br/>
              <w:t>Sep16</w:t>
            </w:r>
          </w:p>
        </w:tc>
      </w:tr>
      <w:tr w:rsidR="00F26FDF" w:rsidRPr="00F70159" w:rsidTr="00BF451A">
        <w:trPr>
          <w:trHeight w:hRule="exact" w:val="510"/>
        </w:trPr>
        <w:tc>
          <w:tcPr>
            <w:tcW w:w="2688" w:type="dxa"/>
            <w:shd w:val="clear" w:color="000000" w:fill="FFFFFF"/>
            <w:vAlign w:val="center"/>
            <w:hideMark/>
          </w:tcPr>
          <w:p w:rsidR="007C3E39" w:rsidRPr="00F70159" w:rsidRDefault="007C3E39" w:rsidP="00C13A81">
            <w:pPr>
              <w:spacing w:after="0" w:line="240" w:lineRule="auto"/>
              <w:rPr>
                <w:rFonts w:eastAsia="Times New Roman" w:cstheme="minorHAnsi"/>
                <w:sz w:val="20"/>
                <w:szCs w:val="20"/>
                <w:lang w:eastAsia="en-AU"/>
              </w:rPr>
            </w:pPr>
            <w:r w:rsidRPr="00F70159">
              <w:rPr>
                <w:rFonts w:eastAsia="Times New Roman" w:cstheme="minorHAnsi"/>
                <w:sz w:val="20"/>
                <w:szCs w:val="20"/>
                <w:lang w:eastAsia="en-AU"/>
              </w:rPr>
              <w:t>Total</w:t>
            </w:r>
          </w:p>
        </w:tc>
        <w:tc>
          <w:tcPr>
            <w:tcW w:w="1276"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31.8 </w:t>
            </w:r>
          </w:p>
        </w:tc>
        <w:tc>
          <w:tcPr>
            <w:tcW w:w="1134"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31.5 </w:t>
            </w:r>
          </w:p>
        </w:tc>
        <w:tc>
          <w:tcPr>
            <w:tcW w:w="1276"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34.2 </w:t>
            </w:r>
          </w:p>
        </w:tc>
        <w:tc>
          <w:tcPr>
            <w:tcW w:w="1272"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35.2 </w:t>
            </w:r>
          </w:p>
        </w:tc>
        <w:tc>
          <w:tcPr>
            <w:tcW w:w="1138"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38.3 </w:t>
            </w:r>
          </w:p>
        </w:tc>
        <w:tc>
          <w:tcPr>
            <w:tcW w:w="1276"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37.2 </w:t>
            </w:r>
          </w:p>
        </w:tc>
        <w:tc>
          <w:tcPr>
            <w:tcW w:w="1275"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36.2 </w:t>
            </w:r>
          </w:p>
        </w:tc>
        <w:tc>
          <w:tcPr>
            <w:tcW w:w="993" w:type="dxa"/>
            <w:shd w:val="clear" w:color="auto" w:fill="auto"/>
            <w:noWrap/>
            <w:vAlign w:val="center"/>
            <w:hideMark/>
          </w:tcPr>
          <w:p w:rsidR="007C3E39" w:rsidRPr="00F70159" w:rsidRDefault="007C3E39" w:rsidP="00F70159">
            <w:pPr>
              <w:spacing w:after="0" w:line="240" w:lineRule="auto"/>
              <w:ind w:left="-186" w:right="243"/>
              <w:jc w:val="right"/>
              <w:rPr>
                <w:rFonts w:eastAsia="Times New Roman" w:cstheme="minorHAnsi"/>
                <w:color w:val="000000"/>
                <w:sz w:val="20"/>
                <w:szCs w:val="20"/>
                <w:lang w:eastAsia="en-AU"/>
              </w:rPr>
            </w:pPr>
            <w:r w:rsidRPr="00F70159">
              <w:rPr>
                <w:rFonts w:eastAsia="Times New Roman" w:cstheme="minorHAnsi"/>
                <w:color w:val="000000"/>
                <w:sz w:val="20"/>
                <w:szCs w:val="20"/>
                <w:lang w:eastAsia="en-AU"/>
              </w:rPr>
              <w:t xml:space="preserve">35.5 </w:t>
            </w:r>
          </w:p>
        </w:tc>
        <w:tc>
          <w:tcPr>
            <w:tcW w:w="1134" w:type="dxa"/>
            <w:shd w:val="clear" w:color="auto" w:fill="auto"/>
            <w:noWrap/>
            <w:vAlign w:val="center"/>
            <w:hideMark/>
          </w:tcPr>
          <w:p w:rsidR="007C3E39" w:rsidRPr="00F70159" w:rsidRDefault="007C3E39" w:rsidP="00F70159">
            <w:pPr>
              <w:spacing w:after="0" w:line="240" w:lineRule="auto"/>
              <w:ind w:left="-186" w:right="243"/>
              <w:jc w:val="right"/>
              <w:rPr>
                <w:rFonts w:eastAsia="Times New Roman" w:cstheme="minorHAnsi"/>
                <w:color w:val="000000"/>
                <w:sz w:val="20"/>
                <w:szCs w:val="20"/>
                <w:lang w:eastAsia="en-AU"/>
              </w:rPr>
            </w:pPr>
            <w:r w:rsidRPr="00F70159">
              <w:rPr>
                <w:rFonts w:eastAsia="Times New Roman" w:cstheme="minorHAnsi"/>
                <w:color w:val="000000"/>
                <w:sz w:val="20"/>
                <w:szCs w:val="20"/>
                <w:lang w:eastAsia="en-AU"/>
              </w:rPr>
              <w:t xml:space="preserve">35.4 </w:t>
            </w:r>
          </w:p>
        </w:tc>
      </w:tr>
      <w:tr w:rsidR="00F26FDF" w:rsidRPr="00F70159" w:rsidTr="00BF451A">
        <w:trPr>
          <w:trHeight w:hRule="exact" w:val="510"/>
        </w:trPr>
        <w:tc>
          <w:tcPr>
            <w:tcW w:w="2688" w:type="dxa"/>
            <w:shd w:val="clear" w:color="auto" w:fill="E5E5E5" w:themeFill="background1" w:themeFillTint="33"/>
            <w:vAlign w:val="center"/>
            <w:hideMark/>
          </w:tcPr>
          <w:p w:rsidR="007C3E39" w:rsidRPr="00F70159" w:rsidRDefault="007C3E39" w:rsidP="007C3E39">
            <w:pPr>
              <w:spacing w:after="0" w:line="240" w:lineRule="auto"/>
              <w:rPr>
                <w:rFonts w:eastAsia="Times New Roman" w:cstheme="minorHAnsi"/>
                <w:sz w:val="20"/>
                <w:szCs w:val="20"/>
                <w:lang w:eastAsia="en-AU"/>
              </w:rPr>
            </w:pPr>
            <w:r w:rsidRPr="00F70159">
              <w:rPr>
                <w:rFonts w:eastAsia="Times New Roman" w:cstheme="minorHAnsi"/>
                <w:sz w:val="20"/>
                <w:szCs w:val="20"/>
                <w:lang w:eastAsia="en-AU"/>
              </w:rPr>
              <w:t xml:space="preserve">LTU </w:t>
            </w:r>
          </w:p>
        </w:tc>
        <w:tc>
          <w:tcPr>
            <w:tcW w:w="1276"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34.2 </w:t>
            </w:r>
          </w:p>
        </w:tc>
        <w:tc>
          <w:tcPr>
            <w:tcW w:w="1134"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33.3 </w:t>
            </w:r>
          </w:p>
        </w:tc>
        <w:tc>
          <w:tcPr>
            <w:tcW w:w="1276"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38.6 </w:t>
            </w:r>
          </w:p>
        </w:tc>
        <w:tc>
          <w:tcPr>
            <w:tcW w:w="1272"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39.9 </w:t>
            </w:r>
          </w:p>
        </w:tc>
        <w:tc>
          <w:tcPr>
            <w:tcW w:w="1138"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46.6 </w:t>
            </w:r>
          </w:p>
        </w:tc>
        <w:tc>
          <w:tcPr>
            <w:tcW w:w="1276"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46.2 </w:t>
            </w:r>
          </w:p>
        </w:tc>
        <w:tc>
          <w:tcPr>
            <w:tcW w:w="1275"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43.6 </w:t>
            </w:r>
          </w:p>
        </w:tc>
        <w:tc>
          <w:tcPr>
            <w:tcW w:w="993" w:type="dxa"/>
            <w:shd w:val="clear" w:color="auto" w:fill="E5E5E5" w:themeFill="background1" w:themeFillTint="33"/>
            <w:noWrap/>
            <w:vAlign w:val="center"/>
            <w:hideMark/>
          </w:tcPr>
          <w:p w:rsidR="007C3E39" w:rsidRPr="00F70159" w:rsidRDefault="007C3E39" w:rsidP="00F70159">
            <w:pPr>
              <w:spacing w:after="0" w:line="240" w:lineRule="auto"/>
              <w:ind w:left="-186" w:right="243"/>
              <w:jc w:val="right"/>
              <w:rPr>
                <w:rFonts w:eastAsia="Times New Roman" w:cstheme="minorHAnsi"/>
                <w:color w:val="000000"/>
                <w:sz w:val="20"/>
                <w:szCs w:val="20"/>
                <w:lang w:eastAsia="en-AU"/>
              </w:rPr>
            </w:pPr>
            <w:r w:rsidRPr="00F70159">
              <w:rPr>
                <w:rFonts w:eastAsia="Times New Roman" w:cstheme="minorHAnsi"/>
                <w:color w:val="000000"/>
                <w:sz w:val="20"/>
                <w:szCs w:val="20"/>
                <w:lang w:eastAsia="en-AU"/>
              </w:rPr>
              <w:t xml:space="preserve">40.7 </w:t>
            </w:r>
          </w:p>
        </w:tc>
        <w:tc>
          <w:tcPr>
            <w:tcW w:w="1134" w:type="dxa"/>
            <w:shd w:val="clear" w:color="auto" w:fill="E5E5E5" w:themeFill="background1" w:themeFillTint="33"/>
            <w:noWrap/>
            <w:vAlign w:val="center"/>
            <w:hideMark/>
          </w:tcPr>
          <w:p w:rsidR="007C3E39" w:rsidRPr="00F70159" w:rsidRDefault="007C3E39" w:rsidP="00F70159">
            <w:pPr>
              <w:spacing w:after="0" w:line="240" w:lineRule="auto"/>
              <w:ind w:left="-186" w:right="243"/>
              <w:jc w:val="right"/>
              <w:rPr>
                <w:rFonts w:eastAsia="Times New Roman" w:cstheme="minorHAnsi"/>
                <w:color w:val="000000"/>
                <w:sz w:val="20"/>
                <w:szCs w:val="20"/>
                <w:lang w:eastAsia="en-AU"/>
              </w:rPr>
            </w:pPr>
            <w:r w:rsidRPr="00F70159">
              <w:rPr>
                <w:rFonts w:eastAsia="Times New Roman" w:cstheme="minorHAnsi"/>
                <w:color w:val="000000"/>
                <w:sz w:val="20"/>
                <w:szCs w:val="20"/>
                <w:lang w:eastAsia="en-AU"/>
              </w:rPr>
              <w:t xml:space="preserve">40.3 </w:t>
            </w:r>
          </w:p>
        </w:tc>
      </w:tr>
      <w:tr w:rsidR="00F26FDF" w:rsidRPr="00F70159" w:rsidTr="00BF451A">
        <w:trPr>
          <w:trHeight w:hRule="exact" w:val="510"/>
        </w:trPr>
        <w:tc>
          <w:tcPr>
            <w:tcW w:w="2688" w:type="dxa"/>
            <w:shd w:val="clear" w:color="000000" w:fill="FFFFFF"/>
            <w:vAlign w:val="center"/>
            <w:hideMark/>
          </w:tcPr>
          <w:p w:rsidR="007C3E39" w:rsidRPr="00F70159" w:rsidRDefault="007C3E39" w:rsidP="007C3E39">
            <w:pPr>
              <w:spacing w:after="0" w:line="240" w:lineRule="auto"/>
              <w:rPr>
                <w:rFonts w:eastAsia="Times New Roman" w:cstheme="minorHAnsi"/>
                <w:sz w:val="20"/>
                <w:szCs w:val="20"/>
                <w:lang w:eastAsia="en-AU"/>
              </w:rPr>
            </w:pPr>
            <w:r w:rsidRPr="00F70159">
              <w:rPr>
                <w:rFonts w:eastAsia="Times New Roman" w:cstheme="minorHAnsi"/>
                <w:sz w:val="20"/>
                <w:szCs w:val="20"/>
                <w:lang w:eastAsia="en-AU"/>
              </w:rPr>
              <w:t xml:space="preserve">VLTU </w:t>
            </w:r>
          </w:p>
        </w:tc>
        <w:tc>
          <w:tcPr>
            <w:tcW w:w="1276"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30.5 </w:t>
            </w:r>
          </w:p>
        </w:tc>
        <w:tc>
          <w:tcPr>
            <w:tcW w:w="1134"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30.4 </w:t>
            </w:r>
          </w:p>
        </w:tc>
        <w:tc>
          <w:tcPr>
            <w:tcW w:w="1276"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31.5 </w:t>
            </w:r>
          </w:p>
        </w:tc>
        <w:tc>
          <w:tcPr>
            <w:tcW w:w="1272"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31.2 </w:t>
            </w:r>
          </w:p>
        </w:tc>
        <w:tc>
          <w:tcPr>
            <w:tcW w:w="1138"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31.8 </w:t>
            </w:r>
          </w:p>
        </w:tc>
        <w:tc>
          <w:tcPr>
            <w:tcW w:w="1276"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30.4 </w:t>
            </w:r>
          </w:p>
        </w:tc>
        <w:tc>
          <w:tcPr>
            <w:tcW w:w="1275"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30.3 </w:t>
            </w:r>
          </w:p>
        </w:tc>
        <w:tc>
          <w:tcPr>
            <w:tcW w:w="993" w:type="dxa"/>
            <w:shd w:val="clear" w:color="auto" w:fill="auto"/>
            <w:noWrap/>
            <w:vAlign w:val="center"/>
            <w:hideMark/>
          </w:tcPr>
          <w:p w:rsidR="007C3E39" w:rsidRPr="00F70159" w:rsidRDefault="007C3E39" w:rsidP="00F70159">
            <w:pPr>
              <w:spacing w:after="0" w:line="240" w:lineRule="auto"/>
              <w:ind w:left="-186" w:right="243"/>
              <w:jc w:val="right"/>
              <w:rPr>
                <w:rFonts w:eastAsia="Times New Roman" w:cstheme="minorHAnsi"/>
                <w:color w:val="000000"/>
                <w:sz w:val="20"/>
                <w:szCs w:val="20"/>
                <w:lang w:eastAsia="en-AU"/>
              </w:rPr>
            </w:pPr>
            <w:r w:rsidRPr="00F70159">
              <w:rPr>
                <w:rFonts w:eastAsia="Times New Roman" w:cstheme="minorHAnsi"/>
                <w:color w:val="000000"/>
                <w:sz w:val="20"/>
                <w:szCs w:val="20"/>
                <w:lang w:eastAsia="en-AU"/>
              </w:rPr>
              <w:t xml:space="preserve">32.4 </w:t>
            </w:r>
          </w:p>
        </w:tc>
        <w:tc>
          <w:tcPr>
            <w:tcW w:w="1134" w:type="dxa"/>
            <w:shd w:val="clear" w:color="auto" w:fill="auto"/>
            <w:noWrap/>
            <w:vAlign w:val="center"/>
            <w:hideMark/>
          </w:tcPr>
          <w:p w:rsidR="007C3E39" w:rsidRPr="00F70159" w:rsidRDefault="007C3E39" w:rsidP="00F70159">
            <w:pPr>
              <w:tabs>
                <w:tab w:val="left" w:pos="2498"/>
              </w:tabs>
              <w:spacing w:after="0" w:line="240" w:lineRule="auto"/>
              <w:ind w:left="-186" w:right="243"/>
              <w:jc w:val="right"/>
              <w:rPr>
                <w:rFonts w:eastAsia="Times New Roman" w:cstheme="minorHAnsi"/>
                <w:color w:val="000000"/>
                <w:sz w:val="20"/>
                <w:szCs w:val="20"/>
                <w:lang w:eastAsia="en-AU"/>
              </w:rPr>
            </w:pPr>
            <w:r w:rsidRPr="00F70159">
              <w:rPr>
                <w:rFonts w:eastAsia="Times New Roman" w:cstheme="minorHAnsi"/>
                <w:color w:val="000000"/>
                <w:sz w:val="20"/>
                <w:szCs w:val="20"/>
                <w:lang w:eastAsia="en-AU"/>
              </w:rPr>
              <w:t xml:space="preserve">32.8 </w:t>
            </w:r>
          </w:p>
        </w:tc>
      </w:tr>
      <w:tr w:rsidR="00F26FDF" w:rsidRPr="00F70159" w:rsidTr="00BF451A">
        <w:trPr>
          <w:trHeight w:hRule="exact" w:val="510"/>
        </w:trPr>
        <w:tc>
          <w:tcPr>
            <w:tcW w:w="2688" w:type="dxa"/>
            <w:shd w:val="clear" w:color="auto" w:fill="E5E5E5" w:themeFill="background1" w:themeFillTint="33"/>
            <w:vAlign w:val="center"/>
            <w:hideMark/>
          </w:tcPr>
          <w:p w:rsidR="007C3E39" w:rsidRPr="00F70159" w:rsidRDefault="007C3E39" w:rsidP="00C13A81">
            <w:pPr>
              <w:spacing w:after="0" w:line="240" w:lineRule="auto"/>
              <w:rPr>
                <w:rFonts w:eastAsia="Times New Roman" w:cstheme="minorHAnsi"/>
                <w:sz w:val="20"/>
                <w:szCs w:val="20"/>
                <w:lang w:eastAsia="en-AU"/>
              </w:rPr>
            </w:pPr>
            <w:r w:rsidRPr="00F70159">
              <w:rPr>
                <w:rFonts w:eastAsia="Times New Roman" w:cstheme="minorHAnsi"/>
                <w:sz w:val="20"/>
                <w:szCs w:val="20"/>
                <w:lang w:eastAsia="en-AU"/>
              </w:rPr>
              <w:t xml:space="preserve">18 to 24 years </w:t>
            </w:r>
          </w:p>
        </w:tc>
        <w:tc>
          <w:tcPr>
            <w:tcW w:w="1276"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32.0 </w:t>
            </w:r>
          </w:p>
        </w:tc>
        <w:tc>
          <w:tcPr>
            <w:tcW w:w="1134"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30.8 </w:t>
            </w:r>
          </w:p>
        </w:tc>
        <w:tc>
          <w:tcPr>
            <w:tcW w:w="1276"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33.4 </w:t>
            </w:r>
          </w:p>
        </w:tc>
        <w:tc>
          <w:tcPr>
            <w:tcW w:w="1272"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33.5 </w:t>
            </w:r>
          </w:p>
        </w:tc>
        <w:tc>
          <w:tcPr>
            <w:tcW w:w="1138"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37.4 </w:t>
            </w:r>
          </w:p>
        </w:tc>
        <w:tc>
          <w:tcPr>
            <w:tcW w:w="1276"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35.7 </w:t>
            </w:r>
          </w:p>
        </w:tc>
        <w:tc>
          <w:tcPr>
            <w:tcW w:w="1275"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35.3 </w:t>
            </w:r>
          </w:p>
        </w:tc>
        <w:tc>
          <w:tcPr>
            <w:tcW w:w="993" w:type="dxa"/>
            <w:shd w:val="clear" w:color="auto" w:fill="E5E5E5" w:themeFill="background1" w:themeFillTint="33"/>
            <w:noWrap/>
            <w:vAlign w:val="center"/>
            <w:hideMark/>
          </w:tcPr>
          <w:p w:rsidR="007C3E39" w:rsidRPr="00F70159" w:rsidRDefault="007C3E39" w:rsidP="00F70159">
            <w:pPr>
              <w:spacing w:after="0" w:line="240" w:lineRule="auto"/>
              <w:ind w:left="-186" w:right="243"/>
              <w:jc w:val="right"/>
              <w:rPr>
                <w:rFonts w:eastAsia="Times New Roman" w:cstheme="minorHAnsi"/>
                <w:color w:val="000000"/>
                <w:sz w:val="20"/>
                <w:szCs w:val="20"/>
                <w:lang w:eastAsia="en-AU"/>
              </w:rPr>
            </w:pPr>
            <w:r w:rsidRPr="00F70159">
              <w:rPr>
                <w:rFonts w:eastAsia="Times New Roman" w:cstheme="minorHAnsi"/>
                <w:color w:val="000000"/>
                <w:sz w:val="20"/>
                <w:szCs w:val="20"/>
                <w:lang w:eastAsia="en-AU"/>
              </w:rPr>
              <w:t xml:space="preserve">37.9 </w:t>
            </w:r>
          </w:p>
        </w:tc>
        <w:tc>
          <w:tcPr>
            <w:tcW w:w="1134" w:type="dxa"/>
            <w:shd w:val="clear" w:color="auto" w:fill="E5E5E5" w:themeFill="background1" w:themeFillTint="33"/>
            <w:noWrap/>
            <w:vAlign w:val="center"/>
            <w:hideMark/>
          </w:tcPr>
          <w:p w:rsidR="007C3E39" w:rsidRPr="00F70159" w:rsidRDefault="007C3E39" w:rsidP="00F70159">
            <w:pPr>
              <w:spacing w:after="0" w:line="240" w:lineRule="auto"/>
              <w:ind w:left="-186" w:right="243"/>
              <w:jc w:val="right"/>
              <w:rPr>
                <w:rFonts w:eastAsia="Times New Roman" w:cstheme="minorHAnsi"/>
                <w:color w:val="000000"/>
                <w:sz w:val="20"/>
                <w:szCs w:val="20"/>
                <w:lang w:eastAsia="en-AU"/>
              </w:rPr>
            </w:pPr>
            <w:r w:rsidRPr="00F70159">
              <w:rPr>
                <w:rFonts w:eastAsia="Times New Roman" w:cstheme="minorHAnsi"/>
                <w:color w:val="000000"/>
                <w:sz w:val="20"/>
                <w:szCs w:val="20"/>
                <w:lang w:eastAsia="en-AU"/>
              </w:rPr>
              <w:t xml:space="preserve">36.7 </w:t>
            </w:r>
          </w:p>
        </w:tc>
      </w:tr>
      <w:tr w:rsidR="00F26FDF" w:rsidRPr="00F70159" w:rsidTr="00BF451A">
        <w:trPr>
          <w:trHeight w:hRule="exact" w:val="510"/>
        </w:trPr>
        <w:tc>
          <w:tcPr>
            <w:tcW w:w="2688" w:type="dxa"/>
            <w:shd w:val="clear" w:color="000000" w:fill="FFFFFF"/>
            <w:vAlign w:val="center"/>
            <w:hideMark/>
          </w:tcPr>
          <w:p w:rsidR="007C3E39" w:rsidRPr="00F70159" w:rsidRDefault="007C3E39" w:rsidP="00C13A81">
            <w:pPr>
              <w:spacing w:after="0" w:line="240" w:lineRule="auto"/>
              <w:rPr>
                <w:rFonts w:eastAsia="Times New Roman" w:cstheme="minorHAnsi"/>
                <w:sz w:val="20"/>
                <w:szCs w:val="20"/>
                <w:lang w:eastAsia="en-AU"/>
              </w:rPr>
            </w:pPr>
            <w:r w:rsidRPr="00F70159">
              <w:rPr>
                <w:rFonts w:eastAsia="Times New Roman" w:cstheme="minorHAnsi"/>
                <w:sz w:val="20"/>
                <w:szCs w:val="20"/>
                <w:lang w:eastAsia="en-AU"/>
              </w:rPr>
              <w:t xml:space="preserve">24 to under 30 years </w:t>
            </w:r>
            <w:r w:rsidR="000536E3">
              <w:rPr>
                <w:rFonts w:eastAsia="Times New Roman" w:cstheme="minorHAnsi"/>
                <w:sz w:val="20"/>
                <w:szCs w:val="20"/>
                <w:lang w:eastAsia="en-AU"/>
              </w:rPr>
              <w:t xml:space="preserve"> </w:t>
            </w:r>
          </w:p>
        </w:tc>
        <w:tc>
          <w:tcPr>
            <w:tcW w:w="1276"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30.6 </w:t>
            </w:r>
          </w:p>
        </w:tc>
        <w:tc>
          <w:tcPr>
            <w:tcW w:w="1134"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32.0 </w:t>
            </w:r>
          </w:p>
        </w:tc>
        <w:tc>
          <w:tcPr>
            <w:tcW w:w="1276"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34.4 </w:t>
            </w:r>
          </w:p>
        </w:tc>
        <w:tc>
          <w:tcPr>
            <w:tcW w:w="1272"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36.2 </w:t>
            </w:r>
          </w:p>
        </w:tc>
        <w:tc>
          <w:tcPr>
            <w:tcW w:w="1138"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39.6 </w:t>
            </w:r>
          </w:p>
        </w:tc>
        <w:tc>
          <w:tcPr>
            <w:tcW w:w="1276"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39.0 </w:t>
            </w:r>
          </w:p>
        </w:tc>
        <w:tc>
          <w:tcPr>
            <w:tcW w:w="1275"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37.1 </w:t>
            </w:r>
          </w:p>
        </w:tc>
        <w:tc>
          <w:tcPr>
            <w:tcW w:w="993" w:type="dxa"/>
            <w:shd w:val="clear" w:color="auto" w:fill="auto"/>
            <w:noWrap/>
            <w:vAlign w:val="center"/>
            <w:hideMark/>
          </w:tcPr>
          <w:p w:rsidR="007C3E39" w:rsidRPr="00F70159" w:rsidRDefault="007C3E39" w:rsidP="00F70159">
            <w:pPr>
              <w:spacing w:after="0" w:line="240" w:lineRule="auto"/>
              <w:ind w:left="-186" w:right="243"/>
              <w:jc w:val="right"/>
              <w:rPr>
                <w:rFonts w:eastAsia="Times New Roman" w:cstheme="minorHAnsi"/>
                <w:color w:val="000000"/>
                <w:sz w:val="20"/>
                <w:szCs w:val="20"/>
                <w:lang w:eastAsia="en-AU"/>
              </w:rPr>
            </w:pPr>
            <w:r w:rsidRPr="00F70159">
              <w:rPr>
                <w:rFonts w:eastAsia="Times New Roman" w:cstheme="minorHAnsi"/>
                <w:color w:val="000000"/>
                <w:sz w:val="20"/>
                <w:szCs w:val="20"/>
                <w:lang w:eastAsia="en-AU"/>
              </w:rPr>
              <w:t xml:space="preserve">33.7 </w:t>
            </w:r>
          </w:p>
        </w:tc>
        <w:tc>
          <w:tcPr>
            <w:tcW w:w="1134" w:type="dxa"/>
            <w:shd w:val="clear" w:color="auto" w:fill="auto"/>
            <w:noWrap/>
            <w:vAlign w:val="center"/>
            <w:hideMark/>
          </w:tcPr>
          <w:p w:rsidR="007C3E39" w:rsidRPr="00F70159" w:rsidRDefault="007C3E39" w:rsidP="00F70159">
            <w:pPr>
              <w:spacing w:after="0" w:line="240" w:lineRule="auto"/>
              <w:ind w:left="-186" w:right="243"/>
              <w:jc w:val="right"/>
              <w:rPr>
                <w:rFonts w:eastAsia="Times New Roman" w:cstheme="minorHAnsi"/>
                <w:color w:val="000000"/>
                <w:sz w:val="20"/>
                <w:szCs w:val="20"/>
                <w:lang w:eastAsia="en-AU"/>
              </w:rPr>
            </w:pPr>
            <w:r w:rsidRPr="00F70159">
              <w:rPr>
                <w:rFonts w:eastAsia="Times New Roman" w:cstheme="minorHAnsi"/>
                <w:color w:val="000000"/>
                <w:sz w:val="20"/>
                <w:szCs w:val="20"/>
                <w:lang w:eastAsia="en-AU"/>
              </w:rPr>
              <w:t xml:space="preserve">34.4 </w:t>
            </w:r>
          </w:p>
        </w:tc>
      </w:tr>
      <w:tr w:rsidR="00F26FDF" w:rsidRPr="00F70159" w:rsidTr="00BF451A">
        <w:trPr>
          <w:trHeight w:hRule="exact" w:val="510"/>
        </w:trPr>
        <w:tc>
          <w:tcPr>
            <w:tcW w:w="2688" w:type="dxa"/>
            <w:shd w:val="clear" w:color="auto" w:fill="E5E5E5" w:themeFill="background1" w:themeFillTint="33"/>
            <w:vAlign w:val="center"/>
            <w:hideMark/>
          </w:tcPr>
          <w:p w:rsidR="007C3E39" w:rsidRPr="00F70159" w:rsidRDefault="007C3E39" w:rsidP="00C13A81">
            <w:pPr>
              <w:spacing w:after="0" w:line="240" w:lineRule="auto"/>
              <w:rPr>
                <w:rFonts w:eastAsia="Times New Roman" w:cstheme="minorHAnsi"/>
                <w:sz w:val="20"/>
                <w:szCs w:val="20"/>
                <w:lang w:eastAsia="en-AU"/>
              </w:rPr>
            </w:pPr>
            <w:r w:rsidRPr="00F70159">
              <w:rPr>
                <w:rFonts w:eastAsia="Times New Roman" w:cstheme="minorHAnsi"/>
                <w:sz w:val="20"/>
                <w:szCs w:val="20"/>
                <w:lang w:eastAsia="en-AU"/>
              </w:rPr>
              <w:t>Female</w:t>
            </w:r>
            <w:r w:rsidR="000536E3">
              <w:rPr>
                <w:rFonts w:eastAsia="Times New Roman" w:cstheme="minorHAnsi"/>
                <w:sz w:val="20"/>
                <w:szCs w:val="20"/>
                <w:lang w:eastAsia="en-AU"/>
              </w:rPr>
              <w:t>,</w:t>
            </w:r>
            <w:r w:rsidRPr="00F70159">
              <w:rPr>
                <w:rFonts w:eastAsia="Times New Roman" w:cstheme="minorHAnsi"/>
                <w:sz w:val="20"/>
                <w:szCs w:val="20"/>
                <w:lang w:eastAsia="en-AU"/>
              </w:rPr>
              <w:t xml:space="preserve"> </w:t>
            </w:r>
            <w:r w:rsidR="000536E3">
              <w:rPr>
                <w:rFonts w:eastAsia="Times New Roman" w:cstheme="minorHAnsi"/>
                <w:sz w:val="20"/>
                <w:szCs w:val="20"/>
                <w:lang w:eastAsia="en-AU"/>
              </w:rPr>
              <w:t>total</w:t>
            </w:r>
          </w:p>
        </w:tc>
        <w:tc>
          <w:tcPr>
            <w:tcW w:w="1276"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35.1 </w:t>
            </w:r>
          </w:p>
        </w:tc>
        <w:tc>
          <w:tcPr>
            <w:tcW w:w="1134"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36.2 </w:t>
            </w:r>
          </w:p>
        </w:tc>
        <w:tc>
          <w:tcPr>
            <w:tcW w:w="1276"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37.8 </w:t>
            </w:r>
          </w:p>
        </w:tc>
        <w:tc>
          <w:tcPr>
            <w:tcW w:w="1272"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39.5 </w:t>
            </w:r>
          </w:p>
        </w:tc>
        <w:tc>
          <w:tcPr>
            <w:tcW w:w="1138"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39.4 </w:t>
            </w:r>
          </w:p>
        </w:tc>
        <w:tc>
          <w:tcPr>
            <w:tcW w:w="1276"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38.7 </w:t>
            </w:r>
          </w:p>
        </w:tc>
        <w:tc>
          <w:tcPr>
            <w:tcW w:w="1275"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39.1 </w:t>
            </w:r>
          </w:p>
        </w:tc>
        <w:tc>
          <w:tcPr>
            <w:tcW w:w="993" w:type="dxa"/>
            <w:shd w:val="clear" w:color="auto" w:fill="E5E5E5" w:themeFill="background1" w:themeFillTint="33"/>
            <w:noWrap/>
            <w:vAlign w:val="center"/>
            <w:hideMark/>
          </w:tcPr>
          <w:p w:rsidR="007C3E39" w:rsidRPr="00F70159" w:rsidRDefault="007C3E39" w:rsidP="00F70159">
            <w:pPr>
              <w:spacing w:after="0" w:line="240" w:lineRule="auto"/>
              <w:ind w:left="-186" w:right="243"/>
              <w:jc w:val="right"/>
              <w:rPr>
                <w:rFonts w:eastAsia="Times New Roman" w:cstheme="minorHAnsi"/>
                <w:color w:val="000000"/>
                <w:sz w:val="20"/>
                <w:szCs w:val="20"/>
                <w:lang w:eastAsia="en-AU"/>
              </w:rPr>
            </w:pPr>
            <w:r w:rsidRPr="00F70159">
              <w:rPr>
                <w:rFonts w:eastAsia="Times New Roman" w:cstheme="minorHAnsi"/>
                <w:color w:val="000000"/>
                <w:sz w:val="20"/>
                <w:szCs w:val="20"/>
                <w:lang w:eastAsia="en-AU"/>
              </w:rPr>
              <w:t xml:space="preserve">38.1 </w:t>
            </w:r>
          </w:p>
        </w:tc>
        <w:tc>
          <w:tcPr>
            <w:tcW w:w="1134" w:type="dxa"/>
            <w:shd w:val="clear" w:color="auto" w:fill="E5E5E5" w:themeFill="background1" w:themeFillTint="33"/>
            <w:noWrap/>
            <w:vAlign w:val="center"/>
            <w:hideMark/>
          </w:tcPr>
          <w:p w:rsidR="007C3E39" w:rsidRPr="00F70159" w:rsidRDefault="007C3E39" w:rsidP="00F70159">
            <w:pPr>
              <w:spacing w:after="0" w:line="240" w:lineRule="auto"/>
              <w:ind w:left="-186" w:right="243"/>
              <w:jc w:val="right"/>
              <w:rPr>
                <w:rFonts w:eastAsia="Times New Roman" w:cstheme="minorHAnsi"/>
                <w:color w:val="000000"/>
                <w:sz w:val="20"/>
                <w:szCs w:val="20"/>
                <w:lang w:eastAsia="en-AU"/>
              </w:rPr>
            </w:pPr>
            <w:r w:rsidRPr="00F70159">
              <w:rPr>
                <w:rFonts w:eastAsia="Times New Roman" w:cstheme="minorHAnsi"/>
                <w:color w:val="000000"/>
                <w:sz w:val="20"/>
                <w:szCs w:val="20"/>
                <w:lang w:eastAsia="en-AU"/>
              </w:rPr>
              <w:t xml:space="preserve">37.9 </w:t>
            </w:r>
          </w:p>
        </w:tc>
      </w:tr>
      <w:tr w:rsidR="00F26FDF" w:rsidRPr="00F70159" w:rsidTr="00BF451A">
        <w:trPr>
          <w:trHeight w:hRule="exact" w:val="510"/>
        </w:trPr>
        <w:tc>
          <w:tcPr>
            <w:tcW w:w="2688" w:type="dxa"/>
            <w:shd w:val="clear" w:color="000000" w:fill="FFFFFF"/>
            <w:vAlign w:val="center"/>
            <w:hideMark/>
          </w:tcPr>
          <w:p w:rsidR="007C3E39" w:rsidRPr="00F70159" w:rsidRDefault="007C3E39" w:rsidP="007C3E39">
            <w:pPr>
              <w:spacing w:after="0" w:line="240" w:lineRule="auto"/>
              <w:rPr>
                <w:rFonts w:eastAsia="Times New Roman" w:cstheme="minorHAnsi"/>
                <w:sz w:val="20"/>
                <w:szCs w:val="20"/>
                <w:lang w:eastAsia="en-AU"/>
              </w:rPr>
            </w:pPr>
            <w:r w:rsidRPr="00F70159">
              <w:rPr>
                <w:rFonts w:eastAsia="Times New Roman" w:cstheme="minorHAnsi"/>
                <w:sz w:val="20"/>
                <w:szCs w:val="20"/>
                <w:lang w:eastAsia="en-AU"/>
              </w:rPr>
              <w:t>Female</w:t>
            </w:r>
            <w:r w:rsidR="000536E3">
              <w:rPr>
                <w:rFonts w:eastAsia="Times New Roman" w:cstheme="minorHAnsi"/>
                <w:sz w:val="20"/>
                <w:szCs w:val="20"/>
                <w:lang w:eastAsia="en-AU"/>
              </w:rPr>
              <w:t>,</w:t>
            </w:r>
            <w:r w:rsidRPr="00F70159">
              <w:rPr>
                <w:rFonts w:eastAsia="Times New Roman" w:cstheme="minorHAnsi"/>
                <w:sz w:val="20"/>
                <w:szCs w:val="20"/>
                <w:lang w:eastAsia="en-AU"/>
              </w:rPr>
              <w:t xml:space="preserve"> LTU</w:t>
            </w:r>
          </w:p>
        </w:tc>
        <w:tc>
          <w:tcPr>
            <w:tcW w:w="1276"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40.5 </w:t>
            </w:r>
          </w:p>
        </w:tc>
        <w:tc>
          <w:tcPr>
            <w:tcW w:w="1134"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39.2 </w:t>
            </w:r>
          </w:p>
        </w:tc>
        <w:tc>
          <w:tcPr>
            <w:tcW w:w="1276"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42.2 </w:t>
            </w:r>
          </w:p>
        </w:tc>
        <w:tc>
          <w:tcPr>
            <w:tcW w:w="1272"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44.7 </w:t>
            </w:r>
          </w:p>
        </w:tc>
        <w:tc>
          <w:tcPr>
            <w:tcW w:w="1138"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46.5 </w:t>
            </w:r>
          </w:p>
        </w:tc>
        <w:tc>
          <w:tcPr>
            <w:tcW w:w="1276"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46.2 </w:t>
            </w:r>
          </w:p>
        </w:tc>
        <w:tc>
          <w:tcPr>
            <w:tcW w:w="1275"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46.1 </w:t>
            </w:r>
          </w:p>
        </w:tc>
        <w:tc>
          <w:tcPr>
            <w:tcW w:w="993" w:type="dxa"/>
            <w:shd w:val="clear" w:color="auto" w:fill="auto"/>
            <w:noWrap/>
            <w:vAlign w:val="center"/>
            <w:hideMark/>
          </w:tcPr>
          <w:p w:rsidR="007C3E39" w:rsidRPr="00F70159" w:rsidRDefault="007C3E39" w:rsidP="00F70159">
            <w:pPr>
              <w:spacing w:after="0" w:line="240" w:lineRule="auto"/>
              <w:ind w:left="-186" w:right="243"/>
              <w:jc w:val="right"/>
              <w:rPr>
                <w:rFonts w:eastAsia="Times New Roman" w:cstheme="minorHAnsi"/>
                <w:color w:val="000000"/>
                <w:sz w:val="20"/>
                <w:szCs w:val="20"/>
                <w:lang w:eastAsia="en-AU"/>
              </w:rPr>
            </w:pPr>
            <w:r w:rsidRPr="00F70159">
              <w:rPr>
                <w:rFonts w:eastAsia="Times New Roman" w:cstheme="minorHAnsi"/>
                <w:color w:val="000000"/>
                <w:sz w:val="20"/>
                <w:szCs w:val="20"/>
                <w:lang w:eastAsia="en-AU"/>
              </w:rPr>
              <w:t xml:space="preserve">45.4 </w:t>
            </w:r>
          </w:p>
        </w:tc>
        <w:tc>
          <w:tcPr>
            <w:tcW w:w="1134" w:type="dxa"/>
            <w:shd w:val="clear" w:color="auto" w:fill="auto"/>
            <w:noWrap/>
            <w:vAlign w:val="center"/>
            <w:hideMark/>
          </w:tcPr>
          <w:p w:rsidR="007C3E39" w:rsidRPr="00F70159" w:rsidRDefault="007C3E39" w:rsidP="00F70159">
            <w:pPr>
              <w:spacing w:after="0" w:line="240" w:lineRule="auto"/>
              <w:ind w:left="-186" w:right="243"/>
              <w:jc w:val="right"/>
              <w:rPr>
                <w:rFonts w:eastAsia="Times New Roman" w:cstheme="minorHAnsi"/>
                <w:color w:val="000000"/>
                <w:sz w:val="20"/>
                <w:szCs w:val="20"/>
                <w:lang w:eastAsia="en-AU"/>
              </w:rPr>
            </w:pPr>
            <w:r w:rsidRPr="00F70159">
              <w:rPr>
                <w:rFonts w:eastAsia="Times New Roman" w:cstheme="minorHAnsi"/>
                <w:color w:val="000000"/>
                <w:sz w:val="20"/>
                <w:szCs w:val="20"/>
                <w:lang w:eastAsia="en-AU"/>
              </w:rPr>
              <w:t xml:space="preserve">44.3 </w:t>
            </w:r>
          </w:p>
        </w:tc>
      </w:tr>
      <w:tr w:rsidR="00F26FDF" w:rsidRPr="00F70159" w:rsidTr="00BF451A">
        <w:trPr>
          <w:trHeight w:hRule="exact" w:val="510"/>
        </w:trPr>
        <w:tc>
          <w:tcPr>
            <w:tcW w:w="2688" w:type="dxa"/>
            <w:shd w:val="clear" w:color="auto" w:fill="E5E5E5" w:themeFill="background1" w:themeFillTint="33"/>
            <w:vAlign w:val="center"/>
            <w:hideMark/>
          </w:tcPr>
          <w:p w:rsidR="007C3E39" w:rsidRPr="00F70159" w:rsidRDefault="007C3E39" w:rsidP="007C3E39">
            <w:pPr>
              <w:spacing w:after="0" w:line="240" w:lineRule="auto"/>
              <w:rPr>
                <w:rFonts w:eastAsia="Times New Roman" w:cstheme="minorHAnsi"/>
                <w:sz w:val="20"/>
                <w:szCs w:val="20"/>
                <w:lang w:eastAsia="en-AU"/>
              </w:rPr>
            </w:pPr>
            <w:r w:rsidRPr="00F70159">
              <w:rPr>
                <w:rFonts w:eastAsia="Times New Roman" w:cstheme="minorHAnsi"/>
                <w:sz w:val="20"/>
                <w:szCs w:val="20"/>
                <w:lang w:eastAsia="en-AU"/>
              </w:rPr>
              <w:t>Female</w:t>
            </w:r>
            <w:r w:rsidR="000536E3">
              <w:rPr>
                <w:rFonts w:eastAsia="Times New Roman" w:cstheme="minorHAnsi"/>
                <w:sz w:val="20"/>
                <w:szCs w:val="20"/>
                <w:lang w:eastAsia="en-AU"/>
              </w:rPr>
              <w:t>,</w:t>
            </w:r>
            <w:r w:rsidRPr="00F70159">
              <w:rPr>
                <w:rFonts w:eastAsia="Times New Roman" w:cstheme="minorHAnsi"/>
                <w:sz w:val="20"/>
                <w:szCs w:val="20"/>
                <w:lang w:eastAsia="en-AU"/>
              </w:rPr>
              <w:t xml:space="preserve"> VLTU</w:t>
            </w:r>
          </w:p>
        </w:tc>
        <w:tc>
          <w:tcPr>
            <w:tcW w:w="1276"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33.0 </w:t>
            </w:r>
          </w:p>
        </w:tc>
        <w:tc>
          <w:tcPr>
            <w:tcW w:w="1134"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33.0 </w:t>
            </w:r>
          </w:p>
        </w:tc>
        <w:tc>
          <w:tcPr>
            <w:tcW w:w="1276"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33.5 </w:t>
            </w:r>
          </w:p>
        </w:tc>
        <w:tc>
          <w:tcPr>
            <w:tcW w:w="1272"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34.0 </w:t>
            </w:r>
          </w:p>
        </w:tc>
        <w:tc>
          <w:tcPr>
            <w:tcW w:w="1138"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34.9 </w:t>
            </w:r>
          </w:p>
        </w:tc>
        <w:tc>
          <w:tcPr>
            <w:tcW w:w="1276"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34.2 </w:t>
            </w:r>
          </w:p>
        </w:tc>
        <w:tc>
          <w:tcPr>
            <w:tcW w:w="1275"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33.4 </w:t>
            </w:r>
          </w:p>
        </w:tc>
        <w:tc>
          <w:tcPr>
            <w:tcW w:w="993" w:type="dxa"/>
            <w:shd w:val="clear" w:color="auto" w:fill="E5E5E5" w:themeFill="background1" w:themeFillTint="33"/>
            <w:noWrap/>
            <w:vAlign w:val="center"/>
            <w:hideMark/>
          </w:tcPr>
          <w:p w:rsidR="007C3E39" w:rsidRPr="00F70159" w:rsidRDefault="007C3E39" w:rsidP="00F70159">
            <w:pPr>
              <w:spacing w:after="0" w:line="240" w:lineRule="auto"/>
              <w:ind w:left="-186" w:right="243"/>
              <w:jc w:val="right"/>
              <w:rPr>
                <w:rFonts w:eastAsia="Times New Roman" w:cstheme="minorHAnsi"/>
                <w:color w:val="000000"/>
                <w:sz w:val="20"/>
                <w:szCs w:val="20"/>
                <w:lang w:eastAsia="en-AU"/>
              </w:rPr>
            </w:pPr>
            <w:r w:rsidRPr="00F70159">
              <w:rPr>
                <w:rFonts w:eastAsia="Times New Roman" w:cstheme="minorHAnsi"/>
                <w:color w:val="000000"/>
                <w:sz w:val="20"/>
                <w:szCs w:val="20"/>
                <w:lang w:eastAsia="en-AU"/>
              </w:rPr>
              <w:t xml:space="preserve">34.3 </w:t>
            </w:r>
          </w:p>
        </w:tc>
        <w:tc>
          <w:tcPr>
            <w:tcW w:w="1134" w:type="dxa"/>
            <w:shd w:val="clear" w:color="auto" w:fill="E5E5E5" w:themeFill="background1" w:themeFillTint="33"/>
            <w:noWrap/>
            <w:vAlign w:val="center"/>
            <w:hideMark/>
          </w:tcPr>
          <w:p w:rsidR="007C3E39" w:rsidRPr="00F70159" w:rsidRDefault="007C3E39" w:rsidP="00F70159">
            <w:pPr>
              <w:spacing w:after="0" w:line="240" w:lineRule="auto"/>
              <w:ind w:left="-186" w:right="243"/>
              <w:jc w:val="right"/>
              <w:rPr>
                <w:rFonts w:eastAsia="Times New Roman" w:cstheme="minorHAnsi"/>
                <w:color w:val="000000"/>
                <w:sz w:val="20"/>
                <w:szCs w:val="20"/>
                <w:lang w:eastAsia="en-AU"/>
              </w:rPr>
            </w:pPr>
            <w:r w:rsidRPr="00F70159">
              <w:rPr>
                <w:rFonts w:eastAsia="Times New Roman" w:cstheme="minorHAnsi"/>
                <w:color w:val="000000"/>
                <w:sz w:val="20"/>
                <w:szCs w:val="20"/>
                <w:lang w:eastAsia="en-AU"/>
              </w:rPr>
              <w:t xml:space="preserve">34.7 </w:t>
            </w:r>
          </w:p>
        </w:tc>
      </w:tr>
      <w:tr w:rsidR="00F26FDF" w:rsidRPr="00F70159" w:rsidTr="00BF451A">
        <w:trPr>
          <w:trHeight w:hRule="exact" w:val="510"/>
        </w:trPr>
        <w:tc>
          <w:tcPr>
            <w:tcW w:w="2688" w:type="dxa"/>
            <w:shd w:val="clear" w:color="000000" w:fill="FFFFFF"/>
            <w:vAlign w:val="center"/>
            <w:hideMark/>
          </w:tcPr>
          <w:p w:rsidR="007C3E39" w:rsidRPr="00F70159" w:rsidRDefault="007C3E39" w:rsidP="00C13A81">
            <w:pPr>
              <w:spacing w:after="0" w:line="240" w:lineRule="auto"/>
              <w:rPr>
                <w:rFonts w:eastAsia="Times New Roman" w:cstheme="minorHAnsi"/>
                <w:sz w:val="20"/>
                <w:szCs w:val="20"/>
                <w:lang w:eastAsia="en-AU"/>
              </w:rPr>
            </w:pPr>
            <w:r w:rsidRPr="00F70159">
              <w:rPr>
                <w:rFonts w:eastAsia="Times New Roman" w:cstheme="minorHAnsi"/>
                <w:sz w:val="20"/>
                <w:szCs w:val="20"/>
                <w:lang w:eastAsia="en-AU"/>
              </w:rPr>
              <w:t xml:space="preserve">Female, 18 to 24 years </w:t>
            </w:r>
            <w:r w:rsidR="000536E3">
              <w:rPr>
                <w:rFonts w:eastAsia="Times New Roman" w:cstheme="minorHAnsi"/>
                <w:sz w:val="20"/>
                <w:szCs w:val="20"/>
                <w:lang w:eastAsia="en-AU"/>
              </w:rPr>
              <w:t xml:space="preserve"> </w:t>
            </w:r>
          </w:p>
        </w:tc>
        <w:tc>
          <w:tcPr>
            <w:tcW w:w="1276"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35.1 </w:t>
            </w:r>
          </w:p>
        </w:tc>
        <w:tc>
          <w:tcPr>
            <w:tcW w:w="1134"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37.4 </w:t>
            </w:r>
          </w:p>
        </w:tc>
        <w:tc>
          <w:tcPr>
            <w:tcW w:w="1276"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38.8 </w:t>
            </w:r>
          </w:p>
        </w:tc>
        <w:tc>
          <w:tcPr>
            <w:tcW w:w="1272"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39.3 </w:t>
            </w:r>
          </w:p>
        </w:tc>
        <w:tc>
          <w:tcPr>
            <w:tcW w:w="1138"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38.2 </w:t>
            </w:r>
          </w:p>
        </w:tc>
        <w:tc>
          <w:tcPr>
            <w:tcW w:w="1276"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36.8 </w:t>
            </w:r>
          </w:p>
        </w:tc>
        <w:tc>
          <w:tcPr>
            <w:tcW w:w="1275"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38.9 </w:t>
            </w:r>
          </w:p>
        </w:tc>
        <w:tc>
          <w:tcPr>
            <w:tcW w:w="993" w:type="dxa"/>
            <w:shd w:val="clear" w:color="auto" w:fill="auto"/>
            <w:noWrap/>
            <w:vAlign w:val="center"/>
            <w:hideMark/>
          </w:tcPr>
          <w:p w:rsidR="007C3E39" w:rsidRPr="00F70159" w:rsidRDefault="007C3E39" w:rsidP="00F70159">
            <w:pPr>
              <w:spacing w:after="0" w:line="240" w:lineRule="auto"/>
              <w:ind w:left="-186" w:right="243"/>
              <w:jc w:val="right"/>
              <w:rPr>
                <w:rFonts w:eastAsia="Times New Roman" w:cstheme="minorHAnsi"/>
                <w:color w:val="000000"/>
                <w:sz w:val="20"/>
                <w:szCs w:val="20"/>
                <w:lang w:eastAsia="en-AU"/>
              </w:rPr>
            </w:pPr>
            <w:r w:rsidRPr="00F70159">
              <w:rPr>
                <w:rFonts w:eastAsia="Times New Roman" w:cstheme="minorHAnsi"/>
                <w:color w:val="000000"/>
                <w:sz w:val="20"/>
                <w:szCs w:val="20"/>
                <w:lang w:eastAsia="en-AU"/>
              </w:rPr>
              <w:t xml:space="preserve">39.0 </w:t>
            </w:r>
          </w:p>
        </w:tc>
        <w:tc>
          <w:tcPr>
            <w:tcW w:w="1134" w:type="dxa"/>
            <w:shd w:val="clear" w:color="auto" w:fill="auto"/>
            <w:noWrap/>
            <w:vAlign w:val="center"/>
            <w:hideMark/>
          </w:tcPr>
          <w:p w:rsidR="007C3E39" w:rsidRPr="00F70159" w:rsidRDefault="007C3E39" w:rsidP="00F70159">
            <w:pPr>
              <w:spacing w:after="0" w:line="240" w:lineRule="auto"/>
              <w:ind w:left="-186" w:right="243"/>
              <w:jc w:val="right"/>
              <w:rPr>
                <w:rFonts w:eastAsia="Times New Roman" w:cstheme="minorHAnsi"/>
                <w:color w:val="000000"/>
                <w:sz w:val="20"/>
                <w:szCs w:val="20"/>
                <w:lang w:eastAsia="en-AU"/>
              </w:rPr>
            </w:pPr>
            <w:r w:rsidRPr="00F70159">
              <w:rPr>
                <w:rFonts w:eastAsia="Times New Roman" w:cstheme="minorHAnsi"/>
                <w:color w:val="000000"/>
                <w:sz w:val="20"/>
                <w:szCs w:val="20"/>
                <w:lang w:eastAsia="en-AU"/>
              </w:rPr>
              <w:t xml:space="preserve">39.2 </w:t>
            </w:r>
          </w:p>
        </w:tc>
      </w:tr>
      <w:tr w:rsidR="00F26FDF" w:rsidRPr="00F70159" w:rsidTr="00BF451A">
        <w:trPr>
          <w:trHeight w:hRule="exact" w:val="510"/>
        </w:trPr>
        <w:tc>
          <w:tcPr>
            <w:tcW w:w="2688" w:type="dxa"/>
            <w:shd w:val="clear" w:color="auto" w:fill="E5E5E5" w:themeFill="background1" w:themeFillTint="33"/>
            <w:vAlign w:val="center"/>
            <w:hideMark/>
          </w:tcPr>
          <w:p w:rsidR="007C3E39" w:rsidRPr="00F70159" w:rsidRDefault="007C3E39" w:rsidP="00C13A81">
            <w:pPr>
              <w:spacing w:after="0" w:line="240" w:lineRule="auto"/>
              <w:rPr>
                <w:rFonts w:eastAsia="Times New Roman" w:cstheme="minorHAnsi"/>
                <w:sz w:val="20"/>
                <w:szCs w:val="20"/>
                <w:lang w:eastAsia="en-AU"/>
              </w:rPr>
            </w:pPr>
            <w:r w:rsidRPr="00F70159">
              <w:rPr>
                <w:rFonts w:eastAsia="Times New Roman" w:cstheme="minorHAnsi"/>
                <w:sz w:val="20"/>
                <w:szCs w:val="20"/>
                <w:lang w:eastAsia="en-AU"/>
              </w:rPr>
              <w:t xml:space="preserve">Female, 24 to under 30 years </w:t>
            </w:r>
          </w:p>
        </w:tc>
        <w:tc>
          <w:tcPr>
            <w:tcW w:w="1276"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34.3 </w:t>
            </w:r>
          </w:p>
        </w:tc>
        <w:tc>
          <w:tcPr>
            <w:tcW w:w="1134"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31.7 </w:t>
            </w:r>
          </w:p>
        </w:tc>
        <w:tc>
          <w:tcPr>
            <w:tcW w:w="1276"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32.3 </w:t>
            </w:r>
          </w:p>
        </w:tc>
        <w:tc>
          <w:tcPr>
            <w:tcW w:w="1272"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37.6 </w:t>
            </w:r>
          </w:p>
        </w:tc>
        <w:tc>
          <w:tcPr>
            <w:tcW w:w="1138"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44.4 </w:t>
            </w:r>
          </w:p>
        </w:tc>
        <w:tc>
          <w:tcPr>
            <w:tcW w:w="1276"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45.0 </w:t>
            </w:r>
          </w:p>
        </w:tc>
        <w:tc>
          <w:tcPr>
            <w:tcW w:w="1275"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41.8 </w:t>
            </w:r>
          </w:p>
        </w:tc>
        <w:tc>
          <w:tcPr>
            <w:tcW w:w="993" w:type="dxa"/>
            <w:shd w:val="clear" w:color="auto" w:fill="E5E5E5" w:themeFill="background1" w:themeFillTint="33"/>
            <w:noWrap/>
            <w:vAlign w:val="center"/>
            <w:hideMark/>
          </w:tcPr>
          <w:p w:rsidR="007C3E39" w:rsidRPr="00F70159" w:rsidRDefault="007C3E39" w:rsidP="00F70159">
            <w:pPr>
              <w:spacing w:after="0" w:line="240" w:lineRule="auto"/>
              <w:ind w:left="-186" w:right="243"/>
              <w:jc w:val="right"/>
              <w:rPr>
                <w:rFonts w:eastAsia="Times New Roman" w:cstheme="minorHAnsi"/>
                <w:color w:val="000000"/>
                <w:sz w:val="20"/>
                <w:szCs w:val="20"/>
                <w:lang w:eastAsia="en-AU"/>
              </w:rPr>
            </w:pPr>
            <w:r w:rsidRPr="00F70159">
              <w:rPr>
                <w:rFonts w:eastAsia="Times New Roman" w:cstheme="minorHAnsi"/>
                <w:color w:val="000000"/>
                <w:sz w:val="20"/>
                <w:szCs w:val="20"/>
                <w:lang w:eastAsia="en-AU"/>
              </w:rPr>
              <w:t xml:space="preserve">37.4 </w:t>
            </w:r>
          </w:p>
        </w:tc>
        <w:tc>
          <w:tcPr>
            <w:tcW w:w="1134" w:type="dxa"/>
            <w:shd w:val="clear" w:color="auto" w:fill="E5E5E5" w:themeFill="background1" w:themeFillTint="33"/>
            <w:noWrap/>
            <w:vAlign w:val="center"/>
            <w:hideMark/>
          </w:tcPr>
          <w:p w:rsidR="007C3E39" w:rsidRPr="00F70159" w:rsidRDefault="007C3E39" w:rsidP="00F70159">
            <w:pPr>
              <w:spacing w:after="0" w:line="240" w:lineRule="auto"/>
              <w:ind w:left="-186" w:right="243"/>
              <w:jc w:val="right"/>
              <w:rPr>
                <w:rFonts w:eastAsia="Times New Roman" w:cstheme="minorHAnsi"/>
                <w:color w:val="000000"/>
                <w:sz w:val="20"/>
                <w:szCs w:val="20"/>
                <w:lang w:eastAsia="en-AU"/>
              </w:rPr>
            </w:pPr>
            <w:r w:rsidRPr="00F70159">
              <w:rPr>
                <w:rFonts w:eastAsia="Times New Roman" w:cstheme="minorHAnsi"/>
                <w:color w:val="000000"/>
                <w:sz w:val="20"/>
                <w:szCs w:val="20"/>
                <w:lang w:eastAsia="en-AU"/>
              </w:rPr>
              <w:t xml:space="preserve">36.8 </w:t>
            </w:r>
          </w:p>
        </w:tc>
      </w:tr>
      <w:tr w:rsidR="00F26FDF" w:rsidRPr="00F70159" w:rsidTr="00BF451A">
        <w:trPr>
          <w:trHeight w:hRule="exact" w:val="510"/>
        </w:trPr>
        <w:tc>
          <w:tcPr>
            <w:tcW w:w="2688" w:type="dxa"/>
            <w:shd w:val="clear" w:color="000000" w:fill="FFFFFF"/>
            <w:vAlign w:val="center"/>
            <w:hideMark/>
          </w:tcPr>
          <w:p w:rsidR="007C3E39" w:rsidRPr="00F70159" w:rsidRDefault="007C3E39" w:rsidP="00C13A81">
            <w:pPr>
              <w:spacing w:after="0" w:line="240" w:lineRule="auto"/>
              <w:rPr>
                <w:rFonts w:eastAsia="Times New Roman" w:cstheme="minorHAnsi"/>
                <w:sz w:val="20"/>
                <w:szCs w:val="20"/>
                <w:lang w:eastAsia="en-AU"/>
              </w:rPr>
            </w:pPr>
            <w:r w:rsidRPr="00F70159">
              <w:rPr>
                <w:rFonts w:eastAsia="Times New Roman" w:cstheme="minorHAnsi"/>
                <w:sz w:val="20"/>
                <w:szCs w:val="20"/>
                <w:lang w:eastAsia="en-AU"/>
              </w:rPr>
              <w:t>Male</w:t>
            </w:r>
            <w:r w:rsidR="000536E3">
              <w:rPr>
                <w:rFonts w:eastAsia="Times New Roman" w:cstheme="minorHAnsi"/>
                <w:sz w:val="20"/>
                <w:szCs w:val="20"/>
                <w:lang w:eastAsia="en-AU"/>
              </w:rPr>
              <w:t>,</w:t>
            </w:r>
            <w:r w:rsidRPr="00F70159">
              <w:rPr>
                <w:rFonts w:eastAsia="Times New Roman" w:cstheme="minorHAnsi"/>
                <w:sz w:val="20"/>
                <w:szCs w:val="20"/>
                <w:lang w:eastAsia="en-AU"/>
              </w:rPr>
              <w:t xml:space="preserve"> </w:t>
            </w:r>
            <w:r w:rsidR="000536E3">
              <w:rPr>
                <w:rFonts w:eastAsia="Times New Roman" w:cstheme="minorHAnsi"/>
                <w:sz w:val="20"/>
                <w:szCs w:val="20"/>
                <w:lang w:eastAsia="en-AU"/>
              </w:rPr>
              <w:t>total</w:t>
            </w:r>
          </w:p>
        </w:tc>
        <w:tc>
          <w:tcPr>
            <w:tcW w:w="1276"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28.2 </w:t>
            </w:r>
          </w:p>
        </w:tc>
        <w:tc>
          <w:tcPr>
            <w:tcW w:w="1134"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28.8 </w:t>
            </w:r>
          </w:p>
        </w:tc>
        <w:tc>
          <w:tcPr>
            <w:tcW w:w="1276"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31.9 </w:t>
            </w:r>
          </w:p>
        </w:tc>
        <w:tc>
          <w:tcPr>
            <w:tcW w:w="1272"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32.3 </w:t>
            </w:r>
          </w:p>
        </w:tc>
        <w:tc>
          <w:tcPr>
            <w:tcW w:w="1138"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36.7 </w:t>
            </w:r>
          </w:p>
        </w:tc>
        <w:tc>
          <w:tcPr>
            <w:tcW w:w="1276"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35.0 </w:t>
            </w:r>
          </w:p>
        </w:tc>
        <w:tc>
          <w:tcPr>
            <w:tcW w:w="1275"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33.7 </w:t>
            </w:r>
          </w:p>
        </w:tc>
        <w:tc>
          <w:tcPr>
            <w:tcW w:w="993" w:type="dxa"/>
            <w:shd w:val="clear" w:color="auto" w:fill="auto"/>
            <w:noWrap/>
            <w:vAlign w:val="center"/>
            <w:hideMark/>
          </w:tcPr>
          <w:p w:rsidR="007C3E39" w:rsidRPr="00F70159" w:rsidRDefault="007C3E39" w:rsidP="00F70159">
            <w:pPr>
              <w:spacing w:after="0" w:line="240" w:lineRule="auto"/>
              <w:ind w:left="-186" w:right="243"/>
              <w:jc w:val="right"/>
              <w:rPr>
                <w:rFonts w:eastAsia="Times New Roman" w:cstheme="minorHAnsi"/>
                <w:color w:val="000000"/>
                <w:sz w:val="20"/>
                <w:szCs w:val="20"/>
                <w:lang w:eastAsia="en-AU"/>
              </w:rPr>
            </w:pPr>
            <w:r w:rsidRPr="00F70159">
              <w:rPr>
                <w:rFonts w:eastAsia="Times New Roman" w:cstheme="minorHAnsi"/>
                <w:color w:val="000000"/>
                <w:sz w:val="20"/>
                <w:szCs w:val="20"/>
                <w:lang w:eastAsia="en-AU"/>
              </w:rPr>
              <w:t xml:space="preserve">33.6 </w:t>
            </w:r>
          </w:p>
        </w:tc>
        <w:tc>
          <w:tcPr>
            <w:tcW w:w="1134" w:type="dxa"/>
            <w:shd w:val="clear" w:color="auto" w:fill="auto"/>
            <w:noWrap/>
            <w:vAlign w:val="center"/>
            <w:hideMark/>
          </w:tcPr>
          <w:p w:rsidR="007C3E39" w:rsidRPr="00F70159" w:rsidRDefault="007C3E39" w:rsidP="00F70159">
            <w:pPr>
              <w:spacing w:after="0" w:line="240" w:lineRule="auto"/>
              <w:ind w:left="-186" w:right="243"/>
              <w:jc w:val="right"/>
              <w:rPr>
                <w:rFonts w:eastAsia="Times New Roman" w:cstheme="minorHAnsi"/>
                <w:color w:val="000000"/>
                <w:sz w:val="20"/>
                <w:szCs w:val="20"/>
                <w:lang w:eastAsia="en-AU"/>
              </w:rPr>
            </w:pPr>
            <w:r w:rsidRPr="00F70159">
              <w:rPr>
                <w:rFonts w:eastAsia="Times New Roman" w:cstheme="minorHAnsi"/>
                <w:color w:val="000000"/>
                <w:sz w:val="20"/>
                <w:szCs w:val="20"/>
                <w:lang w:eastAsia="en-AU"/>
              </w:rPr>
              <w:t xml:space="preserve">33.6 </w:t>
            </w:r>
          </w:p>
        </w:tc>
      </w:tr>
      <w:tr w:rsidR="00F26FDF" w:rsidRPr="00F70159" w:rsidTr="00BF451A">
        <w:trPr>
          <w:trHeight w:hRule="exact" w:val="510"/>
        </w:trPr>
        <w:tc>
          <w:tcPr>
            <w:tcW w:w="2688" w:type="dxa"/>
            <w:shd w:val="clear" w:color="auto" w:fill="E5E5E5" w:themeFill="background1" w:themeFillTint="33"/>
            <w:vAlign w:val="center"/>
            <w:hideMark/>
          </w:tcPr>
          <w:p w:rsidR="007C3E39" w:rsidRPr="00F70159" w:rsidRDefault="007C3E39" w:rsidP="007C3E39">
            <w:pPr>
              <w:spacing w:after="0" w:line="240" w:lineRule="auto"/>
              <w:rPr>
                <w:rFonts w:eastAsia="Times New Roman" w:cstheme="minorHAnsi"/>
                <w:sz w:val="20"/>
                <w:szCs w:val="20"/>
                <w:lang w:eastAsia="en-AU"/>
              </w:rPr>
            </w:pPr>
            <w:r w:rsidRPr="00F70159">
              <w:rPr>
                <w:rFonts w:eastAsia="Times New Roman" w:cstheme="minorHAnsi"/>
                <w:sz w:val="20"/>
                <w:szCs w:val="20"/>
                <w:lang w:eastAsia="en-AU"/>
              </w:rPr>
              <w:t>Male</w:t>
            </w:r>
            <w:r w:rsidR="000536E3">
              <w:rPr>
                <w:rFonts w:eastAsia="Times New Roman" w:cstheme="minorHAnsi"/>
                <w:sz w:val="20"/>
                <w:szCs w:val="20"/>
                <w:lang w:eastAsia="en-AU"/>
              </w:rPr>
              <w:t>,</w:t>
            </w:r>
            <w:r w:rsidRPr="00F70159">
              <w:rPr>
                <w:rFonts w:eastAsia="Times New Roman" w:cstheme="minorHAnsi"/>
                <w:sz w:val="20"/>
                <w:szCs w:val="20"/>
                <w:lang w:eastAsia="en-AU"/>
              </w:rPr>
              <w:t xml:space="preserve"> LTU</w:t>
            </w:r>
          </w:p>
        </w:tc>
        <w:tc>
          <w:tcPr>
            <w:tcW w:w="1276"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28.5 </w:t>
            </w:r>
          </w:p>
        </w:tc>
        <w:tc>
          <w:tcPr>
            <w:tcW w:w="1134"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28.0 </w:t>
            </w:r>
          </w:p>
        </w:tc>
        <w:tc>
          <w:tcPr>
            <w:tcW w:w="1276"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33.6 </w:t>
            </w:r>
          </w:p>
        </w:tc>
        <w:tc>
          <w:tcPr>
            <w:tcW w:w="1272"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35.5 </w:t>
            </w:r>
          </w:p>
        </w:tc>
        <w:tc>
          <w:tcPr>
            <w:tcW w:w="1138"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44.6 </w:t>
            </w:r>
          </w:p>
        </w:tc>
        <w:tc>
          <w:tcPr>
            <w:tcW w:w="1276"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43.4 </w:t>
            </w:r>
          </w:p>
        </w:tc>
        <w:tc>
          <w:tcPr>
            <w:tcW w:w="1275" w:type="dxa"/>
            <w:shd w:val="clear" w:color="auto" w:fill="E5E5E5" w:themeFill="background1" w:themeFillTint="33"/>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42.2 </w:t>
            </w:r>
          </w:p>
        </w:tc>
        <w:tc>
          <w:tcPr>
            <w:tcW w:w="993" w:type="dxa"/>
            <w:shd w:val="clear" w:color="auto" w:fill="E5E5E5" w:themeFill="background1" w:themeFillTint="33"/>
            <w:noWrap/>
            <w:vAlign w:val="center"/>
            <w:hideMark/>
          </w:tcPr>
          <w:p w:rsidR="007C3E39" w:rsidRPr="00F70159" w:rsidRDefault="007C3E39" w:rsidP="00F70159">
            <w:pPr>
              <w:spacing w:after="0" w:line="240" w:lineRule="auto"/>
              <w:ind w:left="-186" w:right="243"/>
              <w:jc w:val="right"/>
              <w:rPr>
                <w:rFonts w:eastAsia="Times New Roman" w:cstheme="minorHAnsi"/>
                <w:color w:val="000000"/>
                <w:sz w:val="20"/>
                <w:szCs w:val="20"/>
                <w:lang w:eastAsia="en-AU"/>
              </w:rPr>
            </w:pPr>
            <w:r w:rsidRPr="00F70159">
              <w:rPr>
                <w:rFonts w:eastAsia="Times New Roman" w:cstheme="minorHAnsi"/>
                <w:color w:val="000000"/>
                <w:sz w:val="20"/>
                <w:szCs w:val="20"/>
                <w:lang w:eastAsia="en-AU"/>
              </w:rPr>
              <w:t xml:space="preserve">37.7 </w:t>
            </w:r>
          </w:p>
        </w:tc>
        <w:tc>
          <w:tcPr>
            <w:tcW w:w="1134" w:type="dxa"/>
            <w:shd w:val="clear" w:color="auto" w:fill="E5E5E5" w:themeFill="background1" w:themeFillTint="33"/>
            <w:noWrap/>
            <w:vAlign w:val="center"/>
            <w:hideMark/>
          </w:tcPr>
          <w:p w:rsidR="007C3E39" w:rsidRPr="00F70159" w:rsidRDefault="007C3E39" w:rsidP="00F70159">
            <w:pPr>
              <w:spacing w:after="0" w:line="240" w:lineRule="auto"/>
              <w:ind w:left="-186" w:right="243"/>
              <w:jc w:val="right"/>
              <w:rPr>
                <w:rFonts w:eastAsia="Times New Roman" w:cstheme="minorHAnsi"/>
                <w:color w:val="000000"/>
                <w:sz w:val="20"/>
                <w:szCs w:val="20"/>
                <w:lang w:eastAsia="en-AU"/>
              </w:rPr>
            </w:pPr>
            <w:r w:rsidRPr="00F70159">
              <w:rPr>
                <w:rFonts w:eastAsia="Times New Roman" w:cstheme="minorHAnsi"/>
                <w:color w:val="000000"/>
                <w:sz w:val="20"/>
                <w:szCs w:val="20"/>
                <w:lang w:eastAsia="en-AU"/>
              </w:rPr>
              <w:t xml:space="preserve">37.7 </w:t>
            </w:r>
          </w:p>
        </w:tc>
      </w:tr>
      <w:tr w:rsidR="00F26FDF" w:rsidRPr="00F70159" w:rsidTr="00BF451A">
        <w:trPr>
          <w:trHeight w:hRule="exact" w:val="510"/>
        </w:trPr>
        <w:tc>
          <w:tcPr>
            <w:tcW w:w="2688" w:type="dxa"/>
            <w:shd w:val="clear" w:color="000000" w:fill="FFFFFF"/>
            <w:vAlign w:val="center"/>
            <w:hideMark/>
          </w:tcPr>
          <w:p w:rsidR="007C3E39" w:rsidRPr="00F70159" w:rsidRDefault="007C3E39" w:rsidP="007C3E39">
            <w:pPr>
              <w:spacing w:after="0" w:line="240" w:lineRule="auto"/>
              <w:rPr>
                <w:rFonts w:eastAsia="Times New Roman" w:cstheme="minorHAnsi"/>
                <w:sz w:val="20"/>
                <w:szCs w:val="20"/>
                <w:lang w:eastAsia="en-AU"/>
              </w:rPr>
            </w:pPr>
            <w:r w:rsidRPr="00F70159">
              <w:rPr>
                <w:rFonts w:eastAsia="Times New Roman" w:cstheme="minorHAnsi"/>
                <w:sz w:val="20"/>
                <w:szCs w:val="20"/>
                <w:lang w:eastAsia="en-AU"/>
              </w:rPr>
              <w:t>Male</w:t>
            </w:r>
            <w:r w:rsidR="000536E3">
              <w:rPr>
                <w:rFonts w:eastAsia="Times New Roman" w:cstheme="minorHAnsi"/>
                <w:sz w:val="20"/>
                <w:szCs w:val="20"/>
                <w:lang w:eastAsia="en-AU"/>
              </w:rPr>
              <w:t>,</w:t>
            </w:r>
            <w:r w:rsidRPr="00F70159">
              <w:rPr>
                <w:rFonts w:eastAsia="Times New Roman" w:cstheme="minorHAnsi"/>
                <w:sz w:val="20"/>
                <w:szCs w:val="20"/>
                <w:lang w:eastAsia="en-AU"/>
              </w:rPr>
              <w:t xml:space="preserve"> VLTU</w:t>
            </w:r>
          </w:p>
        </w:tc>
        <w:tc>
          <w:tcPr>
            <w:tcW w:w="1276"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27.9 </w:t>
            </w:r>
          </w:p>
        </w:tc>
        <w:tc>
          <w:tcPr>
            <w:tcW w:w="1134"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28.3 </w:t>
            </w:r>
          </w:p>
        </w:tc>
        <w:tc>
          <w:tcPr>
            <w:tcW w:w="1276"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30.0 </w:t>
            </w:r>
          </w:p>
        </w:tc>
        <w:tc>
          <w:tcPr>
            <w:tcW w:w="1272"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29.2 </w:t>
            </w:r>
          </w:p>
        </w:tc>
        <w:tc>
          <w:tcPr>
            <w:tcW w:w="1138"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29.9 </w:t>
            </w:r>
          </w:p>
        </w:tc>
        <w:tc>
          <w:tcPr>
            <w:tcW w:w="1276"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27.9 </w:t>
            </w:r>
          </w:p>
        </w:tc>
        <w:tc>
          <w:tcPr>
            <w:tcW w:w="1275" w:type="dxa"/>
            <w:shd w:val="clear" w:color="000000" w:fill="FFFFFF"/>
            <w:vAlign w:val="center"/>
            <w:hideMark/>
          </w:tcPr>
          <w:p w:rsidR="007C3E39" w:rsidRPr="00F70159" w:rsidRDefault="007C3E39" w:rsidP="00F70159">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27.9 </w:t>
            </w:r>
          </w:p>
        </w:tc>
        <w:tc>
          <w:tcPr>
            <w:tcW w:w="993" w:type="dxa"/>
            <w:shd w:val="clear" w:color="auto" w:fill="auto"/>
            <w:noWrap/>
            <w:vAlign w:val="center"/>
            <w:hideMark/>
          </w:tcPr>
          <w:p w:rsidR="007C3E39" w:rsidRPr="00F70159" w:rsidRDefault="007C3E39" w:rsidP="00F70159">
            <w:pPr>
              <w:spacing w:after="0" w:line="240" w:lineRule="auto"/>
              <w:ind w:left="-186" w:right="243"/>
              <w:jc w:val="right"/>
              <w:rPr>
                <w:rFonts w:eastAsia="Times New Roman" w:cstheme="minorHAnsi"/>
                <w:color w:val="000000"/>
                <w:sz w:val="20"/>
                <w:szCs w:val="20"/>
                <w:lang w:eastAsia="en-AU"/>
              </w:rPr>
            </w:pPr>
            <w:r w:rsidRPr="00F70159">
              <w:rPr>
                <w:rFonts w:eastAsia="Times New Roman" w:cstheme="minorHAnsi"/>
                <w:color w:val="000000"/>
                <w:sz w:val="20"/>
                <w:szCs w:val="20"/>
                <w:lang w:eastAsia="en-AU"/>
              </w:rPr>
              <w:t xml:space="preserve">31.0 </w:t>
            </w:r>
          </w:p>
        </w:tc>
        <w:tc>
          <w:tcPr>
            <w:tcW w:w="1134" w:type="dxa"/>
            <w:shd w:val="clear" w:color="auto" w:fill="auto"/>
            <w:noWrap/>
            <w:vAlign w:val="center"/>
            <w:hideMark/>
          </w:tcPr>
          <w:p w:rsidR="007C3E39" w:rsidRPr="00F70159" w:rsidRDefault="007C3E39" w:rsidP="00F70159">
            <w:pPr>
              <w:spacing w:after="0" w:line="240" w:lineRule="auto"/>
              <w:ind w:left="-186" w:right="243"/>
              <w:jc w:val="right"/>
              <w:rPr>
                <w:rFonts w:eastAsia="Times New Roman" w:cstheme="minorHAnsi"/>
                <w:color w:val="000000"/>
                <w:sz w:val="20"/>
                <w:szCs w:val="20"/>
                <w:lang w:eastAsia="en-AU"/>
              </w:rPr>
            </w:pPr>
            <w:r w:rsidRPr="00F70159">
              <w:rPr>
                <w:rFonts w:eastAsia="Times New Roman" w:cstheme="minorHAnsi"/>
                <w:color w:val="000000"/>
                <w:sz w:val="20"/>
                <w:szCs w:val="20"/>
                <w:lang w:eastAsia="en-AU"/>
              </w:rPr>
              <w:t xml:space="preserve">31.3 </w:t>
            </w:r>
          </w:p>
        </w:tc>
      </w:tr>
      <w:tr w:rsidR="00F26FDF" w:rsidRPr="00F70159" w:rsidTr="00BF451A">
        <w:trPr>
          <w:trHeight w:hRule="exact" w:val="510"/>
        </w:trPr>
        <w:tc>
          <w:tcPr>
            <w:tcW w:w="2688" w:type="dxa"/>
            <w:shd w:val="clear" w:color="auto" w:fill="E5E5E5" w:themeFill="background1" w:themeFillTint="33"/>
            <w:vAlign w:val="center"/>
            <w:hideMark/>
          </w:tcPr>
          <w:p w:rsidR="007C3E39" w:rsidRPr="00F70159" w:rsidRDefault="007C3E39" w:rsidP="00C13A81">
            <w:pPr>
              <w:spacing w:after="0" w:line="240" w:lineRule="auto"/>
              <w:rPr>
                <w:rFonts w:eastAsia="Times New Roman" w:cstheme="minorHAnsi"/>
                <w:sz w:val="20"/>
                <w:szCs w:val="20"/>
                <w:lang w:eastAsia="en-AU"/>
              </w:rPr>
            </w:pPr>
            <w:r w:rsidRPr="00F70159">
              <w:rPr>
                <w:rFonts w:eastAsia="Times New Roman" w:cstheme="minorHAnsi"/>
                <w:sz w:val="20"/>
                <w:szCs w:val="20"/>
                <w:lang w:eastAsia="en-AU"/>
              </w:rPr>
              <w:t xml:space="preserve">Male, 18 to 24 years </w:t>
            </w:r>
          </w:p>
        </w:tc>
        <w:tc>
          <w:tcPr>
            <w:tcW w:w="1276" w:type="dxa"/>
            <w:shd w:val="clear" w:color="auto" w:fill="E5E5E5" w:themeFill="background1" w:themeFillTint="33"/>
            <w:vAlign w:val="center"/>
            <w:hideMark/>
          </w:tcPr>
          <w:p w:rsidR="007C3E39" w:rsidRPr="00F70159" w:rsidRDefault="007C3E39" w:rsidP="00BF451A">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27.6 </w:t>
            </w:r>
          </w:p>
        </w:tc>
        <w:tc>
          <w:tcPr>
            <w:tcW w:w="1134" w:type="dxa"/>
            <w:shd w:val="clear" w:color="auto" w:fill="E5E5E5" w:themeFill="background1" w:themeFillTint="33"/>
            <w:vAlign w:val="center"/>
            <w:hideMark/>
          </w:tcPr>
          <w:p w:rsidR="007C3E39" w:rsidRPr="00F70159" w:rsidRDefault="007C3E39" w:rsidP="00BF451A">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26.5 </w:t>
            </w:r>
          </w:p>
        </w:tc>
        <w:tc>
          <w:tcPr>
            <w:tcW w:w="1276" w:type="dxa"/>
            <w:shd w:val="clear" w:color="auto" w:fill="E5E5E5" w:themeFill="background1" w:themeFillTint="33"/>
            <w:vAlign w:val="center"/>
            <w:hideMark/>
          </w:tcPr>
          <w:p w:rsidR="007C3E39" w:rsidRPr="00F70159" w:rsidRDefault="007C3E39" w:rsidP="00BF451A">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29.6 </w:t>
            </w:r>
          </w:p>
        </w:tc>
        <w:tc>
          <w:tcPr>
            <w:tcW w:w="1272" w:type="dxa"/>
            <w:shd w:val="clear" w:color="auto" w:fill="E5E5E5" w:themeFill="background1" w:themeFillTint="33"/>
            <w:vAlign w:val="center"/>
            <w:hideMark/>
          </w:tcPr>
          <w:p w:rsidR="007C3E39" w:rsidRPr="00F70159" w:rsidRDefault="007C3E39" w:rsidP="00BF451A">
            <w:pPr>
              <w:spacing w:after="0" w:line="240" w:lineRule="auto"/>
              <w:ind w:left="-187" w:right="244"/>
              <w:jc w:val="right"/>
              <w:rPr>
                <w:rFonts w:eastAsia="Times New Roman" w:cstheme="minorHAnsi"/>
                <w:sz w:val="20"/>
                <w:szCs w:val="20"/>
                <w:lang w:eastAsia="en-AU"/>
              </w:rPr>
            </w:pPr>
            <w:r w:rsidRPr="00F70159">
              <w:rPr>
                <w:rFonts w:eastAsia="Times New Roman" w:cstheme="minorHAnsi"/>
                <w:sz w:val="20"/>
                <w:szCs w:val="20"/>
                <w:lang w:eastAsia="en-AU"/>
              </w:rPr>
              <w:t xml:space="preserve">29.2 </w:t>
            </w:r>
          </w:p>
        </w:tc>
        <w:tc>
          <w:tcPr>
            <w:tcW w:w="1138" w:type="dxa"/>
            <w:shd w:val="clear" w:color="auto" w:fill="E5E5E5" w:themeFill="background1" w:themeFillTint="33"/>
            <w:vAlign w:val="center"/>
            <w:hideMark/>
          </w:tcPr>
          <w:p w:rsidR="007C3E39" w:rsidRPr="00F70159" w:rsidRDefault="007C3E39" w:rsidP="00BF451A">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36.1 </w:t>
            </w:r>
          </w:p>
        </w:tc>
        <w:tc>
          <w:tcPr>
            <w:tcW w:w="1276" w:type="dxa"/>
            <w:shd w:val="clear" w:color="auto" w:fill="E5E5E5" w:themeFill="background1" w:themeFillTint="33"/>
            <w:vAlign w:val="center"/>
            <w:hideMark/>
          </w:tcPr>
          <w:p w:rsidR="007C3E39" w:rsidRPr="00F70159" w:rsidRDefault="007C3E39" w:rsidP="00BF451A">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32.6 </w:t>
            </w:r>
          </w:p>
        </w:tc>
        <w:tc>
          <w:tcPr>
            <w:tcW w:w="1275" w:type="dxa"/>
            <w:shd w:val="clear" w:color="auto" w:fill="E5E5E5" w:themeFill="background1" w:themeFillTint="33"/>
            <w:vAlign w:val="center"/>
            <w:hideMark/>
          </w:tcPr>
          <w:p w:rsidR="007C3E39" w:rsidRPr="00F70159" w:rsidRDefault="007C3E39" w:rsidP="00BF451A">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31.4 </w:t>
            </w:r>
          </w:p>
        </w:tc>
        <w:tc>
          <w:tcPr>
            <w:tcW w:w="993" w:type="dxa"/>
            <w:shd w:val="clear" w:color="auto" w:fill="E5E5E5" w:themeFill="background1" w:themeFillTint="33"/>
            <w:noWrap/>
            <w:vAlign w:val="center"/>
            <w:hideMark/>
          </w:tcPr>
          <w:p w:rsidR="007C3E39" w:rsidRPr="00F70159" w:rsidRDefault="007C3E39" w:rsidP="00BF451A">
            <w:pPr>
              <w:spacing w:after="0" w:line="240" w:lineRule="auto"/>
              <w:ind w:left="-186" w:right="243"/>
              <w:jc w:val="right"/>
              <w:rPr>
                <w:rFonts w:eastAsia="Times New Roman" w:cstheme="minorHAnsi"/>
                <w:color w:val="000000"/>
                <w:sz w:val="20"/>
                <w:szCs w:val="20"/>
                <w:lang w:eastAsia="en-AU"/>
              </w:rPr>
            </w:pPr>
            <w:r w:rsidRPr="00F70159">
              <w:rPr>
                <w:rFonts w:eastAsia="Times New Roman" w:cstheme="minorHAnsi"/>
                <w:color w:val="000000"/>
                <w:sz w:val="20"/>
                <w:szCs w:val="20"/>
                <w:lang w:eastAsia="en-AU"/>
              </w:rPr>
              <w:t xml:space="preserve">37.1 </w:t>
            </w:r>
          </w:p>
        </w:tc>
        <w:tc>
          <w:tcPr>
            <w:tcW w:w="1134" w:type="dxa"/>
            <w:shd w:val="clear" w:color="auto" w:fill="E5E5E5" w:themeFill="background1" w:themeFillTint="33"/>
            <w:noWrap/>
            <w:vAlign w:val="center"/>
            <w:hideMark/>
          </w:tcPr>
          <w:p w:rsidR="007C3E39" w:rsidRPr="00F70159" w:rsidRDefault="007C3E39" w:rsidP="00BF451A">
            <w:pPr>
              <w:spacing w:after="0" w:line="240" w:lineRule="auto"/>
              <w:ind w:left="-186" w:right="243"/>
              <w:jc w:val="right"/>
              <w:rPr>
                <w:rFonts w:eastAsia="Times New Roman" w:cstheme="minorHAnsi"/>
                <w:color w:val="000000"/>
                <w:sz w:val="20"/>
                <w:szCs w:val="20"/>
                <w:lang w:eastAsia="en-AU"/>
              </w:rPr>
            </w:pPr>
            <w:r w:rsidRPr="00F70159">
              <w:rPr>
                <w:rFonts w:eastAsia="Times New Roman" w:cstheme="minorHAnsi"/>
                <w:color w:val="000000"/>
                <w:sz w:val="20"/>
                <w:szCs w:val="20"/>
                <w:lang w:eastAsia="en-AU"/>
              </w:rPr>
              <w:t xml:space="preserve">34.6 </w:t>
            </w:r>
          </w:p>
        </w:tc>
      </w:tr>
      <w:tr w:rsidR="00F26FDF" w:rsidRPr="00F70159" w:rsidTr="00BF451A">
        <w:trPr>
          <w:trHeight w:hRule="exact" w:val="510"/>
        </w:trPr>
        <w:tc>
          <w:tcPr>
            <w:tcW w:w="2688" w:type="dxa"/>
            <w:shd w:val="clear" w:color="000000" w:fill="FFFFFF"/>
            <w:vAlign w:val="center"/>
            <w:hideMark/>
          </w:tcPr>
          <w:p w:rsidR="007C3E39" w:rsidRPr="00F70159" w:rsidRDefault="007C3E39" w:rsidP="00BF451A">
            <w:pPr>
              <w:spacing w:after="0" w:line="240" w:lineRule="auto"/>
              <w:rPr>
                <w:rFonts w:eastAsia="Times New Roman" w:cstheme="minorHAnsi"/>
                <w:sz w:val="20"/>
                <w:szCs w:val="20"/>
                <w:lang w:eastAsia="en-AU"/>
              </w:rPr>
            </w:pPr>
            <w:r w:rsidRPr="00F70159">
              <w:rPr>
                <w:rFonts w:eastAsia="Times New Roman" w:cstheme="minorHAnsi"/>
                <w:sz w:val="20"/>
                <w:szCs w:val="20"/>
                <w:lang w:eastAsia="en-AU"/>
              </w:rPr>
              <w:t xml:space="preserve">Male, 24 to under 30 years </w:t>
            </w:r>
          </w:p>
        </w:tc>
        <w:tc>
          <w:tcPr>
            <w:tcW w:w="1276" w:type="dxa"/>
            <w:shd w:val="clear" w:color="000000" w:fill="FFFFFF"/>
            <w:vAlign w:val="center"/>
            <w:hideMark/>
          </w:tcPr>
          <w:p w:rsidR="007C3E39" w:rsidRPr="00F70159" w:rsidRDefault="007C3E39" w:rsidP="00BF451A">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30.6 </w:t>
            </w:r>
          </w:p>
        </w:tc>
        <w:tc>
          <w:tcPr>
            <w:tcW w:w="1134" w:type="dxa"/>
            <w:shd w:val="clear" w:color="000000" w:fill="FFFFFF"/>
            <w:vAlign w:val="center"/>
            <w:hideMark/>
          </w:tcPr>
          <w:p w:rsidR="007C3E39" w:rsidRPr="00F70159" w:rsidRDefault="007C3E39" w:rsidP="00BF451A">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32.6 </w:t>
            </w:r>
          </w:p>
        </w:tc>
        <w:tc>
          <w:tcPr>
            <w:tcW w:w="1276" w:type="dxa"/>
            <w:shd w:val="clear" w:color="000000" w:fill="FFFFFF"/>
            <w:vAlign w:val="center"/>
            <w:hideMark/>
          </w:tcPr>
          <w:p w:rsidR="007C3E39" w:rsidRPr="00F70159" w:rsidRDefault="007C3E39" w:rsidP="00BF451A">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36.1 </w:t>
            </w:r>
          </w:p>
        </w:tc>
        <w:tc>
          <w:tcPr>
            <w:tcW w:w="1272" w:type="dxa"/>
            <w:shd w:val="clear" w:color="000000" w:fill="FFFFFF"/>
            <w:vAlign w:val="center"/>
            <w:hideMark/>
          </w:tcPr>
          <w:p w:rsidR="007C3E39" w:rsidRPr="00F70159" w:rsidRDefault="007C3E39" w:rsidP="00BF451A">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36.0 </w:t>
            </w:r>
          </w:p>
        </w:tc>
        <w:tc>
          <w:tcPr>
            <w:tcW w:w="1138" w:type="dxa"/>
            <w:shd w:val="clear" w:color="000000" w:fill="FFFFFF"/>
            <w:vAlign w:val="center"/>
            <w:hideMark/>
          </w:tcPr>
          <w:p w:rsidR="007C3E39" w:rsidRPr="00F70159" w:rsidRDefault="007C3E39" w:rsidP="00BF451A">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37.0 </w:t>
            </w:r>
          </w:p>
        </w:tc>
        <w:tc>
          <w:tcPr>
            <w:tcW w:w="1276" w:type="dxa"/>
            <w:shd w:val="clear" w:color="000000" w:fill="FFFFFF"/>
            <w:vAlign w:val="center"/>
            <w:hideMark/>
          </w:tcPr>
          <w:p w:rsidR="007C3E39" w:rsidRPr="00F70159" w:rsidRDefault="007C3E39" w:rsidP="00BF451A">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35.1 </w:t>
            </w:r>
          </w:p>
        </w:tc>
        <w:tc>
          <w:tcPr>
            <w:tcW w:w="1275" w:type="dxa"/>
            <w:shd w:val="clear" w:color="000000" w:fill="FFFFFF"/>
            <w:vAlign w:val="center"/>
            <w:hideMark/>
          </w:tcPr>
          <w:p w:rsidR="007C3E39" w:rsidRPr="00F70159" w:rsidRDefault="007C3E39" w:rsidP="00BF451A">
            <w:pPr>
              <w:spacing w:after="0" w:line="240" w:lineRule="auto"/>
              <w:ind w:left="-186" w:right="243"/>
              <w:jc w:val="right"/>
              <w:rPr>
                <w:rFonts w:eastAsia="Times New Roman" w:cstheme="minorHAnsi"/>
                <w:sz w:val="20"/>
                <w:szCs w:val="20"/>
                <w:lang w:eastAsia="en-AU"/>
              </w:rPr>
            </w:pPr>
            <w:r w:rsidRPr="00F70159">
              <w:rPr>
                <w:rFonts w:eastAsia="Times New Roman" w:cstheme="minorHAnsi"/>
                <w:sz w:val="20"/>
                <w:szCs w:val="20"/>
                <w:lang w:eastAsia="en-AU"/>
              </w:rPr>
              <w:t xml:space="preserve">35.8 </w:t>
            </w:r>
          </w:p>
        </w:tc>
        <w:tc>
          <w:tcPr>
            <w:tcW w:w="993" w:type="dxa"/>
            <w:shd w:val="clear" w:color="auto" w:fill="auto"/>
            <w:noWrap/>
            <w:vAlign w:val="center"/>
            <w:hideMark/>
          </w:tcPr>
          <w:p w:rsidR="007C3E39" w:rsidRPr="00F70159" w:rsidRDefault="007C3E39" w:rsidP="00BF451A">
            <w:pPr>
              <w:spacing w:after="0" w:line="240" w:lineRule="auto"/>
              <w:ind w:left="-186" w:right="243"/>
              <w:jc w:val="right"/>
              <w:rPr>
                <w:rFonts w:eastAsia="Times New Roman" w:cstheme="minorHAnsi"/>
                <w:color w:val="000000"/>
                <w:sz w:val="20"/>
                <w:szCs w:val="20"/>
                <w:lang w:eastAsia="en-AU"/>
              </w:rPr>
            </w:pPr>
            <w:r w:rsidRPr="00F70159">
              <w:rPr>
                <w:rFonts w:eastAsia="Times New Roman" w:cstheme="minorHAnsi"/>
                <w:color w:val="000000"/>
                <w:sz w:val="20"/>
                <w:szCs w:val="20"/>
                <w:lang w:eastAsia="en-AU"/>
              </w:rPr>
              <w:t xml:space="preserve">31.4 </w:t>
            </w:r>
          </w:p>
        </w:tc>
        <w:tc>
          <w:tcPr>
            <w:tcW w:w="1134" w:type="dxa"/>
            <w:shd w:val="clear" w:color="auto" w:fill="auto"/>
            <w:noWrap/>
            <w:vAlign w:val="center"/>
            <w:hideMark/>
          </w:tcPr>
          <w:p w:rsidR="007C3E39" w:rsidRPr="00F70159" w:rsidRDefault="007C3E39" w:rsidP="00BF451A">
            <w:pPr>
              <w:spacing w:after="0" w:line="240" w:lineRule="auto"/>
              <w:ind w:left="-186" w:right="243"/>
              <w:jc w:val="right"/>
              <w:rPr>
                <w:rFonts w:eastAsia="Times New Roman" w:cstheme="minorHAnsi"/>
                <w:color w:val="000000"/>
                <w:sz w:val="20"/>
                <w:szCs w:val="20"/>
                <w:lang w:eastAsia="en-AU"/>
              </w:rPr>
            </w:pPr>
            <w:r w:rsidRPr="00F70159">
              <w:rPr>
                <w:rFonts w:eastAsia="Times New Roman" w:cstheme="minorHAnsi"/>
                <w:color w:val="000000"/>
                <w:sz w:val="20"/>
                <w:szCs w:val="20"/>
                <w:lang w:eastAsia="en-AU"/>
              </w:rPr>
              <w:t xml:space="preserve">32.9 </w:t>
            </w:r>
          </w:p>
        </w:tc>
      </w:tr>
      <w:tr w:rsidR="00F26FDF" w:rsidRPr="00BF451A" w:rsidTr="00BF451A">
        <w:trPr>
          <w:trHeight w:hRule="exact" w:val="510"/>
        </w:trPr>
        <w:tc>
          <w:tcPr>
            <w:tcW w:w="2688" w:type="dxa"/>
            <w:shd w:val="clear" w:color="auto" w:fill="E5E5E5" w:themeFill="background1" w:themeFillTint="33"/>
            <w:vAlign w:val="center"/>
            <w:hideMark/>
          </w:tcPr>
          <w:p w:rsidR="00437ADB" w:rsidRPr="00BF451A" w:rsidRDefault="00437ADB" w:rsidP="00BF451A">
            <w:pPr>
              <w:spacing w:after="0" w:line="240" w:lineRule="auto"/>
              <w:rPr>
                <w:rFonts w:eastAsia="Times New Roman" w:cstheme="minorHAnsi"/>
                <w:sz w:val="20"/>
                <w:szCs w:val="20"/>
                <w:lang w:eastAsia="en-AU"/>
              </w:rPr>
            </w:pPr>
            <w:r w:rsidRPr="00BF451A">
              <w:rPr>
                <w:rFonts w:eastAsia="Times New Roman" w:cstheme="minorHAnsi"/>
                <w:sz w:val="20"/>
                <w:szCs w:val="20"/>
                <w:lang w:eastAsia="en-AU"/>
              </w:rPr>
              <w:t>Highest level of education: Less than Year 10</w:t>
            </w:r>
          </w:p>
        </w:tc>
        <w:tc>
          <w:tcPr>
            <w:tcW w:w="1276" w:type="dxa"/>
            <w:shd w:val="clear" w:color="auto" w:fill="E5E5E5" w:themeFill="background1" w:themeFillTint="33"/>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19.3 </w:t>
            </w:r>
          </w:p>
        </w:tc>
        <w:tc>
          <w:tcPr>
            <w:tcW w:w="1134" w:type="dxa"/>
            <w:shd w:val="clear" w:color="auto" w:fill="E5E5E5" w:themeFill="background1" w:themeFillTint="33"/>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14.9 </w:t>
            </w:r>
          </w:p>
        </w:tc>
        <w:tc>
          <w:tcPr>
            <w:tcW w:w="1276" w:type="dxa"/>
            <w:shd w:val="clear" w:color="auto" w:fill="E5E5E5" w:themeFill="background1" w:themeFillTint="33"/>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16.7 </w:t>
            </w:r>
          </w:p>
        </w:tc>
        <w:tc>
          <w:tcPr>
            <w:tcW w:w="1272" w:type="dxa"/>
            <w:shd w:val="clear" w:color="auto" w:fill="E5E5E5" w:themeFill="background1" w:themeFillTint="33"/>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19.1 </w:t>
            </w:r>
          </w:p>
        </w:tc>
        <w:tc>
          <w:tcPr>
            <w:tcW w:w="1138" w:type="dxa"/>
            <w:shd w:val="clear" w:color="auto" w:fill="E5E5E5" w:themeFill="background1" w:themeFillTint="33"/>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23.8 </w:t>
            </w:r>
          </w:p>
        </w:tc>
        <w:tc>
          <w:tcPr>
            <w:tcW w:w="1276" w:type="dxa"/>
            <w:shd w:val="clear" w:color="auto" w:fill="E5E5E5" w:themeFill="background1" w:themeFillTint="33"/>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22.6 </w:t>
            </w:r>
          </w:p>
        </w:tc>
        <w:tc>
          <w:tcPr>
            <w:tcW w:w="1275" w:type="dxa"/>
            <w:shd w:val="clear" w:color="auto" w:fill="E5E5E5" w:themeFill="background1" w:themeFillTint="33"/>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20.7 </w:t>
            </w:r>
          </w:p>
        </w:tc>
        <w:tc>
          <w:tcPr>
            <w:tcW w:w="993" w:type="dxa"/>
            <w:shd w:val="clear" w:color="auto" w:fill="E5E5E5" w:themeFill="background1" w:themeFillTint="33"/>
            <w:noWrap/>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22.1 </w:t>
            </w:r>
          </w:p>
        </w:tc>
        <w:tc>
          <w:tcPr>
            <w:tcW w:w="1134" w:type="dxa"/>
            <w:shd w:val="clear" w:color="auto" w:fill="E5E5E5" w:themeFill="background1" w:themeFillTint="33"/>
            <w:noWrap/>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22.7 </w:t>
            </w:r>
          </w:p>
        </w:tc>
      </w:tr>
      <w:tr w:rsidR="00F26FDF" w:rsidRPr="00BF451A" w:rsidTr="00BF451A">
        <w:trPr>
          <w:trHeight w:hRule="exact" w:val="510"/>
        </w:trPr>
        <w:tc>
          <w:tcPr>
            <w:tcW w:w="2688" w:type="dxa"/>
            <w:shd w:val="clear" w:color="000000" w:fill="FFFFFF"/>
            <w:vAlign w:val="center"/>
            <w:hideMark/>
          </w:tcPr>
          <w:p w:rsidR="00437ADB" w:rsidRPr="00BF451A" w:rsidRDefault="00437ADB" w:rsidP="00BF451A">
            <w:pPr>
              <w:spacing w:after="0" w:line="240" w:lineRule="auto"/>
              <w:rPr>
                <w:rFonts w:eastAsia="Times New Roman" w:cstheme="minorHAnsi"/>
                <w:sz w:val="20"/>
                <w:szCs w:val="20"/>
                <w:lang w:eastAsia="en-AU"/>
              </w:rPr>
            </w:pPr>
            <w:r w:rsidRPr="00BF451A">
              <w:rPr>
                <w:rFonts w:eastAsia="Times New Roman" w:cstheme="minorHAnsi"/>
                <w:sz w:val="20"/>
                <w:szCs w:val="20"/>
                <w:lang w:eastAsia="en-AU"/>
              </w:rPr>
              <w:lastRenderedPageBreak/>
              <w:t>Highest level of education: Year 10 or 11</w:t>
            </w:r>
          </w:p>
        </w:tc>
        <w:tc>
          <w:tcPr>
            <w:tcW w:w="1276" w:type="dxa"/>
            <w:shd w:val="clear" w:color="000000" w:fill="FFFFFF"/>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24.6 </w:t>
            </w:r>
          </w:p>
        </w:tc>
        <w:tc>
          <w:tcPr>
            <w:tcW w:w="1134" w:type="dxa"/>
            <w:shd w:val="clear" w:color="000000" w:fill="FFFFFF"/>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23.7 </w:t>
            </w:r>
          </w:p>
        </w:tc>
        <w:tc>
          <w:tcPr>
            <w:tcW w:w="1276" w:type="dxa"/>
            <w:shd w:val="clear" w:color="000000" w:fill="FFFFFF"/>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25.2 </w:t>
            </w:r>
          </w:p>
        </w:tc>
        <w:tc>
          <w:tcPr>
            <w:tcW w:w="1272" w:type="dxa"/>
            <w:shd w:val="clear" w:color="000000" w:fill="FFFFFF"/>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28.4 </w:t>
            </w:r>
          </w:p>
        </w:tc>
        <w:tc>
          <w:tcPr>
            <w:tcW w:w="1138" w:type="dxa"/>
            <w:shd w:val="clear" w:color="000000" w:fill="FFFFFF"/>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29.6 </w:t>
            </w:r>
          </w:p>
        </w:tc>
        <w:tc>
          <w:tcPr>
            <w:tcW w:w="1276" w:type="dxa"/>
            <w:shd w:val="clear" w:color="000000" w:fill="FFFFFF"/>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27.2 </w:t>
            </w:r>
          </w:p>
        </w:tc>
        <w:tc>
          <w:tcPr>
            <w:tcW w:w="1275" w:type="dxa"/>
            <w:shd w:val="clear" w:color="000000" w:fill="FFFFFF"/>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26.9 </w:t>
            </w:r>
          </w:p>
        </w:tc>
        <w:tc>
          <w:tcPr>
            <w:tcW w:w="993" w:type="dxa"/>
            <w:shd w:val="clear" w:color="auto" w:fill="auto"/>
            <w:noWrap/>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23.6 </w:t>
            </w:r>
          </w:p>
        </w:tc>
        <w:tc>
          <w:tcPr>
            <w:tcW w:w="1134" w:type="dxa"/>
            <w:shd w:val="clear" w:color="auto" w:fill="auto"/>
            <w:noWrap/>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24.1 </w:t>
            </w:r>
          </w:p>
        </w:tc>
      </w:tr>
      <w:tr w:rsidR="00F26FDF" w:rsidRPr="00BF451A" w:rsidTr="00BF451A">
        <w:trPr>
          <w:trHeight w:hRule="exact" w:val="510"/>
        </w:trPr>
        <w:tc>
          <w:tcPr>
            <w:tcW w:w="2688" w:type="dxa"/>
            <w:shd w:val="clear" w:color="auto" w:fill="E5E5E5" w:themeFill="background1" w:themeFillTint="33"/>
            <w:vAlign w:val="center"/>
            <w:hideMark/>
          </w:tcPr>
          <w:p w:rsidR="00437ADB" w:rsidRPr="00BF451A" w:rsidRDefault="00437ADB" w:rsidP="00BF451A">
            <w:pPr>
              <w:spacing w:after="0" w:line="240" w:lineRule="auto"/>
              <w:rPr>
                <w:rFonts w:eastAsia="Times New Roman" w:cstheme="minorHAnsi"/>
                <w:sz w:val="20"/>
                <w:szCs w:val="20"/>
                <w:lang w:eastAsia="en-AU"/>
              </w:rPr>
            </w:pPr>
            <w:r w:rsidRPr="00BF451A">
              <w:rPr>
                <w:rFonts w:eastAsia="Times New Roman" w:cstheme="minorHAnsi"/>
                <w:sz w:val="20"/>
                <w:szCs w:val="20"/>
                <w:lang w:eastAsia="en-AU"/>
              </w:rPr>
              <w:t>Highest level of education: Year 12</w:t>
            </w:r>
          </w:p>
        </w:tc>
        <w:tc>
          <w:tcPr>
            <w:tcW w:w="1276" w:type="dxa"/>
            <w:shd w:val="clear" w:color="auto" w:fill="E5E5E5" w:themeFill="background1" w:themeFillTint="33"/>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44.1 </w:t>
            </w:r>
          </w:p>
        </w:tc>
        <w:tc>
          <w:tcPr>
            <w:tcW w:w="1134" w:type="dxa"/>
            <w:shd w:val="clear" w:color="auto" w:fill="E5E5E5" w:themeFill="background1" w:themeFillTint="33"/>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43.2 </w:t>
            </w:r>
          </w:p>
        </w:tc>
        <w:tc>
          <w:tcPr>
            <w:tcW w:w="1276" w:type="dxa"/>
            <w:shd w:val="clear" w:color="auto" w:fill="E5E5E5" w:themeFill="background1" w:themeFillTint="33"/>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41.4 </w:t>
            </w:r>
          </w:p>
        </w:tc>
        <w:tc>
          <w:tcPr>
            <w:tcW w:w="1272" w:type="dxa"/>
            <w:shd w:val="clear" w:color="auto" w:fill="E5E5E5" w:themeFill="background1" w:themeFillTint="33"/>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37.3 </w:t>
            </w:r>
          </w:p>
        </w:tc>
        <w:tc>
          <w:tcPr>
            <w:tcW w:w="1138" w:type="dxa"/>
            <w:shd w:val="clear" w:color="auto" w:fill="E5E5E5" w:themeFill="background1" w:themeFillTint="33"/>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43.8 </w:t>
            </w:r>
          </w:p>
        </w:tc>
        <w:tc>
          <w:tcPr>
            <w:tcW w:w="1276" w:type="dxa"/>
            <w:shd w:val="clear" w:color="auto" w:fill="E5E5E5" w:themeFill="background1" w:themeFillTint="33"/>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43.9 </w:t>
            </w:r>
          </w:p>
        </w:tc>
        <w:tc>
          <w:tcPr>
            <w:tcW w:w="1275" w:type="dxa"/>
            <w:shd w:val="clear" w:color="auto" w:fill="E5E5E5" w:themeFill="background1" w:themeFillTint="33"/>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47.3 </w:t>
            </w:r>
          </w:p>
        </w:tc>
        <w:tc>
          <w:tcPr>
            <w:tcW w:w="993" w:type="dxa"/>
            <w:shd w:val="clear" w:color="auto" w:fill="E5E5E5" w:themeFill="background1" w:themeFillTint="33"/>
            <w:noWrap/>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38.2 </w:t>
            </w:r>
          </w:p>
        </w:tc>
        <w:tc>
          <w:tcPr>
            <w:tcW w:w="1134" w:type="dxa"/>
            <w:shd w:val="clear" w:color="auto" w:fill="E5E5E5" w:themeFill="background1" w:themeFillTint="33"/>
            <w:noWrap/>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40.0 </w:t>
            </w:r>
          </w:p>
        </w:tc>
      </w:tr>
      <w:tr w:rsidR="00F26FDF" w:rsidRPr="00BF451A" w:rsidTr="00BF451A">
        <w:trPr>
          <w:trHeight w:hRule="exact" w:val="510"/>
        </w:trPr>
        <w:tc>
          <w:tcPr>
            <w:tcW w:w="2688" w:type="dxa"/>
            <w:shd w:val="clear" w:color="000000" w:fill="FFFFFF"/>
            <w:vAlign w:val="center"/>
            <w:hideMark/>
          </w:tcPr>
          <w:p w:rsidR="00437ADB" w:rsidRPr="00BF451A" w:rsidRDefault="00437ADB" w:rsidP="00BF451A">
            <w:pPr>
              <w:spacing w:after="0" w:line="240" w:lineRule="auto"/>
              <w:rPr>
                <w:rFonts w:eastAsia="Times New Roman" w:cstheme="minorHAnsi"/>
                <w:sz w:val="20"/>
                <w:szCs w:val="20"/>
                <w:lang w:eastAsia="en-AU"/>
              </w:rPr>
            </w:pPr>
            <w:r w:rsidRPr="00BF451A">
              <w:rPr>
                <w:rFonts w:eastAsia="Times New Roman" w:cstheme="minorHAnsi"/>
                <w:sz w:val="20"/>
                <w:szCs w:val="20"/>
                <w:lang w:eastAsia="en-AU"/>
              </w:rPr>
              <w:t xml:space="preserve">Highest level of education: Post </w:t>
            </w:r>
            <w:r w:rsidR="00F26FDF">
              <w:rPr>
                <w:rFonts w:eastAsia="Times New Roman" w:cstheme="minorHAnsi"/>
                <w:sz w:val="20"/>
                <w:szCs w:val="20"/>
                <w:lang w:eastAsia="en-AU"/>
              </w:rPr>
              <w:t>s</w:t>
            </w:r>
            <w:r w:rsidRPr="00BF451A">
              <w:rPr>
                <w:rFonts w:eastAsia="Times New Roman" w:cstheme="minorHAnsi"/>
                <w:sz w:val="20"/>
                <w:szCs w:val="20"/>
                <w:lang w:eastAsia="en-AU"/>
              </w:rPr>
              <w:t>econdary</w:t>
            </w:r>
            <w:r w:rsidR="00F26FDF">
              <w:rPr>
                <w:rFonts w:eastAsia="Times New Roman" w:cstheme="minorHAnsi"/>
                <w:sz w:val="20"/>
                <w:szCs w:val="20"/>
                <w:lang w:eastAsia="en-AU"/>
              </w:rPr>
              <w:t xml:space="preserve"> </w:t>
            </w:r>
            <w:r w:rsidRPr="00BF451A">
              <w:rPr>
                <w:rFonts w:eastAsia="Times New Roman" w:cstheme="minorHAnsi"/>
                <w:sz w:val="20"/>
                <w:szCs w:val="20"/>
                <w:lang w:eastAsia="en-AU"/>
              </w:rPr>
              <w:t>-</w:t>
            </w:r>
            <w:r w:rsidR="00F26FDF">
              <w:rPr>
                <w:rFonts w:eastAsia="Times New Roman" w:cstheme="minorHAnsi"/>
                <w:sz w:val="20"/>
                <w:szCs w:val="20"/>
                <w:lang w:eastAsia="en-AU"/>
              </w:rPr>
              <w:t xml:space="preserve"> </w:t>
            </w:r>
            <w:r w:rsidRPr="00BF451A">
              <w:rPr>
                <w:rFonts w:eastAsia="Times New Roman" w:cstheme="minorHAnsi"/>
                <w:sz w:val="20"/>
                <w:szCs w:val="20"/>
                <w:lang w:eastAsia="en-AU"/>
              </w:rPr>
              <w:t xml:space="preserve">university </w:t>
            </w:r>
          </w:p>
        </w:tc>
        <w:tc>
          <w:tcPr>
            <w:tcW w:w="1276" w:type="dxa"/>
            <w:shd w:val="clear" w:color="000000" w:fill="FFFFFF"/>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58.4 </w:t>
            </w:r>
          </w:p>
        </w:tc>
        <w:tc>
          <w:tcPr>
            <w:tcW w:w="1134" w:type="dxa"/>
            <w:shd w:val="clear" w:color="000000" w:fill="FFFFFF"/>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56.1 </w:t>
            </w:r>
          </w:p>
        </w:tc>
        <w:tc>
          <w:tcPr>
            <w:tcW w:w="1276" w:type="dxa"/>
            <w:shd w:val="clear" w:color="000000" w:fill="FFFFFF"/>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65.9 </w:t>
            </w:r>
          </w:p>
        </w:tc>
        <w:tc>
          <w:tcPr>
            <w:tcW w:w="1272" w:type="dxa"/>
            <w:shd w:val="clear" w:color="000000" w:fill="FFFFFF"/>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56.6 </w:t>
            </w:r>
          </w:p>
        </w:tc>
        <w:tc>
          <w:tcPr>
            <w:tcW w:w="1138" w:type="dxa"/>
            <w:shd w:val="clear" w:color="000000" w:fill="FFFFFF"/>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56.4 </w:t>
            </w:r>
          </w:p>
        </w:tc>
        <w:tc>
          <w:tcPr>
            <w:tcW w:w="1276" w:type="dxa"/>
            <w:shd w:val="clear" w:color="000000" w:fill="FFFFFF"/>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57.0 </w:t>
            </w:r>
          </w:p>
        </w:tc>
        <w:tc>
          <w:tcPr>
            <w:tcW w:w="1275" w:type="dxa"/>
            <w:shd w:val="clear" w:color="000000" w:fill="FFFFFF"/>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54.9 </w:t>
            </w:r>
          </w:p>
        </w:tc>
        <w:tc>
          <w:tcPr>
            <w:tcW w:w="993" w:type="dxa"/>
            <w:shd w:val="clear" w:color="auto" w:fill="auto"/>
            <w:noWrap/>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61.8 </w:t>
            </w:r>
          </w:p>
        </w:tc>
        <w:tc>
          <w:tcPr>
            <w:tcW w:w="1134" w:type="dxa"/>
            <w:shd w:val="clear" w:color="auto" w:fill="auto"/>
            <w:noWrap/>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61.5 </w:t>
            </w:r>
          </w:p>
        </w:tc>
      </w:tr>
      <w:tr w:rsidR="00F26FDF" w:rsidRPr="00BF451A" w:rsidTr="00BF451A">
        <w:trPr>
          <w:trHeight w:hRule="exact" w:val="510"/>
        </w:trPr>
        <w:tc>
          <w:tcPr>
            <w:tcW w:w="2688" w:type="dxa"/>
            <w:tcBorders>
              <w:bottom w:val="single" w:sz="4" w:space="0" w:color="auto"/>
            </w:tcBorders>
            <w:shd w:val="clear" w:color="auto" w:fill="E5E5E5" w:themeFill="background1" w:themeFillTint="33"/>
            <w:vAlign w:val="center"/>
            <w:hideMark/>
          </w:tcPr>
          <w:p w:rsidR="00437ADB" w:rsidRPr="00BF451A" w:rsidRDefault="00437ADB" w:rsidP="00BF451A">
            <w:pPr>
              <w:spacing w:after="0" w:line="240" w:lineRule="auto"/>
              <w:rPr>
                <w:rFonts w:eastAsia="Times New Roman" w:cstheme="minorHAnsi"/>
                <w:sz w:val="20"/>
                <w:szCs w:val="20"/>
                <w:lang w:eastAsia="en-AU"/>
              </w:rPr>
            </w:pPr>
            <w:r w:rsidRPr="00BF451A">
              <w:rPr>
                <w:rFonts w:eastAsia="Times New Roman" w:cstheme="minorHAnsi"/>
                <w:sz w:val="20"/>
                <w:szCs w:val="20"/>
                <w:lang w:eastAsia="en-AU"/>
              </w:rPr>
              <w:t xml:space="preserve">Highest level of education: Post </w:t>
            </w:r>
            <w:r w:rsidR="00F26FDF">
              <w:rPr>
                <w:rFonts w:eastAsia="Times New Roman" w:cstheme="minorHAnsi"/>
                <w:sz w:val="20"/>
                <w:szCs w:val="20"/>
                <w:lang w:eastAsia="en-AU"/>
              </w:rPr>
              <w:t>s</w:t>
            </w:r>
            <w:r w:rsidRPr="00BF451A">
              <w:rPr>
                <w:rFonts w:eastAsia="Times New Roman" w:cstheme="minorHAnsi"/>
                <w:sz w:val="20"/>
                <w:szCs w:val="20"/>
                <w:lang w:eastAsia="en-AU"/>
              </w:rPr>
              <w:t>econdary</w:t>
            </w:r>
            <w:r w:rsidR="00F26FDF">
              <w:rPr>
                <w:rFonts w:eastAsia="Times New Roman" w:cstheme="minorHAnsi"/>
                <w:sz w:val="20"/>
                <w:szCs w:val="20"/>
                <w:lang w:eastAsia="en-AU"/>
              </w:rPr>
              <w:t xml:space="preserve"> </w:t>
            </w:r>
            <w:r w:rsidRPr="00BF451A">
              <w:rPr>
                <w:rFonts w:eastAsia="Times New Roman" w:cstheme="minorHAnsi"/>
                <w:sz w:val="20"/>
                <w:szCs w:val="20"/>
                <w:lang w:eastAsia="en-AU"/>
              </w:rPr>
              <w:t>-</w:t>
            </w:r>
            <w:r w:rsidR="00F26FDF">
              <w:rPr>
                <w:rFonts w:eastAsia="Times New Roman" w:cstheme="minorHAnsi"/>
                <w:sz w:val="20"/>
                <w:szCs w:val="20"/>
                <w:lang w:eastAsia="en-AU"/>
              </w:rPr>
              <w:t xml:space="preserve"> </w:t>
            </w:r>
            <w:r w:rsidR="00BF451A" w:rsidRPr="00BF451A">
              <w:rPr>
                <w:rFonts w:eastAsia="Times New Roman" w:cstheme="minorHAnsi"/>
                <w:sz w:val="20"/>
                <w:szCs w:val="20"/>
                <w:lang w:eastAsia="en-AU"/>
              </w:rPr>
              <w:t>v</w:t>
            </w:r>
            <w:r w:rsidRPr="00BF451A">
              <w:rPr>
                <w:rFonts w:eastAsia="Times New Roman" w:cstheme="minorHAnsi"/>
                <w:sz w:val="20"/>
                <w:szCs w:val="20"/>
                <w:lang w:eastAsia="en-AU"/>
              </w:rPr>
              <w:t>ocational</w:t>
            </w:r>
          </w:p>
        </w:tc>
        <w:tc>
          <w:tcPr>
            <w:tcW w:w="1276" w:type="dxa"/>
            <w:tcBorders>
              <w:bottom w:val="single" w:sz="4" w:space="0" w:color="auto"/>
            </w:tcBorders>
            <w:shd w:val="clear" w:color="auto" w:fill="E5E5E5" w:themeFill="background1" w:themeFillTint="33"/>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33.9 </w:t>
            </w:r>
          </w:p>
        </w:tc>
        <w:tc>
          <w:tcPr>
            <w:tcW w:w="1134" w:type="dxa"/>
            <w:tcBorders>
              <w:bottom w:val="single" w:sz="4" w:space="0" w:color="auto"/>
            </w:tcBorders>
            <w:shd w:val="clear" w:color="auto" w:fill="E5E5E5" w:themeFill="background1" w:themeFillTint="33"/>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35.2 </w:t>
            </w:r>
          </w:p>
        </w:tc>
        <w:tc>
          <w:tcPr>
            <w:tcW w:w="1276" w:type="dxa"/>
            <w:tcBorders>
              <w:bottom w:val="single" w:sz="4" w:space="0" w:color="auto"/>
            </w:tcBorders>
            <w:shd w:val="clear" w:color="auto" w:fill="E5E5E5" w:themeFill="background1" w:themeFillTint="33"/>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40.2 </w:t>
            </w:r>
          </w:p>
        </w:tc>
        <w:tc>
          <w:tcPr>
            <w:tcW w:w="1272" w:type="dxa"/>
            <w:tcBorders>
              <w:bottom w:val="single" w:sz="4" w:space="0" w:color="auto"/>
            </w:tcBorders>
            <w:shd w:val="clear" w:color="auto" w:fill="E5E5E5" w:themeFill="background1" w:themeFillTint="33"/>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41.3 </w:t>
            </w:r>
          </w:p>
        </w:tc>
        <w:tc>
          <w:tcPr>
            <w:tcW w:w="1138" w:type="dxa"/>
            <w:tcBorders>
              <w:bottom w:val="single" w:sz="4" w:space="0" w:color="auto"/>
            </w:tcBorders>
            <w:shd w:val="clear" w:color="auto" w:fill="E5E5E5" w:themeFill="background1" w:themeFillTint="33"/>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41.5 </w:t>
            </w:r>
          </w:p>
        </w:tc>
        <w:tc>
          <w:tcPr>
            <w:tcW w:w="1276" w:type="dxa"/>
            <w:tcBorders>
              <w:bottom w:val="single" w:sz="4" w:space="0" w:color="auto"/>
            </w:tcBorders>
            <w:shd w:val="clear" w:color="auto" w:fill="E5E5E5" w:themeFill="background1" w:themeFillTint="33"/>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41.0 </w:t>
            </w:r>
          </w:p>
        </w:tc>
        <w:tc>
          <w:tcPr>
            <w:tcW w:w="1275" w:type="dxa"/>
            <w:tcBorders>
              <w:bottom w:val="single" w:sz="4" w:space="0" w:color="auto"/>
            </w:tcBorders>
            <w:shd w:val="clear" w:color="auto" w:fill="E5E5E5" w:themeFill="background1" w:themeFillTint="33"/>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37.7 </w:t>
            </w:r>
          </w:p>
        </w:tc>
        <w:tc>
          <w:tcPr>
            <w:tcW w:w="993" w:type="dxa"/>
            <w:tcBorders>
              <w:bottom w:val="single" w:sz="4" w:space="0" w:color="auto"/>
            </w:tcBorders>
            <w:shd w:val="clear" w:color="auto" w:fill="E5E5E5" w:themeFill="background1" w:themeFillTint="33"/>
            <w:noWrap/>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  39.1 </w:t>
            </w:r>
          </w:p>
        </w:tc>
        <w:tc>
          <w:tcPr>
            <w:tcW w:w="1134" w:type="dxa"/>
            <w:tcBorders>
              <w:bottom w:val="single" w:sz="4" w:space="0" w:color="auto"/>
            </w:tcBorders>
            <w:shd w:val="clear" w:color="auto" w:fill="E5E5E5" w:themeFill="background1" w:themeFillTint="33"/>
            <w:noWrap/>
            <w:vAlign w:val="center"/>
            <w:hideMark/>
          </w:tcPr>
          <w:p w:rsidR="00437ADB" w:rsidRPr="00BF451A" w:rsidRDefault="00437ADB" w:rsidP="00BF451A">
            <w:pPr>
              <w:spacing w:after="0" w:line="240" w:lineRule="auto"/>
              <w:ind w:left="-186" w:right="243"/>
              <w:jc w:val="right"/>
              <w:rPr>
                <w:rFonts w:eastAsia="Times New Roman" w:cstheme="minorHAnsi"/>
                <w:sz w:val="20"/>
                <w:szCs w:val="20"/>
                <w:lang w:eastAsia="en-AU"/>
              </w:rPr>
            </w:pPr>
            <w:r w:rsidRPr="00BF451A">
              <w:rPr>
                <w:rFonts w:eastAsia="Times New Roman" w:cstheme="minorHAnsi"/>
                <w:sz w:val="20"/>
                <w:szCs w:val="20"/>
                <w:lang w:eastAsia="en-AU"/>
              </w:rPr>
              <w:t xml:space="preserve"> 37.9 </w:t>
            </w:r>
          </w:p>
        </w:tc>
      </w:tr>
    </w:tbl>
    <w:p w:rsidR="009060D1" w:rsidRPr="00BF71D4" w:rsidRDefault="009060D1">
      <w:pPr>
        <w:rPr>
          <w:b/>
          <w:sz w:val="20"/>
          <w:szCs w:val="20"/>
        </w:rPr>
      </w:pPr>
      <w:r w:rsidRPr="00BF71D4">
        <w:rPr>
          <w:b/>
          <w:sz w:val="20"/>
          <w:szCs w:val="20"/>
        </w:rPr>
        <w:t>Notes:</w:t>
      </w:r>
    </w:p>
    <w:p w:rsidR="00BF71D4" w:rsidRDefault="00BF71D4" w:rsidP="00BF71D4">
      <w:pPr>
        <w:pStyle w:val="Source"/>
        <w:numPr>
          <w:ilvl w:val="0"/>
          <w:numId w:val="105"/>
        </w:numPr>
        <w:rPr>
          <w:b w:val="0"/>
        </w:rPr>
      </w:pPr>
      <w:r>
        <w:rPr>
          <w:b w:val="0"/>
        </w:rPr>
        <w:t>LTU refers to those job seekers who had been unemployed 12 to less than 24 months at the time of survey selection. VLTU refers to those who had been unemployed 24 months or longer.</w:t>
      </w:r>
    </w:p>
    <w:p w:rsidR="00BF71D4" w:rsidRDefault="00BF71D4" w:rsidP="00BF71D4">
      <w:pPr>
        <w:pStyle w:val="Source"/>
        <w:numPr>
          <w:ilvl w:val="0"/>
          <w:numId w:val="105"/>
        </w:numPr>
        <w:rPr>
          <w:b w:val="0"/>
        </w:rPr>
      </w:pPr>
      <w:r>
        <w:rPr>
          <w:b w:val="0"/>
        </w:rPr>
        <w:t>Job seekers were surveyed three months after sample selection. For instance, employment outcomes shown for January 2014 to December 2014 refer to responses from people in employment service during this period who were surveyed between April 2014 and March 2015.</w:t>
      </w:r>
    </w:p>
    <w:p w:rsidR="00BF71D4" w:rsidRDefault="00BF71D4" w:rsidP="00BF71D4">
      <w:pPr>
        <w:pStyle w:val="Source"/>
        <w:numPr>
          <w:ilvl w:val="0"/>
          <w:numId w:val="105"/>
        </w:numPr>
        <w:rPr>
          <w:b w:val="0"/>
        </w:rPr>
      </w:pPr>
      <w:r>
        <w:rPr>
          <w:b w:val="0"/>
        </w:rPr>
        <w:t>Data for the October 2013 to September 2014 selection was not available.</w:t>
      </w:r>
    </w:p>
    <w:p w:rsidR="00BF71D4" w:rsidRDefault="00BF71D4" w:rsidP="00BF71D4">
      <w:pPr>
        <w:pStyle w:val="Source"/>
        <w:numPr>
          <w:ilvl w:val="0"/>
          <w:numId w:val="105"/>
        </w:numPr>
        <w:rPr>
          <w:b w:val="0"/>
        </w:rPr>
      </w:pPr>
      <w:r>
        <w:rPr>
          <w:b w:val="0"/>
        </w:rPr>
        <w:t>The sample selection methodology for those who were serviced under JSA differed from that for those in jobactive. Caution should be used when comparing results between the two employment service delivery model periods. For this reason, data for three time periods: October 2014-September 2015, January 2015 to December 2015 and April 2015 to March 2016, is not be presented as these periods include the point of change between the employment services model (which occurred on 1 July 2015.</w:t>
      </w:r>
    </w:p>
    <w:p w:rsidR="007C3E39" w:rsidRPr="00BF71D4" w:rsidRDefault="009060D1">
      <w:pPr>
        <w:rPr>
          <w:sz w:val="20"/>
          <w:szCs w:val="20"/>
        </w:rPr>
      </w:pPr>
      <w:r w:rsidRPr="00BF71D4">
        <w:rPr>
          <w:b/>
          <w:sz w:val="20"/>
          <w:szCs w:val="20"/>
        </w:rPr>
        <w:t>Source:</w:t>
      </w:r>
      <w:r w:rsidRPr="00BF71D4">
        <w:rPr>
          <w:sz w:val="20"/>
          <w:szCs w:val="20"/>
        </w:rPr>
        <w:t xml:space="preserve"> Department of Employment Post Program Monitoring survey</w:t>
      </w:r>
      <w:r w:rsidR="00BF71D4">
        <w:rPr>
          <w:sz w:val="20"/>
          <w:szCs w:val="20"/>
        </w:rPr>
        <w:t>.</w:t>
      </w:r>
    </w:p>
    <w:p w:rsidR="00BF71D4" w:rsidRDefault="00BF71D4" w:rsidP="00BF71D4">
      <w:pPr>
        <w:pStyle w:val="Source"/>
        <w:spacing w:before="120"/>
      </w:pPr>
      <w:r>
        <w:rPr>
          <w:b w:val="0"/>
        </w:rPr>
        <w:t xml:space="preserve">Return to </w:t>
      </w:r>
      <w:hyperlink w:anchor="Place_F11" w:history="1">
        <w:r w:rsidR="00234D9B">
          <w:rPr>
            <w:rStyle w:val="Hyperlink"/>
            <w:b w:val="0"/>
          </w:rPr>
          <w:t>Figure 4.7</w:t>
        </w:r>
      </w:hyperlink>
      <w:r w:rsidR="00746C0E">
        <w:rPr>
          <w:rStyle w:val="Hyperlink"/>
          <w:b w:val="0"/>
        </w:rPr>
        <w:t>.</w:t>
      </w:r>
    </w:p>
    <w:p w:rsidR="00BF71D4" w:rsidRDefault="00BF71D4">
      <w:pPr>
        <w:sectPr w:rsidR="00BF71D4" w:rsidSect="00C13A81">
          <w:pgSz w:w="16838" w:h="11906" w:orient="landscape" w:code="9"/>
          <w:pgMar w:top="1440" w:right="1440" w:bottom="1440" w:left="1440" w:header="709" w:footer="709" w:gutter="0"/>
          <w:cols w:space="708"/>
          <w:docGrid w:linePitch="360"/>
        </w:sectPr>
      </w:pPr>
    </w:p>
    <w:p w:rsidR="005A4422" w:rsidRPr="0006372F" w:rsidRDefault="003A5262" w:rsidP="0006372F">
      <w:pPr>
        <w:pStyle w:val="TableCaption"/>
      </w:pPr>
      <w:bookmarkStart w:id="277" w:name="_Toc507600328"/>
      <w:r>
        <w:lastRenderedPageBreak/>
        <w:t xml:space="preserve">Table </w:t>
      </w:r>
      <w:r w:rsidR="00603A49">
        <w:t>F</w:t>
      </w:r>
      <w:r>
        <w:t>.</w:t>
      </w:r>
      <w:r w:rsidR="00E76396">
        <w:t>12</w:t>
      </w:r>
      <w:r>
        <w:t xml:space="preserve">: </w:t>
      </w:r>
      <w:r w:rsidR="00841B30">
        <w:t>RDD model parameters for the a</w:t>
      </w:r>
      <w:r>
        <w:t>verage number of days to first job placement after becoming LTU</w:t>
      </w:r>
      <w:r w:rsidR="001A4F81">
        <w:t xml:space="preserve"> </w:t>
      </w:r>
      <w:r w:rsidR="00841B30">
        <w:t>by</w:t>
      </w:r>
      <w:r w:rsidR="001A4F81">
        <w:t xml:space="preserve"> model type</w:t>
      </w:r>
      <w:r w:rsidR="00E85955">
        <w:t>, h</w:t>
      </w:r>
      <w:r w:rsidR="00BC37C7">
        <w:t>igher end of the JCB age</w:t>
      </w:r>
      <w:r w:rsidR="007C05BC" w:rsidRPr="007C05BC">
        <w:t xml:space="preserve"> range</w:t>
      </w:r>
      <w:bookmarkEnd w:id="277"/>
    </w:p>
    <w:tbl>
      <w:tblPr>
        <w:tblW w:w="8804" w:type="dxa"/>
        <w:tblInd w:w="93" w:type="dxa"/>
        <w:tblLook w:val="04A0" w:firstRow="1" w:lastRow="0" w:firstColumn="1" w:lastColumn="0" w:noHBand="0" w:noVBand="1"/>
      </w:tblPr>
      <w:tblGrid>
        <w:gridCol w:w="1020"/>
        <w:gridCol w:w="1940"/>
        <w:gridCol w:w="1940"/>
        <w:gridCol w:w="1636"/>
        <w:gridCol w:w="2268"/>
      </w:tblGrid>
      <w:tr w:rsidR="00D6702E" w:rsidRPr="00D6702E" w:rsidTr="00841B30">
        <w:trPr>
          <w:trHeight w:hRule="exact" w:val="512"/>
          <w:tblHeader/>
        </w:trPr>
        <w:tc>
          <w:tcPr>
            <w:tcW w:w="1020" w:type="dxa"/>
            <w:tcBorders>
              <w:top w:val="nil"/>
              <w:left w:val="nil"/>
              <w:bottom w:val="nil"/>
              <w:right w:val="nil"/>
            </w:tcBorders>
            <w:shd w:val="clear" w:color="000000" w:fill="1E3D6B"/>
            <w:noWrap/>
            <w:vAlign w:val="center"/>
            <w:hideMark/>
          </w:tcPr>
          <w:p w:rsidR="00D6702E" w:rsidRPr="00C54A19" w:rsidRDefault="00D6702E" w:rsidP="00D6702E">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bookmarkStart w:id="278" w:name="Title_F11"/>
            <w:bookmarkEnd w:id="278"/>
          </w:p>
        </w:tc>
        <w:tc>
          <w:tcPr>
            <w:tcW w:w="1940" w:type="dxa"/>
            <w:tcBorders>
              <w:top w:val="nil"/>
              <w:left w:val="nil"/>
              <w:bottom w:val="nil"/>
              <w:right w:val="nil"/>
            </w:tcBorders>
            <w:shd w:val="clear" w:color="000000" w:fill="1E3D6B"/>
            <w:vAlign w:val="center"/>
            <w:hideMark/>
          </w:tcPr>
          <w:p w:rsidR="00D6702E" w:rsidRPr="00C54A19" w:rsidRDefault="00D6702E" w:rsidP="00D6702E">
            <w:pPr>
              <w:spacing w:after="0" w:line="240" w:lineRule="auto"/>
              <w:jc w:val="center"/>
              <w:rPr>
                <w:rFonts w:ascii="Calibri" w:eastAsia="Times New Roman" w:hAnsi="Calibri" w:cs="Calibri"/>
                <w:b/>
                <w:bCs/>
                <w:color w:val="FFFFFF"/>
                <w:sz w:val="20"/>
                <w:szCs w:val="20"/>
                <w:lang w:eastAsia="en-AU"/>
              </w:rPr>
            </w:pPr>
            <w:r w:rsidRPr="00C54A19">
              <w:rPr>
                <w:rFonts w:ascii="Calibri" w:eastAsia="Times New Roman" w:hAnsi="Calibri" w:cs="Calibri"/>
                <w:b/>
                <w:bCs/>
                <w:color w:val="FFFFFF"/>
                <w:sz w:val="20"/>
                <w:szCs w:val="20"/>
                <w:lang w:eastAsia="en-AU"/>
              </w:rPr>
              <w:t>Linear</w:t>
            </w:r>
          </w:p>
        </w:tc>
        <w:tc>
          <w:tcPr>
            <w:tcW w:w="1940" w:type="dxa"/>
            <w:tcBorders>
              <w:top w:val="nil"/>
              <w:left w:val="nil"/>
              <w:bottom w:val="nil"/>
              <w:right w:val="nil"/>
            </w:tcBorders>
            <w:shd w:val="clear" w:color="000000" w:fill="1E3D6B"/>
            <w:vAlign w:val="center"/>
            <w:hideMark/>
          </w:tcPr>
          <w:p w:rsidR="00D6702E" w:rsidRPr="00C54A19" w:rsidRDefault="00D6702E" w:rsidP="00D6702E">
            <w:pPr>
              <w:spacing w:after="0" w:line="240" w:lineRule="auto"/>
              <w:jc w:val="center"/>
              <w:rPr>
                <w:rFonts w:ascii="Calibri" w:eastAsia="Times New Roman" w:hAnsi="Calibri" w:cs="Calibri"/>
                <w:b/>
                <w:bCs/>
                <w:color w:val="FFFFFF"/>
                <w:sz w:val="20"/>
                <w:szCs w:val="20"/>
                <w:lang w:eastAsia="en-AU"/>
              </w:rPr>
            </w:pPr>
            <w:r w:rsidRPr="00C54A19">
              <w:rPr>
                <w:rFonts w:ascii="Calibri" w:eastAsia="Times New Roman" w:hAnsi="Calibri" w:cs="Calibri"/>
                <w:b/>
                <w:bCs/>
                <w:color w:val="FFFFFF"/>
                <w:sz w:val="20"/>
                <w:szCs w:val="20"/>
                <w:lang w:eastAsia="en-AU"/>
              </w:rPr>
              <w:t>Linear interaction</w:t>
            </w:r>
          </w:p>
        </w:tc>
        <w:tc>
          <w:tcPr>
            <w:tcW w:w="1636" w:type="dxa"/>
            <w:tcBorders>
              <w:top w:val="nil"/>
              <w:left w:val="nil"/>
              <w:bottom w:val="nil"/>
              <w:right w:val="nil"/>
            </w:tcBorders>
            <w:shd w:val="clear" w:color="000000" w:fill="1E3D6B"/>
            <w:vAlign w:val="center"/>
            <w:hideMark/>
          </w:tcPr>
          <w:p w:rsidR="00D6702E" w:rsidRPr="00C54A19" w:rsidRDefault="00D6702E" w:rsidP="00D6702E">
            <w:pPr>
              <w:spacing w:after="0" w:line="240" w:lineRule="auto"/>
              <w:jc w:val="center"/>
              <w:rPr>
                <w:rFonts w:ascii="Calibri" w:eastAsia="Times New Roman" w:hAnsi="Calibri" w:cs="Calibri"/>
                <w:b/>
                <w:bCs/>
                <w:color w:val="FFFFFF"/>
                <w:sz w:val="20"/>
                <w:szCs w:val="20"/>
                <w:lang w:eastAsia="en-AU"/>
              </w:rPr>
            </w:pPr>
            <w:r w:rsidRPr="00C54A19">
              <w:rPr>
                <w:rFonts w:ascii="Calibri" w:eastAsia="Times New Roman" w:hAnsi="Calibri" w:cs="Calibri"/>
                <w:b/>
                <w:bCs/>
                <w:color w:val="FFFFFF"/>
                <w:sz w:val="20"/>
                <w:szCs w:val="20"/>
                <w:lang w:eastAsia="en-AU"/>
              </w:rPr>
              <w:t>Squared</w:t>
            </w:r>
          </w:p>
        </w:tc>
        <w:tc>
          <w:tcPr>
            <w:tcW w:w="2268" w:type="dxa"/>
            <w:tcBorders>
              <w:top w:val="nil"/>
              <w:left w:val="nil"/>
              <w:bottom w:val="nil"/>
              <w:right w:val="nil"/>
            </w:tcBorders>
            <w:shd w:val="clear" w:color="000000" w:fill="1E3D6B"/>
            <w:vAlign w:val="center"/>
            <w:hideMark/>
          </w:tcPr>
          <w:p w:rsidR="00D6702E" w:rsidRPr="00C54A19" w:rsidRDefault="00D6702E" w:rsidP="00D6702E">
            <w:pPr>
              <w:spacing w:after="0" w:line="240" w:lineRule="auto"/>
              <w:jc w:val="center"/>
              <w:rPr>
                <w:rFonts w:ascii="Calibri" w:eastAsia="Times New Roman" w:hAnsi="Calibri" w:cs="Calibri"/>
                <w:b/>
                <w:bCs/>
                <w:color w:val="FFFFFF"/>
                <w:sz w:val="20"/>
                <w:szCs w:val="20"/>
                <w:lang w:eastAsia="en-AU"/>
              </w:rPr>
            </w:pPr>
            <w:r w:rsidRPr="00C54A19">
              <w:rPr>
                <w:rFonts w:ascii="Calibri" w:eastAsia="Times New Roman" w:hAnsi="Calibri" w:cs="Calibri"/>
                <w:b/>
                <w:bCs/>
                <w:color w:val="FFFFFF"/>
                <w:sz w:val="20"/>
                <w:szCs w:val="20"/>
                <w:lang w:eastAsia="en-AU"/>
              </w:rPr>
              <w:t>Squared interaction</w:t>
            </w:r>
          </w:p>
        </w:tc>
      </w:tr>
      <w:tr w:rsidR="00D6702E" w:rsidRPr="00D6702E" w:rsidTr="00841B30">
        <w:trPr>
          <w:trHeight w:hRule="exact" w:val="340"/>
        </w:trPr>
        <w:tc>
          <w:tcPr>
            <w:tcW w:w="1020" w:type="dxa"/>
            <w:tcBorders>
              <w:top w:val="nil"/>
              <w:left w:val="nil"/>
              <w:bottom w:val="nil"/>
              <w:right w:val="nil"/>
            </w:tcBorders>
            <w:shd w:val="clear" w:color="auto" w:fill="auto"/>
            <w:vAlign w:val="center"/>
            <w:hideMark/>
          </w:tcPr>
          <w:p w:rsidR="00D6702E" w:rsidRPr="00C54A19" w:rsidRDefault="00D6702E" w:rsidP="00D6702E">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Constant</w:t>
            </w:r>
          </w:p>
        </w:tc>
        <w:tc>
          <w:tcPr>
            <w:tcW w:w="1940" w:type="dxa"/>
            <w:tcBorders>
              <w:top w:val="nil"/>
              <w:left w:val="nil"/>
              <w:bottom w:val="nil"/>
              <w:right w:val="nil"/>
            </w:tcBorders>
            <w:shd w:val="clear" w:color="auto" w:fill="auto"/>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85.542</w:t>
            </w:r>
          </w:p>
        </w:tc>
        <w:tc>
          <w:tcPr>
            <w:tcW w:w="1940" w:type="dxa"/>
            <w:tcBorders>
              <w:top w:val="nil"/>
              <w:left w:val="nil"/>
              <w:bottom w:val="nil"/>
              <w:right w:val="nil"/>
            </w:tcBorders>
            <w:shd w:val="clear" w:color="auto" w:fill="auto"/>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83.808</w:t>
            </w:r>
          </w:p>
        </w:tc>
        <w:tc>
          <w:tcPr>
            <w:tcW w:w="1636" w:type="dxa"/>
            <w:tcBorders>
              <w:top w:val="nil"/>
              <w:left w:val="nil"/>
              <w:bottom w:val="nil"/>
              <w:right w:val="nil"/>
            </w:tcBorders>
            <w:shd w:val="clear" w:color="auto" w:fill="auto"/>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85.490</w:t>
            </w:r>
          </w:p>
        </w:tc>
        <w:tc>
          <w:tcPr>
            <w:tcW w:w="2268" w:type="dxa"/>
            <w:tcBorders>
              <w:top w:val="nil"/>
              <w:left w:val="nil"/>
              <w:bottom w:val="nil"/>
              <w:right w:val="nil"/>
            </w:tcBorders>
            <w:shd w:val="clear" w:color="auto" w:fill="auto"/>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80.963</w:t>
            </w:r>
          </w:p>
        </w:tc>
      </w:tr>
      <w:tr w:rsidR="00D6702E" w:rsidRPr="00D6702E" w:rsidTr="00841B30">
        <w:trPr>
          <w:trHeight w:hRule="exact" w:val="340"/>
        </w:trPr>
        <w:tc>
          <w:tcPr>
            <w:tcW w:w="1020" w:type="dxa"/>
            <w:tcBorders>
              <w:top w:val="nil"/>
              <w:left w:val="nil"/>
              <w:bottom w:val="nil"/>
              <w:right w:val="nil"/>
            </w:tcBorders>
            <w:shd w:val="clear" w:color="auto" w:fill="auto"/>
            <w:vAlign w:val="center"/>
            <w:hideMark/>
          </w:tcPr>
          <w:p w:rsidR="00D6702E" w:rsidRPr="00C54A19" w:rsidRDefault="00D6702E" w:rsidP="00D6702E">
            <w:pPr>
              <w:spacing w:after="0" w:line="240" w:lineRule="auto"/>
              <w:rPr>
                <w:rFonts w:ascii="Calibri" w:eastAsia="Times New Roman" w:hAnsi="Calibri" w:cs="Calibri"/>
                <w:i/>
                <w:iCs/>
                <w:color w:val="000000"/>
                <w:sz w:val="20"/>
                <w:szCs w:val="20"/>
                <w:lang w:eastAsia="en-AU"/>
              </w:rPr>
            </w:pPr>
          </w:p>
        </w:tc>
        <w:tc>
          <w:tcPr>
            <w:tcW w:w="1940" w:type="dxa"/>
            <w:tcBorders>
              <w:top w:val="nil"/>
              <w:left w:val="nil"/>
              <w:bottom w:val="nil"/>
              <w:right w:val="nil"/>
            </w:tcBorders>
            <w:shd w:val="clear" w:color="auto" w:fill="auto"/>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&lt;.0001</w:t>
            </w:r>
          </w:p>
        </w:tc>
        <w:tc>
          <w:tcPr>
            <w:tcW w:w="1940" w:type="dxa"/>
            <w:tcBorders>
              <w:top w:val="nil"/>
              <w:left w:val="nil"/>
              <w:bottom w:val="nil"/>
              <w:right w:val="nil"/>
            </w:tcBorders>
            <w:shd w:val="clear" w:color="auto" w:fill="auto"/>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&lt;.0001</w:t>
            </w:r>
          </w:p>
        </w:tc>
        <w:tc>
          <w:tcPr>
            <w:tcW w:w="1636" w:type="dxa"/>
            <w:tcBorders>
              <w:top w:val="nil"/>
              <w:left w:val="nil"/>
              <w:bottom w:val="nil"/>
              <w:right w:val="nil"/>
            </w:tcBorders>
            <w:shd w:val="clear" w:color="auto" w:fill="auto"/>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&lt;.0001</w:t>
            </w:r>
          </w:p>
        </w:tc>
        <w:tc>
          <w:tcPr>
            <w:tcW w:w="2268" w:type="dxa"/>
            <w:tcBorders>
              <w:top w:val="nil"/>
              <w:left w:val="nil"/>
              <w:bottom w:val="nil"/>
              <w:right w:val="nil"/>
            </w:tcBorders>
            <w:shd w:val="clear" w:color="auto" w:fill="auto"/>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&lt;.0001</w:t>
            </w:r>
          </w:p>
        </w:tc>
      </w:tr>
      <w:tr w:rsidR="00D6702E" w:rsidRPr="00D6702E" w:rsidTr="00841B30">
        <w:trPr>
          <w:trHeight w:hRule="exact" w:val="340"/>
        </w:trPr>
        <w:tc>
          <w:tcPr>
            <w:tcW w:w="1020" w:type="dxa"/>
            <w:tcBorders>
              <w:top w:val="nil"/>
              <w:left w:val="nil"/>
              <w:bottom w:val="nil"/>
              <w:right w:val="nil"/>
            </w:tcBorders>
            <w:shd w:val="clear" w:color="000000" w:fill="F2F2F2"/>
            <w:noWrap/>
            <w:vAlign w:val="center"/>
            <w:hideMark/>
          </w:tcPr>
          <w:p w:rsidR="00D6702E" w:rsidRPr="00C54A19" w:rsidRDefault="00D6702E" w:rsidP="00D6702E">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r</w:t>
            </w:r>
            <w:r w:rsidRPr="00C54A19">
              <w:rPr>
                <w:rFonts w:ascii="Calibri" w:eastAsia="Times New Roman" w:hAnsi="Calibri" w:cs="Calibri"/>
                <w:i/>
                <w:iCs/>
                <w:color w:val="000000"/>
                <w:sz w:val="20"/>
                <w:szCs w:val="20"/>
                <w:vertAlign w:val="subscript"/>
                <w:lang w:eastAsia="en-AU"/>
              </w:rPr>
              <w:t>i</w:t>
            </w:r>
          </w:p>
        </w:tc>
        <w:tc>
          <w:tcPr>
            <w:tcW w:w="1940" w:type="dxa"/>
            <w:tcBorders>
              <w:top w:val="nil"/>
              <w:left w:val="nil"/>
              <w:bottom w:val="nil"/>
              <w:right w:val="nil"/>
            </w:tcBorders>
            <w:shd w:val="clear" w:color="000000" w:fill="F2F2F2"/>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3.200</w:t>
            </w:r>
          </w:p>
        </w:tc>
        <w:tc>
          <w:tcPr>
            <w:tcW w:w="1940" w:type="dxa"/>
            <w:tcBorders>
              <w:top w:val="nil"/>
              <w:left w:val="nil"/>
              <w:bottom w:val="nil"/>
              <w:right w:val="nil"/>
            </w:tcBorders>
            <w:shd w:val="clear" w:color="000000" w:fill="F2F2F2"/>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2.645</w:t>
            </w:r>
          </w:p>
        </w:tc>
        <w:tc>
          <w:tcPr>
            <w:tcW w:w="1636" w:type="dxa"/>
            <w:tcBorders>
              <w:top w:val="nil"/>
              <w:left w:val="nil"/>
              <w:bottom w:val="nil"/>
              <w:right w:val="nil"/>
            </w:tcBorders>
            <w:shd w:val="clear" w:color="000000" w:fill="F2F2F2"/>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3.771</w:t>
            </w:r>
          </w:p>
        </w:tc>
        <w:tc>
          <w:tcPr>
            <w:tcW w:w="2268" w:type="dxa"/>
            <w:tcBorders>
              <w:top w:val="nil"/>
              <w:left w:val="nil"/>
              <w:bottom w:val="nil"/>
              <w:right w:val="nil"/>
            </w:tcBorders>
            <w:shd w:val="clear" w:color="000000" w:fill="F2F2F2"/>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0.019</w:t>
            </w:r>
          </w:p>
        </w:tc>
      </w:tr>
      <w:tr w:rsidR="00D6702E" w:rsidRPr="00D6702E" w:rsidTr="00841B30">
        <w:trPr>
          <w:trHeight w:hRule="exact" w:val="340"/>
        </w:trPr>
        <w:tc>
          <w:tcPr>
            <w:tcW w:w="1020" w:type="dxa"/>
            <w:tcBorders>
              <w:top w:val="nil"/>
              <w:left w:val="nil"/>
              <w:bottom w:val="nil"/>
              <w:right w:val="nil"/>
            </w:tcBorders>
            <w:shd w:val="clear" w:color="000000" w:fill="F2F2F2"/>
            <w:vAlign w:val="center"/>
            <w:hideMark/>
          </w:tcPr>
          <w:p w:rsidR="00D6702E" w:rsidRPr="00C54A19" w:rsidRDefault="00D6702E" w:rsidP="00D6702E">
            <w:pPr>
              <w:spacing w:after="0" w:line="240" w:lineRule="auto"/>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940" w:type="dxa"/>
            <w:tcBorders>
              <w:top w:val="nil"/>
              <w:left w:val="nil"/>
              <w:bottom w:val="nil"/>
              <w:right w:val="nil"/>
            </w:tcBorders>
            <w:shd w:val="clear" w:color="000000" w:fill="F2F2F2"/>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0.118</w:t>
            </w:r>
          </w:p>
        </w:tc>
        <w:tc>
          <w:tcPr>
            <w:tcW w:w="1940" w:type="dxa"/>
            <w:tcBorders>
              <w:top w:val="nil"/>
              <w:left w:val="nil"/>
              <w:bottom w:val="nil"/>
              <w:right w:val="nil"/>
            </w:tcBorders>
            <w:shd w:val="clear" w:color="000000" w:fill="F2F2F2"/>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0.258</w:t>
            </w:r>
          </w:p>
        </w:tc>
        <w:tc>
          <w:tcPr>
            <w:tcW w:w="1636" w:type="dxa"/>
            <w:tcBorders>
              <w:top w:val="nil"/>
              <w:left w:val="nil"/>
              <w:bottom w:val="nil"/>
              <w:right w:val="nil"/>
            </w:tcBorders>
            <w:shd w:val="clear" w:color="000000" w:fill="F2F2F2"/>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0.174</w:t>
            </w:r>
          </w:p>
        </w:tc>
        <w:tc>
          <w:tcPr>
            <w:tcW w:w="2268" w:type="dxa"/>
            <w:tcBorders>
              <w:top w:val="nil"/>
              <w:left w:val="nil"/>
              <w:bottom w:val="nil"/>
              <w:right w:val="nil"/>
            </w:tcBorders>
            <w:shd w:val="clear" w:color="000000" w:fill="F2F2F2"/>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0.999</w:t>
            </w:r>
          </w:p>
        </w:tc>
      </w:tr>
      <w:tr w:rsidR="00D6702E" w:rsidRPr="00D6702E" w:rsidTr="00841B30">
        <w:trPr>
          <w:trHeight w:hRule="exact" w:val="340"/>
        </w:trPr>
        <w:tc>
          <w:tcPr>
            <w:tcW w:w="1020" w:type="dxa"/>
            <w:tcBorders>
              <w:top w:val="nil"/>
              <w:left w:val="nil"/>
              <w:bottom w:val="nil"/>
              <w:right w:val="nil"/>
            </w:tcBorders>
            <w:shd w:val="clear" w:color="auto" w:fill="auto"/>
            <w:noWrap/>
            <w:vAlign w:val="center"/>
            <w:hideMark/>
          </w:tcPr>
          <w:p w:rsidR="00D6702E" w:rsidRPr="00C54A19" w:rsidRDefault="00D6702E" w:rsidP="00D6702E">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d</w:t>
            </w:r>
            <w:r w:rsidRPr="00C54A19">
              <w:rPr>
                <w:rFonts w:ascii="Calibri" w:eastAsia="Times New Roman" w:hAnsi="Calibri" w:cs="Calibri"/>
                <w:i/>
                <w:iCs/>
                <w:color w:val="000000"/>
                <w:sz w:val="20"/>
                <w:szCs w:val="20"/>
                <w:vertAlign w:val="subscript"/>
                <w:lang w:eastAsia="en-AU"/>
              </w:rPr>
              <w:t>i</w:t>
            </w:r>
          </w:p>
        </w:tc>
        <w:tc>
          <w:tcPr>
            <w:tcW w:w="1940" w:type="dxa"/>
            <w:tcBorders>
              <w:top w:val="nil"/>
              <w:left w:val="nil"/>
              <w:bottom w:val="nil"/>
              <w:right w:val="nil"/>
            </w:tcBorders>
            <w:shd w:val="clear" w:color="auto" w:fill="auto"/>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-8.604</w:t>
            </w:r>
          </w:p>
        </w:tc>
        <w:tc>
          <w:tcPr>
            <w:tcW w:w="1940" w:type="dxa"/>
            <w:tcBorders>
              <w:top w:val="nil"/>
              <w:left w:val="nil"/>
              <w:bottom w:val="nil"/>
              <w:right w:val="nil"/>
            </w:tcBorders>
            <w:shd w:val="clear" w:color="auto" w:fill="auto"/>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-10.389</w:t>
            </w:r>
          </w:p>
        </w:tc>
        <w:tc>
          <w:tcPr>
            <w:tcW w:w="1636" w:type="dxa"/>
            <w:tcBorders>
              <w:top w:val="nil"/>
              <w:left w:val="nil"/>
              <w:bottom w:val="nil"/>
              <w:right w:val="nil"/>
            </w:tcBorders>
            <w:shd w:val="clear" w:color="auto" w:fill="auto"/>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-10.321</w:t>
            </w:r>
          </w:p>
        </w:tc>
        <w:tc>
          <w:tcPr>
            <w:tcW w:w="2268" w:type="dxa"/>
            <w:tcBorders>
              <w:top w:val="nil"/>
              <w:left w:val="nil"/>
              <w:bottom w:val="nil"/>
              <w:right w:val="nil"/>
            </w:tcBorders>
            <w:shd w:val="clear" w:color="auto" w:fill="auto"/>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-13.702</w:t>
            </w:r>
          </w:p>
        </w:tc>
      </w:tr>
      <w:tr w:rsidR="00D6702E" w:rsidRPr="00D6702E" w:rsidTr="00841B30">
        <w:trPr>
          <w:trHeight w:hRule="exact" w:val="340"/>
        </w:trPr>
        <w:tc>
          <w:tcPr>
            <w:tcW w:w="1020" w:type="dxa"/>
            <w:tcBorders>
              <w:top w:val="nil"/>
              <w:left w:val="nil"/>
              <w:bottom w:val="nil"/>
              <w:right w:val="nil"/>
            </w:tcBorders>
            <w:shd w:val="clear" w:color="auto" w:fill="auto"/>
            <w:vAlign w:val="center"/>
            <w:hideMark/>
          </w:tcPr>
          <w:p w:rsidR="00D6702E" w:rsidRPr="00C54A19" w:rsidRDefault="00D6702E" w:rsidP="00D6702E">
            <w:pPr>
              <w:spacing w:after="0" w:line="240" w:lineRule="auto"/>
              <w:rPr>
                <w:rFonts w:ascii="Calibri" w:eastAsia="Times New Roman" w:hAnsi="Calibri" w:cs="Calibri"/>
                <w:i/>
                <w:iCs/>
                <w:color w:val="000000"/>
                <w:sz w:val="20"/>
                <w:szCs w:val="20"/>
                <w:lang w:eastAsia="en-AU"/>
              </w:rPr>
            </w:pPr>
          </w:p>
        </w:tc>
        <w:tc>
          <w:tcPr>
            <w:tcW w:w="1940" w:type="dxa"/>
            <w:tcBorders>
              <w:top w:val="nil"/>
              <w:left w:val="nil"/>
              <w:bottom w:val="nil"/>
              <w:right w:val="nil"/>
            </w:tcBorders>
            <w:shd w:val="clear" w:color="auto" w:fill="auto"/>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0.470</w:t>
            </w:r>
          </w:p>
        </w:tc>
        <w:tc>
          <w:tcPr>
            <w:tcW w:w="1940" w:type="dxa"/>
            <w:tcBorders>
              <w:top w:val="nil"/>
              <w:left w:val="nil"/>
              <w:bottom w:val="nil"/>
              <w:right w:val="nil"/>
            </w:tcBorders>
            <w:shd w:val="clear" w:color="auto" w:fill="auto"/>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0.409</w:t>
            </w:r>
          </w:p>
        </w:tc>
        <w:tc>
          <w:tcPr>
            <w:tcW w:w="1636" w:type="dxa"/>
            <w:tcBorders>
              <w:top w:val="nil"/>
              <w:left w:val="nil"/>
              <w:bottom w:val="nil"/>
              <w:right w:val="nil"/>
            </w:tcBorders>
            <w:shd w:val="clear" w:color="auto" w:fill="auto"/>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0.437</w:t>
            </w:r>
          </w:p>
        </w:tc>
        <w:tc>
          <w:tcPr>
            <w:tcW w:w="2268" w:type="dxa"/>
            <w:tcBorders>
              <w:top w:val="nil"/>
              <w:left w:val="nil"/>
              <w:bottom w:val="nil"/>
              <w:right w:val="nil"/>
            </w:tcBorders>
            <w:shd w:val="clear" w:color="auto" w:fill="auto"/>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0.470</w:t>
            </w:r>
          </w:p>
        </w:tc>
      </w:tr>
      <w:tr w:rsidR="00D6702E" w:rsidRPr="00D6702E" w:rsidTr="00841B30">
        <w:trPr>
          <w:trHeight w:hRule="exact" w:val="340"/>
        </w:trPr>
        <w:tc>
          <w:tcPr>
            <w:tcW w:w="1020" w:type="dxa"/>
            <w:tcBorders>
              <w:top w:val="nil"/>
              <w:left w:val="nil"/>
              <w:bottom w:val="nil"/>
              <w:right w:val="nil"/>
            </w:tcBorders>
            <w:shd w:val="clear" w:color="000000" w:fill="F2F2F2"/>
            <w:noWrap/>
            <w:vAlign w:val="center"/>
            <w:hideMark/>
          </w:tcPr>
          <w:p w:rsidR="00D6702E" w:rsidRPr="00C54A19" w:rsidRDefault="00D6702E" w:rsidP="00D6702E">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d</w:t>
            </w:r>
            <w:r w:rsidRPr="00C54A19">
              <w:rPr>
                <w:rFonts w:ascii="Calibri" w:eastAsia="Times New Roman" w:hAnsi="Calibri" w:cs="Calibri"/>
                <w:i/>
                <w:iCs/>
                <w:color w:val="000000"/>
                <w:sz w:val="20"/>
                <w:szCs w:val="20"/>
                <w:vertAlign w:val="subscript"/>
                <w:lang w:eastAsia="en-AU"/>
              </w:rPr>
              <w:t>i</w:t>
            </w:r>
            <w:r w:rsidRPr="00C54A19">
              <w:rPr>
                <w:rFonts w:ascii="Calibri" w:eastAsia="Times New Roman" w:hAnsi="Calibri" w:cs="Calibri"/>
                <w:color w:val="000000"/>
                <w:sz w:val="20"/>
                <w:szCs w:val="20"/>
                <w:lang w:eastAsia="en-AU"/>
              </w:rPr>
              <w:t>r</w:t>
            </w:r>
            <w:r w:rsidRPr="00C54A19">
              <w:rPr>
                <w:rFonts w:ascii="Calibri" w:eastAsia="Times New Roman" w:hAnsi="Calibri" w:cs="Calibri"/>
                <w:i/>
                <w:iCs/>
                <w:color w:val="000000"/>
                <w:sz w:val="20"/>
                <w:szCs w:val="20"/>
                <w:vertAlign w:val="subscript"/>
                <w:lang w:eastAsia="en-AU"/>
              </w:rPr>
              <w:t>i</w:t>
            </w:r>
          </w:p>
        </w:tc>
        <w:tc>
          <w:tcPr>
            <w:tcW w:w="1940" w:type="dxa"/>
            <w:tcBorders>
              <w:top w:val="nil"/>
              <w:left w:val="nil"/>
              <w:bottom w:val="nil"/>
              <w:right w:val="nil"/>
            </w:tcBorders>
            <w:shd w:val="clear" w:color="000000" w:fill="F2F2F2"/>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p>
        </w:tc>
        <w:tc>
          <w:tcPr>
            <w:tcW w:w="1940" w:type="dxa"/>
            <w:tcBorders>
              <w:top w:val="nil"/>
              <w:left w:val="nil"/>
              <w:bottom w:val="nil"/>
              <w:right w:val="nil"/>
            </w:tcBorders>
            <w:shd w:val="clear" w:color="000000" w:fill="F2F2F2"/>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2.431</w:t>
            </w:r>
          </w:p>
        </w:tc>
        <w:tc>
          <w:tcPr>
            <w:tcW w:w="1636" w:type="dxa"/>
            <w:tcBorders>
              <w:top w:val="nil"/>
              <w:left w:val="nil"/>
              <w:bottom w:val="nil"/>
              <w:right w:val="nil"/>
            </w:tcBorders>
            <w:shd w:val="clear" w:color="000000" w:fill="F2F2F2"/>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p>
        </w:tc>
        <w:tc>
          <w:tcPr>
            <w:tcW w:w="2268" w:type="dxa"/>
            <w:tcBorders>
              <w:top w:val="nil"/>
              <w:left w:val="nil"/>
              <w:bottom w:val="nil"/>
              <w:right w:val="nil"/>
            </w:tcBorders>
            <w:shd w:val="clear" w:color="000000" w:fill="F2F2F2"/>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15.614</w:t>
            </w:r>
          </w:p>
        </w:tc>
      </w:tr>
      <w:tr w:rsidR="00D6702E" w:rsidRPr="00D6702E" w:rsidTr="00841B30">
        <w:trPr>
          <w:trHeight w:hRule="exact" w:val="340"/>
        </w:trPr>
        <w:tc>
          <w:tcPr>
            <w:tcW w:w="1020" w:type="dxa"/>
            <w:tcBorders>
              <w:top w:val="nil"/>
              <w:left w:val="nil"/>
              <w:bottom w:val="nil"/>
              <w:right w:val="nil"/>
            </w:tcBorders>
            <w:shd w:val="clear" w:color="000000" w:fill="F2F2F2"/>
            <w:vAlign w:val="center"/>
            <w:hideMark/>
          </w:tcPr>
          <w:p w:rsidR="00D6702E" w:rsidRPr="00C54A19" w:rsidRDefault="00D6702E" w:rsidP="00D6702E">
            <w:pPr>
              <w:spacing w:after="0" w:line="240" w:lineRule="auto"/>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940" w:type="dxa"/>
            <w:tcBorders>
              <w:top w:val="nil"/>
              <w:left w:val="nil"/>
              <w:bottom w:val="nil"/>
              <w:right w:val="nil"/>
            </w:tcBorders>
            <w:shd w:val="clear" w:color="000000" w:fill="F2F2F2"/>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940" w:type="dxa"/>
            <w:tcBorders>
              <w:top w:val="nil"/>
              <w:left w:val="nil"/>
              <w:bottom w:val="nil"/>
              <w:right w:val="nil"/>
            </w:tcBorders>
            <w:shd w:val="clear" w:color="000000" w:fill="F2F2F2"/>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0.617</w:t>
            </w:r>
          </w:p>
        </w:tc>
        <w:tc>
          <w:tcPr>
            <w:tcW w:w="1636" w:type="dxa"/>
            <w:tcBorders>
              <w:top w:val="nil"/>
              <w:left w:val="nil"/>
              <w:bottom w:val="nil"/>
              <w:right w:val="nil"/>
            </w:tcBorders>
            <w:shd w:val="clear" w:color="000000" w:fill="F2F2F2"/>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2268" w:type="dxa"/>
            <w:tcBorders>
              <w:top w:val="nil"/>
              <w:left w:val="nil"/>
              <w:bottom w:val="nil"/>
              <w:right w:val="nil"/>
            </w:tcBorders>
            <w:shd w:val="clear" w:color="000000" w:fill="F2F2F2"/>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0.419</w:t>
            </w:r>
          </w:p>
        </w:tc>
      </w:tr>
      <w:tr w:rsidR="00D6702E" w:rsidRPr="00D6702E" w:rsidTr="00841B30">
        <w:trPr>
          <w:trHeight w:hRule="exact" w:val="340"/>
        </w:trPr>
        <w:tc>
          <w:tcPr>
            <w:tcW w:w="1020" w:type="dxa"/>
            <w:tcBorders>
              <w:top w:val="nil"/>
              <w:left w:val="nil"/>
              <w:bottom w:val="nil"/>
              <w:right w:val="nil"/>
            </w:tcBorders>
            <w:shd w:val="clear" w:color="000000" w:fill="FFFFFF"/>
            <w:noWrap/>
            <w:vAlign w:val="center"/>
            <w:hideMark/>
          </w:tcPr>
          <w:p w:rsidR="00D6702E" w:rsidRPr="00C54A19" w:rsidRDefault="00D6702E" w:rsidP="00D6702E">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r</w:t>
            </w:r>
            <w:r w:rsidRPr="00C54A19">
              <w:rPr>
                <w:rFonts w:ascii="Calibri" w:eastAsia="Times New Roman" w:hAnsi="Calibri" w:cs="Calibri"/>
                <w:i/>
                <w:iCs/>
                <w:color w:val="000000"/>
                <w:sz w:val="20"/>
                <w:szCs w:val="20"/>
                <w:vertAlign w:val="subscript"/>
                <w:lang w:eastAsia="en-AU"/>
              </w:rPr>
              <w:t>i</w:t>
            </w:r>
            <w:r w:rsidRPr="00C54A19">
              <w:rPr>
                <w:rFonts w:ascii="Calibri" w:eastAsia="Times New Roman" w:hAnsi="Calibri" w:cs="Calibri"/>
                <w:color w:val="000000"/>
                <w:sz w:val="20"/>
                <w:szCs w:val="20"/>
                <w:vertAlign w:val="superscript"/>
                <w:lang w:eastAsia="en-AU"/>
              </w:rPr>
              <w:t>2</w:t>
            </w:r>
          </w:p>
        </w:tc>
        <w:tc>
          <w:tcPr>
            <w:tcW w:w="1940" w:type="dxa"/>
            <w:tcBorders>
              <w:top w:val="nil"/>
              <w:left w:val="nil"/>
              <w:bottom w:val="nil"/>
              <w:right w:val="nil"/>
            </w:tcBorders>
            <w:shd w:val="clear" w:color="000000" w:fill="FFFFFF"/>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p>
        </w:tc>
        <w:tc>
          <w:tcPr>
            <w:tcW w:w="1940" w:type="dxa"/>
            <w:tcBorders>
              <w:top w:val="nil"/>
              <w:left w:val="nil"/>
              <w:bottom w:val="nil"/>
              <w:right w:val="nil"/>
            </w:tcBorders>
            <w:shd w:val="clear" w:color="000000" w:fill="FFFFFF"/>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p>
        </w:tc>
        <w:tc>
          <w:tcPr>
            <w:tcW w:w="1636" w:type="dxa"/>
            <w:tcBorders>
              <w:top w:val="nil"/>
              <w:left w:val="nil"/>
              <w:bottom w:val="nil"/>
              <w:right w:val="nil"/>
            </w:tcBorders>
            <w:shd w:val="clear" w:color="000000" w:fill="FFFFFF"/>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0.144</w:t>
            </w:r>
          </w:p>
        </w:tc>
        <w:tc>
          <w:tcPr>
            <w:tcW w:w="2268" w:type="dxa"/>
            <w:tcBorders>
              <w:top w:val="nil"/>
              <w:left w:val="nil"/>
              <w:bottom w:val="nil"/>
              <w:right w:val="nil"/>
            </w:tcBorders>
            <w:shd w:val="clear" w:color="000000" w:fill="FFFFFF"/>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-0.420</w:t>
            </w:r>
          </w:p>
        </w:tc>
      </w:tr>
      <w:tr w:rsidR="00D6702E" w:rsidRPr="00D6702E" w:rsidTr="00841B30">
        <w:trPr>
          <w:trHeight w:hRule="exact" w:val="340"/>
        </w:trPr>
        <w:tc>
          <w:tcPr>
            <w:tcW w:w="1020" w:type="dxa"/>
            <w:tcBorders>
              <w:top w:val="nil"/>
              <w:left w:val="nil"/>
              <w:bottom w:val="nil"/>
              <w:right w:val="nil"/>
            </w:tcBorders>
            <w:shd w:val="clear" w:color="000000" w:fill="FFFFFF"/>
            <w:vAlign w:val="center"/>
            <w:hideMark/>
          </w:tcPr>
          <w:p w:rsidR="00D6702E" w:rsidRPr="00C54A19" w:rsidRDefault="00D6702E" w:rsidP="00D6702E">
            <w:pPr>
              <w:spacing w:after="0" w:line="240" w:lineRule="auto"/>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940" w:type="dxa"/>
            <w:tcBorders>
              <w:top w:val="nil"/>
              <w:left w:val="nil"/>
              <w:bottom w:val="nil"/>
              <w:right w:val="nil"/>
            </w:tcBorders>
            <w:shd w:val="clear" w:color="000000" w:fill="FFFFFF"/>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940" w:type="dxa"/>
            <w:tcBorders>
              <w:top w:val="nil"/>
              <w:left w:val="nil"/>
              <w:bottom w:val="nil"/>
              <w:right w:val="nil"/>
            </w:tcBorders>
            <w:shd w:val="clear" w:color="000000" w:fill="FFFFFF"/>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636" w:type="dxa"/>
            <w:tcBorders>
              <w:top w:val="nil"/>
              <w:left w:val="nil"/>
              <w:bottom w:val="nil"/>
              <w:right w:val="nil"/>
            </w:tcBorders>
            <w:shd w:val="clear" w:color="000000" w:fill="FFFFFF"/>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0.754</w:t>
            </w:r>
          </w:p>
        </w:tc>
        <w:tc>
          <w:tcPr>
            <w:tcW w:w="2268" w:type="dxa"/>
            <w:tcBorders>
              <w:top w:val="nil"/>
              <w:left w:val="nil"/>
              <w:bottom w:val="nil"/>
              <w:right w:val="nil"/>
            </w:tcBorders>
            <w:shd w:val="clear" w:color="000000" w:fill="FFFFFF"/>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0.784</w:t>
            </w:r>
          </w:p>
        </w:tc>
      </w:tr>
      <w:tr w:rsidR="00D6702E" w:rsidRPr="00D6702E" w:rsidTr="00841B30">
        <w:trPr>
          <w:trHeight w:hRule="exact" w:val="340"/>
        </w:trPr>
        <w:tc>
          <w:tcPr>
            <w:tcW w:w="1020" w:type="dxa"/>
            <w:tcBorders>
              <w:top w:val="nil"/>
              <w:left w:val="nil"/>
              <w:bottom w:val="nil"/>
              <w:right w:val="nil"/>
            </w:tcBorders>
            <w:shd w:val="clear" w:color="000000" w:fill="F2F2F2"/>
            <w:noWrap/>
            <w:vAlign w:val="center"/>
            <w:hideMark/>
          </w:tcPr>
          <w:p w:rsidR="00D6702E" w:rsidRPr="00C54A19" w:rsidRDefault="00D6702E" w:rsidP="00D6702E">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d</w:t>
            </w:r>
            <w:r w:rsidRPr="00C54A19">
              <w:rPr>
                <w:rFonts w:ascii="Calibri" w:eastAsia="Times New Roman" w:hAnsi="Calibri" w:cs="Calibri"/>
                <w:i/>
                <w:iCs/>
                <w:color w:val="000000"/>
                <w:sz w:val="20"/>
                <w:szCs w:val="20"/>
                <w:vertAlign w:val="subscript"/>
                <w:lang w:eastAsia="en-AU"/>
              </w:rPr>
              <w:t>i</w:t>
            </w:r>
            <w:r w:rsidRPr="00C54A19">
              <w:rPr>
                <w:rFonts w:ascii="Calibri" w:eastAsia="Times New Roman" w:hAnsi="Calibri" w:cs="Calibri"/>
                <w:color w:val="000000"/>
                <w:sz w:val="20"/>
                <w:szCs w:val="20"/>
                <w:lang w:eastAsia="en-AU"/>
              </w:rPr>
              <w:t>r</w:t>
            </w:r>
            <w:r w:rsidRPr="00C54A19">
              <w:rPr>
                <w:rFonts w:ascii="Calibri" w:eastAsia="Times New Roman" w:hAnsi="Calibri" w:cs="Calibri"/>
                <w:i/>
                <w:iCs/>
                <w:color w:val="000000"/>
                <w:sz w:val="20"/>
                <w:szCs w:val="20"/>
                <w:vertAlign w:val="subscript"/>
                <w:lang w:eastAsia="en-AU"/>
              </w:rPr>
              <w:t>i</w:t>
            </w:r>
            <w:r w:rsidRPr="00C54A19">
              <w:rPr>
                <w:rFonts w:ascii="Calibri" w:eastAsia="Times New Roman" w:hAnsi="Calibri" w:cs="Calibri"/>
                <w:color w:val="000000"/>
                <w:sz w:val="20"/>
                <w:szCs w:val="20"/>
                <w:vertAlign w:val="superscript"/>
                <w:lang w:eastAsia="en-AU"/>
              </w:rPr>
              <w:t>2</w:t>
            </w:r>
          </w:p>
        </w:tc>
        <w:tc>
          <w:tcPr>
            <w:tcW w:w="1940" w:type="dxa"/>
            <w:tcBorders>
              <w:top w:val="nil"/>
              <w:left w:val="nil"/>
              <w:bottom w:val="nil"/>
              <w:right w:val="nil"/>
            </w:tcBorders>
            <w:shd w:val="clear" w:color="000000" w:fill="F2F2F2"/>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p>
        </w:tc>
        <w:tc>
          <w:tcPr>
            <w:tcW w:w="1940" w:type="dxa"/>
            <w:tcBorders>
              <w:top w:val="nil"/>
              <w:left w:val="nil"/>
              <w:bottom w:val="nil"/>
              <w:right w:val="nil"/>
            </w:tcBorders>
            <w:shd w:val="clear" w:color="000000" w:fill="F2F2F2"/>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p>
        </w:tc>
        <w:tc>
          <w:tcPr>
            <w:tcW w:w="1636" w:type="dxa"/>
            <w:tcBorders>
              <w:top w:val="nil"/>
              <w:left w:val="nil"/>
              <w:bottom w:val="nil"/>
              <w:right w:val="nil"/>
            </w:tcBorders>
            <w:shd w:val="clear" w:color="000000" w:fill="F2F2F2"/>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p>
        </w:tc>
        <w:tc>
          <w:tcPr>
            <w:tcW w:w="2268" w:type="dxa"/>
            <w:tcBorders>
              <w:top w:val="nil"/>
              <w:left w:val="nil"/>
              <w:bottom w:val="nil"/>
              <w:right w:val="nil"/>
            </w:tcBorders>
            <w:shd w:val="clear" w:color="000000" w:fill="F2F2F2"/>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-2.395</w:t>
            </w:r>
          </w:p>
        </w:tc>
      </w:tr>
      <w:tr w:rsidR="00D6702E" w:rsidRPr="00D6702E" w:rsidTr="00841B30">
        <w:trPr>
          <w:trHeight w:hRule="exact" w:val="340"/>
        </w:trPr>
        <w:tc>
          <w:tcPr>
            <w:tcW w:w="1020" w:type="dxa"/>
            <w:tcBorders>
              <w:top w:val="nil"/>
              <w:left w:val="nil"/>
              <w:bottom w:val="nil"/>
              <w:right w:val="nil"/>
            </w:tcBorders>
            <w:shd w:val="clear" w:color="000000" w:fill="F2F2F2"/>
            <w:noWrap/>
            <w:vAlign w:val="center"/>
            <w:hideMark/>
          </w:tcPr>
          <w:p w:rsidR="00D6702E" w:rsidRPr="00C54A19" w:rsidRDefault="00D6702E" w:rsidP="00D6702E">
            <w:pPr>
              <w:spacing w:after="0" w:line="240" w:lineRule="auto"/>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940" w:type="dxa"/>
            <w:tcBorders>
              <w:top w:val="nil"/>
              <w:left w:val="nil"/>
              <w:bottom w:val="nil"/>
              <w:right w:val="nil"/>
            </w:tcBorders>
            <w:shd w:val="clear" w:color="000000" w:fill="F2F2F2"/>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940" w:type="dxa"/>
            <w:tcBorders>
              <w:top w:val="nil"/>
              <w:left w:val="nil"/>
              <w:bottom w:val="nil"/>
              <w:right w:val="nil"/>
            </w:tcBorders>
            <w:shd w:val="clear" w:color="000000" w:fill="F2F2F2"/>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636" w:type="dxa"/>
            <w:tcBorders>
              <w:top w:val="nil"/>
              <w:left w:val="nil"/>
              <w:bottom w:val="nil"/>
              <w:right w:val="nil"/>
            </w:tcBorders>
            <w:shd w:val="clear" w:color="000000" w:fill="F2F2F2"/>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2268" w:type="dxa"/>
            <w:tcBorders>
              <w:top w:val="nil"/>
              <w:left w:val="nil"/>
              <w:bottom w:val="nil"/>
              <w:right w:val="nil"/>
            </w:tcBorders>
            <w:shd w:val="clear" w:color="000000" w:fill="F2F2F2"/>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0.597</w:t>
            </w:r>
          </w:p>
        </w:tc>
      </w:tr>
      <w:tr w:rsidR="00D6702E" w:rsidRPr="00D6702E" w:rsidTr="00841B30">
        <w:trPr>
          <w:trHeight w:hRule="exact" w:val="340"/>
        </w:trPr>
        <w:tc>
          <w:tcPr>
            <w:tcW w:w="1020" w:type="dxa"/>
            <w:tcBorders>
              <w:top w:val="nil"/>
              <w:left w:val="nil"/>
              <w:bottom w:val="nil"/>
              <w:right w:val="nil"/>
            </w:tcBorders>
            <w:shd w:val="clear" w:color="000000" w:fill="8EAEDE"/>
            <w:vAlign w:val="center"/>
            <w:hideMark/>
          </w:tcPr>
          <w:p w:rsidR="00D6702E" w:rsidRPr="00C54A19" w:rsidRDefault="00D6702E" w:rsidP="00D6702E">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AICc</w:t>
            </w:r>
          </w:p>
        </w:tc>
        <w:tc>
          <w:tcPr>
            <w:tcW w:w="1940" w:type="dxa"/>
            <w:tcBorders>
              <w:top w:val="nil"/>
              <w:left w:val="nil"/>
              <w:bottom w:val="nil"/>
              <w:right w:val="nil"/>
            </w:tcBorders>
            <w:shd w:val="clear" w:color="000000" w:fill="8EAEDE"/>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b/>
                <w:color w:val="000000"/>
                <w:sz w:val="20"/>
                <w:szCs w:val="20"/>
                <w:lang w:eastAsia="en-AU"/>
              </w:rPr>
            </w:pPr>
            <w:r w:rsidRPr="00C54A19">
              <w:rPr>
                <w:rFonts w:ascii="Calibri" w:eastAsia="Times New Roman" w:hAnsi="Calibri" w:cs="Calibri"/>
                <w:b/>
                <w:color w:val="000000"/>
                <w:sz w:val="20"/>
                <w:szCs w:val="20"/>
                <w:lang w:eastAsia="en-AU"/>
              </w:rPr>
              <w:t>356.392</w:t>
            </w:r>
          </w:p>
        </w:tc>
        <w:tc>
          <w:tcPr>
            <w:tcW w:w="1940" w:type="dxa"/>
            <w:tcBorders>
              <w:top w:val="nil"/>
              <w:left w:val="nil"/>
              <w:bottom w:val="nil"/>
              <w:right w:val="nil"/>
            </w:tcBorders>
            <w:shd w:val="clear" w:color="000000" w:fill="8EAEDE"/>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358.732</w:t>
            </w:r>
          </w:p>
        </w:tc>
        <w:tc>
          <w:tcPr>
            <w:tcW w:w="1636" w:type="dxa"/>
            <w:tcBorders>
              <w:top w:val="nil"/>
              <w:left w:val="nil"/>
              <w:bottom w:val="nil"/>
              <w:right w:val="nil"/>
            </w:tcBorders>
            <w:shd w:val="clear" w:color="000000" w:fill="8EAEDE"/>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358.903</w:t>
            </w:r>
          </w:p>
        </w:tc>
        <w:tc>
          <w:tcPr>
            <w:tcW w:w="2268" w:type="dxa"/>
            <w:tcBorders>
              <w:top w:val="nil"/>
              <w:left w:val="nil"/>
              <w:bottom w:val="nil"/>
              <w:right w:val="nil"/>
            </w:tcBorders>
            <w:shd w:val="clear" w:color="000000" w:fill="8EAEDE"/>
            <w:noWrap/>
            <w:vAlign w:val="center"/>
            <w:hideMark/>
          </w:tcPr>
          <w:p w:rsidR="00D6702E" w:rsidRPr="00C54A19" w:rsidRDefault="00D6702E" w:rsidP="00907F90">
            <w:pPr>
              <w:tabs>
                <w:tab w:val="left" w:pos="1311"/>
              </w:tabs>
              <w:spacing w:after="0" w:line="240" w:lineRule="auto"/>
              <w:ind w:right="42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363.858</w:t>
            </w:r>
          </w:p>
        </w:tc>
      </w:tr>
    </w:tbl>
    <w:p w:rsidR="00D75340" w:rsidRDefault="00E532F6" w:rsidP="000615B6">
      <w:pPr>
        <w:pStyle w:val="Source"/>
        <w:sectPr w:rsidR="00D75340" w:rsidSect="0009256A">
          <w:pgSz w:w="11906" w:h="16838" w:code="9"/>
          <w:pgMar w:top="1440" w:right="1440" w:bottom="1440" w:left="1440" w:header="709" w:footer="709" w:gutter="0"/>
          <w:cols w:space="708"/>
          <w:docGrid w:linePitch="360"/>
        </w:sectPr>
      </w:pPr>
      <w:r w:rsidRPr="000615B6">
        <w:t>Source:</w:t>
      </w:r>
      <w:r w:rsidRPr="000615B6">
        <w:rPr>
          <w:b w:val="0"/>
        </w:rPr>
        <w:t xml:space="preserve"> Department of Employment administrative data and Research and Evaluation Database (RED)</w:t>
      </w:r>
      <w:r w:rsidRPr="00E532F6">
        <w:t>.</w:t>
      </w:r>
    </w:p>
    <w:p w:rsidR="00582E1B" w:rsidRPr="0006372F" w:rsidRDefault="00582E1B" w:rsidP="0006372F">
      <w:pPr>
        <w:pStyle w:val="TableCaption"/>
      </w:pPr>
      <w:bookmarkStart w:id="279" w:name="_Toc507600329"/>
      <w:r>
        <w:lastRenderedPageBreak/>
        <w:t xml:space="preserve">Table </w:t>
      </w:r>
      <w:r w:rsidR="00603A49">
        <w:t>F</w:t>
      </w:r>
      <w:r>
        <w:t>.</w:t>
      </w:r>
      <w:r w:rsidR="00E76396">
        <w:t>13</w:t>
      </w:r>
      <w:r w:rsidRPr="00D83A7E">
        <w:t xml:space="preserve">: </w:t>
      </w:r>
      <w:r>
        <w:t xml:space="preserve">Difference in difference </w:t>
      </w:r>
      <w:r w:rsidR="00A72314">
        <w:t xml:space="preserve">regression </w:t>
      </w:r>
      <w:r>
        <w:t xml:space="preserve">analysis </w:t>
      </w:r>
      <w:r w:rsidR="00A72314">
        <w:t>of</w:t>
      </w:r>
      <w:r>
        <w:t xml:space="preserve"> probability of obtaining a job placement within 180 days of becoming LTU</w:t>
      </w:r>
      <w:r w:rsidR="00E85955">
        <w:t>, h</w:t>
      </w:r>
      <w:r>
        <w:t>igh</w:t>
      </w:r>
      <w:r w:rsidRPr="00EF5549">
        <w:t xml:space="preserve">er </w:t>
      </w:r>
      <w:r>
        <w:t>end of the JCB age</w:t>
      </w:r>
      <w:r w:rsidRPr="007C05BC">
        <w:t xml:space="preserve"> range</w:t>
      </w:r>
      <w:bookmarkEnd w:id="279"/>
    </w:p>
    <w:tbl>
      <w:tblPr>
        <w:tblW w:w="14049" w:type="dxa"/>
        <w:tblInd w:w="93" w:type="dxa"/>
        <w:tblLook w:val="04A0" w:firstRow="1" w:lastRow="0" w:firstColumn="1" w:lastColumn="0" w:noHBand="0" w:noVBand="1"/>
      </w:tblPr>
      <w:tblGrid>
        <w:gridCol w:w="5969"/>
        <w:gridCol w:w="5245"/>
        <w:gridCol w:w="1417"/>
        <w:gridCol w:w="1418"/>
      </w:tblGrid>
      <w:tr w:rsidR="00582E1B" w:rsidRPr="00C54A19" w:rsidTr="003405ED">
        <w:trPr>
          <w:trHeight w:val="578"/>
          <w:tblHeader/>
        </w:trPr>
        <w:tc>
          <w:tcPr>
            <w:tcW w:w="5969" w:type="dxa"/>
            <w:shd w:val="clear" w:color="000000" w:fill="1E3D6B"/>
            <w:noWrap/>
            <w:vAlign w:val="center"/>
            <w:hideMark/>
          </w:tcPr>
          <w:p w:rsidR="00582E1B" w:rsidRPr="00C54A19" w:rsidRDefault="003F5B67" w:rsidP="003F5B67">
            <w:pPr>
              <w:spacing w:after="0" w:line="240" w:lineRule="auto"/>
              <w:rPr>
                <w:rFonts w:ascii="Calibri" w:eastAsia="Times New Roman" w:hAnsi="Calibri" w:cs="Calibri"/>
                <w:b/>
                <w:bCs/>
                <w:color w:val="FFFFFF"/>
                <w:sz w:val="20"/>
                <w:szCs w:val="20"/>
                <w:lang w:eastAsia="en-AU"/>
              </w:rPr>
            </w:pPr>
            <w:bookmarkStart w:id="280" w:name="Title_F12"/>
            <w:bookmarkEnd w:id="280"/>
            <w:r w:rsidRPr="00C54A19">
              <w:rPr>
                <w:rFonts w:ascii="Calibri" w:eastAsia="Times New Roman" w:hAnsi="Calibri" w:cs="Calibri"/>
                <w:b/>
                <w:bCs/>
                <w:color w:val="FFFFFF"/>
                <w:sz w:val="20"/>
                <w:szCs w:val="20"/>
                <w:lang w:eastAsia="en-AU"/>
              </w:rPr>
              <w:t>Demographic c</w:t>
            </w:r>
            <w:r w:rsidR="003B33C3" w:rsidRPr="00C54A19">
              <w:rPr>
                <w:rFonts w:ascii="Calibri" w:eastAsia="Times New Roman" w:hAnsi="Calibri" w:cs="Calibri"/>
                <w:b/>
                <w:bCs/>
                <w:color w:val="FFFFFF"/>
                <w:sz w:val="20"/>
                <w:szCs w:val="20"/>
                <w:lang w:eastAsia="en-AU"/>
              </w:rPr>
              <w:t>haracteristic</w:t>
            </w:r>
          </w:p>
        </w:tc>
        <w:tc>
          <w:tcPr>
            <w:tcW w:w="5245" w:type="dxa"/>
            <w:shd w:val="clear" w:color="000000" w:fill="1E3D6B"/>
            <w:noWrap/>
            <w:vAlign w:val="center"/>
            <w:hideMark/>
          </w:tcPr>
          <w:p w:rsidR="00582E1B" w:rsidRPr="00C54A19" w:rsidRDefault="003B33C3" w:rsidP="003F5B67">
            <w:pPr>
              <w:spacing w:after="0" w:line="240" w:lineRule="auto"/>
              <w:rPr>
                <w:rFonts w:ascii="Calibri" w:eastAsia="Times New Roman" w:hAnsi="Calibri" w:cs="Calibri"/>
                <w:b/>
                <w:bCs/>
                <w:color w:val="FFFFFF"/>
                <w:sz w:val="20"/>
                <w:szCs w:val="20"/>
                <w:lang w:eastAsia="en-AU"/>
              </w:rPr>
            </w:pPr>
            <w:r w:rsidRPr="00C54A19">
              <w:rPr>
                <w:rFonts w:ascii="Calibri" w:eastAsia="Times New Roman" w:hAnsi="Calibri" w:cs="Calibri"/>
                <w:b/>
                <w:bCs/>
                <w:color w:val="FFFFFF"/>
                <w:sz w:val="20"/>
                <w:szCs w:val="20"/>
                <w:lang w:eastAsia="en-AU"/>
              </w:rPr>
              <w:t>C</w:t>
            </w:r>
            <w:r w:rsidR="003F5B67" w:rsidRPr="00C54A19">
              <w:rPr>
                <w:rFonts w:ascii="Calibri" w:eastAsia="Times New Roman" w:hAnsi="Calibri" w:cs="Calibri"/>
                <w:b/>
                <w:bCs/>
                <w:color w:val="FFFFFF"/>
                <w:sz w:val="20"/>
                <w:szCs w:val="20"/>
                <w:lang w:eastAsia="en-AU"/>
              </w:rPr>
              <w:t>ompared with</w:t>
            </w:r>
          </w:p>
        </w:tc>
        <w:tc>
          <w:tcPr>
            <w:tcW w:w="1417" w:type="dxa"/>
            <w:shd w:val="clear" w:color="000000" w:fill="1E3D6B"/>
            <w:noWrap/>
            <w:vAlign w:val="center"/>
            <w:hideMark/>
          </w:tcPr>
          <w:p w:rsidR="00582E1B" w:rsidRPr="00C54A19" w:rsidRDefault="006E1C2B" w:rsidP="009D2BAC">
            <w:pPr>
              <w:spacing w:after="0" w:line="240" w:lineRule="auto"/>
              <w:ind w:left="317"/>
              <w:rPr>
                <w:rFonts w:ascii="Calibri" w:eastAsia="Times New Roman" w:hAnsi="Calibri" w:cs="Calibri"/>
                <w:b/>
                <w:bCs/>
                <w:color w:val="FFFFFF"/>
                <w:sz w:val="20"/>
                <w:szCs w:val="20"/>
                <w:lang w:eastAsia="en-AU"/>
              </w:rPr>
            </w:pPr>
            <w:r w:rsidRPr="00C54A19">
              <w:rPr>
                <w:rFonts w:ascii="Calibri" w:eastAsia="Times New Roman" w:hAnsi="Calibri" w:cs="Calibri"/>
                <w:b/>
                <w:bCs/>
                <w:color w:val="FFFFFF"/>
                <w:sz w:val="20"/>
                <w:szCs w:val="20"/>
                <w:lang w:eastAsia="en-AU"/>
              </w:rPr>
              <w:t>MEM</w:t>
            </w:r>
            <w:r w:rsidRPr="00C54A19">
              <w:rPr>
                <w:rFonts w:ascii="Calibri" w:eastAsia="Times New Roman" w:hAnsi="Calibri" w:cs="Calibri"/>
                <w:b/>
                <w:bCs/>
                <w:color w:val="FFFFFF"/>
                <w:sz w:val="20"/>
                <w:szCs w:val="20"/>
                <w:lang w:eastAsia="en-AU"/>
              </w:rPr>
              <w:br/>
              <w:t>(ppt)</w:t>
            </w:r>
          </w:p>
        </w:tc>
        <w:tc>
          <w:tcPr>
            <w:tcW w:w="1418" w:type="dxa"/>
            <w:shd w:val="clear" w:color="000000" w:fill="1E3D6B"/>
            <w:vAlign w:val="center"/>
            <w:hideMark/>
          </w:tcPr>
          <w:p w:rsidR="00582E1B" w:rsidRPr="00C54A19" w:rsidRDefault="00582E1B" w:rsidP="009D2BAC">
            <w:pPr>
              <w:spacing w:after="0" w:line="240" w:lineRule="auto"/>
              <w:rPr>
                <w:rFonts w:ascii="Calibri" w:eastAsia="Times New Roman" w:hAnsi="Calibri" w:cs="Calibri"/>
                <w:b/>
                <w:bCs/>
                <w:color w:val="FFFFFF"/>
                <w:sz w:val="20"/>
                <w:szCs w:val="20"/>
                <w:lang w:eastAsia="en-AU"/>
              </w:rPr>
            </w:pPr>
            <w:r w:rsidRPr="00C54A19">
              <w:rPr>
                <w:rFonts w:ascii="Calibri" w:eastAsia="Times New Roman" w:hAnsi="Calibri" w:cs="Calibri"/>
                <w:b/>
                <w:bCs/>
                <w:color w:val="FFFFFF"/>
                <w:sz w:val="20"/>
                <w:szCs w:val="20"/>
                <w:lang w:eastAsia="en-AU"/>
              </w:rPr>
              <w:t xml:space="preserve">Statistical </w:t>
            </w:r>
            <w:r w:rsidRPr="00C54A19">
              <w:rPr>
                <w:rFonts w:ascii="Calibri" w:eastAsia="Times New Roman" w:hAnsi="Calibri" w:cs="Calibri"/>
                <w:b/>
                <w:bCs/>
                <w:color w:val="FFFFFF"/>
                <w:sz w:val="20"/>
                <w:szCs w:val="20"/>
                <w:lang w:eastAsia="en-AU"/>
              </w:rPr>
              <w:br/>
              <w:t>significance</w:t>
            </w:r>
          </w:p>
        </w:tc>
      </w:tr>
      <w:tr w:rsidR="003405ED" w:rsidRPr="00C54A19" w:rsidTr="003405ED">
        <w:trPr>
          <w:trHeight w:val="397"/>
        </w:trPr>
        <w:tc>
          <w:tcPr>
            <w:tcW w:w="5969" w:type="dxa"/>
            <w:shd w:val="clear" w:color="auto" w:fill="FFFFFF" w:themeFill="background2"/>
            <w:noWrap/>
            <w:vAlign w:val="center"/>
            <w:hideMark/>
          </w:tcPr>
          <w:p w:rsidR="003405ED" w:rsidRPr="00C54A19" w:rsidRDefault="00C962FC" w:rsidP="003405ED">
            <w:pPr>
              <w:spacing w:after="0" w:line="240" w:lineRule="auto"/>
              <w:rPr>
                <w:rFonts w:ascii="Calibri" w:eastAsia="Times New Roman" w:hAnsi="Calibri" w:cs="Calibri"/>
                <w:bCs/>
                <w:color w:val="000000" w:themeColor="text1"/>
                <w:sz w:val="20"/>
                <w:szCs w:val="20"/>
                <w:lang w:eastAsia="en-AU"/>
              </w:rPr>
            </w:pPr>
            <w:r>
              <w:rPr>
                <w:rFonts w:ascii="Calibri" w:eastAsia="Times New Roman" w:hAnsi="Calibri" w:cs="Calibri"/>
                <w:bCs/>
                <w:color w:val="000000" w:themeColor="text1"/>
                <w:sz w:val="20"/>
                <w:szCs w:val="20"/>
                <w:lang w:eastAsia="en-AU"/>
              </w:rPr>
              <w:t xml:space="preserve">After JCB introduction </w:t>
            </w:r>
            <w:r w:rsidR="003405ED" w:rsidRPr="00C54A19">
              <w:rPr>
                <w:rFonts w:ascii="Calibri" w:eastAsia="Times New Roman" w:hAnsi="Calibri" w:cs="Calibri"/>
                <w:bCs/>
                <w:color w:val="000000" w:themeColor="text1"/>
                <w:sz w:val="20"/>
                <w:szCs w:val="20"/>
                <w:lang w:eastAsia="en-AU"/>
              </w:rPr>
              <w:t>(Xi)</w:t>
            </w:r>
          </w:p>
        </w:tc>
        <w:tc>
          <w:tcPr>
            <w:tcW w:w="5245" w:type="dxa"/>
            <w:shd w:val="clear" w:color="auto" w:fill="FFFFFF" w:themeFill="background2"/>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Before JCB introduction</w:t>
            </w:r>
          </w:p>
        </w:tc>
        <w:tc>
          <w:tcPr>
            <w:tcW w:w="1417" w:type="dxa"/>
            <w:shd w:val="clear" w:color="auto" w:fill="FFFFFF" w:themeFill="background2"/>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0.7</w:t>
            </w:r>
          </w:p>
        </w:tc>
        <w:tc>
          <w:tcPr>
            <w:tcW w:w="1418" w:type="dxa"/>
            <w:shd w:val="clear" w:color="auto" w:fill="FFFFFF" w:themeFill="background2"/>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0.561</w:t>
            </w:r>
          </w:p>
        </w:tc>
      </w:tr>
      <w:tr w:rsidR="003405ED" w:rsidRPr="00C54A19" w:rsidTr="003405ED">
        <w:trPr>
          <w:trHeight w:val="397"/>
        </w:trPr>
        <w:tc>
          <w:tcPr>
            <w:tcW w:w="5969" w:type="dxa"/>
            <w:shd w:val="clear" w:color="auto" w:fill="E5E5E5" w:themeFill="background1" w:themeFillTint="33"/>
            <w:noWrap/>
            <w:vAlign w:val="center"/>
            <w:hideMark/>
          </w:tcPr>
          <w:p w:rsidR="003405ED" w:rsidRPr="00C54A19" w:rsidRDefault="003B33C3" w:rsidP="003B33C3">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31 to under 35 years</w:t>
            </w:r>
            <w:r w:rsidR="003405ED" w:rsidRPr="00C54A19">
              <w:rPr>
                <w:rFonts w:ascii="Calibri" w:eastAsia="Times New Roman" w:hAnsi="Calibri" w:cs="Calibri"/>
                <w:bCs/>
                <w:color w:val="000000" w:themeColor="text1"/>
                <w:sz w:val="20"/>
                <w:szCs w:val="20"/>
                <w:lang w:eastAsia="en-AU"/>
              </w:rPr>
              <w:t xml:space="preserve"> (Yi)</w:t>
            </w:r>
          </w:p>
        </w:tc>
        <w:tc>
          <w:tcPr>
            <w:tcW w:w="5245" w:type="dxa"/>
            <w:shd w:val="clear" w:color="auto" w:fill="E5E5E5" w:themeFill="background1" w:themeFillTint="33"/>
            <w:noWrap/>
            <w:vAlign w:val="center"/>
            <w:hideMark/>
          </w:tcPr>
          <w:p w:rsidR="003405ED" w:rsidRPr="00C54A19" w:rsidRDefault="003B33C3"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color w:val="000000"/>
                <w:sz w:val="20"/>
                <w:szCs w:val="20"/>
                <w:lang w:eastAsia="en-AU"/>
              </w:rPr>
              <w:t>25 to under 31 years (in JCB target)</w:t>
            </w:r>
          </w:p>
        </w:tc>
        <w:tc>
          <w:tcPr>
            <w:tcW w:w="1417" w:type="dxa"/>
            <w:shd w:val="clear" w:color="auto" w:fill="E5E5E5" w:themeFill="background1" w:themeFillTint="33"/>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0.1</w:t>
            </w:r>
          </w:p>
        </w:tc>
        <w:tc>
          <w:tcPr>
            <w:tcW w:w="1418" w:type="dxa"/>
            <w:shd w:val="clear" w:color="auto" w:fill="E5E5E5" w:themeFill="background1" w:themeFillTint="33"/>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0.920</w:t>
            </w:r>
          </w:p>
        </w:tc>
      </w:tr>
      <w:tr w:rsidR="003405ED" w:rsidRPr="00C54A19" w:rsidTr="003405ED">
        <w:trPr>
          <w:trHeight w:val="397"/>
        </w:trPr>
        <w:tc>
          <w:tcPr>
            <w:tcW w:w="5969" w:type="dxa"/>
            <w:shd w:val="clear" w:color="auto" w:fill="FFFFFF" w:themeFill="background2"/>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 xml:space="preserve">Interaction variable (Xi Yi) </w:t>
            </w:r>
          </w:p>
        </w:tc>
        <w:tc>
          <w:tcPr>
            <w:tcW w:w="5245" w:type="dxa"/>
            <w:shd w:val="clear" w:color="auto" w:fill="FFFFFF" w:themeFill="background2"/>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No interaction</w:t>
            </w:r>
          </w:p>
        </w:tc>
        <w:tc>
          <w:tcPr>
            <w:tcW w:w="1417" w:type="dxa"/>
            <w:shd w:val="clear" w:color="auto" w:fill="FFFFFF" w:themeFill="background2"/>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1.6</w:t>
            </w:r>
          </w:p>
        </w:tc>
        <w:tc>
          <w:tcPr>
            <w:tcW w:w="1418" w:type="dxa"/>
            <w:shd w:val="clear" w:color="auto" w:fill="FFFFFF" w:themeFill="background2"/>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0.447</w:t>
            </w:r>
          </w:p>
        </w:tc>
      </w:tr>
      <w:tr w:rsidR="003405ED" w:rsidRPr="00C54A19" w:rsidTr="003405ED">
        <w:trPr>
          <w:trHeight w:val="397"/>
        </w:trPr>
        <w:tc>
          <w:tcPr>
            <w:tcW w:w="5969" w:type="dxa"/>
            <w:shd w:val="clear" w:color="auto" w:fill="E5E5E5" w:themeFill="background1" w:themeFillTint="33"/>
            <w:noWrap/>
            <w:vAlign w:val="center"/>
            <w:hideMark/>
          </w:tcPr>
          <w:p w:rsidR="003405ED" w:rsidRPr="00C54A19" w:rsidRDefault="00BB27F4"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Female</w:t>
            </w:r>
            <w:r w:rsidR="003405ED" w:rsidRPr="00C54A19">
              <w:rPr>
                <w:rFonts w:ascii="Calibri" w:eastAsia="Times New Roman" w:hAnsi="Calibri" w:cs="Calibri"/>
                <w:bCs/>
                <w:color w:val="000000" w:themeColor="text1"/>
                <w:sz w:val="20"/>
                <w:szCs w:val="20"/>
                <w:lang w:eastAsia="en-AU"/>
              </w:rPr>
              <w:t xml:space="preserve"> </w:t>
            </w:r>
          </w:p>
        </w:tc>
        <w:tc>
          <w:tcPr>
            <w:tcW w:w="5245" w:type="dxa"/>
            <w:shd w:val="clear" w:color="auto" w:fill="E5E5E5" w:themeFill="background1" w:themeFillTint="33"/>
            <w:noWrap/>
            <w:vAlign w:val="center"/>
            <w:hideMark/>
          </w:tcPr>
          <w:p w:rsidR="003405ED" w:rsidRPr="00C54A19" w:rsidRDefault="00BB27F4"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Male</w:t>
            </w:r>
          </w:p>
        </w:tc>
        <w:tc>
          <w:tcPr>
            <w:tcW w:w="1417" w:type="dxa"/>
            <w:shd w:val="clear" w:color="auto" w:fill="E5E5E5" w:themeFill="background1" w:themeFillTint="33"/>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11.9</w:t>
            </w:r>
          </w:p>
        </w:tc>
        <w:tc>
          <w:tcPr>
            <w:tcW w:w="1418" w:type="dxa"/>
            <w:shd w:val="clear" w:color="auto" w:fill="E5E5E5" w:themeFill="background1" w:themeFillTint="33"/>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&lt;.0001</w:t>
            </w:r>
          </w:p>
        </w:tc>
      </w:tr>
      <w:tr w:rsidR="003405ED" w:rsidRPr="00C54A19" w:rsidTr="003405ED">
        <w:trPr>
          <w:trHeight w:val="397"/>
        </w:trPr>
        <w:tc>
          <w:tcPr>
            <w:tcW w:w="5969" w:type="dxa"/>
            <w:shd w:val="clear" w:color="auto" w:fill="FFFFFF" w:themeFill="background2"/>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 xml:space="preserve">Poor/Mixed English Proficiency </w:t>
            </w:r>
          </w:p>
        </w:tc>
        <w:tc>
          <w:tcPr>
            <w:tcW w:w="5245" w:type="dxa"/>
            <w:shd w:val="clear" w:color="auto" w:fill="FFFFFF" w:themeFill="background2"/>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Good English Proficiency</w:t>
            </w:r>
          </w:p>
        </w:tc>
        <w:tc>
          <w:tcPr>
            <w:tcW w:w="1417" w:type="dxa"/>
            <w:shd w:val="clear" w:color="auto" w:fill="FFFFFF" w:themeFill="background2"/>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-2.5</w:t>
            </w:r>
          </w:p>
        </w:tc>
        <w:tc>
          <w:tcPr>
            <w:tcW w:w="1418" w:type="dxa"/>
            <w:shd w:val="clear" w:color="auto" w:fill="FFFFFF" w:themeFill="background2"/>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0.105</w:t>
            </w:r>
          </w:p>
        </w:tc>
      </w:tr>
      <w:tr w:rsidR="003405ED" w:rsidRPr="00C54A19" w:rsidTr="003405ED">
        <w:trPr>
          <w:trHeight w:val="397"/>
        </w:trPr>
        <w:tc>
          <w:tcPr>
            <w:tcW w:w="5969" w:type="dxa"/>
            <w:shd w:val="clear" w:color="auto" w:fill="E5E5E5" w:themeFill="background1" w:themeFillTint="33"/>
            <w:noWrap/>
            <w:vAlign w:val="center"/>
            <w:hideMark/>
          </w:tcPr>
          <w:p w:rsidR="003405ED" w:rsidRPr="00C54A19" w:rsidRDefault="00C962FC" w:rsidP="00C962FC">
            <w:pPr>
              <w:spacing w:after="0" w:line="240" w:lineRule="auto"/>
              <w:rPr>
                <w:rFonts w:ascii="Calibri" w:eastAsia="Times New Roman" w:hAnsi="Calibri" w:cs="Calibri"/>
                <w:bCs/>
                <w:color w:val="000000" w:themeColor="text1"/>
                <w:sz w:val="20"/>
                <w:szCs w:val="20"/>
                <w:lang w:eastAsia="en-AU"/>
              </w:rPr>
            </w:pPr>
            <w:r>
              <w:rPr>
                <w:rFonts w:ascii="Calibri" w:eastAsia="Times New Roman" w:hAnsi="Calibri" w:cs="Calibri"/>
                <w:bCs/>
                <w:color w:val="000000" w:themeColor="text1"/>
                <w:sz w:val="20"/>
                <w:szCs w:val="20"/>
                <w:lang w:eastAsia="en-AU"/>
              </w:rPr>
              <w:t>With disability</w:t>
            </w:r>
          </w:p>
        </w:tc>
        <w:tc>
          <w:tcPr>
            <w:tcW w:w="5245" w:type="dxa"/>
            <w:shd w:val="clear" w:color="auto" w:fill="E5E5E5" w:themeFill="background1" w:themeFillTint="33"/>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No disability</w:t>
            </w:r>
          </w:p>
        </w:tc>
        <w:tc>
          <w:tcPr>
            <w:tcW w:w="1417" w:type="dxa"/>
            <w:shd w:val="clear" w:color="auto" w:fill="E5E5E5" w:themeFill="background1" w:themeFillTint="33"/>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3.5</w:t>
            </w:r>
          </w:p>
        </w:tc>
        <w:tc>
          <w:tcPr>
            <w:tcW w:w="1418" w:type="dxa"/>
            <w:shd w:val="clear" w:color="auto" w:fill="E5E5E5" w:themeFill="background1" w:themeFillTint="33"/>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0.001</w:t>
            </w:r>
          </w:p>
        </w:tc>
      </w:tr>
      <w:tr w:rsidR="003405ED" w:rsidRPr="00C54A19" w:rsidTr="003405ED">
        <w:trPr>
          <w:trHeight w:val="397"/>
        </w:trPr>
        <w:tc>
          <w:tcPr>
            <w:tcW w:w="5969" w:type="dxa"/>
            <w:shd w:val="clear" w:color="auto" w:fill="FFFFFF" w:themeFill="background2"/>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 xml:space="preserve">Unstable residence </w:t>
            </w:r>
          </w:p>
        </w:tc>
        <w:tc>
          <w:tcPr>
            <w:tcW w:w="5245" w:type="dxa"/>
            <w:shd w:val="clear" w:color="auto" w:fill="FFFFFF" w:themeFill="background2"/>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Stable residence</w:t>
            </w:r>
          </w:p>
        </w:tc>
        <w:tc>
          <w:tcPr>
            <w:tcW w:w="1417" w:type="dxa"/>
            <w:shd w:val="clear" w:color="auto" w:fill="FFFFFF" w:themeFill="background2"/>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-4.1</w:t>
            </w:r>
          </w:p>
        </w:tc>
        <w:tc>
          <w:tcPr>
            <w:tcW w:w="1418" w:type="dxa"/>
            <w:shd w:val="clear" w:color="auto" w:fill="FFFFFF" w:themeFill="background2"/>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0.000</w:t>
            </w:r>
          </w:p>
        </w:tc>
      </w:tr>
      <w:tr w:rsidR="003405ED" w:rsidRPr="00C54A19" w:rsidTr="003405ED">
        <w:trPr>
          <w:trHeight w:val="397"/>
        </w:trPr>
        <w:tc>
          <w:tcPr>
            <w:tcW w:w="5969" w:type="dxa"/>
            <w:shd w:val="clear" w:color="auto" w:fill="E5E5E5" w:themeFill="background1" w:themeFillTint="33"/>
            <w:noWrap/>
            <w:vAlign w:val="center"/>
            <w:hideMark/>
          </w:tcPr>
          <w:p w:rsidR="003405ED" w:rsidRPr="00C54A19" w:rsidRDefault="00C962FC" w:rsidP="003405ED">
            <w:pPr>
              <w:spacing w:after="0" w:line="240" w:lineRule="auto"/>
              <w:rPr>
                <w:rFonts w:ascii="Calibri" w:eastAsia="Times New Roman" w:hAnsi="Calibri" w:cs="Calibri"/>
                <w:bCs/>
                <w:color w:val="000000" w:themeColor="text1"/>
                <w:sz w:val="20"/>
                <w:szCs w:val="20"/>
                <w:lang w:eastAsia="en-AU"/>
              </w:rPr>
            </w:pPr>
            <w:r>
              <w:rPr>
                <w:rFonts w:ascii="Calibri" w:eastAsia="Times New Roman" w:hAnsi="Calibri" w:cs="Calibri"/>
                <w:bCs/>
                <w:color w:val="000000" w:themeColor="text1"/>
                <w:sz w:val="20"/>
                <w:szCs w:val="20"/>
                <w:lang w:eastAsia="en-AU"/>
              </w:rPr>
              <w:t>Indigenous</w:t>
            </w:r>
          </w:p>
        </w:tc>
        <w:tc>
          <w:tcPr>
            <w:tcW w:w="5245" w:type="dxa"/>
            <w:shd w:val="clear" w:color="auto" w:fill="E5E5E5" w:themeFill="background1" w:themeFillTint="33"/>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Not Indigenous</w:t>
            </w:r>
          </w:p>
        </w:tc>
        <w:tc>
          <w:tcPr>
            <w:tcW w:w="1417" w:type="dxa"/>
            <w:shd w:val="clear" w:color="auto" w:fill="E5E5E5" w:themeFill="background1" w:themeFillTint="33"/>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4.8</w:t>
            </w:r>
          </w:p>
        </w:tc>
        <w:tc>
          <w:tcPr>
            <w:tcW w:w="1418" w:type="dxa"/>
            <w:shd w:val="clear" w:color="auto" w:fill="E5E5E5" w:themeFill="background1" w:themeFillTint="33"/>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0.002</w:t>
            </w:r>
          </w:p>
        </w:tc>
      </w:tr>
      <w:tr w:rsidR="003405ED" w:rsidRPr="00C54A19" w:rsidTr="003405ED">
        <w:trPr>
          <w:trHeight w:val="397"/>
        </w:trPr>
        <w:tc>
          <w:tcPr>
            <w:tcW w:w="5969" w:type="dxa"/>
            <w:shd w:val="clear" w:color="auto" w:fill="FFFFFF" w:themeFill="background2"/>
            <w:noWrap/>
            <w:vAlign w:val="center"/>
            <w:hideMark/>
          </w:tcPr>
          <w:p w:rsidR="003405ED" w:rsidRPr="00C54A19" w:rsidRDefault="00C962FC" w:rsidP="00C962FC">
            <w:pPr>
              <w:spacing w:after="0" w:line="240" w:lineRule="auto"/>
              <w:rPr>
                <w:rFonts w:ascii="Calibri" w:eastAsia="Times New Roman" w:hAnsi="Calibri" w:cs="Calibri"/>
                <w:bCs/>
                <w:color w:val="000000" w:themeColor="text1"/>
                <w:sz w:val="20"/>
                <w:szCs w:val="20"/>
                <w:lang w:eastAsia="en-AU"/>
              </w:rPr>
            </w:pPr>
            <w:r>
              <w:rPr>
                <w:rFonts w:ascii="Calibri" w:eastAsia="Times New Roman" w:hAnsi="Calibri" w:cs="Calibri"/>
                <w:bCs/>
                <w:color w:val="000000" w:themeColor="text1"/>
                <w:sz w:val="20"/>
                <w:szCs w:val="20"/>
                <w:lang w:eastAsia="en-AU"/>
              </w:rPr>
              <w:t>Ex-offender</w:t>
            </w:r>
          </w:p>
        </w:tc>
        <w:tc>
          <w:tcPr>
            <w:tcW w:w="5245" w:type="dxa"/>
            <w:shd w:val="clear" w:color="auto" w:fill="FFFFFF" w:themeFill="background2"/>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Not ex-offender</w:t>
            </w:r>
          </w:p>
        </w:tc>
        <w:tc>
          <w:tcPr>
            <w:tcW w:w="1417" w:type="dxa"/>
            <w:shd w:val="clear" w:color="auto" w:fill="FFFFFF" w:themeFill="background2"/>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2.5</w:t>
            </w:r>
          </w:p>
        </w:tc>
        <w:tc>
          <w:tcPr>
            <w:tcW w:w="1418" w:type="dxa"/>
            <w:shd w:val="clear" w:color="auto" w:fill="FFFFFF" w:themeFill="background2"/>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0.038</w:t>
            </w:r>
          </w:p>
        </w:tc>
      </w:tr>
      <w:tr w:rsidR="003405ED" w:rsidRPr="00C54A19" w:rsidTr="003405ED">
        <w:trPr>
          <w:trHeight w:val="397"/>
        </w:trPr>
        <w:tc>
          <w:tcPr>
            <w:tcW w:w="5969" w:type="dxa"/>
            <w:shd w:val="clear" w:color="auto" w:fill="E5E5E5" w:themeFill="background1" w:themeFillTint="33"/>
            <w:noWrap/>
            <w:vAlign w:val="center"/>
            <w:hideMark/>
          </w:tcPr>
          <w:p w:rsidR="003405ED" w:rsidRPr="00C54A19" w:rsidRDefault="00C962FC" w:rsidP="003405ED">
            <w:pPr>
              <w:spacing w:after="0" w:line="240" w:lineRule="auto"/>
              <w:rPr>
                <w:rFonts w:ascii="Calibri" w:eastAsia="Times New Roman" w:hAnsi="Calibri" w:cs="Calibri"/>
                <w:bCs/>
                <w:color w:val="000000" w:themeColor="text1"/>
                <w:sz w:val="20"/>
                <w:szCs w:val="20"/>
                <w:lang w:eastAsia="en-AU"/>
              </w:rPr>
            </w:pPr>
            <w:r>
              <w:rPr>
                <w:rFonts w:ascii="Calibri" w:eastAsia="Times New Roman" w:hAnsi="Calibri" w:cs="Calibri"/>
                <w:bCs/>
                <w:color w:val="000000" w:themeColor="text1"/>
                <w:sz w:val="20"/>
                <w:szCs w:val="20"/>
                <w:lang w:eastAsia="en-AU"/>
              </w:rPr>
              <w:t>Single parent</w:t>
            </w:r>
          </w:p>
        </w:tc>
        <w:tc>
          <w:tcPr>
            <w:tcW w:w="5245" w:type="dxa"/>
            <w:shd w:val="clear" w:color="auto" w:fill="E5E5E5" w:themeFill="background1" w:themeFillTint="33"/>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Not a single parent</w:t>
            </w:r>
          </w:p>
        </w:tc>
        <w:tc>
          <w:tcPr>
            <w:tcW w:w="1417" w:type="dxa"/>
            <w:shd w:val="clear" w:color="auto" w:fill="E5E5E5" w:themeFill="background1" w:themeFillTint="33"/>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4.8</w:t>
            </w:r>
          </w:p>
        </w:tc>
        <w:tc>
          <w:tcPr>
            <w:tcW w:w="1418" w:type="dxa"/>
            <w:shd w:val="clear" w:color="auto" w:fill="E5E5E5" w:themeFill="background1" w:themeFillTint="33"/>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0.095</w:t>
            </w:r>
          </w:p>
        </w:tc>
      </w:tr>
      <w:tr w:rsidR="003405ED" w:rsidRPr="00C54A19" w:rsidTr="003405ED">
        <w:trPr>
          <w:trHeight w:val="397"/>
        </w:trPr>
        <w:tc>
          <w:tcPr>
            <w:tcW w:w="5969" w:type="dxa"/>
            <w:shd w:val="clear" w:color="auto" w:fill="FFFFFF" w:themeFill="background2"/>
            <w:noWrap/>
            <w:vAlign w:val="center"/>
            <w:hideMark/>
          </w:tcPr>
          <w:p w:rsidR="003405ED" w:rsidRPr="00C54A19" w:rsidRDefault="00C962FC" w:rsidP="003405ED">
            <w:pPr>
              <w:spacing w:after="0" w:line="240" w:lineRule="auto"/>
              <w:rPr>
                <w:rFonts w:ascii="Calibri" w:eastAsia="Times New Roman" w:hAnsi="Calibri" w:cs="Calibri"/>
                <w:bCs/>
                <w:color w:val="000000" w:themeColor="text1"/>
                <w:sz w:val="20"/>
                <w:szCs w:val="20"/>
                <w:lang w:eastAsia="en-AU"/>
              </w:rPr>
            </w:pPr>
            <w:r>
              <w:rPr>
                <w:rFonts w:ascii="Calibri" w:eastAsia="Times New Roman" w:hAnsi="Calibri" w:cs="Calibri"/>
                <w:bCs/>
                <w:color w:val="000000" w:themeColor="text1"/>
                <w:sz w:val="20"/>
                <w:szCs w:val="20"/>
                <w:lang w:eastAsia="en-AU"/>
              </w:rPr>
              <w:t>Not contactable by phone</w:t>
            </w:r>
          </w:p>
        </w:tc>
        <w:tc>
          <w:tcPr>
            <w:tcW w:w="5245" w:type="dxa"/>
            <w:shd w:val="clear" w:color="auto" w:fill="FFFFFF" w:themeFill="background2"/>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Contactable by phone</w:t>
            </w:r>
          </w:p>
        </w:tc>
        <w:tc>
          <w:tcPr>
            <w:tcW w:w="1417" w:type="dxa"/>
            <w:shd w:val="clear" w:color="auto" w:fill="FFFFFF" w:themeFill="background2"/>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5.3</w:t>
            </w:r>
          </w:p>
        </w:tc>
        <w:tc>
          <w:tcPr>
            <w:tcW w:w="1418" w:type="dxa"/>
            <w:shd w:val="clear" w:color="auto" w:fill="FFFFFF" w:themeFill="background2"/>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0.019</w:t>
            </w:r>
          </w:p>
        </w:tc>
      </w:tr>
      <w:tr w:rsidR="003405ED" w:rsidRPr="00C54A19" w:rsidTr="003405ED">
        <w:trPr>
          <w:trHeight w:val="397"/>
        </w:trPr>
        <w:tc>
          <w:tcPr>
            <w:tcW w:w="5969" w:type="dxa"/>
            <w:shd w:val="clear" w:color="auto" w:fill="E5E5E5" w:themeFill="background1" w:themeFillTint="33"/>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 xml:space="preserve">CALD </w:t>
            </w:r>
          </w:p>
        </w:tc>
        <w:tc>
          <w:tcPr>
            <w:tcW w:w="5245" w:type="dxa"/>
            <w:shd w:val="clear" w:color="auto" w:fill="E5E5E5" w:themeFill="background1" w:themeFillTint="33"/>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Not CALD</w:t>
            </w:r>
          </w:p>
        </w:tc>
        <w:tc>
          <w:tcPr>
            <w:tcW w:w="1417" w:type="dxa"/>
            <w:shd w:val="clear" w:color="auto" w:fill="E5E5E5" w:themeFill="background1" w:themeFillTint="33"/>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1.6</w:t>
            </w:r>
          </w:p>
        </w:tc>
        <w:tc>
          <w:tcPr>
            <w:tcW w:w="1418" w:type="dxa"/>
            <w:shd w:val="clear" w:color="auto" w:fill="E5E5E5" w:themeFill="background1" w:themeFillTint="33"/>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0.389</w:t>
            </w:r>
          </w:p>
        </w:tc>
      </w:tr>
      <w:tr w:rsidR="003405ED" w:rsidRPr="00C54A19" w:rsidTr="003405ED">
        <w:trPr>
          <w:trHeight w:val="397"/>
        </w:trPr>
        <w:tc>
          <w:tcPr>
            <w:tcW w:w="5969" w:type="dxa"/>
            <w:shd w:val="clear" w:color="auto" w:fill="FFFFFF" w:themeFill="background2"/>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Other</w:t>
            </w:r>
          </w:p>
        </w:tc>
        <w:tc>
          <w:tcPr>
            <w:tcW w:w="5245" w:type="dxa"/>
            <w:shd w:val="clear" w:color="auto" w:fill="FFFFFF" w:themeFill="background2"/>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Major city or Inner regional</w:t>
            </w:r>
          </w:p>
        </w:tc>
        <w:tc>
          <w:tcPr>
            <w:tcW w:w="1417" w:type="dxa"/>
            <w:shd w:val="clear" w:color="auto" w:fill="FFFFFF" w:themeFill="background2"/>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0.8</w:t>
            </w:r>
          </w:p>
        </w:tc>
        <w:tc>
          <w:tcPr>
            <w:tcW w:w="1418" w:type="dxa"/>
            <w:shd w:val="clear" w:color="auto" w:fill="FFFFFF" w:themeFill="background2"/>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0.597</w:t>
            </w:r>
          </w:p>
        </w:tc>
      </w:tr>
      <w:tr w:rsidR="003405ED" w:rsidRPr="00C54A19" w:rsidTr="003405ED">
        <w:trPr>
          <w:trHeight w:val="397"/>
        </w:trPr>
        <w:tc>
          <w:tcPr>
            <w:tcW w:w="5969" w:type="dxa"/>
            <w:shd w:val="clear" w:color="auto" w:fill="E5E5E5" w:themeFill="background1" w:themeFillTint="33"/>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Has job</w:t>
            </w:r>
            <w:r w:rsidR="008477D2">
              <w:rPr>
                <w:rFonts w:ascii="Calibri" w:eastAsia="Times New Roman" w:hAnsi="Calibri" w:cs="Calibri"/>
                <w:bCs/>
                <w:color w:val="000000" w:themeColor="text1"/>
                <w:sz w:val="20"/>
                <w:szCs w:val="20"/>
                <w:lang w:eastAsia="en-AU"/>
              </w:rPr>
              <w:t xml:space="preserve"> </w:t>
            </w:r>
            <w:r w:rsidR="00C962FC">
              <w:rPr>
                <w:rFonts w:ascii="Calibri" w:eastAsia="Times New Roman" w:hAnsi="Calibri" w:cs="Calibri"/>
                <w:bCs/>
                <w:color w:val="000000" w:themeColor="text1"/>
                <w:sz w:val="20"/>
                <w:szCs w:val="20"/>
                <w:lang w:eastAsia="en-AU"/>
              </w:rPr>
              <w:t>seeker history</w:t>
            </w:r>
          </w:p>
        </w:tc>
        <w:tc>
          <w:tcPr>
            <w:tcW w:w="5245" w:type="dxa"/>
            <w:shd w:val="clear" w:color="auto" w:fill="E5E5E5" w:themeFill="background1" w:themeFillTint="33"/>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No job</w:t>
            </w:r>
            <w:r w:rsidR="008477D2">
              <w:rPr>
                <w:rFonts w:ascii="Calibri" w:eastAsia="Times New Roman" w:hAnsi="Calibri" w:cs="Calibri"/>
                <w:bCs/>
                <w:color w:val="000000" w:themeColor="text1"/>
                <w:sz w:val="20"/>
                <w:szCs w:val="20"/>
                <w:lang w:eastAsia="en-AU"/>
              </w:rPr>
              <w:t xml:space="preserve"> </w:t>
            </w:r>
            <w:r w:rsidRPr="00C54A19">
              <w:rPr>
                <w:rFonts w:ascii="Calibri" w:eastAsia="Times New Roman" w:hAnsi="Calibri" w:cs="Calibri"/>
                <w:bCs/>
                <w:color w:val="000000" w:themeColor="text1"/>
                <w:sz w:val="20"/>
                <w:szCs w:val="20"/>
                <w:lang w:eastAsia="en-AU"/>
              </w:rPr>
              <w:t>seeker history</w:t>
            </w:r>
          </w:p>
        </w:tc>
        <w:tc>
          <w:tcPr>
            <w:tcW w:w="1417" w:type="dxa"/>
            <w:shd w:val="clear" w:color="auto" w:fill="E5E5E5" w:themeFill="background1" w:themeFillTint="33"/>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-1.0</w:t>
            </w:r>
          </w:p>
        </w:tc>
        <w:tc>
          <w:tcPr>
            <w:tcW w:w="1418" w:type="dxa"/>
            <w:shd w:val="clear" w:color="auto" w:fill="E5E5E5" w:themeFill="background1" w:themeFillTint="33"/>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0.494</w:t>
            </w:r>
          </w:p>
        </w:tc>
      </w:tr>
      <w:tr w:rsidR="003405ED" w:rsidRPr="00C54A19" w:rsidTr="003405ED">
        <w:trPr>
          <w:trHeight w:val="397"/>
        </w:trPr>
        <w:tc>
          <w:tcPr>
            <w:tcW w:w="5969" w:type="dxa"/>
            <w:shd w:val="clear" w:color="auto" w:fill="FFFFFF" w:themeFill="background2"/>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Unemployment rate</w:t>
            </w:r>
          </w:p>
        </w:tc>
        <w:tc>
          <w:tcPr>
            <w:tcW w:w="5245" w:type="dxa"/>
            <w:shd w:val="clear" w:color="auto" w:fill="FFFFFF" w:themeFill="background2"/>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Continuous variable</w:t>
            </w:r>
          </w:p>
        </w:tc>
        <w:tc>
          <w:tcPr>
            <w:tcW w:w="1417" w:type="dxa"/>
            <w:shd w:val="clear" w:color="auto" w:fill="FFFFFF" w:themeFill="background2"/>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-0.6</w:t>
            </w:r>
          </w:p>
        </w:tc>
        <w:tc>
          <w:tcPr>
            <w:tcW w:w="1418" w:type="dxa"/>
            <w:shd w:val="clear" w:color="auto" w:fill="FFFFFF" w:themeFill="background2"/>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0.164</w:t>
            </w:r>
          </w:p>
        </w:tc>
      </w:tr>
      <w:tr w:rsidR="003405ED" w:rsidRPr="00C54A19" w:rsidTr="003405ED">
        <w:trPr>
          <w:trHeight w:val="397"/>
        </w:trPr>
        <w:tc>
          <w:tcPr>
            <w:tcW w:w="5969" w:type="dxa"/>
            <w:shd w:val="clear" w:color="auto" w:fill="E5E5E5" w:themeFill="background1" w:themeFillTint="33"/>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Personal factors: High impact</w:t>
            </w:r>
          </w:p>
        </w:tc>
        <w:tc>
          <w:tcPr>
            <w:tcW w:w="5245" w:type="dxa"/>
            <w:shd w:val="clear" w:color="auto" w:fill="E5E5E5" w:themeFill="background1" w:themeFillTint="33"/>
            <w:noWrap/>
            <w:vAlign w:val="center"/>
            <w:hideMark/>
          </w:tcPr>
          <w:p w:rsidR="003405ED" w:rsidRPr="00C54A19" w:rsidRDefault="00C962FC" w:rsidP="003405ED">
            <w:pPr>
              <w:spacing w:after="0" w:line="240" w:lineRule="auto"/>
              <w:rPr>
                <w:rFonts w:ascii="Calibri" w:eastAsia="Times New Roman" w:hAnsi="Calibri" w:cs="Calibri"/>
                <w:bCs/>
                <w:color w:val="000000" w:themeColor="text1"/>
                <w:sz w:val="20"/>
                <w:szCs w:val="20"/>
                <w:lang w:eastAsia="en-AU"/>
              </w:rPr>
            </w:pPr>
            <w:r>
              <w:rPr>
                <w:rFonts w:ascii="Calibri" w:eastAsia="Times New Roman" w:hAnsi="Calibri" w:cs="Calibri"/>
                <w:bCs/>
                <w:color w:val="000000" w:themeColor="text1"/>
                <w:sz w:val="20"/>
                <w:szCs w:val="20"/>
                <w:lang w:eastAsia="en-AU"/>
              </w:rPr>
              <w:t>Personal factors:</w:t>
            </w:r>
            <w:r w:rsidR="003405ED" w:rsidRPr="00C54A19">
              <w:rPr>
                <w:rFonts w:ascii="Calibri" w:eastAsia="Times New Roman" w:hAnsi="Calibri" w:cs="Calibri"/>
                <w:bCs/>
                <w:color w:val="000000" w:themeColor="text1"/>
                <w:sz w:val="20"/>
                <w:szCs w:val="20"/>
                <w:lang w:eastAsia="en-AU"/>
              </w:rPr>
              <w:t xml:space="preserve"> No impact</w:t>
            </w:r>
          </w:p>
        </w:tc>
        <w:tc>
          <w:tcPr>
            <w:tcW w:w="1417" w:type="dxa"/>
            <w:shd w:val="clear" w:color="auto" w:fill="E5E5E5" w:themeFill="background1" w:themeFillTint="33"/>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4.9</w:t>
            </w:r>
          </w:p>
        </w:tc>
        <w:tc>
          <w:tcPr>
            <w:tcW w:w="1418" w:type="dxa"/>
            <w:shd w:val="clear" w:color="auto" w:fill="E5E5E5" w:themeFill="background1" w:themeFillTint="33"/>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&lt;.0001</w:t>
            </w:r>
          </w:p>
        </w:tc>
      </w:tr>
      <w:tr w:rsidR="003405ED" w:rsidRPr="00C54A19" w:rsidTr="003405ED">
        <w:trPr>
          <w:trHeight w:val="397"/>
        </w:trPr>
        <w:tc>
          <w:tcPr>
            <w:tcW w:w="5969" w:type="dxa"/>
            <w:shd w:val="clear" w:color="auto" w:fill="FFFFFF" w:themeFill="background2"/>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Personal factors: Low impact</w:t>
            </w:r>
          </w:p>
        </w:tc>
        <w:tc>
          <w:tcPr>
            <w:tcW w:w="5245" w:type="dxa"/>
            <w:shd w:val="clear" w:color="auto" w:fill="FFFFFF" w:themeFill="background2"/>
            <w:noWrap/>
            <w:vAlign w:val="center"/>
            <w:hideMark/>
          </w:tcPr>
          <w:p w:rsidR="003405ED" w:rsidRPr="00C54A19" w:rsidRDefault="00C962FC" w:rsidP="003405ED">
            <w:pPr>
              <w:spacing w:after="0" w:line="240" w:lineRule="auto"/>
              <w:rPr>
                <w:rFonts w:ascii="Calibri" w:eastAsia="Times New Roman" w:hAnsi="Calibri" w:cs="Calibri"/>
                <w:bCs/>
                <w:color w:val="000000" w:themeColor="text1"/>
                <w:sz w:val="20"/>
                <w:szCs w:val="20"/>
                <w:lang w:eastAsia="en-AU"/>
              </w:rPr>
            </w:pPr>
            <w:r>
              <w:rPr>
                <w:rFonts w:ascii="Calibri" w:eastAsia="Times New Roman" w:hAnsi="Calibri" w:cs="Calibri"/>
                <w:bCs/>
                <w:color w:val="000000" w:themeColor="text1"/>
                <w:sz w:val="20"/>
                <w:szCs w:val="20"/>
                <w:lang w:eastAsia="en-AU"/>
              </w:rPr>
              <w:t xml:space="preserve">Personal factors: </w:t>
            </w:r>
            <w:r w:rsidR="003405ED" w:rsidRPr="00C54A19">
              <w:rPr>
                <w:rFonts w:ascii="Calibri" w:eastAsia="Times New Roman" w:hAnsi="Calibri" w:cs="Calibri"/>
                <w:bCs/>
                <w:color w:val="000000" w:themeColor="text1"/>
                <w:sz w:val="20"/>
                <w:szCs w:val="20"/>
                <w:lang w:eastAsia="en-AU"/>
              </w:rPr>
              <w:t>No impact</w:t>
            </w:r>
          </w:p>
        </w:tc>
        <w:tc>
          <w:tcPr>
            <w:tcW w:w="1417" w:type="dxa"/>
            <w:shd w:val="clear" w:color="auto" w:fill="FFFFFF" w:themeFill="background2"/>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4.2</w:t>
            </w:r>
          </w:p>
        </w:tc>
        <w:tc>
          <w:tcPr>
            <w:tcW w:w="1418" w:type="dxa"/>
            <w:shd w:val="clear" w:color="auto" w:fill="FFFFFF" w:themeFill="background2"/>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0.006</w:t>
            </w:r>
          </w:p>
        </w:tc>
      </w:tr>
      <w:tr w:rsidR="003405ED" w:rsidRPr="00C54A19" w:rsidTr="003405ED">
        <w:trPr>
          <w:trHeight w:val="397"/>
        </w:trPr>
        <w:tc>
          <w:tcPr>
            <w:tcW w:w="5969" w:type="dxa"/>
            <w:shd w:val="clear" w:color="auto" w:fill="E5E5E5" w:themeFill="background1" w:themeFillTint="33"/>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Personal factors: Medium impact</w:t>
            </w:r>
          </w:p>
        </w:tc>
        <w:tc>
          <w:tcPr>
            <w:tcW w:w="5245" w:type="dxa"/>
            <w:shd w:val="clear" w:color="auto" w:fill="E5E5E5" w:themeFill="background1" w:themeFillTint="33"/>
            <w:noWrap/>
            <w:vAlign w:val="center"/>
            <w:hideMark/>
          </w:tcPr>
          <w:p w:rsidR="003405ED" w:rsidRPr="00C54A19" w:rsidRDefault="00C962FC" w:rsidP="003405ED">
            <w:pPr>
              <w:spacing w:after="0" w:line="240" w:lineRule="auto"/>
              <w:rPr>
                <w:rFonts w:ascii="Calibri" w:eastAsia="Times New Roman" w:hAnsi="Calibri" w:cs="Calibri"/>
                <w:bCs/>
                <w:color w:val="000000" w:themeColor="text1"/>
                <w:sz w:val="20"/>
                <w:szCs w:val="20"/>
                <w:lang w:eastAsia="en-AU"/>
              </w:rPr>
            </w:pPr>
            <w:r>
              <w:rPr>
                <w:rFonts w:ascii="Calibri" w:eastAsia="Times New Roman" w:hAnsi="Calibri" w:cs="Calibri"/>
                <w:bCs/>
                <w:color w:val="000000" w:themeColor="text1"/>
                <w:sz w:val="20"/>
                <w:szCs w:val="20"/>
                <w:lang w:eastAsia="en-AU"/>
              </w:rPr>
              <w:t xml:space="preserve">Personal factors: </w:t>
            </w:r>
            <w:r w:rsidR="003405ED" w:rsidRPr="00C54A19">
              <w:rPr>
                <w:rFonts w:ascii="Calibri" w:eastAsia="Times New Roman" w:hAnsi="Calibri" w:cs="Calibri"/>
                <w:bCs/>
                <w:color w:val="000000" w:themeColor="text1"/>
                <w:sz w:val="20"/>
                <w:szCs w:val="20"/>
                <w:lang w:eastAsia="en-AU"/>
              </w:rPr>
              <w:t>No impact</w:t>
            </w:r>
          </w:p>
        </w:tc>
        <w:tc>
          <w:tcPr>
            <w:tcW w:w="1417" w:type="dxa"/>
            <w:shd w:val="clear" w:color="auto" w:fill="E5E5E5" w:themeFill="background1" w:themeFillTint="33"/>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-1.8</w:t>
            </w:r>
          </w:p>
        </w:tc>
        <w:tc>
          <w:tcPr>
            <w:tcW w:w="1418" w:type="dxa"/>
            <w:shd w:val="clear" w:color="auto" w:fill="E5E5E5" w:themeFill="background1" w:themeFillTint="33"/>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0.438</w:t>
            </w:r>
          </w:p>
        </w:tc>
      </w:tr>
      <w:tr w:rsidR="003405ED" w:rsidRPr="00C54A19" w:rsidTr="003405ED">
        <w:trPr>
          <w:trHeight w:val="397"/>
        </w:trPr>
        <w:tc>
          <w:tcPr>
            <w:tcW w:w="5969" w:type="dxa"/>
            <w:shd w:val="clear" w:color="auto" w:fill="FFFFFF" w:themeFill="background2"/>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 xml:space="preserve">Access to transport: Other private transport </w:t>
            </w:r>
          </w:p>
        </w:tc>
        <w:tc>
          <w:tcPr>
            <w:tcW w:w="5245" w:type="dxa"/>
            <w:shd w:val="clear" w:color="auto" w:fill="FFFFFF" w:themeFill="background2"/>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Own transport</w:t>
            </w:r>
          </w:p>
        </w:tc>
        <w:tc>
          <w:tcPr>
            <w:tcW w:w="1417" w:type="dxa"/>
            <w:shd w:val="clear" w:color="auto" w:fill="FFFFFF" w:themeFill="background2"/>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4.1</w:t>
            </w:r>
          </w:p>
        </w:tc>
        <w:tc>
          <w:tcPr>
            <w:tcW w:w="1418" w:type="dxa"/>
            <w:shd w:val="clear" w:color="auto" w:fill="FFFFFF" w:themeFill="background2"/>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0.030</w:t>
            </w:r>
          </w:p>
        </w:tc>
      </w:tr>
      <w:tr w:rsidR="003405ED" w:rsidRPr="00C54A19" w:rsidTr="003405ED">
        <w:trPr>
          <w:trHeight w:val="397"/>
        </w:trPr>
        <w:tc>
          <w:tcPr>
            <w:tcW w:w="5969" w:type="dxa"/>
            <w:shd w:val="clear" w:color="auto" w:fill="E5E5E5" w:themeFill="background1" w:themeFillTint="33"/>
            <w:noWrap/>
            <w:vAlign w:val="center"/>
            <w:hideMark/>
          </w:tcPr>
          <w:p w:rsidR="003405ED" w:rsidRPr="00C54A19" w:rsidRDefault="00C962FC" w:rsidP="003405ED">
            <w:pPr>
              <w:spacing w:after="0" w:line="240" w:lineRule="auto"/>
              <w:rPr>
                <w:rFonts w:ascii="Calibri" w:eastAsia="Times New Roman" w:hAnsi="Calibri" w:cs="Calibri"/>
                <w:bCs/>
                <w:color w:val="000000" w:themeColor="text1"/>
                <w:sz w:val="20"/>
                <w:szCs w:val="20"/>
                <w:lang w:eastAsia="en-AU"/>
              </w:rPr>
            </w:pPr>
            <w:r>
              <w:rPr>
                <w:rFonts w:ascii="Calibri" w:eastAsia="Times New Roman" w:hAnsi="Calibri" w:cs="Calibri"/>
                <w:bCs/>
                <w:color w:val="000000" w:themeColor="text1"/>
                <w:sz w:val="20"/>
                <w:szCs w:val="20"/>
                <w:lang w:eastAsia="en-AU"/>
              </w:rPr>
              <w:lastRenderedPageBreak/>
              <w:t>Access to transport:</w:t>
            </w:r>
            <w:r w:rsidR="003405ED" w:rsidRPr="00C54A19">
              <w:rPr>
                <w:rFonts w:ascii="Calibri" w:eastAsia="Times New Roman" w:hAnsi="Calibri" w:cs="Calibri"/>
                <w:bCs/>
                <w:color w:val="000000" w:themeColor="text1"/>
                <w:sz w:val="20"/>
                <w:szCs w:val="20"/>
                <w:lang w:eastAsia="en-AU"/>
              </w:rPr>
              <w:t xml:space="preserve"> Public transport </w:t>
            </w:r>
          </w:p>
        </w:tc>
        <w:tc>
          <w:tcPr>
            <w:tcW w:w="5245" w:type="dxa"/>
            <w:shd w:val="clear" w:color="auto" w:fill="E5E5E5" w:themeFill="background1" w:themeFillTint="33"/>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Own transport</w:t>
            </w:r>
          </w:p>
        </w:tc>
        <w:tc>
          <w:tcPr>
            <w:tcW w:w="1417" w:type="dxa"/>
            <w:shd w:val="clear" w:color="auto" w:fill="E5E5E5" w:themeFill="background1" w:themeFillTint="33"/>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6.9</w:t>
            </w:r>
          </w:p>
        </w:tc>
        <w:tc>
          <w:tcPr>
            <w:tcW w:w="1418" w:type="dxa"/>
            <w:shd w:val="clear" w:color="auto" w:fill="E5E5E5" w:themeFill="background1" w:themeFillTint="33"/>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&lt;.0001</w:t>
            </w:r>
          </w:p>
        </w:tc>
      </w:tr>
      <w:tr w:rsidR="003405ED" w:rsidRPr="00C54A19" w:rsidTr="003405ED">
        <w:trPr>
          <w:trHeight w:val="397"/>
        </w:trPr>
        <w:tc>
          <w:tcPr>
            <w:tcW w:w="5969" w:type="dxa"/>
            <w:shd w:val="clear" w:color="auto" w:fill="FFFFFF" w:themeFill="background2"/>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Access to tran</w:t>
            </w:r>
            <w:r w:rsidR="00C962FC">
              <w:rPr>
                <w:rFonts w:ascii="Calibri" w:eastAsia="Times New Roman" w:hAnsi="Calibri" w:cs="Calibri"/>
                <w:bCs/>
                <w:color w:val="000000" w:themeColor="text1"/>
                <w:sz w:val="20"/>
                <w:szCs w:val="20"/>
                <w:lang w:eastAsia="en-AU"/>
              </w:rPr>
              <w:t>sport: No access to transport</w:t>
            </w:r>
          </w:p>
        </w:tc>
        <w:tc>
          <w:tcPr>
            <w:tcW w:w="5245" w:type="dxa"/>
            <w:shd w:val="clear" w:color="auto" w:fill="FFFFFF" w:themeFill="background2"/>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Own transport</w:t>
            </w:r>
          </w:p>
        </w:tc>
        <w:tc>
          <w:tcPr>
            <w:tcW w:w="1417" w:type="dxa"/>
            <w:shd w:val="clear" w:color="auto" w:fill="FFFFFF" w:themeFill="background2"/>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4.9</w:t>
            </w:r>
          </w:p>
        </w:tc>
        <w:tc>
          <w:tcPr>
            <w:tcW w:w="1418" w:type="dxa"/>
            <w:shd w:val="clear" w:color="auto" w:fill="FFFFFF" w:themeFill="background2"/>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0.006</w:t>
            </w:r>
          </w:p>
        </w:tc>
      </w:tr>
      <w:tr w:rsidR="003405ED" w:rsidRPr="00C54A19" w:rsidTr="003405ED">
        <w:trPr>
          <w:trHeight w:val="397"/>
        </w:trPr>
        <w:tc>
          <w:tcPr>
            <w:tcW w:w="5969" w:type="dxa"/>
            <w:shd w:val="clear" w:color="auto" w:fill="E5E5E5" w:themeFill="background1" w:themeFillTint="33"/>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Countr</w:t>
            </w:r>
            <w:r w:rsidR="00C962FC">
              <w:rPr>
                <w:rFonts w:ascii="Calibri" w:eastAsia="Times New Roman" w:hAnsi="Calibri" w:cs="Calibri"/>
                <w:bCs/>
                <w:color w:val="000000" w:themeColor="text1"/>
                <w:sz w:val="20"/>
                <w:szCs w:val="20"/>
                <w:lang w:eastAsia="en-AU"/>
              </w:rPr>
              <w:t>y of birth: Medium disadvantage</w:t>
            </w:r>
          </w:p>
        </w:tc>
        <w:tc>
          <w:tcPr>
            <w:tcW w:w="5245" w:type="dxa"/>
            <w:shd w:val="clear" w:color="auto" w:fill="E5E5E5" w:themeFill="background1" w:themeFillTint="33"/>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Country of b</w:t>
            </w:r>
            <w:r w:rsidR="00C962FC">
              <w:rPr>
                <w:rFonts w:ascii="Calibri" w:eastAsia="Times New Roman" w:hAnsi="Calibri" w:cs="Calibri"/>
                <w:bCs/>
                <w:color w:val="000000" w:themeColor="text1"/>
                <w:sz w:val="20"/>
                <w:szCs w:val="20"/>
                <w:lang w:eastAsia="en-AU"/>
              </w:rPr>
              <w:t>irth: Very low/low disadvantage</w:t>
            </w:r>
          </w:p>
        </w:tc>
        <w:tc>
          <w:tcPr>
            <w:tcW w:w="1417" w:type="dxa"/>
            <w:shd w:val="clear" w:color="auto" w:fill="E5E5E5" w:themeFill="background1" w:themeFillTint="33"/>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4.0</w:t>
            </w:r>
          </w:p>
        </w:tc>
        <w:tc>
          <w:tcPr>
            <w:tcW w:w="1418" w:type="dxa"/>
            <w:shd w:val="clear" w:color="auto" w:fill="E5E5E5" w:themeFill="background1" w:themeFillTint="33"/>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0.233</w:t>
            </w:r>
          </w:p>
        </w:tc>
      </w:tr>
      <w:tr w:rsidR="003405ED" w:rsidRPr="00C54A19" w:rsidTr="003405ED">
        <w:trPr>
          <w:trHeight w:val="397"/>
        </w:trPr>
        <w:tc>
          <w:tcPr>
            <w:tcW w:w="5969" w:type="dxa"/>
            <w:shd w:val="clear" w:color="auto" w:fill="FFFFFF" w:themeFill="background2"/>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Coun</w:t>
            </w:r>
            <w:r w:rsidR="00C962FC">
              <w:rPr>
                <w:rFonts w:ascii="Calibri" w:eastAsia="Times New Roman" w:hAnsi="Calibri" w:cs="Calibri"/>
                <w:bCs/>
                <w:color w:val="000000" w:themeColor="text1"/>
                <w:sz w:val="20"/>
                <w:szCs w:val="20"/>
                <w:lang w:eastAsia="en-AU"/>
              </w:rPr>
              <w:t>try of birth: High disadvantage</w:t>
            </w:r>
          </w:p>
        </w:tc>
        <w:tc>
          <w:tcPr>
            <w:tcW w:w="5245" w:type="dxa"/>
            <w:shd w:val="clear" w:color="auto" w:fill="FFFFFF" w:themeFill="background2"/>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Country of b</w:t>
            </w:r>
            <w:r w:rsidR="00C962FC">
              <w:rPr>
                <w:rFonts w:ascii="Calibri" w:eastAsia="Times New Roman" w:hAnsi="Calibri" w:cs="Calibri"/>
                <w:bCs/>
                <w:color w:val="000000" w:themeColor="text1"/>
                <w:sz w:val="20"/>
                <w:szCs w:val="20"/>
                <w:lang w:eastAsia="en-AU"/>
              </w:rPr>
              <w:t>irth: Very low/low disadvantage</w:t>
            </w:r>
          </w:p>
        </w:tc>
        <w:tc>
          <w:tcPr>
            <w:tcW w:w="1417" w:type="dxa"/>
            <w:shd w:val="clear" w:color="auto" w:fill="FFFFFF" w:themeFill="background2"/>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7.3</w:t>
            </w:r>
          </w:p>
        </w:tc>
        <w:tc>
          <w:tcPr>
            <w:tcW w:w="1418" w:type="dxa"/>
            <w:shd w:val="clear" w:color="auto" w:fill="FFFFFF" w:themeFill="background2"/>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0.007</w:t>
            </w:r>
          </w:p>
        </w:tc>
      </w:tr>
      <w:tr w:rsidR="003405ED" w:rsidRPr="00C54A19" w:rsidTr="003405ED">
        <w:trPr>
          <w:trHeight w:val="397"/>
        </w:trPr>
        <w:tc>
          <w:tcPr>
            <w:tcW w:w="5969" w:type="dxa"/>
            <w:shd w:val="clear" w:color="auto" w:fill="E5E5E5" w:themeFill="background1" w:themeFillTint="33"/>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Country o</w:t>
            </w:r>
            <w:r w:rsidR="00C962FC">
              <w:rPr>
                <w:rFonts w:ascii="Calibri" w:eastAsia="Times New Roman" w:hAnsi="Calibri" w:cs="Calibri"/>
                <w:bCs/>
                <w:color w:val="000000" w:themeColor="text1"/>
                <w:sz w:val="20"/>
                <w:szCs w:val="20"/>
                <w:lang w:eastAsia="en-AU"/>
              </w:rPr>
              <w:t>f birth: Very high disadvantage</w:t>
            </w:r>
          </w:p>
        </w:tc>
        <w:tc>
          <w:tcPr>
            <w:tcW w:w="5245" w:type="dxa"/>
            <w:shd w:val="clear" w:color="auto" w:fill="E5E5E5" w:themeFill="background1" w:themeFillTint="33"/>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Country of b</w:t>
            </w:r>
            <w:r w:rsidR="00C962FC">
              <w:rPr>
                <w:rFonts w:ascii="Calibri" w:eastAsia="Times New Roman" w:hAnsi="Calibri" w:cs="Calibri"/>
                <w:bCs/>
                <w:color w:val="000000" w:themeColor="text1"/>
                <w:sz w:val="20"/>
                <w:szCs w:val="20"/>
                <w:lang w:eastAsia="en-AU"/>
              </w:rPr>
              <w:t>irth: Very low/low disadvantage</w:t>
            </w:r>
          </w:p>
        </w:tc>
        <w:tc>
          <w:tcPr>
            <w:tcW w:w="1417" w:type="dxa"/>
            <w:shd w:val="clear" w:color="auto" w:fill="E5E5E5" w:themeFill="background1" w:themeFillTint="33"/>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5.7</w:t>
            </w:r>
          </w:p>
        </w:tc>
        <w:tc>
          <w:tcPr>
            <w:tcW w:w="1418" w:type="dxa"/>
            <w:shd w:val="clear" w:color="auto" w:fill="E5E5E5" w:themeFill="background1" w:themeFillTint="33"/>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0.261</w:t>
            </w:r>
          </w:p>
        </w:tc>
      </w:tr>
      <w:tr w:rsidR="003405ED" w:rsidRPr="00C54A19" w:rsidTr="003405ED">
        <w:trPr>
          <w:trHeight w:val="397"/>
        </w:trPr>
        <w:tc>
          <w:tcPr>
            <w:tcW w:w="5969" w:type="dxa"/>
            <w:shd w:val="clear" w:color="auto" w:fill="FFFFFF" w:themeFill="background2"/>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 xml:space="preserve">Highest level </w:t>
            </w:r>
            <w:r w:rsidR="00C962FC">
              <w:rPr>
                <w:rFonts w:ascii="Calibri" w:eastAsia="Times New Roman" w:hAnsi="Calibri" w:cs="Calibri"/>
                <w:bCs/>
                <w:color w:val="000000" w:themeColor="text1"/>
                <w:sz w:val="20"/>
                <w:szCs w:val="20"/>
                <w:lang w:eastAsia="en-AU"/>
              </w:rPr>
              <w:t>of education: Less than Year 10</w:t>
            </w:r>
          </w:p>
        </w:tc>
        <w:tc>
          <w:tcPr>
            <w:tcW w:w="5245" w:type="dxa"/>
            <w:shd w:val="clear" w:color="auto" w:fill="FFFFFF" w:themeFill="background2"/>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Highest level of education: TAFE/Diploma</w:t>
            </w:r>
          </w:p>
        </w:tc>
        <w:tc>
          <w:tcPr>
            <w:tcW w:w="1417" w:type="dxa"/>
            <w:shd w:val="clear" w:color="auto" w:fill="FFFFFF" w:themeFill="background2"/>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5.0</w:t>
            </w:r>
          </w:p>
        </w:tc>
        <w:tc>
          <w:tcPr>
            <w:tcW w:w="1418" w:type="dxa"/>
            <w:shd w:val="clear" w:color="auto" w:fill="FFFFFF" w:themeFill="background2"/>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0.015</w:t>
            </w:r>
          </w:p>
        </w:tc>
      </w:tr>
      <w:tr w:rsidR="003405ED" w:rsidRPr="00C54A19" w:rsidTr="003405ED">
        <w:trPr>
          <w:trHeight w:val="397"/>
        </w:trPr>
        <w:tc>
          <w:tcPr>
            <w:tcW w:w="5969" w:type="dxa"/>
            <w:shd w:val="clear" w:color="auto" w:fill="E5E5E5" w:themeFill="background1" w:themeFillTint="33"/>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Highest level of education: Year 10/11</w:t>
            </w:r>
          </w:p>
        </w:tc>
        <w:tc>
          <w:tcPr>
            <w:tcW w:w="5245" w:type="dxa"/>
            <w:shd w:val="clear" w:color="auto" w:fill="E5E5E5" w:themeFill="background1" w:themeFillTint="33"/>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Highest level of education: TAFE/Diploma</w:t>
            </w:r>
          </w:p>
        </w:tc>
        <w:tc>
          <w:tcPr>
            <w:tcW w:w="1417" w:type="dxa"/>
            <w:shd w:val="clear" w:color="auto" w:fill="E5E5E5" w:themeFill="background1" w:themeFillTint="33"/>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3.7</w:t>
            </w:r>
          </w:p>
        </w:tc>
        <w:tc>
          <w:tcPr>
            <w:tcW w:w="1418" w:type="dxa"/>
            <w:shd w:val="clear" w:color="auto" w:fill="E5E5E5" w:themeFill="background1" w:themeFillTint="33"/>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0.018</w:t>
            </w:r>
          </w:p>
        </w:tc>
      </w:tr>
      <w:tr w:rsidR="003405ED" w:rsidRPr="00C54A19" w:rsidTr="003405ED">
        <w:trPr>
          <w:trHeight w:val="397"/>
        </w:trPr>
        <w:tc>
          <w:tcPr>
            <w:tcW w:w="5969" w:type="dxa"/>
            <w:shd w:val="clear" w:color="auto" w:fill="FFFFFF" w:themeFill="background2"/>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Highest level of education: Year 12</w:t>
            </w:r>
          </w:p>
        </w:tc>
        <w:tc>
          <w:tcPr>
            <w:tcW w:w="5245" w:type="dxa"/>
            <w:shd w:val="clear" w:color="auto" w:fill="FFFFFF" w:themeFill="background2"/>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Highest level of education: TAFE/Diploma</w:t>
            </w:r>
          </w:p>
        </w:tc>
        <w:tc>
          <w:tcPr>
            <w:tcW w:w="1417" w:type="dxa"/>
            <w:shd w:val="clear" w:color="auto" w:fill="FFFFFF" w:themeFill="background2"/>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2.9</w:t>
            </w:r>
          </w:p>
        </w:tc>
        <w:tc>
          <w:tcPr>
            <w:tcW w:w="1418" w:type="dxa"/>
            <w:shd w:val="clear" w:color="auto" w:fill="FFFFFF" w:themeFill="background2"/>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0.133</w:t>
            </w:r>
          </w:p>
        </w:tc>
      </w:tr>
      <w:tr w:rsidR="003405ED" w:rsidRPr="00C54A19" w:rsidTr="003405ED">
        <w:trPr>
          <w:trHeight w:val="397"/>
        </w:trPr>
        <w:tc>
          <w:tcPr>
            <w:tcW w:w="5969" w:type="dxa"/>
            <w:shd w:val="clear" w:color="auto" w:fill="E5E5E5" w:themeFill="background1" w:themeFillTint="33"/>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Highest level of education: degree / Post graduate</w:t>
            </w:r>
          </w:p>
        </w:tc>
        <w:tc>
          <w:tcPr>
            <w:tcW w:w="5245" w:type="dxa"/>
            <w:shd w:val="clear" w:color="auto" w:fill="E5E5E5" w:themeFill="background1" w:themeFillTint="33"/>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Highest level of education: TAFE/Diploma</w:t>
            </w:r>
          </w:p>
        </w:tc>
        <w:tc>
          <w:tcPr>
            <w:tcW w:w="1417" w:type="dxa"/>
            <w:shd w:val="clear" w:color="auto" w:fill="E5E5E5" w:themeFill="background1" w:themeFillTint="33"/>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-0.9</w:t>
            </w:r>
          </w:p>
        </w:tc>
        <w:tc>
          <w:tcPr>
            <w:tcW w:w="1418" w:type="dxa"/>
            <w:shd w:val="clear" w:color="auto" w:fill="E5E5E5" w:themeFill="background1" w:themeFillTint="33"/>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0.716</w:t>
            </w:r>
          </w:p>
        </w:tc>
      </w:tr>
      <w:tr w:rsidR="003405ED" w:rsidRPr="00C54A19" w:rsidTr="003405ED">
        <w:trPr>
          <w:trHeight w:val="397"/>
        </w:trPr>
        <w:tc>
          <w:tcPr>
            <w:tcW w:w="5969" w:type="dxa"/>
            <w:shd w:val="clear" w:color="auto" w:fill="FFFFFF" w:themeFill="background2"/>
            <w:noWrap/>
            <w:vAlign w:val="center"/>
            <w:hideMark/>
          </w:tcPr>
          <w:p w:rsidR="003405ED" w:rsidRPr="00C54A19" w:rsidRDefault="00C962FC" w:rsidP="003405ED">
            <w:pPr>
              <w:spacing w:after="0" w:line="240" w:lineRule="auto"/>
              <w:rPr>
                <w:rFonts w:ascii="Calibri" w:eastAsia="Times New Roman" w:hAnsi="Calibri" w:cs="Calibri"/>
                <w:bCs/>
                <w:color w:val="000000" w:themeColor="text1"/>
                <w:sz w:val="20"/>
                <w:szCs w:val="20"/>
                <w:lang w:eastAsia="en-AU"/>
              </w:rPr>
            </w:pPr>
            <w:r>
              <w:rPr>
                <w:rFonts w:ascii="Calibri" w:eastAsia="Times New Roman" w:hAnsi="Calibri" w:cs="Calibri"/>
                <w:bCs/>
                <w:color w:val="000000" w:themeColor="text1"/>
                <w:sz w:val="20"/>
                <w:szCs w:val="20"/>
                <w:lang w:eastAsia="en-AU"/>
              </w:rPr>
              <w:t xml:space="preserve">Geographic area: </w:t>
            </w:r>
            <w:r w:rsidR="003405ED" w:rsidRPr="00C54A19">
              <w:rPr>
                <w:rFonts w:ascii="Calibri" w:eastAsia="Times New Roman" w:hAnsi="Calibri" w:cs="Calibri"/>
                <w:bCs/>
                <w:color w:val="000000" w:themeColor="text1"/>
                <w:sz w:val="20"/>
                <w:szCs w:val="20"/>
                <w:lang w:eastAsia="en-AU"/>
              </w:rPr>
              <w:t>Low</w:t>
            </w:r>
            <w:r>
              <w:rPr>
                <w:rFonts w:ascii="Calibri" w:eastAsia="Times New Roman" w:hAnsi="Calibri" w:cs="Calibri"/>
                <w:bCs/>
                <w:color w:val="000000" w:themeColor="text1"/>
                <w:sz w:val="20"/>
                <w:szCs w:val="20"/>
                <w:lang w:eastAsia="en-AU"/>
              </w:rPr>
              <w:t xml:space="preserve"> to moderate disadvantage ESA</w:t>
            </w:r>
          </w:p>
        </w:tc>
        <w:tc>
          <w:tcPr>
            <w:tcW w:w="5245" w:type="dxa"/>
            <w:shd w:val="clear" w:color="auto" w:fill="FFFFFF" w:themeFill="background2"/>
            <w:noWrap/>
            <w:vAlign w:val="center"/>
            <w:hideMark/>
          </w:tcPr>
          <w:p w:rsidR="003405ED" w:rsidRPr="00C54A19" w:rsidRDefault="00C962FC" w:rsidP="003405ED">
            <w:pPr>
              <w:spacing w:after="0" w:line="240" w:lineRule="auto"/>
              <w:rPr>
                <w:rFonts w:ascii="Calibri" w:eastAsia="Times New Roman" w:hAnsi="Calibri" w:cs="Calibri"/>
                <w:bCs/>
                <w:color w:val="000000" w:themeColor="text1"/>
                <w:sz w:val="20"/>
                <w:szCs w:val="20"/>
                <w:lang w:eastAsia="en-AU"/>
              </w:rPr>
            </w:pPr>
            <w:r>
              <w:rPr>
                <w:rFonts w:ascii="Calibri" w:eastAsia="Times New Roman" w:hAnsi="Calibri" w:cs="Calibri"/>
                <w:bCs/>
                <w:color w:val="000000" w:themeColor="text1"/>
                <w:sz w:val="20"/>
                <w:szCs w:val="20"/>
                <w:lang w:eastAsia="en-AU"/>
              </w:rPr>
              <w:t xml:space="preserve">Geographic area: </w:t>
            </w:r>
            <w:r w:rsidR="003405ED" w:rsidRPr="00C54A19">
              <w:rPr>
                <w:rFonts w:ascii="Calibri" w:eastAsia="Times New Roman" w:hAnsi="Calibri" w:cs="Calibri"/>
                <w:bCs/>
                <w:color w:val="000000" w:themeColor="text1"/>
                <w:sz w:val="20"/>
                <w:szCs w:val="20"/>
                <w:lang w:eastAsia="en-AU"/>
              </w:rPr>
              <w:t>Ve</w:t>
            </w:r>
            <w:r>
              <w:rPr>
                <w:rFonts w:ascii="Calibri" w:eastAsia="Times New Roman" w:hAnsi="Calibri" w:cs="Calibri"/>
                <w:bCs/>
                <w:color w:val="000000" w:themeColor="text1"/>
                <w:sz w:val="20"/>
                <w:szCs w:val="20"/>
                <w:lang w:eastAsia="en-AU"/>
              </w:rPr>
              <w:t>ry low disadvantage ESA</w:t>
            </w:r>
          </w:p>
        </w:tc>
        <w:tc>
          <w:tcPr>
            <w:tcW w:w="1417" w:type="dxa"/>
            <w:shd w:val="clear" w:color="auto" w:fill="FFFFFF" w:themeFill="background2"/>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-5.3</w:t>
            </w:r>
          </w:p>
        </w:tc>
        <w:tc>
          <w:tcPr>
            <w:tcW w:w="1418" w:type="dxa"/>
            <w:shd w:val="clear" w:color="auto" w:fill="FFFFFF" w:themeFill="background2"/>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0.034</w:t>
            </w:r>
          </w:p>
        </w:tc>
      </w:tr>
      <w:tr w:rsidR="003405ED" w:rsidRPr="00C54A19" w:rsidTr="003405ED">
        <w:trPr>
          <w:trHeight w:val="397"/>
        </w:trPr>
        <w:tc>
          <w:tcPr>
            <w:tcW w:w="5969" w:type="dxa"/>
            <w:shd w:val="clear" w:color="auto" w:fill="E5E5E5" w:themeFill="background1" w:themeFillTint="33"/>
            <w:noWrap/>
            <w:vAlign w:val="center"/>
            <w:hideMark/>
          </w:tcPr>
          <w:p w:rsidR="003405ED" w:rsidRPr="00C54A19" w:rsidRDefault="00C962FC" w:rsidP="003405ED">
            <w:pPr>
              <w:spacing w:after="0" w:line="240" w:lineRule="auto"/>
              <w:rPr>
                <w:rFonts w:ascii="Calibri" w:eastAsia="Times New Roman" w:hAnsi="Calibri" w:cs="Calibri"/>
                <w:bCs/>
                <w:color w:val="000000" w:themeColor="text1"/>
                <w:sz w:val="20"/>
                <w:szCs w:val="20"/>
                <w:lang w:eastAsia="en-AU"/>
              </w:rPr>
            </w:pPr>
            <w:r>
              <w:rPr>
                <w:rFonts w:ascii="Calibri" w:eastAsia="Times New Roman" w:hAnsi="Calibri" w:cs="Calibri"/>
                <w:bCs/>
                <w:color w:val="000000" w:themeColor="text1"/>
                <w:sz w:val="20"/>
                <w:szCs w:val="20"/>
                <w:lang w:eastAsia="en-AU"/>
              </w:rPr>
              <w:t>Geographic area:</w:t>
            </w:r>
            <w:r w:rsidR="003405ED" w:rsidRPr="00C54A19">
              <w:rPr>
                <w:rFonts w:ascii="Calibri" w:eastAsia="Times New Roman" w:hAnsi="Calibri" w:cs="Calibri"/>
                <w:bCs/>
                <w:color w:val="000000" w:themeColor="text1"/>
                <w:sz w:val="20"/>
                <w:szCs w:val="20"/>
                <w:lang w:eastAsia="en-AU"/>
              </w:rPr>
              <w:t xml:space="preserve"> Mode</w:t>
            </w:r>
            <w:r>
              <w:rPr>
                <w:rFonts w:ascii="Calibri" w:eastAsia="Times New Roman" w:hAnsi="Calibri" w:cs="Calibri"/>
                <w:bCs/>
                <w:color w:val="000000" w:themeColor="text1"/>
                <w:sz w:val="20"/>
                <w:szCs w:val="20"/>
                <w:lang w:eastAsia="en-AU"/>
              </w:rPr>
              <w:t>rate to high disadvantage ESA</w:t>
            </w:r>
          </w:p>
        </w:tc>
        <w:tc>
          <w:tcPr>
            <w:tcW w:w="5245" w:type="dxa"/>
            <w:shd w:val="clear" w:color="auto" w:fill="E5E5E5" w:themeFill="background1" w:themeFillTint="33"/>
            <w:noWrap/>
            <w:vAlign w:val="center"/>
            <w:hideMark/>
          </w:tcPr>
          <w:p w:rsidR="003405ED" w:rsidRPr="00C54A19" w:rsidRDefault="00C962FC" w:rsidP="003405ED">
            <w:pPr>
              <w:spacing w:after="0" w:line="240" w:lineRule="auto"/>
              <w:rPr>
                <w:rFonts w:ascii="Calibri" w:eastAsia="Times New Roman" w:hAnsi="Calibri" w:cs="Calibri"/>
                <w:bCs/>
                <w:color w:val="000000" w:themeColor="text1"/>
                <w:sz w:val="20"/>
                <w:szCs w:val="20"/>
                <w:lang w:eastAsia="en-AU"/>
              </w:rPr>
            </w:pPr>
            <w:r>
              <w:rPr>
                <w:rFonts w:ascii="Calibri" w:eastAsia="Times New Roman" w:hAnsi="Calibri" w:cs="Calibri"/>
                <w:bCs/>
                <w:color w:val="000000" w:themeColor="text1"/>
                <w:sz w:val="20"/>
                <w:szCs w:val="20"/>
                <w:lang w:eastAsia="en-AU"/>
              </w:rPr>
              <w:t>Geographic area: Very low disadvantage ESA</w:t>
            </w:r>
          </w:p>
        </w:tc>
        <w:tc>
          <w:tcPr>
            <w:tcW w:w="1417" w:type="dxa"/>
            <w:shd w:val="clear" w:color="auto" w:fill="E5E5E5" w:themeFill="background1" w:themeFillTint="33"/>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-5.3</w:t>
            </w:r>
          </w:p>
        </w:tc>
        <w:tc>
          <w:tcPr>
            <w:tcW w:w="1418" w:type="dxa"/>
            <w:shd w:val="clear" w:color="auto" w:fill="E5E5E5" w:themeFill="background1" w:themeFillTint="33"/>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0.041</w:t>
            </w:r>
          </w:p>
        </w:tc>
      </w:tr>
      <w:tr w:rsidR="003405ED" w:rsidRPr="00C54A19" w:rsidTr="003405ED">
        <w:trPr>
          <w:trHeight w:val="397"/>
        </w:trPr>
        <w:tc>
          <w:tcPr>
            <w:tcW w:w="5969" w:type="dxa"/>
            <w:shd w:val="clear" w:color="auto" w:fill="FFFFFF" w:themeFill="background2"/>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Vocati</w:t>
            </w:r>
            <w:r w:rsidR="00C962FC">
              <w:rPr>
                <w:rFonts w:ascii="Calibri" w:eastAsia="Times New Roman" w:hAnsi="Calibri" w:cs="Calibri"/>
                <w:bCs/>
                <w:color w:val="000000" w:themeColor="text1"/>
                <w:sz w:val="20"/>
                <w:szCs w:val="20"/>
                <w:lang w:eastAsia="en-AU"/>
              </w:rPr>
              <w:t>onal qualifications not useful</w:t>
            </w:r>
          </w:p>
        </w:tc>
        <w:tc>
          <w:tcPr>
            <w:tcW w:w="5245" w:type="dxa"/>
            <w:shd w:val="clear" w:color="auto" w:fill="FFFFFF" w:themeFill="background2"/>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Has useful vocational qualifications</w:t>
            </w:r>
          </w:p>
        </w:tc>
        <w:tc>
          <w:tcPr>
            <w:tcW w:w="1417" w:type="dxa"/>
            <w:shd w:val="clear" w:color="auto" w:fill="FFFFFF" w:themeFill="background2"/>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-0.9</w:t>
            </w:r>
          </w:p>
        </w:tc>
        <w:tc>
          <w:tcPr>
            <w:tcW w:w="1418" w:type="dxa"/>
            <w:shd w:val="clear" w:color="auto" w:fill="FFFFFF" w:themeFill="background2"/>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0.722</w:t>
            </w:r>
          </w:p>
        </w:tc>
      </w:tr>
      <w:tr w:rsidR="003405ED" w:rsidRPr="00C54A19" w:rsidTr="003405ED">
        <w:trPr>
          <w:trHeight w:val="397"/>
        </w:trPr>
        <w:tc>
          <w:tcPr>
            <w:tcW w:w="5969" w:type="dxa"/>
            <w:shd w:val="clear" w:color="auto" w:fill="E5E5E5" w:themeFill="background1" w:themeFillTint="33"/>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No vocational q</w:t>
            </w:r>
            <w:r w:rsidR="00C962FC">
              <w:rPr>
                <w:rFonts w:ascii="Calibri" w:eastAsia="Times New Roman" w:hAnsi="Calibri" w:cs="Calibri"/>
                <w:bCs/>
                <w:color w:val="000000" w:themeColor="text1"/>
                <w:sz w:val="20"/>
                <w:szCs w:val="20"/>
                <w:lang w:eastAsia="en-AU"/>
              </w:rPr>
              <w:t>ualifications</w:t>
            </w:r>
          </w:p>
        </w:tc>
        <w:tc>
          <w:tcPr>
            <w:tcW w:w="5245" w:type="dxa"/>
            <w:shd w:val="clear" w:color="auto" w:fill="E5E5E5" w:themeFill="background1" w:themeFillTint="33"/>
            <w:noWrap/>
            <w:vAlign w:val="center"/>
            <w:hideMark/>
          </w:tcPr>
          <w:p w:rsidR="003405ED" w:rsidRPr="00C54A19" w:rsidRDefault="003405ED" w:rsidP="003405ED">
            <w:pPr>
              <w:spacing w:after="0" w:line="240" w:lineRule="auto"/>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Has useful vocational qualifications</w:t>
            </w:r>
          </w:p>
        </w:tc>
        <w:tc>
          <w:tcPr>
            <w:tcW w:w="1417" w:type="dxa"/>
            <w:shd w:val="clear" w:color="auto" w:fill="E5E5E5" w:themeFill="background1" w:themeFillTint="33"/>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-1.1</w:t>
            </w:r>
          </w:p>
        </w:tc>
        <w:tc>
          <w:tcPr>
            <w:tcW w:w="1418" w:type="dxa"/>
            <w:shd w:val="clear" w:color="auto" w:fill="E5E5E5" w:themeFill="background1" w:themeFillTint="33"/>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0.467</w:t>
            </w:r>
          </w:p>
        </w:tc>
      </w:tr>
      <w:tr w:rsidR="003405ED" w:rsidRPr="00C54A19" w:rsidTr="003405ED">
        <w:trPr>
          <w:trHeight w:val="397"/>
        </w:trPr>
        <w:tc>
          <w:tcPr>
            <w:tcW w:w="5969" w:type="dxa"/>
            <w:shd w:val="clear" w:color="auto" w:fill="FFFFFF" w:themeFill="background2"/>
            <w:noWrap/>
            <w:vAlign w:val="center"/>
            <w:hideMark/>
          </w:tcPr>
          <w:p w:rsidR="003405ED" w:rsidRPr="00C54A19" w:rsidRDefault="00C962FC" w:rsidP="003405ED">
            <w:pPr>
              <w:spacing w:after="0" w:line="240" w:lineRule="auto"/>
              <w:rPr>
                <w:rFonts w:ascii="Calibri" w:eastAsia="Times New Roman" w:hAnsi="Calibri" w:cs="Calibri"/>
                <w:bCs/>
                <w:color w:val="000000" w:themeColor="text1"/>
                <w:sz w:val="20"/>
                <w:szCs w:val="20"/>
                <w:lang w:eastAsia="en-AU"/>
              </w:rPr>
            </w:pPr>
            <w:r>
              <w:rPr>
                <w:rFonts w:ascii="Calibri" w:eastAsia="Times New Roman" w:hAnsi="Calibri" w:cs="Calibri"/>
                <w:bCs/>
                <w:color w:val="000000" w:themeColor="text1"/>
                <w:sz w:val="20"/>
                <w:szCs w:val="20"/>
                <w:lang w:eastAsia="en-AU"/>
              </w:rPr>
              <w:t>Recent work experience: P</w:t>
            </w:r>
            <w:r w:rsidR="003405ED" w:rsidRPr="00C54A19">
              <w:rPr>
                <w:rFonts w:ascii="Calibri" w:eastAsia="Times New Roman" w:hAnsi="Calibri" w:cs="Calibri"/>
                <w:bCs/>
                <w:color w:val="000000" w:themeColor="text1"/>
                <w:sz w:val="20"/>
                <w:szCs w:val="20"/>
                <w:lang w:eastAsia="en-AU"/>
              </w:rPr>
              <w:t>art-time</w:t>
            </w:r>
            <w:r>
              <w:rPr>
                <w:rFonts w:ascii="Calibri" w:eastAsia="Times New Roman" w:hAnsi="Calibri" w:cs="Calibri"/>
                <w:bCs/>
                <w:color w:val="000000" w:themeColor="text1"/>
                <w:sz w:val="20"/>
                <w:szCs w:val="20"/>
                <w:lang w:eastAsia="en-AU"/>
              </w:rPr>
              <w:t xml:space="preserve"> (&lt;8 hours/week)/Seasonal work</w:t>
            </w:r>
          </w:p>
        </w:tc>
        <w:tc>
          <w:tcPr>
            <w:tcW w:w="5245" w:type="dxa"/>
            <w:shd w:val="clear" w:color="auto" w:fill="FFFFFF" w:themeFill="background2"/>
            <w:noWrap/>
            <w:vAlign w:val="center"/>
            <w:hideMark/>
          </w:tcPr>
          <w:p w:rsidR="003405ED" w:rsidRPr="00C54A19" w:rsidRDefault="00C962FC" w:rsidP="00427FA0">
            <w:pPr>
              <w:spacing w:after="0" w:line="240" w:lineRule="auto"/>
              <w:rPr>
                <w:rFonts w:ascii="Calibri" w:eastAsia="Times New Roman" w:hAnsi="Calibri" w:cs="Calibri"/>
                <w:bCs/>
                <w:color w:val="000000" w:themeColor="text1"/>
                <w:sz w:val="20"/>
                <w:szCs w:val="20"/>
                <w:lang w:eastAsia="en-AU"/>
              </w:rPr>
            </w:pPr>
            <w:r>
              <w:rPr>
                <w:rFonts w:ascii="Calibri" w:eastAsia="Times New Roman" w:hAnsi="Calibri" w:cs="Calibri"/>
                <w:bCs/>
                <w:color w:val="000000" w:themeColor="text1"/>
                <w:sz w:val="20"/>
                <w:szCs w:val="20"/>
                <w:lang w:eastAsia="en-AU"/>
              </w:rPr>
              <w:t xml:space="preserve">Recent work experience: </w:t>
            </w:r>
            <w:r w:rsidR="003405ED" w:rsidRPr="00C54A19">
              <w:rPr>
                <w:rFonts w:ascii="Calibri" w:eastAsia="Times New Roman" w:hAnsi="Calibri" w:cs="Calibri"/>
                <w:bCs/>
                <w:color w:val="000000" w:themeColor="text1"/>
                <w:sz w:val="20"/>
                <w:szCs w:val="20"/>
                <w:lang w:eastAsia="en-AU"/>
              </w:rPr>
              <w:t>Full-time/Part-time (8</w:t>
            </w:r>
            <w:r w:rsidR="00427FA0" w:rsidRPr="00C54A19">
              <w:rPr>
                <w:rFonts w:ascii="Calibri" w:eastAsia="Times New Roman" w:hAnsi="Calibri" w:cs="Calibri"/>
                <w:bCs/>
                <w:color w:val="000000" w:themeColor="text1"/>
                <w:sz w:val="20"/>
                <w:szCs w:val="20"/>
                <w:lang w:eastAsia="en-AU"/>
              </w:rPr>
              <w:t>─</w:t>
            </w:r>
            <w:r w:rsidR="003405ED" w:rsidRPr="00C54A19">
              <w:rPr>
                <w:rFonts w:ascii="Calibri" w:eastAsia="Times New Roman" w:hAnsi="Calibri" w:cs="Calibri"/>
                <w:bCs/>
                <w:color w:val="000000" w:themeColor="text1"/>
                <w:sz w:val="20"/>
                <w:szCs w:val="20"/>
                <w:lang w:eastAsia="en-AU"/>
              </w:rPr>
              <w:t>30</w:t>
            </w:r>
            <w:r w:rsidR="00427FA0" w:rsidRPr="00C54A19">
              <w:rPr>
                <w:rFonts w:ascii="Calibri" w:eastAsia="Times New Roman" w:hAnsi="Calibri" w:cs="Calibri"/>
                <w:bCs/>
                <w:color w:val="000000" w:themeColor="text1"/>
                <w:sz w:val="20"/>
                <w:szCs w:val="20"/>
                <w:lang w:eastAsia="en-AU"/>
              </w:rPr>
              <w:t> </w:t>
            </w:r>
            <w:r w:rsidR="003405ED" w:rsidRPr="00C54A19">
              <w:rPr>
                <w:rFonts w:ascii="Calibri" w:eastAsia="Times New Roman" w:hAnsi="Calibri" w:cs="Calibri"/>
                <w:bCs/>
                <w:color w:val="000000" w:themeColor="text1"/>
                <w:sz w:val="20"/>
                <w:szCs w:val="20"/>
                <w:lang w:eastAsia="en-AU"/>
              </w:rPr>
              <w:t>hours/week)</w:t>
            </w:r>
          </w:p>
        </w:tc>
        <w:tc>
          <w:tcPr>
            <w:tcW w:w="1417" w:type="dxa"/>
            <w:shd w:val="clear" w:color="auto" w:fill="FFFFFF" w:themeFill="background2"/>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2.2</w:t>
            </w:r>
          </w:p>
        </w:tc>
        <w:tc>
          <w:tcPr>
            <w:tcW w:w="1418" w:type="dxa"/>
            <w:shd w:val="clear" w:color="auto" w:fill="FFFFFF" w:themeFill="background2"/>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0.486</w:t>
            </w:r>
          </w:p>
        </w:tc>
      </w:tr>
      <w:tr w:rsidR="003405ED" w:rsidRPr="00C54A19" w:rsidTr="003405ED">
        <w:trPr>
          <w:trHeight w:val="397"/>
        </w:trPr>
        <w:tc>
          <w:tcPr>
            <w:tcW w:w="5969" w:type="dxa"/>
            <w:shd w:val="clear" w:color="auto" w:fill="E5E5E5" w:themeFill="background1" w:themeFillTint="33"/>
            <w:noWrap/>
            <w:vAlign w:val="center"/>
            <w:hideMark/>
          </w:tcPr>
          <w:p w:rsidR="003405ED" w:rsidRPr="00C54A19" w:rsidRDefault="00C962FC" w:rsidP="003405ED">
            <w:pPr>
              <w:spacing w:after="0" w:line="240" w:lineRule="auto"/>
              <w:rPr>
                <w:rFonts w:ascii="Calibri" w:eastAsia="Times New Roman" w:hAnsi="Calibri" w:cs="Calibri"/>
                <w:bCs/>
                <w:color w:val="000000" w:themeColor="text1"/>
                <w:sz w:val="20"/>
                <w:szCs w:val="20"/>
                <w:lang w:eastAsia="en-AU"/>
              </w:rPr>
            </w:pPr>
            <w:r>
              <w:rPr>
                <w:rFonts w:ascii="Calibri" w:eastAsia="Times New Roman" w:hAnsi="Calibri" w:cs="Calibri"/>
                <w:bCs/>
                <w:color w:val="000000" w:themeColor="text1"/>
                <w:sz w:val="20"/>
                <w:szCs w:val="20"/>
                <w:lang w:eastAsia="en-AU"/>
              </w:rPr>
              <w:t xml:space="preserve">Recent work experience: </w:t>
            </w:r>
            <w:r w:rsidR="003405ED" w:rsidRPr="00C54A19">
              <w:rPr>
                <w:rFonts w:ascii="Calibri" w:eastAsia="Times New Roman" w:hAnsi="Calibri" w:cs="Calibri"/>
                <w:bCs/>
                <w:color w:val="000000" w:themeColor="text1"/>
                <w:sz w:val="20"/>
                <w:szCs w:val="20"/>
                <w:lang w:eastAsia="en-AU"/>
              </w:rPr>
              <w:t>Ou</w:t>
            </w:r>
            <w:r>
              <w:rPr>
                <w:rFonts w:ascii="Calibri" w:eastAsia="Times New Roman" w:hAnsi="Calibri" w:cs="Calibri"/>
                <w:bCs/>
                <w:color w:val="000000" w:themeColor="text1"/>
                <w:sz w:val="20"/>
                <w:szCs w:val="20"/>
                <w:lang w:eastAsia="en-AU"/>
              </w:rPr>
              <w:t>tside the labour force/unpaid</w:t>
            </w:r>
          </w:p>
        </w:tc>
        <w:tc>
          <w:tcPr>
            <w:tcW w:w="5245" w:type="dxa"/>
            <w:shd w:val="clear" w:color="auto" w:fill="E5E5E5" w:themeFill="background1" w:themeFillTint="33"/>
            <w:noWrap/>
            <w:vAlign w:val="center"/>
            <w:hideMark/>
          </w:tcPr>
          <w:p w:rsidR="003405ED" w:rsidRPr="00C54A19" w:rsidRDefault="00C962FC" w:rsidP="00427FA0">
            <w:pPr>
              <w:spacing w:after="0" w:line="240" w:lineRule="auto"/>
              <w:rPr>
                <w:rFonts w:ascii="Calibri" w:eastAsia="Times New Roman" w:hAnsi="Calibri" w:cs="Calibri"/>
                <w:bCs/>
                <w:color w:val="000000" w:themeColor="text1"/>
                <w:sz w:val="20"/>
                <w:szCs w:val="20"/>
                <w:lang w:eastAsia="en-AU"/>
              </w:rPr>
            </w:pPr>
            <w:r>
              <w:rPr>
                <w:rFonts w:ascii="Calibri" w:eastAsia="Times New Roman" w:hAnsi="Calibri" w:cs="Calibri"/>
                <w:bCs/>
                <w:color w:val="000000" w:themeColor="text1"/>
                <w:sz w:val="20"/>
                <w:szCs w:val="20"/>
                <w:lang w:eastAsia="en-AU"/>
              </w:rPr>
              <w:t xml:space="preserve">Recent work experience: </w:t>
            </w:r>
            <w:r w:rsidR="003405ED" w:rsidRPr="00C54A19">
              <w:rPr>
                <w:rFonts w:ascii="Calibri" w:eastAsia="Times New Roman" w:hAnsi="Calibri" w:cs="Calibri"/>
                <w:bCs/>
                <w:color w:val="000000" w:themeColor="text1"/>
                <w:sz w:val="20"/>
                <w:szCs w:val="20"/>
                <w:lang w:eastAsia="en-AU"/>
              </w:rPr>
              <w:t>Full-time/Part-time (8</w:t>
            </w:r>
            <w:r w:rsidR="00427FA0" w:rsidRPr="00C54A19">
              <w:rPr>
                <w:rFonts w:ascii="Calibri" w:eastAsia="Times New Roman" w:hAnsi="Calibri" w:cs="Calibri"/>
                <w:bCs/>
                <w:color w:val="000000" w:themeColor="text1"/>
                <w:sz w:val="20"/>
                <w:szCs w:val="20"/>
                <w:lang w:eastAsia="en-AU"/>
              </w:rPr>
              <w:t>─3</w:t>
            </w:r>
            <w:r w:rsidR="003405ED" w:rsidRPr="00C54A19">
              <w:rPr>
                <w:rFonts w:ascii="Calibri" w:eastAsia="Times New Roman" w:hAnsi="Calibri" w:cs="Calibri"/>
                <w:bCs/>
                <w:color w:val="000000" w:themeColor="text1"/>
                <w:sz w:val="20"/>
                <w:szCs w:val="20"/>
                <w:lang w:eastAsia="en-AU"/>
              </w:rPr>
              <w:t>0</w:t>
            </w:r>
            <w:r w:rsidR="00427FA0" w:rsidRPr="00C54A19">
              <w:rPr>
                <w:rFonts w:ascii="Calibri" w:eastAsia="Times New Roman" w:hAnsi="Calibri" w:cs="Calibri"/>
                <w:bCs/>
                <w:color w:val="000000" w:themeColor="text1"/>
                <w:sz w:val="20"/>
                <w:szCs w:val="20"/>
                <w:lang w:eastAsia="en-AU"/>
              </w:rPr>
              <w:t> </w:t>
            </w:r>
            <w:r w:rsidR="003405ED" w:rsidRPr="00C54A19">
              <w:rPr>
                <w:rFonts w:ascii="Calibri" w:eastAsia="Times New Roman" w:hAnsi="Calibri" w:cs="Calibri"/>
                <w:bCs/>
                <w:color w:val="000000" w:themeColor="text1"/>
                <w:sz w:val="20"/>
                <w:szCs w:val="20"/>
                <w:lang w:eastAsia="en-AU"/>
              </w:rPr>
              <w:t>hours/week)</w:t>
            </w:r>
          </w:p>
        </w:tc>
        <w:tc>
          <w:tcPr>
            <w:tcW w:w="1417" w:type="dxa"/>
            <w:shd w:val="clear" w:color="auto" w:fill="E5E5E5" w:themeFill="background1" w:themeFillTint="33"/>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5.5</w:t>
            </w:r>
          </w:p>
        </w:tc>
        <w:tc>
          <w:tcPr>
            <w:tcW w:w="1418" w:type="dxa"/>
            <w:shd w:val="clear" w:color="auto" w:fill="E5E5E5" w:themeFill="background1" w:themeFillTint="33"/>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0.000</w:t>
            </w:r>
          </w:p>
        </w:tc>
      </w:tr>
      <w:tr w:rsidR="003405ED" w:rsidRPr="00C54A19" w:rsidTr="003405ED">
        <w:trPr>
          <w:trHeight w:val="397"/>
        </w:trPr>
        <w:tc>
          <w:tcPr>
            <w:tcW w:w="5969" w:type="dxa"/>
            <w:tcBorders>
              <w:bottom w:val="single" w:sz="4" w:space="0" w:color="auto"/>
            </w:tcBorders>
            <w:shd w:val="clear" w:color="auto" w:fill="FFFFFF" w:themeFill="background2"/>
            <w:noWrap/>
            <w:vAlign w:val="center"/>
            <w:hideMark/>
          </w:tcPr>
          <w:p w:rsidR="003405ED" w:rsidRPr="00C54A19" w:rsidRDefault="00C962FC" w:rsidP="003405ED">
            <w:pPr>
              <w:spacing w:after="0" w:line="240" w:lineRule="auto"/>
              <w:rPr>
                <w:rFonts w:ascii="Calibri" w:eastAsia="Times New Roman" w:hAnsi="Calibri" w:cs="Calibri"/>
                <w:bCs/>
                <w:color w:val="000000" w:themeColor="text1"/>
                <w:sz w:val="20"/>
                <w:szCs w:val="20"/>
                <w:lang w:eastAsia="en-AU"/>
              </w:rPr>
            </w:pPr>
            <w:r>
              <w:rPr>
                <w:rFonts w:ascii="Calibri" w:eastAsia="Times New Roman" w:hAnsi="Calibri" w:cs="Calibri"/>
                <w:bCs/>
                <w:color w:val="000000" w:themeColor="text1"/>
                <w:sz w:val="20"/>
                <w:szCs w:val="20"/>
                <w:lang w:eastAsia="en-AU"/>
              </w:rPr>
              <w:t>Recent work experience: Unemployed</w:t>
            </w:r>
          </w:p>
        </w:tc>
        <w:tc>
          <w:tcPr>
            <w:tcW w:w="5245" w:type="dxa"/>
            <w:tcBorders>
              <w:bottom w:val="single" w:sz="4" w:space="0" w:color="auto"/>
            </w:tcBorders>
            <w:shd w:val="clear" w:color="auto" w:fill="FFFFFF" w:themeFill="background2"/>
            <w:noWrap/>
            <w:vAlign w:val="center"/>
            <w:hideMark/>
          </w:tcPr>
          <w:p w:rsidR="003405ED" w:rsidRPr="00C54A19" w:rsidRDefault="00C962FC" w:rsidP="00427FA0">
            <w:pPr>
              <w:spacing w:after="0" w:line="240" w:lineRule="auto"/>
              <w:rPr>
                <w:rFonts w:ascii="Calibri" w:eastAsia="Times New Roman" w:hAnsi="Calibri" w:cs="Calibri"/>
                <w:bCs/>
                <w:color w:val="000000" w:themeColor="text1"/>
                <w:sz w:val="20"/>
                <w:szCs w:val="20"/>
                <w:lang w:eastAsia="en-AU"/>
              </w:rPr>
            </w:pPr>
            <w:r>
              <w:rPr>
                <w:rFonts w:ascii="Calibri" w:eastAsia="Times New Roman" w:hAnsi="Calibri" w:cs="Calibri"/>
                <w:bCs/>
                <w:color w:val="000000" w:themeColor="text1"/>
                <w:sz w:val="20"/>
                <w:szCs w:val="20"/>
                <w:lang w:eastAsia="en-AU"/>
              </w:rPr>
              <w:t xml:space="preserve">Recent work experience: </w:t>
            </w:r>
            <w:r w:rsidR="003405ED" w:rsidRPr="00C54A19">
              <w:rPr>
                <w:rFonts w:ascii="Calibri" w:eastAsia="Times New Roman" w:hAnsi="Calibri" w:cs="Calibri"/>
                <w:bCs/>
                <w:color w:val="000000" w:themeColor="text1"/>
                <w:sz w:val="20"/>
                <w:szCs w:val="20"/>
                <w:lang w:eastAsia="en-AU"/>
              </w:rPr>
              <w:t>Full-time/Part-time (8</w:t>
            </w:r>
            <w:r w:rsidR="00427FA0" w:rsidRPr="00C54A19">
              <w:rPr>
                <w:rFonts w:ascii="Calibri" w:eastAsia="Times New Roman" w:hAnsi="Calibri" w:cs="Calibri"/>
                <w:bCs/>
                <w:color w:val="000000" w:themeColor="text1"/>
                <w:sz w:val="20"/>
                <w:szCs w:val="20"/>
                <w:lang w:eastAsia="en-AU"/>
              </w:rPr>
              <w:t>─3</w:t>
            </w:r>
            <w:r w:rsidR="003405ED" w:rsidRPr="00C54A19">
              <w:rPr>
                <w:rFonts w:ascii="Calibri" w:eastAsia="Times New Roman" w:hAnsi="Calibri" w:cs="Calibri"/>
                <w:bCs/>
                <w:color w:val="000000" w:themeColor="text1"/>
                <w:sz w:val="20"/>
                <w:szCs w:val="20"/>
                <w:lang w:eastAsia="en-AU"/>
              </w:rPr>
              <w:t>0</w:t>
            </w:r>
            <w:r w:rsidR="00427FA0" w:rsidRPr="00C54A19">
              <w:rPr>
                <w:rFonts w:ascii="Calibri" w:eastAsia="Times New Roman" w:hAnsi="Calibri" w:cs="Calibri"/>
                <w:bCs/>
                <w:color w:val="000000" w:themeColor="text1"/>
                <w:sz w:val="20"/>
                <w:szCs w:val="20"/>
                <w:lang w:eastAsia="en-AU"/>
              </w:rPr>
              <w:t> </w:t>
            </w:r>
            <w:r w:rsidR="003405ED" w:rsidRPr="00C54A19">
              <w:rPr>
                <w:rFonts w:ascii="Calibri" w:eastAsia="Times New Roman" w:hAnsi="Calibri" w:cs="Calibri"/>
                <w:bCs/>
                <w:color w:val="000000" w:themeColor="text1"/>
                <w:sz w:val="20"/>
                <w:szCs w:val="20"/>
                <w:lang w:eastAsia="en-AU"/>
              </w:rPr>
              <w:t>hours/week)</w:t>
            </w:r>
          </w:p>
        </w:tc>
        <w:tc>
          <w:tcPr>
            <w:tcW w:w="1417" w:type="dxa"/>
            <w:tcBorders>
              <w:bottom w:val="single" w:sz="4" w:space="0" w:color="auto"/>
            </w:tcBorders>
            <w:shd w:val="clear" w:color="auto" w:fill="FFFFFF" w:themeFill="background2"/>
            <w:noWrap/>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0.9</w:t>
            </w:r>
          </w:p>
        </w:tc>
        <w:tc>
          <w:tcPr>
            <w:tcW w:w="1418" w:type="dxa"/>
            <w:tcBorders>
              <w:bottom w:val="single" w:sz="4" w:space="0" w:color="auto"/>
            </w:tcBorders>
            <w:shd w:val="clear" w:color="auto" w:fill="FFFFFF" w:themeFill="background2"/>
            <w:vAlign w:val="center"/>
            <w:hideMark/>
          </w:tcPr>
          <w:p w:rsidR="003405ED" w:rsidRPr="00C54A19" w:rsidRDefault="003405ED" w:rsidP="003405ED">
            <w:pPr>
              <w:spacing w:after="0" w:line="240" w:lineRule="auto"/>
              <w:ind w:left="-108" w:right="317"/>
              <w:jc w:val="right"/>
              <w:rPr>
                <w:rFonts w:ascii="Calibri" w:eastAsia="Times New Roman" w:hAnsi="Calibri" w:cs="Calibri"/>
                <w:bCs/>
                <w:color w:val="000000" w:themeColor="text1"/>
                <w:sz w:val="20"/>
                <w:szCs w:val="20"/>
                <w:lang w:eastAsia="en-AU"/>
              </w:rPr>
            </w:pPr>
            <w:r w:rsidRPr="00C54A19">
              <w:rPr>
                <w:rFonts w:ascii="Calibri" w:eastAsia="Times New Roman" w:hAnsi="Calibri" w:cs="Calibri"/>
                <w:bCs/>
                <w:color w:val="000000" w:themeColor="text1"/>
                <w:sz w:val="20"/>
                <w:szCs w:val="20"/>
                <w:lang w:eastAsia="en-AU"/>
              </w:rPr>
              <w:t>0.478</w:t>
            </w:r>
          </w:p>
        </w:tc>
      </w:tr>
    </w:tbl>
    <w:p w:rsidR="00217A0F" w:rsidRDefault="00217A0F">
      <w:pPr>
        <w:rPr>
          <w:b/>
          <w:sz w:val="20"/>
          <w:szCs w:val="20"/>
        </w:rPr>
      </w:pPr>
      <w:r>
        <w:rPr>
          <w:b/>
          <w:sz w:val="20"/>
          <w:szCs w:val="20"/>
        </w:rPr>
        <w:br w:type="page"/>
      </w:r>
    </w:p>
    <w:p w:rsidR="006E1C2B" w:rsidRDefault="006E1C2B" w:rsidP="006E1C2B">
      <w:pPr>
        <w:pStyle w:val="Source"/>
        <w:rPr>
          <w:b w:val="0"/>
        </w:rPr>
      </w:pPr>
      <w:r>
        <w:lastRenderedPageBreak/>
        <w:t>Notes</w:t>
      </w:r>
      <w:r w:rsidRPr="003B4D65">
        <w:rPr>
          <w:b w:val="0"/>
        </w:rPr>
        <w:t xml:space="preserve">: </w:t>
      </w:r>
    </w:p>
    <w:p w:rsidR="006E1C2B" w:rsidRPr="006E1C2B" w:rsidRDefault="006E1C2B" w:rsidP="00E3205B">
      <w:pPr>
        <w:pStyle w:val="Source"/>
        <w:numPr>
          <w:ilvl w:val="0"/>
          <w:numId w:val="82"/>
        </w:numPr>
        <w:rPr>
          <w:b w:val="0"/>
        </w:rPr>
      </w:pPr>
      <w:r w:rsidRPr="006E1C2B">
        <w:rPr>
          <w:b w:val="0"/>
        </w:rPr>
        <w:t xml:space="preserve">MEM </w:t>
      </w:r>
      <w:r w:rsidRPr="006E1C2B">
        <w:rPr>
          <w:b w:val="0"/>
          <w:color w:val="000000" w:themeColor="text1"/>
        </w:rPr>
        <w:t xml:space="preserve">stands for </w:t>
      </w:r>
      <w:r w:rsidRPr="006E1C2B">
        <w:rPr>
          <w:b w:val="0"/>
        </w:rPr>
        <w:t>Marginal effect on the mean.</w:t>
      </w:r>
      <w:r w:rsidRPr="006E1C2B">
        <w:rPr>
          <w:rFonts w:ascii="Arial" w:eastAsia="Times New Roman" w:hAnsi="Arial" w:cs="Arial"/>
          <w:b w:val="0"/>
          <w:bCs/>
          <w:color w:val="000000" w:themeColor="text1"/>
          <w:sz w:val="18"/>
          <w:szCs w:val="18"/>
          <w:lang w:eastAsia="en-AU"/>
        </w:rPr>
        <w:t xml:space="preserve"> </w:t>
      </w:r>
      <w:r w:rsidRPr="006E1C2B">
        <w:rPr>
          <w:b w:val="0"/>
        </w:rPr>
        <w:t xml:space="preserve">MEM are sorted in descending order. For example: single parents (after controlling for all other job seeker characteristics) were </w:t>
      </w:r>
      <w:r w:rsidR="009F13D5">
        <w:rPr>
          <w:b w:val="0"/>
        </w:rPr>
        <w:t>4.8</w:t>
      </w:r>
      <w:r w:rsidRPr="006E1C2B">
        <w:rPr>
          <w:b w:val="0"/>
        </w:rPr>
        <w:t xml:space="preserve"> percentage points more likely to have </w:t>
      </w:r>
      <w:r w:rsidR="009F13D5">
        <w:rPr>
          <w:b w:val="0"/>
        </w:rPr>
        <w:t>obtained a job placement</w:t>
      </w:r>
      <w:r w:rsidRPr="006E1C2B">
        <w:rPr>
          <w:b w:val="0"/>
        </w:rPr>
        <w:t xml:space="preserve"> than those who were not single parents.</w:t>
      </w:r>
    </w:p>
    <w:p w:rsidR="006E1C2B" w:rsidRPr="006E1C2B" w:rsidRDefault="006E1C2B" w:rsidP="00E3205B">
      <w:pPr>
        <w:pStyle w:val="Source"/>
        <w:numPr>
          <w:ilvl w:val="0"/>
          <w:numId w:val="82"/>
        </w:numPr>
        <w:rPr>
          <w:b w:val="0"/>
        </w:rPr>
      </w:pPr>
      <w:r w:rsidRPr="006E1C2B">
        <w:rPr>
          <w:b w:val="0"/>
        </w:rPr>
        <w:t>Demographic characteristics controlled for in the regression analysis are mostly obtained from the JSCI:</w:t>
      </w:r>
    </w:p>
    <w:p w:rsidR="00066793" w:rsidRPr="007F06E6" w:rsidRDefault="00066793" w:rsidP="00E3205B">
      <w:pPr>
        <w:pStyle w:val="ListParagraph"/>
        <w:numPr>
          <w:ilvl w:val="1"/>
          <w:numId w:val="8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a</w:t>
      </w:r>
      <w:r w:rsidRPr="007F06E6">
        <w:rPr>
          <w:rFonts w:ascii="Calibri" w:eastAsia="Times New Roman" w:hAnsi="Calibri" w:cs="Calibri"/>
          <w:color w:val="000000"/>
          <w:sz w:val="20"/>
          <w:szCs w:val="20"/>
          <w:lang w:eastAsia="en-AU"/>
        </w:rPr>
        <w:t>ccess to transport</w:t>
      </w:r>
    </w:p>
    <w:p w:rsidR="00066793" w:rsidRPr="007F06E6" w:rsidRDefault="00066793" w:rsidP="00E3205B">
      <w:pPr>
        <w:pStyle w:val="ListParagraph"/>
        <w:numPr>
          <w:ilvl w:val="1"/>
          <w:numId w:val="8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a</w:t>
      </w:r>
      <w:r w:rsidRPr="007F06E6">
        <w:rPr>
          <w:rFonts w:ascii="Calibri" w:eastAsia="Times New Roman" w:hAnsi="Calibri" w:cs="Calibri"/>
          <w:color w:val="000000"/>
          <w:sz w:val="20"/>
          <w:szCs w:val="20"/>
          <w:lang w:eastAsia="en-AU"/>
        </w:rPr>
        <w:t>ge</w:t>
      </w:r>
    </w:p>
    <w:p w:rsidR="00066793" w:rsidRPr="007F06E6" w:rsidRDefault="00066793" w:rsidP="00E3205B">
      <w:pPr>
        <w:pStyle w:val="ListParagraph"/>
        <w:numPr>
          <w:ilvl w:val="1"/>
          <w:numId w:val="82"/>
        </w:numPr>
        <w:spacing w:after="0" w:line="240" w:lineRule="auto"/>
        <w:rPr>
          <w:rFonts w:ascii="Calibri" w:eastAsia="Times New Roman" w:hAnsi="Calibri" w:cs="Calibri"/>
          <w:color w:val="000000"/>
          <w:sz w:val="20"/>
          <w:szCs w:val="20"/>
          <w:lang w:eastAsia="en-AU"/>
        </w:rPr>
      </w:pPr>
      <w:r w:rsidRPr="007F06E6">
        <w:rPr>
          <w:rFonts w:ascii="Calibri" w:eastAsia="Times New Roman" w:hAnsi="Calibri" w:cs="Calibri"/>
          <w:color w:val="000000"/>
          <w:sz w:val="20"/>
          <w:szCs w:val="20"/>
          <w:lang w:eastAsia="en-AU"/>
        </w:rPr>
        <w:t>CALD</w:t>
      </w:r>
      <w:r>
        <w:rPr>
          <w:rFonts w:ascii="Calibri" w:eastAsia="Times New Roman" w:hAnsi="Calibri" w:cs="Calibri"/>
          <w:color w:val="000000"/>
          <w:sz w:val="20"/>
          <w:szCs w:val="20"/>
          <w:lang w:eastAsia="en-AU"/>
        </w:rPr>
        <w:t xml:space="preserve"> status</w:t>
      </w:r>
    </w:p>
    <w:p w:rsidR="00066793" w:rsidRPr="007F06E6" w:rsidRDefault="00066793" w:rsidP="00E3205B">
      <w:pPr>
        <w:pStyle w:val="ListParagraph"/>
        <w:numPr>
          <w:ilvl w:val="1"/>
          <w:numId w:val="8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c</w:t>
      </w:r>
      <w:r w:rsidRPr="007F06E6">
        <w:rPr>
          <w:rFonts w:ascii="Calibri" w:eastAsia="Times New Roman" w:hAnsi="Calibri" w:cs="Calibri"/>
          <w:color w:val="000000"/>
          <w:sz w:val="20"/>
          <w:szCs w:val="20"/>
          <w:lang w:eastAsia="en-AU"/>
        </w:rPr>
        <w:t>ountry of birth</w:t>
      </w:r>
    </w:p>
    <w:p w:rsidR="00066793" w:rsidRPr="007F06E6" w:rsidRDefault="00066793" w:rsidP="00E3205B">
      <w:pPr>
        <w:pStyle w:val="ListParagraph"/>
        <w:numPr>
          <w:ilvl w:val="1"/>
          <w:numId w:val="82"/>
        </w:numPr>
        <w:spacing w:after="0" w:line="240" w:lineRule="auto"/>
        <w:rPr>
          <w:rFonts w:ascii="Calibri" w:eastAsia="Times New Roman" w:hAnsi="Calibri" w:cs="Calibri"/>
          <w:color w:val="000000"/>
          <w:sz w:val="20"/>
          <w:szCs w:val="20"/>
          <w:lang w:eastAsia="en-AU"/>
        </w:rPr>
      </w:pPr>
      <w:r w:rsidRPr="007F06E6">
        <w:rPr>
          <w:rFonts w:ascii="Calibri" w:eastAsia="Times New Roman" w:hAnsi="Calibri" w:cs="Calibri"/>
          <w:color w:val="000000"/>
          <w:sz w:val="20"/>
          <w:szCs w:val="20"/>
          <w:lang w:eastAsia="en-AU"/>
        </w:rPr>
        <w:t>English proficiency</w:t>
      </w:r>
    </w:p>
    <w:p w:rsidR="00066793" w:rsidRPr="007F06E6" w:rsidRDefault="00066793" w:rsidP="00E3205B">
      <w:pPr>
        <w:pStyle w:val="ListParagraph"/>
        <w:numPr>
          <w:ilvl w:val="1"/>
          <w:numId w:val="8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g</w:t>
      </w:r>
      <w:r w:rsidRPr="007F06E6">
        <w:rPr>
          <w:rFonts w:ascii="Calibri" w:eastAsia="Times New Roman" w:hAnsi="Calibri" w:cs="Calibri"/>
          <w:color w:val="000000"/>
          <w:sz w:val="20"/>
          <w:szCs w:val="20"/>
          <w:lang w:eastAsia="en-AU"/>
        </w:rPr>
        <w:t>ender</w:t>
      </w:r>
    </w:p>
    <w:p w:rsidR="00066793" w:rsidRPr="007F06E6" w:rsidRDefault="00066793" w:rsidP="00E3205B">
      <w:pPr>
        <w:pStyle w:val="ListParagraph"/>
        <w:numPr>
          <w:ilvl w:val="1"/>
          <w:numId w:val="8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g</w:t>
      </w:r>
      <w:r w:rsidRPr="007F06E6">
        <w:rPr>
          <w:rFonts w:ascii="Calibri" w:eastAsia="Times New Roman" w:hAnsi="Calibri" w:cs="Calibri"/>
          <w:color w:val="000000"/>
          <w:sz w:val="20"/>
          <w:szCs w:val="20"/>
          <w:lang w:eastAsia="en-AU"/>
        </w:rPr>
        <w:t>eographic level of disadvantage</w:t>
      </w:r>
    </w:p>
    <w:p w:rsidR="00066793" w:rsidRPr="007F06E6" w:rsidRDefault="00066793" w:rsidP="00E3205B">
      <w:pPr>
        <w:pStyle w:val="ListParagraph"/>
        <w:numPr>
          <w:ilvl w:val="1"/>
          <w:numId w:val="8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h</w:t>
      </w:r>
      <w:r w:rsidRPr="007F06E6">
        <w:rPr>
          <w:rFonts w:ascii="Calibri" w:eastAsia="Times New Roman" w:hAnsi="Calibri" w:cs="Calibri"/>
          <w:color w:val="000000"/>
          <w:sz w:val="20"/>
          <w:szCs w:val="20"/>
          <w:lang w:eastAsia="en-AU"/>
        </w:rPr>
        <w:t>ighest level of education</w:t>
      </w:r>
    </w:p>
    <w:p w:rsidR="00066793" w:rsidRPr="007F06E6" w:rsidRDefault="00066793" w:rsidP="00E3205B">
      <w:pPr>
        <w:pStyle w:val="ListParagraph"/>
        <w:numPr>
          <w:ilvl w:val="1"/>
          <w:numId w:val="8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a single parent</w:t>
      </w:r>
    </w:p>
    <w:p w:rsidR="00066793" w:rsidRPr="007F06E6" w:rsidRDefault="00066793" w:rsidP="00E3205B">
      <w:pPr>
        <w:pStyle w:val="ListParagraph"/>
        <w:numPr>
          <w:ilvl w:val="1"/>
          <w:numId w:val="8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an ex-offender</w:t>
      </w:r>
    </w:p>
    <w:p w:rsidR="00066793" w:rsidRPr="007F06E6" w:rsidRDefault="00066793" w:rsidP="00E3205B">
      <w:pPr>
        <w:pStyle w:val="ListParagraph"/>
        <w:numPr>
          <w:ilvl w:val="1"/>
          <w:numId w:val="8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contactable by telephone</w:t>
      </w:r>
    </w:p>
    <w:p w:rsidR="00066793" w:rsidRPr="007F06E6" w:rsidRDefault="00066793" w:rsidP="00E3205B">
      <w:pPr>
        <w:pStyle w:val="ListParagraph"/>
        <w:numPr>
          <w:ilvl w:val="1"/>
          <w:numId w:val="8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Indigenous</w:t>
      </w:r>
    </w:p>
    <w:p w:rsidR="00066793" w:rsidRPr="007F06E6" w:rsidRDefault="00066793" w:rsidP="00E3205B">
      <w:pPr>
        <w:pStyle w:val="ListParagraph"/>
        <w:numPr>
          <w:ilvl w:val="1"/>
          <w:numId w:val="8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with disability</w:t>
      </w:r>
    </w:p>
    <w:p w:rsidR="00066793" w:rsidRPr="007F06E6" w:rsidRDefault="00066793" w:rsidP="00E3205B">
      <w:pPr>
        <w:pStyle w:val="ListParagraph"/>
        <w:numPr>
          <w:ilvl w:val="1"/>
          <w:numId w:val="8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j</w:t>
      </w:r>
      <w:r w:rsidRPr="007F06E6">
        <w:rPr>
          <w:rFonts w:ascii="Calibri" w:eastAsia="Times New Roman" w:hAnsi="Calibri" w:cs="Calibri"/>
          <w:color w:val="000000"/>
          <w:sz w:val="20"/>
          <w:szCs w:val="20"/>
          <w:lang w:eastAsia="en-AU"/>
        </w:rPr>
        <w:t>ob</w:t>
      </w:r>
      <w:r w:rsidR="008477D2">
        <w:rPr>
          <w:rFonts w:ascii="Calibri" w:eastAsia="Times New Roman" w:hAnsi="Calibri" w:cs="Calibri"/>
          <w:color w:val="000000"/>
          <w:sz w:val="20"/>
          <w:szCs w:val="20"/>
          <w:lang w:eastAsia="en-AU"/>
        </w:rPr>
        <w:t xml:space="preserve"> </w:t>
      </w:r>
      <w:r w:rsidRPr="007F06E6">
        <w:rPr>
          <w:rFonts w:ascii="Calibri" w:eastAsia="Times New Roman" w:hAnsi="Calibri" w:cs="Calibri"/>
          <w:color w:val="000000"/>
          <w:sz w:val="20"/>
          <w:szCs w:val="20"/>
          <w:lang w:eastAsia="en-AU"/>
        </w:rPr>
        <w:t>seeker history</w:t>
      </w:r>
    </w:p>
    <w:p w:rsidR="00066793" w:rsidRPr="007F06E6" w:rsidRDefault="00066793" w:rsidP="00E3205B">
      <w:pPr>
        <w:pStyle w:val="ListParagraph"/>
        <w:numPr>
          <w:ilvl w:val="1"/>
          <w:numId w:val="8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 xml:space="preserve">personal </w:t>
      </w:r>
      <w:r w:rsidRPr="007F06E6">
        <w:rPr>
          <w:rFonts w:ascii="Calibri" w:eastAsia="Times New Roman" w:hAnsi="Calibri" w:cs="Calibri"/>
          <w:color w:val="000000"/>
          <w:sz w:val="20"/>
          <w:szCs w:val="20"/>
          <w:lang w:eastAsia="en-AU"/>
        </w:rPr>
        <w:t>factors</w:t>
      </w:r>
      <w:r>
        <w:rPr>
          <w:rFonts w:ascii="Calibri" w:eastAsia="Times New Roman" w:hAnsi="Calibri" w:cs="Calibri"/>
          <w:color w:val="000000"/>
          <w:sz w:val="20"/>
          <w:szCs w:val="20"/>
          <w:lang w:eastAsia="en-AU"/>
        </w:rPr>
        <w:t xml:space="preserve"> </w:t>
      </w:r>
    </w:p>
    <w:p w:rsidR="00066793" w:rsidRPr="007F06E6" w:rsidRDefault="00066793" w:rsidP="00E3205B">
      <w:pPr>
        <w:pStyle w:val="ListParagraph"/>
        <w:numPr>
          <w:ilvl w:val="1"/>
          <w:numId w:val="8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p</w:t>
      </w:r>
      <w:r w:rsidRPr="007F06E6">
        <w:rPr>
          <w:rFonts w:ascii="Calibri" w:eastAsia="Times New Roman" w:hAnsi="Calibri" w:cs="Calibri"/>
          <w:color w:val="000000"/>
          <w:sz w:val="20"/>
          <w:szCs w:val="20"/>
          <w:lang w:eastAsia="en-AU"/>
        </w:rPr>
        <w:t>roximity to the labour market</w:t>
      </w:r>
    </w:p>
    <w:p w:rsidR="00066793" w:rsidRPr="007F06E6" w:rsidRDefault="00066793" w:rsidP="00E3205B">
      <w:pPr>
        <w:pStyle w:val="ListParagraph"/>
        <w:numPr>
          <w:ilvl w:val="1"/>
          <w:numId w:val="8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r</w:t>
      </w:r>
      <w:r w:rsidRPr="007F06E6">
        <w:rPr>
          <w:rFonts w:ascii="Calibri" w:eastAsia="Times New Roman" w:hAnsi="Calibri" w:cs="Calibri"/>
          <w:color w:val="000000"/>
          <w:sz w:val="20"/>
          <w:szCs w:val="20"/>
          <w:lang w:eastAsia="en-AU"/>
        </w:rPr>
        <w:t>ecent work experience</w:t>
      </w:r>
    </w:p>
    <w:p w:rsidR="00066793" w:rsidRPr="007F06E6" w:rsidRDefault="00066793" w:rsidP="00E3205B">
      <w:pPr>
        <w:pStyle w:val="ListParagraph"/>
        <w:numPr>
          <w:ilvl w:val="1"/>
          <w:numId w:val="8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s</w:t>
      </w:r>
      <w:r w:rsidRPr="007F06E6">
        <w:rPr>
          <w:rFonts w:ascii="Calibri" w:eastAsia="Times New Roman" w:hAnsi="Calibri" w:cs="Calibri"/>
          <w:color w:val="000000"/>
          <w:sz w:val="20"/>
          <w:szCs w:val="20"/>
          <w:lang w:eastAsia="en-AU"/>
        </w:rPr>
        <w:t>tability of residence</w:t>
      </w:r>
    </w:p>
    <w:p w:rsidR="00066793" w:rsidRPr="007F06E6" w:rsidRDefault="00066793" w:rsidP="00E3205B">
      <w:pPr>
        <w:pStyle w:val="ListParagraph"/>
        <w:numPr>
          <w:ilvl w:val="1"/>
          <w:numId w:val="82"/>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t</w:t>
      </w:r>
      <w:r w:rsidRPr="007F06E6">
        <w:rPr>
          <w:rFonts w:ascii="Calibri" w:eastAsia="Times New Roman" w:hAnsi="Calibri" w:cs="Calibri"/>
          <w:color w:val="000000"/>
          <w:sz w:val="20"/>
          <w:szCs w:val="20"/>
          <w:lang w:eastAsia="en-AU"/>
        </w:rPr>
        <w:t>ime on income support</w:t>
      </w:r>
    </w:p>
    <w:p w:rsidR="00066793" w:rsidRPr="00F44FBD" w:rsidRDefault="00066793" w:rsidP="00E3205B">
      <w:pPr>
        <w:pStyle w:val="ListParagraph"/>
        <w:numPr>
          <w:ilvl w:val="1"/>
          <w:numId w:val="82"/>
        </w:numPr>
        <w:spacing w:after="0" w:line="240" w:lineRule="auto"/>
      </w:pPr>
      <w:r>
        <w:rPr>
          <w:rFonts w:ascii="Calibri" w:eastAsia="Times New Roman" w:hAnsi="Calibri" w:cs="Calibri"/>
          <w:color w:val="000000"/>
          <w:sz w:val="20"/>
          <w:szCs w:val="20"/>
          <w:lang w:eastAsia="en-AU"/>
        </w:rPr>
        <w:t>v</w:t>
      </w:r>
      <w:r w:rsidRPr="00F44FBD">
        <w:rPr>
          <w:rFonts w:ascii="Calibri" w:eastAsia="Times New Roman" w:hAnsi="Calibri" w:cs="Calibri"/>
          <w:color w:val="000000"/>
          <w:sz w:val="20"/>
          <w:szCs w:val="20"/>
          <w:lang w:eastAsia="en-AU"/>
        </w:rPr>
        <w:t>ocational qualifications.</w:t>
      </w:r>
    </w:p>
    <w:p w:rsidR="00582E1B" w:rsidRDefault="00AA0D08" w:rsidP="008477D2">
      <w:pPr>
        <w:pStyle w:val="Source"/>
        <w:rPr>
          <w:b w:val="0"/>
        </w:rPr>
      </w:pPr>
      <w:r w:rsidRPr="000615B6">
        <w:t>Source:</w:t>
      </w:r>
      <w:r w:rsidRPr="000615B6">
        <w:rPr>
          <w:b w:val="0"/>
        </w:rPr>
        <w:t xml:space="preserve"> Department of Employment administrative data and Research and Evaluation Database (RED).</w:t>
      </w:r>
    </w:p>
    <w:p w:rsidR="00D75340" w:rsidRDefault="00234D9B" w:rsidP="00234D9B">
      <w:pPr>
        <w:spacing w:before="120"/>
        <w:rPr>
          <w:sz w:val="20"/>
          <w:szCs w:val="20"/>
        </w:rPr>
        <w:sectPr w:rsidR="00D75340" w:rsidSect="00D75340">
          <w:pgSz w:w="16838" w:h="11906" w:orient="landscape" w:code="9"/>
          <w:pgMar w:top="1440" w:right="1440" w:bottom="1440" w:left="1440" w:header="709" w:footer="709" w:gutter="0"/>
          <w:cols w:space="708"/>
          <w:docGrid w:linePitch="360"/>
        </w:sectPr>
      </w:pPr>
      <w:r w:rsidRPr="00344ADF">
        <w:rPr>
          <w:sz w:val="20"/>
          <w:szCs w:val="20"/>
        </w:rPr>
        <w:t xml:space="preserve">Return </w:t>
      </w:r>
      <w:r>
        <w:rPr>
          <w:sz w:val="20"/>
          <w:szCs w:val="20"/>
        </w:rPr>
        <w:t xml:space="preserve">to </w:t>
      </w:r>
      <w:hyperlink w:anchor="Place_F13" w:history="1">
        <w:r w:rsidRPr="00D75340">
          <w:rPr>
            <w:rStyle w:val="Hyperlink"/>
            <w:sz w:val="20"/>
            <w:szCs w:val="20"/>
          </w:rPr>
          <w:t>Section 4.2.2</w:t>
        </w:r>
      </w:hyperlink>
      <w:r w:rsidR="00746C0E">
        <w:rPr>
          <w:sz w:val="20"/>
          <w:szCs w:val="20"/>
        </w:rPr>
        <w:t>.</w:t>
      </w:r>
    </w:p>
    <w:p w:rsidR="007C05BC" w:rsidRPr="0006372F" w:rsidRDefault="00AA009C" w:rsidP="0006372F">
      <w:pPr>
        <w:pStyle w:val="TableCaption"/>
      </w:pPr>
      <w:bookmarkStart w:id="281" w:name="_Toc507600330"/>
      <w:r>
        <w:lastRenderedPageBreak/>
        <w:t xml:space="preserve">Table </w:t>
      </w:r>
      <w:r w:rsidR="00603A49">
        <w:t>F</w:t>
      </w:r>
      <w:r>
        <w:t>.</w:t>
      </w:r>
      <w:r w:rsidR="00E76396">
        <w:t>14</w:t>
      </w:r>
      <w:r>
        <w:t xml:space="preserve">: </w:t>
      </w:r>
      <w:r w:rsidR="00841B30">
        <w:t>RDD model parameters for the t</w:t>
      </w:r>
      <w:r>
        <w:t>ime in employment services after becoming LTU by model type</w:t>
      </w:r>
      <w:r w:rsidR="00E85955">
        <w:t>, h</w:t>
      </w:r>
      <w:r w:rsidR="00BC37C7">
        <w:t>igher end of the JCB age</w:t>
      </w:r>
      <w:r w:rsidR="007C05BC" w:rsidRPr="007C05BC">
        <w:t xml:space="preserve"> range</w:t>
      </w:r>
      <w:bookmarkEnd w:id="281"/>
    </w:p>
    <w:tbl>
      <w:tblPr>
        <w:tblW w:w="8804" w:type="dxa"/>
        <w:tblInd w:w="93" w:type="dxa"/>
        <w:tblLook w:val="04A0" w:firstRow="1" w:lastRow="0" w:firstColumn="1" w:lastColumn="0" w:noHBand="0" w:noVBand="1"/>
      </w:tblPr>
      <w:tblGrid>
        <w:gridCol w:w="1020"/>
        <w:gridCol w:w="1940"/>
        <w:gridCol w:w="1940"/>
        <w:gridCol w:w="1778"/>
        <w:gridCol w:w="2126"/>
      </w:tblGrid>
      <w:tr w:rsidR="00D24BF8" w:rsidRPr="00D24BF8" w:rsidTr="00841B30">
        <w:trPr>
          <w:trHeight w:val="512"/>
          <w:tblHeader/>
        </w:trPr>
        <w:tc>
          <w:tcPr>
            <w:tcW w:w="1020" w:type="dxa"/>
            <w:tcBorders>
              <w:top w:val="nil"/>
              <w:left w:val="nil"/>
              <w:bottom w:val="nil"/>
              <w:right w:val="nil"/>
            </w:tcBorders>
            <w:shd w:val="clear" w:color="000000" w:fill="1E3D6B"/>
            <w:noWrap/>
            <w:vAlign w:val="bottom"/>
            <w:hideMark/>
          </w:tcPr>
          <w:p w:rsidR="00D24BF8" w:rsidRPr="00C54A19" w:rsidRDefault="00D24BF8" w:rsidP="00D24BF8">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bookmarkStart w:id="282" w:name="Title_F13"/>
            <w:bookmarkEnd w:id="282"/>
          </w:p>
        </w:tc>
        <w:tc>
          <w:tcPr>
            <w:tcW w:w="1940" w:type="dxa"/>
            <w:tcBorders>
              <w:top w:val="nil"/>
              <w:left w:val="nil"/>
              <w:bottom w:val="nil"/>
              <w:right w:val="nil"/>
            </w:tcBorders>
            <w:shd w:val="clear" w:color="000000" w:fill="1E3D6B"/>
            <w:vAlign w:val="center"/>
            <w:hideMark/>
          </w:tcPr>
          <w:p w:rsidR="00D24BF8" w:rsidRPr="00C54A19" w:rsidRDefault="00D24BF8" w:rsidP="00D24BF8">
            <w:pPr>
              <w:spacing w:after="0" w:line="240" w:lineRule="auto"/>
              <w:jc w:val="center"/>
              <w:rPr>
                <w:rFonts w:ascii="Calibri" w:eastAsia="Times New Roman" w:hAnsi="Calibri" w:cs="Calibri"/>
                <w:b/>
                <w:bCs/>
                <w:color w:val="FFFFFF"/>
                <w:sz w:val="20"/>
                <w:szCs w:val="20"/>
                <w:lang w:eastAsia="en-AU"/>
              </w:rPr>
            </w:pPr>
            <w:r w:rsidRPr="00C54A19">
              <w:rPr>
                <w:rFonts w:ascii="Calibri" w:eastAsia="Times New Roman" w:hAnsi="Calibri" w:cs="Calibri"/>
                <w:b/>
                <w:bCs/>
                <w:color w:val="FFFFFF"/>
                <w:sz w:val="20"/>
                <w:szCs w:val="20"/>
                <w:lang w:eastAsia="en-AU"/>
              </w:rPr>
              <w:t>Linear</w:t>
            </w:r>
          </w:p>
        </w:tc>
        <w:tc>
          <w:tcPr>
            <w:tcW w:w="1940" w:type="dxa"/>
            <w:tcBorders>
              <w:top w:val="nil"/>
              <w:left w:val="nil"/>
              <w:bottom w:val="nil"/>
              <w:right w:val="nil"/>
            </w:tcBorders>
            <w:shd w:val="clear" w:color="000000" w:fill="1E3D6B"/>
            <w:vAlign w:val="center"/>
            <w:hideMark/>
          </w:tcPr>
          <w:p w:rsidR="00D24BF8" w:rsidRPr="00C54A19" w:rsidRDefault="00D24BF8" w:rsidP="00D24BF8">
            <w:pPr>
              <w:spacing w:after="0" w:line="240" w:lineRule="auto"/>
              <w:jc w:val="center"/>
              <w:rPr>
                <w:rFonts w:ascii="Calibri" w:eastAsia="Times New Roman" w:hAnsi="Calibri" w:cs="Calibri"/>
                <w:b/>
                <w:bCs/>
                <w:color w:val="FFFFFF"/>
                <w:sz w:val="20"/>
                <w:szCs w:val="20"/>
                <w:lang w:eastAsia="en-AU"/>
              </w:rPr>
            </w:pPr>
            <w:r w:rsidRPr="00C54A19">
              <w:rPr>
                <w:rFonts w:ascii="Calibri" w:eastAsia="Times New Roman" w:hAnsi="Calibri" w:cs="Calibri"/>
                <w:b/>
                <w:bCs/>
                <w:color w:val="FFFFFF"/>
                <w:sz w:val="20"/>
                <w:szCs w:val="20"/>
                <w:lang w:eastAsia="en-AU"/>
              </w:rPr>
              <w:t>Linear interaction</w:t>
            </w:r>
          </w:p>
        </w:tc>
        <w:tc>
          <w:tcPr>
            <w:tcW w:w="1778" w:type="dxa"/>
            <w:tcBorders>
              <w:top w:val="nil"/>
              <w:left w:val="nil"/>
              <w:bottom w:val="nil"/>
              <w:right w:val="nil"/>
            </w:tcBorders>
            <w:shd w:val="clear" w:color="000000" w:fill="1E3D6B"/>
            <w:vAlign w:val="center"/>
            <w:hideMark/>
          </w:tcPr>
          <w:p w:rsidR="00D24BF8" w:rsidRPr="00C54A19" w:rsidRDefault="00D24BF8" w:rsidP="00D24BF8">
            <w:pPr>
              <w:spacing w:after="0" w:line="240" w:lineRule="auto"/>
              <w:jc w:val="center"/>
              <w:rPr>
                <w:rFonts w:ascii="Calibri" w:eastAsia="Times New Roman" w:hAnsi="Calibri" w:cs="Calibri"/>
                <w:b/>
                <w:bCs/>
                <w:color w:val="FFFFFF"/>
                <w:sz w:val="20"/>
                <w:szCs w:val="20"/>
                <w:lang w:eastAsia="en-AU"/>
              </w:rPr>
            </w:pPr>
            <w:r w:rsidRPr="00C54A19">
              <w:rPr>
                <w:rFonts w:ascii="Calibri" w:eastAsia="Times New Roman" w:hAnsi="Calibri" w:cs="Calibri"/>
                <w:b/>
                <w:bCs/>
                <w:color w:val="FFFFFF"/>
                <w:sz w:val="20"/>
                <w:szCs w:val="20"/>
                <w:lang w:eastAsia="en-AU"/>
              </w:rPr>
              <w:t>Squared</w:t>
            </w:r>
          </w:p>
        </w:tc>
        <w:tc>
          <w:tcPr>
            <w:tcW w:w="2126" w:type="dxa"/>
            <w:tcBorders>
              <w:top w:val="nil"/>
              <w:left w:val="nil"/>
              <w:bottom w:val="nil"/>
              <w:right w:val="nil"/>
            </w:tcBorders>
            <w:shd w:val="clear" w:color="000000" w:fill="1E3D6B"/>
            <w:vAlign w:val="center"/>
            <w:hideMark/>
          </w:tcPr>
          <w:p w:rsidR="00D24BF8" w:rsidRPr="00C54A19" w:rsidRDefault="00D24BF8" w:rsidP="00D24BF8">
            <w:pPr>
              <w:spacing w:after="0" w:line="240" w:lineRule="auto"/>
              <w:jc w:val="center"/>
              <w:rPr>
                <w:rFonts w:ascii="Calibri" w:eastAsia="Times New Roman" w:hAnsi="Calibri" w:cs="Calibri"/>
                <w:b/>
                <w:bCs/>
                <w:color w:val="FFFFFF"/>
                <w:sz w:val="20"/>
                <w:szCs w:val="20"/>
                <w:lang w:eastAsia="en-AU"/>
              </w:rPr>
            </w:pPr>
            <w:r w:rsidRPr="00C54A19">
              <w:rPr>
                <w:rFonts w:ascii="Calibri" w:eastAsia="Times New Roman" w:hAnsi="Calibri" w:cs="Calibri"/>
                <w:b/>
                <w:bCs/>
                <w:color w:val="FFFFFF"/>
                <w:sz w:val="20"/>
                <w:szCs w:val="20"/>
                <w:lang w:eastAsia="en-AU"/>
              </w:rPr>
              <w:t>Squared interaction</w:t>
            </w:r>
          </w:p>
        </w:tc>
      </w:tr>
      <w:tr w:rsidR="00D24BF8" w:rsidRPr="00D24BF8" w:rsidTr="00841B30">
        <w:trPr>
          <w:trHeight w:hRule="exact" w:val="340"/>
        </w:trPr>
        <w:tc>
          <w:tcPr>
            <w:tcW w:w="1020" w:type="dxa"/>
            <w:tcBorders>
              <w:top w:val="nil"/>
              <w:left w:val="nil"/>
              <w:bottom w:val="nil"/>
              <w:right w:val="nil"/>
            </w:tcBorders>
            <w:shd w:val="clear" w:color="auto" w:fill="auto"/>
            <w:vAlign w:val="center"/>
            <w:hideMark/>
          </w:tcPr>
          <w:p w:rsidR="00D24BF8" w:rsidRPr="00C54A19" w:rsidRDefault="00D24BF8" w:rsidP="00D24BF8">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Constant</w:t>
            </w:r>
          </w:p>
        </w:tc>
        <w:tc>
          <w:tcPr>
            <w:tcW w:w="1940" w:type="dxa"/>
            <w:tcBorders>
              <w:top w:val="nil"/>
              <w:left w:val="nil"/>
              <w:bottom w:val="nil"/>
              <w:right w:val="nil"/>
            </w:tcBorders>
            <w:shd w:val="clear" w:color="auto" w:fill="auto"/>
            <w:noWrap/>
            <w:vAlign w:val="center"/>
            <w:hideMark/>
          </w:tcPr>
          <w:p w:rsidR="00D24BF8" w:rsidRPr="00C54A19" w:rsidRDefault="00D24BF8" w:rsidP="00907F90">
            <w:pPr>
              <w:spacing w:after="0" w:line="240" w:lineRule="auto"/>
              <w:ind w:right="285"/>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249.514</w:t>
            </w:r>
          </w:p>
        </w:tc>
        <w:tc>
          <w:tcPr>
            <w:tcW w:w="1940" w:type="dxa"/>
            <w:tcBorders>
              <w:top w:val="nil"/>
              <w:left w:val="nil"/>
              <w:bottom w:val="nil"/>
              <w:right w:val="nil"/>
            </w:tcBorders>
            <w:shd w:val="clear" w:color="auto" w:fill="auto"/>
            <w:noWrap/>
            <w:vAlign w:val="center"/>
            <w:hideMark/>
          </w:tcPr>
          <w:p w:rsidR="00D24BF8" w:rsidRPr="00C54A19" w:rsidRDefault="00D24BF8" w:rsidP="00907F90">
            <w:pPr>
              <w:spacing w:after="0" w:line="240" w:lineRule="auto"/>
              <w:ind w:right="285"/>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252.319</w:t>
            </w:r>
          </w:p>
        </w:tc>
        <w:tc>
          <w:tcPr>
            <w:tcW w:w="1778" w:type="dxa"/>
            <w:tcBorders>
              <w:top w:val="nil"/>
              <w:left w:val="nil"/>
              <w:bottom w:val="nil"/>
              <w:right w:val="nil"/>
            </w:tcBorders>
            <w:shd w:val="clear" w:color="auto" w:fill="auto"/>
            <w:noWrap/>
            <w:vAlign w:val="center"/>
            <w:hideMark/>
          </w:tcPr>
          <w:p w:rsidR="00D24BF8" w:rsidRPr="00C54A19" w:rsidRDefault="00D24BF8" w:rsidP="00907F90">
            <w:pPr>
              <w:spacing w:after="0" w:line="240" w:lineRule="auto"/>
              <w:ind w:right="285"/>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249.535</w:t>
            </w:r>
          </w:p>
        </w:tc>
        <w:tc>
          <w:tcPr>
            <w:tcW w:w="2126" w:type="dxa"/>
            <w:tcBorders>
              <w:top w:val="nil"/>
              <w:left w:val="nil"/>
              <w:bottom w:val="nil"/>
              <w:right w:val="nil"/>
            </w:tcBorders>
            <w:shd w:val="clear" w:color="auto" w:fill="auto"/>
            <w:noWrap/>
            <w:vAlign w:val="center"/>
            <w:hideMark/>
          </w:tcPr>
          <w:p w:rsidR="00D24BF8" w:rsidRPr="00C54A19" w:rsidRDefault="00D24BF8" w:rsidP="00907F90">
            <w:pPr>
              <w:spacing w:after="0" w:line="240" w:lineRule="auto"/>
              <w:ind w:right="285"/>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270.232</w:t>
            </w:r>
          </w:p>
        </w:tc>
      </w:tr>
      <w:tr w:rsidR="00D24BF8" w:rsidRPr="00D24BF8" w:rsidTr="00841B30">
        <w:trPr>
          <w:trHeight w:hRule="exact" w:val="340"/>
        </w:trPr>
        <w:tc>
          <w:tcPr>
            <w:tcW w:w="1020" w:type="dxa"/>
            <w:tcBorders>
              <w:top w:val="nil"/>
              <w:left w:val="nil"/>
              <w:bottom w:val="nil"/>
              <w:right w:val="nil"/>
            </w:tcBorders>
            <w:shd w:val="clear" w:color="auto" w:fill="auto"/>
            <w:vAlign w:val="center"/>
            <w:hideMark/>
          </w:tcPr>
          <w:p w:rsidR="00D24BF8" w:rsidRPr="00C54A19" w:rsidRDefault="00D24BF8" w:rsidP="00D24BF8">
            <w:pPr>
              <w:spacing w:after="0" w:line="240" w:lineRule="auto"/>
              <w:rPr>
                <w:rFonts w:ascii="Calibri" w:eastAsia="Times New Roman" w:hAnsi="Calibri" w:cs="Calibri"/>
                <w:i/>
                <w:iCs/>
                <w:color w:val="000000"/>
                <w:sz w:val="20"/>
                <w:szCs w:val="20"/>
                <w:lang w:eastAsia="en-AU"/>
              </w:rPr>
            </w:pPr>
          </w:p>
        </w:tc>
        <w:tc>
          <w:tcPr>
            <w:tcW w:w="1940" w:type="dxa"/>
            <w:tcBorders>
              <w:top w:val="nil"/>
              <w:left w:val="nil"/>
              <w:bottom w:val="nil"/>
              <w:right w:val="nil"/>
            </w:tcBorders>
            <w:shd w:val="clear" w:color="auto" w:fill="auto"/>
            <w:noWrap/>
            <w:vAlign w:val="center"/>
            <w:hideMark/>
          </w:tcPr>
          <w:p w:rsidR="00D24BF8" w:rsidRPr="00C54A19" w:rsidRDefault="00D24BF8" w:rsidP="00907F90">
            <w:pPr>
              <w:spacing w:after="0" w:line="240" w:lineRule="auto"/>
              <w:ind w:right="285"/>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&lt;.0001</w:t>
            </w:r>
          </w:p>
        </w:tc>
        <w:tc>
          <w:tcPr>
            <w:tcW w:w="1940" w:type="dxa"/>
            <w:tcBorders>
              <w:top w:val="nil"/>
              <w:left w:val="nil"/>
              <w:bottom w:val="nil"/>
              <w:right w:val="nil"/>
            </w:tcBorders>
            <w:shd w:val="clear" w:color="auto" w:fill="auto"/>
            <w:noWrap/>
            <w:vAlign w:val="center"/>
            <w:hideMark/>
          </w:tcPr>
          <w:p w:rsidR="00D24BF8" w:rsidRPr="00C54A19" w:rsidRDefault="00D24BF8" w:rsidP="00907F90">
            <w:pPr>
              <w:spacing w:after="0" w:line="240" w:lineRule="auto"/>
              <w:ind w:right="285"/>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&lt;.0001</w:t>
            </w:r>
          </w:p>
        </w:tc>
        <w:tc>
          <w:tcPr>
            <w:tcW w:w="1778" w:type="dxa"/>
            <w:tcBorders>
              <w:top w:val="nil"/>
              <w:left w:val="nil"/>
              <w:bottom w:val="nil"/>
              <w:right w:val="nil"/>
            </w:tcBorders>
            <w:shd w:val="clear" w:color="auto" w:fill="auto"/>
            <w:noWrap/>
            <w:vAlign w:val="center"/>
            <w:hideMark/>
          </w:tcPr>
          <w:p w:rsidR="00D24BF8" w:rsidRPr="00C54A19" w:rsidRDefault="00D24BF8" w:rsidP="00907F90">
            <w:pPr>
              <w:spacing w:after="0" w:line="240" w:lineRule="auto"/>
              <w:ind w:right="285"/>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&lt;.0001</w:t>
            </w:r>
          </w:p>
        </w:tc>
        <w:tc>
          <w:tcPr>
            <w:tcW w:w="2126" w:type="dxa"/>
            <w:tcBorders>
              <w:top w:val="nil"/>
              <w:left w:val="nil"/>
              <w:bottom w:val="nil"/>
              <w:right w:val="nil"/>
            </w:tcBorders>
            <w:shd w:val="clear" w:color="auto" w:fill="auto"/>
            <w:noWrap/>
            <w:vAlign w:val="center"/>
            <w:hideMark/>
          </w:tcPr>
          <w:p w:rsidR="00D24BF8" w:rsidRPr="00C54A19" w:rsidRDefault="00D24BF8" w:rsidP="00907F90">
            <w:pPr>
              <w:spacing w:after="0" w:line="240" w:lineRule="auto"/>
              <w:ind w:right="285"/>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&lt;.0001</w:t>
            </w:r>
          </w:p>
        </w:tc>
      </w:tr>
      <w:tr w:rsidR="00D24BF8" w:rsidRPr="00D24BF8" w:rsidTr="00841B30">
        <w:trPr>
          <w:trHeight w:hRule="exact" w:val="340"/>
        </w:trPr>
        <w:tc>
          <w:tcPr>
            <w:tcW w:w="1020" w:type="dxa"/>
            <w:tcBorders>
              <w:top w:val="nil"/>
              <w:left w:val="nil"/>
              <w:bottom w:val="nil"/>
              <w:right w:val="nil"/>
            </w:tcBorders>
            <w:shd w:val="clear" w:color="000000" w:fill="F2F2F2"/>
            <w:noWrap/>
            <w:vAlign w:val="center"/>
            <w:hideMark/>
          </w:tcPr>
          <w:p w:rsidR="00D24BF8" w:rsidRPr="00C54A19" w:rsidRDefault="00D24BF8" w:rsidP="00D24BF8">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r</w:t>
            </w:r>
            <w:r w:rsidRPr="00C54A19">
              <w:rPr>
                <w:rFonts w:ascii="Calibri" w:eastAsia="Times New Roman" w:hAnsi="Calibri" w:cs="Calibri"/>
                <w:i/>
                <w:iCs/>
                <w:color w:val="000000"/>
                <w:sz w:val="20"/>
                <w:szCs w:val="20"/>
                <w:vertAlign w:val="subscript"/>
                <w:lang w:eastAsia="en-AU"/>
              </w:rPr>
              <w:t>i</w:t>
            </w:r>
          </w:p>
        </w:tc>
        <w:tc>
          <w:tcPr>
            <w:tcW w:w="1940" w:type="dxa"/>
            <w:tcBorders>
              <w:top w:val="nil"/>
              <w:left w:val="nil"/>
              <w:bottom w:val="nil"/>
              <w:right w:val="nil"/>
            </w:tcBorders>
            <w:shd w:val="clear" w:color="000000" w:fill="F2F2F2"/>
            <w:noWrap/>
            <w:vAlign w:val="center"/>
            <w:hideMark/>
          </w:tcPr>
          <w:p w:rsidR="00D24BF8" w:rsidRPr="00C54A19" w:rsidRDefault="00D24BF8" w:rsidP="00907F90">
            <w:pPr>
              <w:spacing w:after="0" w:line="240" w:lineRule="auto"/>
              <w:ind w:right="285"/>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1.871</w:t>
            </w:r>
          </w:p>
        </w:tc>
        <w:tc>
          <w:tcPr>
            <w:tcW w:w="1940" w:type="dxa"/>
            <w:tcBorders>
              <w:top w:val="nil"/>
              <w:left w:val="nil"/>
              <w:bottom w:val="nil"/>
              <w:right w:val="nil"/>
            </w:tcBorders>
            <w:shd w:val="clear" w:color="000000" w:fill="F2F2F2"/>
            <w:noWrap/>
            <w:vAlign w:val="center"/>
            <w:hideMark/>
          </w:tcPr>
          <w:p w:rsidR="00D24BF8" w:rsidRPr="00C54A19" w:rsidRDefault="00D24BF8" w:rsidP="00907F90">
            <w:pPr>
              <w:spacing w:after="0" w:line="240" w:lineRule="auto"/>
              <w:ind w:right="285"/>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2.769</w:t>
            </w:r>
          </w:p>
        </w:tc>
        <w:tc>
          <w:tcPr>
            <w:tcW w:w="1778" w:type="dxa"/>
            <w:tcBorders>
              <w:top w:val="nil"/>
              <w:left w:val="nil"/>
              <w:bottom w:val="nil"/>
              <w:right w:val="nil"/>
            </w:tcBorders>
            <w:shd w:val="clear" w:color="000000" w:fill="F2F2F2"/>
            <w:noWrap/>
            <w:vAlign w:val="center"/>
            <w:hideMark/>
          </w:tcPr>
          <w:p w:rsidR="00D24BF8" w:rsidRPr="00C54A19" w:rsidRDefault="00D24BF8" w:rsidP="00907F90">
            <w:pPr>
              <w:spacing w:after="0" w:line="240" w:lineRule="auto"/>
              <w:ind w:right="285"/>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1.636</w:t>
            </w:r>
          </w:p>
        </w:tc>
        <w:tc>
          <w:tcPr>
            <w:tcW w:w="2126" w:type="dxa"/>
            <w:tcBorders>
              <w:top w:val="nil"/>
              <w:left w:val="nil"/>
              <w:bottom w:val="nil"/>
              <w:right w:val="nil"/>
            </w:tcBorders>
            <w:shd w:val="clear" w:color="000000" w:fill="F2F2F2"/>
            <w:noWrap/>
            <w:vAlign w:val="center"/>
            <w:hideMark/>
          </w:tcPr>
          <w:p w:rsidR="00D24BF8" w:rsidRPr="00C54A19" w:rsidRDefault="00D24BF8" w:rsidP="00907F90">
            <w:pPr>
              <w:spacing w:after="0" w:line="240" w:lineRule="auto"/>
              <w:ind w:right="285"/>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19.304</w:t>
            </w:r>
          </w:p>
        </w:tc>
      </w:tr>
      <w:tr w:rsidR="00D24BF8" w:rsidRPr="00D24BF8" w:rsidTr="00841B30">
        <w:trPr>
          <w:trHeight w:hRule="exact" w:val="340"/>
        </w:trPr>
        <w:tc>
          <w:tcPr>
            <w:tcW w:w="1020" w:type="dxa"/>
            <w:tcBorders>
              <w:top w:val="nil"/>
              <w:left w:val="nil"/>
              <w:bottom w:val="nil"/>
              <w:right w:val="nil"/>
            </w:tcBorders>
            <w:shd w:val="clear" w:color="000000" w:fill="F2F2F2"/>
            <w:vAlign w:val="center"/>
            <w:hideMark/>
          </w:tcPr>
          <w:p w:rsidR="00D24BF8" w:rsidRPr="00C54A19" w:rsidRDefault="00D24BF8" w:rsidP="00D24BF8">
            <w:pPr>
              <w:spacing w:after="0" w:line="240" w:lineRule="auto"/>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940" w:type="dxa"/>
            <w:tcBorders>
              <w:top w:val="nil"/>
              <w:left w:val="nil"/>
              <w:bottom w:val="nil"/>
              <w:right w:val="nil"/>
            </w:tcBorders>
            <w:shd w:val="clear" w:color="000000" w:fill="F2F2F2"/>
            <w:noWrap/>
            <w:vAlign w:val="center"/>
            <w:hideMark/>
          </w:tcPr>
          <w:p w:rsidR="00D24BF8" w:rsidRPr="00C54A19" w:rsidRDefault="00D24BF8" w:rsidP="00907F90">
            <w:pPr>
              <w:spacing w:after="0" w:line="240" w:lineRule="auto"/>
              <w:ind w:right="285"/>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0.474</w:t>
            </w:r>
          </w:p>
        </w:tc>
        <w:tc>
          <w:tcPr>
            <w:tcW w:w="1940" w:type="dxa"/>
            <w:tcBorders>
              <w:top w:val="nil"/>
              <w:left w:val="nil"/>
              <w:bottom w:val="nil"/>
              <w:right w:val="nil"/>
            </w:tcBorders>
            <w:shd w:val="clear" w:color="000000" w:fill="F2F2F2"/>
            <w:noWrap/>
            <w:vAlign w:val="center"/>
            <w:hideMark/>
          </w:tcPr>
          <w:p w:rsidR="00D24BF8" w:rsidRPr="00C54A19" w:rsidRDefault="00D24BF8" w:rsidP="00907F90">
            <w:pPr>
              <w:spacing w:after="0" w:line="240" w:lineRule="auto"/>
              <w:ind w:right="285"/>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0.357</w:t>
            </w:r>
          </w:p>
        </w:tc>
        <w:tc>
          <w:tcPr>
            <w:tcW w:w="1778" w:type="dxa"/>
            <w:tcBorders>
              <w:top w:val="nil"/>
              <w:left w:val="nil"/>
              <w:bottom w:val="nil"/>
              <w:right w:val="nil"/>
            </w:tcBorders>
            <w:shd w:val="clear" w:color="000000" w:fill="F2F2F2"/>
            <w:noWrap/>
            <w:vAlign w:val="center"/>
            <w:hideMark/>
          </w:tcPr>
          <w:p w:rsidR="00D24BF8" w:rsidRPr="00C54A19" w:rsidRDefault="00D24BF8" w:rsidP="00907F90">
            <w:pPr>
              <w:spacing w:after="0" w:line="240" w:lineRule="auto"/>
              <w:ind w:right="285"/>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0.645</w:t>
            </w:r>
          </w:p>
        </w:tc>
        <w:tc>
          <w:tcPr>
            <w:tcW w:w="2126" w:type="dxa"/>
            <w:tcBorders>
              <w:top w:val="nil"/>
              <w:left w:val="nil"/>
              <w:bottom w:val="nil"/>
              <w:right w:val="nil"/>
            </w:tcBorders>
            <w:shd w:val="clear" w:color="000000" w:fill="F2F2F2"/>
            <w:noWrap/>
            <w:vAlign w:val="center"/>
            <w:hideMark/>
          </w:tcPr>
          <w:p w:rsidR="00D24BF8" w:rsidRPr="00C54A19" w:rsidRDefault="00D24BF8" w:rsidP="00907F90">
            <w:pPr>
              <w:spacing w:after="0" w:line="240" w:lineRule="auto"/>
              <w:ind w:right="285"/>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0.126</w:t>
            </w:r>
          </w:p>
        </w:tc>
      </w:tr>
      <w:tr w:rsidR="00D24BF8" w:rsidRPr="00D24BF8" w:rsidTr="00841B30">
        <w:trPr>
          <w:trHeight w:hRule="exact" w:val="340"/>
        </w:trPr>
        <w:tc>
          <w:tcPr>
            <w:tcW w:w="1020" w:type="dxa"/>
            <w:tcBorders>
              <w:top w:val="nil"/>
              <w:left w:val="nil"/>
              <w:bottom w:val="nil"/>
              <w:right w:val="nil"/>
            </w:tcBorders>
            <w:shd w:val="clear" w:color="auto" w:fill="auto"/>
            <w:noWrap/>
            <w:vAlign w:val="center"/>
            <w:hideMark/>
          </w:tcPr>
          <w:p w:rsidR="00D24BF8" w:rsidRPr="00C54A19" w:rsidRDefault="00D24BF8" w:rsidP="00D24BF8">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d</w:t>
            </w:r>
            <w:r w:rsidRPr="00C54A19">
              <w:rPr>
                <w:rFonts w:ascii="Calibri" w:eastAsia="Times New Roman" w:hAnsi="Calibri" w:cs="Calibri"/>
                <w:i/>
                <w:iCs/>
                <w:color w:val="000000"/>
                <w:sz w:val="20"/>
                <w:szCs w:val="20"/>
                <w:vertAlign w:val="subscript"/>
                <w:lang w:eastAsia="en-AU"/>
              </w:rPr>
              <w:t>i</w:t>
            </w:r>
          </w:p>
        </w:tc>
        <w:tc>
          <w:tcPr>
            <w:tcW w:w="1940" w:type="dxa"/>
            <w:tcBorders>
              <w:top w:val="nil"/>
              <w:left w:val="nil"/>
              <w:bottom w:val="nil"/>
              <w:right w:val="nil"/>
            </w:tcBorders>
            <w:shd w:val="clear" w:color="auto" w:fill="auto"/>
            <w:noWrap/>
            <w:vAlign w:val="center"/>
            <w:hideMark/>
          </w:tcPr>
          <w:p w:rsidR="00D24BF8" w:rsidRPr="00C54A19" w:rsidRDefault="00D24BF8" w:rsidP="00907F90">
            <w:pPr>
              <w:spacing w:after="0" w:line="240" w:lineRule="auto"/>
              <w:ind w:right="285"/>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4.853</w:t>
            </w:r>
          </w:p>
        </w:tc>
        <w:tc>
          <w:tcPr>
            <w:tcW w:w="1940" w:type="dxa"/>
            <w:tcBorders>
              <w:top w:val="nil"/>
              <w:left w:val="nil"/>
              <w:bottom w:val="nil"/>
              <w:right w:val="nil"/>
            </w:tcBorders>
            <w:shd w:val="clear" w:color="auto" w:fill="auto"/>
            <w:noWrap/>
            <w:vAlign w:val="center"/>
            <w:hideMark/>
          </w:tcPr>
          <w:p w:rsidR="00D24BF8" w:rsidRPr="00C54A19" w:rsidRDefault="00D24BF8" w:rsidP="00907F90">
            <w:pPr>
              <w:spacing w:after="0" w:line="240" w:lineRule="auto"/>
              <w:ind w:right="285"/>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7.740</w:t>
            </w:r>
          </w:p>
        </w:tc>
        <w:tc>
          <w:tcPr>
            <w:tcW w:w="1778" w:type="dxa"/>
            <w:tcBorders>
              <w:top w:val="nil"/>
              <w:left w:val="nil"/>
              <w:bottom w:val="nil"/>
              <w:right w:val="nil"/>
            </w:tcBorders>
            <w:shd w:val="clear" w:color="auto" w:fill="auto"/>
            <w:noWrap/>
            <w:vAlign w:val="center"/>
            <w:hideMark/>
          </w:tcPr>
          <w:p w:rsidR="00D24BF8" w:rsidRPr="00C54A19" w:rsidRDefault="00D24BF8" w:rsidP="00907F90">
            <w:pPr>
              <w:spacing w:after="0" w:line="240" w:lineRule="auto"/>
              <w:ind w:right="285"/>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5.558</w:t>
            </w:r>
          </w:p>
        </w:tc>
        <w:tc>
          <w:tcPr>
            <w:tcW w:w="2126" w:type="dxa"/>
            <w:tcBorders>
              <w:top w:val="nil"/>
              <w:left w:val="nil"/>
              <w:bottom w:val="nil"/>
              <w:right w:val="nil"/>
            </w:tcBorders>
            <w:shd w:val="clear" w:color="auto" w:fill="auto"/>
            <w:noWrap/>
            <w:vAlign w:val="center"/>
            <w:hideMark/>
          </w:tcPr>
          <w:p w:rsidR="00D24BF8" w:rsidRPr="00C54A19" w:rsidRDefault="00D24BF8" w:rsidP="00907F90">
            <w:pPr>
              <w:spacing w:after="0" w:line="240" w:lineRule="auto"/>
              <w:ind w:right="285"/>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-1.999</w:t>
            </w:r>
          </w:p>
        </w:tc>
      </w:tr>
      <w:tr w:rsidR="00D24BF8" w:rsidRPr="00D24BF8" w:rsidTr="00841B30">
        <w:trPr>
          <w:trHeight w:hRule="exact" w:val="340"/>
        </w:trPr>
        <w:tc>
          <w:tcPr>
            <w:tcW w:w="1020" w:type="dxa"/>
            <w:tcBorders>
              <w:top w:val="nil"/>
              <w:left w:val="nil"/>
              <w:bottom w:val="nil"/>
              <w:right w:val="nil"/>
            </w:tcBorders>
            <w:shd w:val="clear" w:color="auto" w:fill="auto"/>
            <w:vAlign w:val="center"/>
            <w:hideMark/>
          </w:tcPr>
          <w:p w:rsidR="00D24BF8" w:rsidRPr="00C54A19" w:rsidRDefault="00D24BF8" w:rsidP="00D24BF8">
            <w:pPr>
              <w:spacing w:after="0" w:line="240" w:lineRule="auto"/>
              <w:rPr>
                <w:rFonts w:ascii="Calibri" w:eastAsia="Times New Roman" w:hAnsi="Calibri" w:cs="Calibri"/>
                <w:i/>
                <w:iCs/>
                <w:color w:val="000000"/>
                <w:sz w:val="20"/>
                <w:szCs w:val="20"/>
                <w:lang w:eastAsia="en-AU"/>
              </w:rPr>
            </w:pPr>
          </w:p>
        </w:tc>
        <w:tc>
          <w:tcPr>
            <w:tcW w:w="1940" w:type="dxa"/>
            <w:tcBorders>
              <w:top w:val="nil"/>
              <w:left w:val="nil"/>
              <w:bottom w:val="nil"/>
              <w:right w:val="nil"/>
            </w:tcBorders>
            <w:shd w:val="clear" w:color="auto" w:fill="auto"/>
            <w:noWrap/>
            <w:vAlign w:val="center"/>
            <w:hideMark/>
          </w:tcPr>
          <w:p w:rsidR="00D24BF8" w:rsidRPr="00C54A19" w:rsidRDefault="00D24BF8" w:rsidP="00907F90">
            <w:pPr>
              <w:spacing w:after="0" w:line="240" w:lineRule="auto"/>
              <w:ind w:right="285"/>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0.752</w:t>
            </w:r>
          </w:p>
        </w:tc>
        <w:tc>
          <w:tcPr>
            <w:tcW w:w="1940" w:type="dxa"/>
            <w:tcBorders>
              <w:top w:val="nil"/>
              <w:left w:val="nil"/>
              <w:bottom w:val="nil"/>
              <w:right w:val="nil"/>
            </w:tcBorders>
            <w:shd w:val="clear" w:color="auto" w:fill="auto"/>
            <w:noWrap/>
            <w:vAlign w:val="center"/>
            <w:hideMark/>
          </w:tcPr>
          <w:p w:rsidR="00D24BF8" w:rsidRPr="00C54A19" w:rsidRDefault="00D24BF8" w:rsidP="00907F90">
            <w:pPr>
              <w:spacing w:after="0" w:line="240" w:lineRule="auto"/>
              <w:ind w:right="285"/>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0.632</w:t>
            </w:r>
          </w:p>
        </w:tc>
        <w:tc>
          <w:tcPr>
            <w:tcW w:w="1778" w:type="dxa"/>
            <w:tcBorders>
              <w:top w:val="nil"/>
              <w:left w:val="nil"/>
              <w:bottom w:val="nil"/>
              <w:right w:val="nil"/>
            </w:tcBorders>
            <w:shd w:val="clear" w:color="auto" w:fill="auto"/>
            <w:noWrap/>
            <w:vAlign w:val="center"/>
            <w:hideMark/>
          </w:tcPr>
          <w:p w:rsidR="00D24BF8" w:rsidRPr="00C54A19" w:rsidRDefault="00D24BF8" w:rsidP="00907F90">
            <w:pPr>
              <w:spacing w:after="0" w:line="240" w:lineRule="auto"/>
              <w:ind w:right="285"/>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0.745</w:t>
            </w:r>
          </w:p>
        </w:tc>
        <w:tc>
          <w:tcPr>
            <w:tcW w:w="2126" w:type="dxa"/>
            <w:tcBorders>
              <w:top w:val="nil"/>
              <w:left w:val="nil"/>
              <w:bottom w:val="nil"/>
              <w:right w:val="nil"/>
            </w:tcBorders>
            <w:shd w:val="clear" w:color="auto" w:fill="auto"/>
            <w:noWrap/>
            <w:vAlign w:val="center"/>
            <w:hideMark/>
          </w:tcPr>
          <w:p w:rsidR="00D24BF8" w:rsidRPr="00C54A19" w:rsidRDefault="00D24BF8" w:rsidP="00907F90">
            <w:pPr>
              <w:spacing w:after="0" w:line="240" w:lineRule="auto"/>
              <w:ind w:right="285"/>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0.933</w:t>
            </w:r>
          </w:p>
        </w:tc>
      </w:tr>
      <w:tr w:rsidR="00D24BF8" w:rsidRPr="00D24BF8" w:rsidTr="00841B30">
        <w:trPr>
          <w:trHeight w:hRule="exact" w:val="340"/>
        </w:trPr>
        <w:tc>
          <w:tcPr>
            <w:tcW w:w="1020" w:type="dxa"/>
            <w:tcBorders>
              <w:top w:val="nil"/>
              <w:left w:val="nil"/>
              <w:bottom w:val="nil"/>
              <w:right w:val="nil"/>
            </w:tcBorders>
            <w:shd w:val="clear" w:color="000000" w:fill="F2F2F2"/>
            <w:noWrap/>
            <w:vAlign w:val="center"/>
            <w:hideMark/>
          </w:tcPr>
          <w:p w:rsidR="00D24BF8" w:rsidRPr="00C54A19" w:rsidRDefault="00D24BF8" w:rsidP="00D24BF8">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d</w:t>
            </w:r>
            <w:r w:rsidRPr="00C54A19">
              <w:rPr>
                <w:rFonts w:ascii="Calibri" w:eastAsia="Times New Roman" w:hAnsi="Calibri" w:cs="Calibri"/>
                <w:i/>
                <w:iCs/>
                <w:color w:val="000000"/>
                <w:sz w:val="20"/>
                <w:szCs w:val="20"/>
                <w:vertAlign w:val="subscript"/>
                <w:lang w:eastAsia="en-AU"/>
              </w:rPr>
              <w:t>i</w:t>
            </w:r>
            <w:r w:rsidRPr="00C54A19">
              <w:rPr>
                <w:rFonts w:ascii="Calibri" w:eastAsia="Times New Roman" w:hAnsi="Calibri" w:cs="Calibri"/>
                <w:color w:val="000000"/>
                <w:sz w:val="20"/>
                <w:szCs w:val="20"/>
                <w:lang w:eastAsia="en-AU"/>
              </w:rPr>
              <w:t>r</w:t>
            </w:r>
            <w:r w:rsidRPr="00C54A19">
              <w:rPr>
                <w:rFonts w:ascii="Calibri" w:eastAsia="Times New Roman" w:hAnsi="Calibri" w:cs="Calibri"/>
                <w:i/>
                <w:iCs/>
                <w:color w:val="000000"/>
                <w:sz w:val="20"/>
                <w:szCs w:val="20"/>
                <w:vertAlign w:val="subscript"/>
                <w:lang w:eastAsia="en-AU"/>
              </w:rPr>
              <w:t>i</w:t>
            </w:r>
          </w:p>
        </w:tc>
        <w:tc>
          <w:tcPr>
            <w:tcW w:w="1940" w:type="dxa"/>
            <w:tcBorders>
              <w:top w:val="nil"/>
              <w:left w:val="nil"/>
              <w:bottom w:val="nil"/>
              <w:right w:val="nil"/>
            </w:tcBorders>
            <w:shd w:val="clear" w:color="000000" w:fill="F2F2F2"/>
            <w:noWrap/>
            <w:vAlign w:val="center"/>
            <w:hideMark/>
          </w:tcPr>
          <w:p w:rsidR="00D24BF8" w:rsidRPr="00C54A19" w:rsidRDefault="00D24BF8" w:rsidP="00907F90">
            <w:pPr>
              <w:spacing w:after="0" w:line="240" w:lineRule="auto"/>
              <w:ind w:right="285"/>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p>
        </w:tc>
        <w:tc>
          <w:tcPr>
            <w:tcW w:w="1940" w:type="dxa"/>
            <w:tcBorders>
              <w:top w:val="nil"/>
              <w:left w:val="nil"/>
              <w:bottom w:val="nil"/>
              <w:right w:val="nil"/>
            </w:tcBorders>
            <w:shd w:val="clear" w:color="000000" w:fill="F2F2F2"/>
            <w:noWrap/>
            <w:vAlign w:val="center"/>
            <w:hideMark/>
          </w:tcPr>
          <w:p w:rsidR="00D24BF8" w:rsidRPr="00C54A19" w:rsidRDefault="00D24BF8" w:rsidP="00907F90">
            <w:pPr>
              <w:spacing w:after="0" w:line="240" w:lineRule="auto"/>
              <w:ind w:right="285"/>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-3.933</w:t>
            </w:r>
          </w:p>
        </w:tc>
        <w:tc>
          <w:tcPr>
            <w:tcW w:w="1778" w:type="dxa"/>
            <w:tcBorders>
              <w:top w:val="nil"/>
              <w:left w:val="nil"/>
              <w:bottom w:val="nil"/>
              <w:right w:val="nil"/>
            </w:tcBorders>
            <w:shd w:val="clear" w:color="000000" w:fill="F2F2F2"/>
            <w:noWrap/>
            <w:vAlign w:val="center"/>
            <w:hideMark/>
          </w:tcPr>
          <w:p w:rsidR="00D24BF8" w:rsidRPr="00C54A19" w:rsidRDefault="00D24BF8" w:rsidP="00907F90">
            <w:pPr>
              <w:spacing w:after="0" w:line="240" w:lineRule="auto"/>
              <w:ind w:right="285"/>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p>
        </w:tc>
        <w:tc>
          <w:tcPr>
            <w:tcW w:w="2126" w:type="dxa"/>
            <w:tcBorders>
              <w:top w:val="nil"/>
              <w:left w:val="nil"/>
              <w:bottom w:val="nil"/>
              <w:right w:val="nil"/>
            </w:tcBorders>
            <w:shd w:val="clear" w:color="000000" w:fill="F2F2F2"/>
            <w:noWrap/>
            <w:vAlign w:val="center"/>
            <w:hideMark/>
          </w:tcPr>
          <w:p w:rsidR="00D24BF8" w:rsidRPr="00C54A19" w:rsidRDefault="00D24BF8" w:rsidP="00907F90">
            <w:pPr>
              <w:spacing w:after="0" w:line="240" w:lineRule="auto"/>
              <w:ind w:right="285"/>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-34.481</w:t>
            </w:r>
          </w:p>
        </w:tc>
      </w:tr>
      <w:tr w:rsidR="00D24BF8" w:rsidRPr="00D24BF8" w:rsidTr="00841B30">
        <w:trPr>
          <w:trHeight w:hRule="exact" w:val="340"/>
        </w:trPr>
        <w:tc>
          <w:tcPr>
            <w:tcW w:w="1020" w:type="dxa"/>
            <w:tcBorders>
              <w:top w:val="nil"/>
              <w:left w:val="nil"/>
              <w:bottom w:val="nil"/>
              <w:right w:val="nil"/>
            </w:tcBorders>
            <w:shd w:val="clear" w:color="000000" w:fill="F2F2F2"/>
            <w:vAlign w:val="center"/>
            <w:hideMark/>
          </w:tcPr>
          <w:p w:rsidR="00D24BF8" w:rsidRPr="00C54A19" w:rsidRDefault="00D24BF8" w:rsidP="00D24BF8">
            <w:pPr>
              <w:spacing w:after="0" w:line="240" w:lineRule="auto"/>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940" w:type="dxa"/>
            <w:tcBorders>
              <w:top w:val="nil"/>
              <w:left w:val="nil"/>
              <w:bottom w:val="nil"/>
              <w:right w:val="nil"/>
            </w:tcBorders>
            <w:shd w:val="clear" w:color="000000" w:fill="F2F2F2"/>
            <w:noWrap/>
            <w:vAlign w:val="center"/>
            <w:hideMark/>
          </w:tcPr>
          <w:p w:rsidR="00D24BF8" w:rsidRPr="00C54A19" w:rsidRDefault="00D24BF8" w:rsidP="00907F90">
            <w:pPr>
              <w:spacing w:after="0" w:line="240" w:lineRule="auto"/>
              <w:ind w:right="285"/>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940" w:type="dxa"/>
            <w:tcBorders>
              <w:top w:val="nil"/>
              <w:left w:val="nil"/>
              <w:bottom w:val="nil"/>
              <w:right w:val="nil"/>
            </w:tcBorders>
            <w:shd w:val="clear" w:color="000000" w:fill="F2F2F2"/>
            <w:noWrap/>
            <w:vAlign w:val="center"/>
            <w:hideMark/>
          </w:tcPr>
          <w:p w:rsidR="00D24BF8" w:rsidRPr="00C54A19" w:rsidRDefault="00D24BF8" w:rsidP="00907F90">
            <w:pPr>
              <w:spacing w:after="0" w:line="240" w:lineRule="auto"/>
              <w:ind w:right="285"/>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0.531</w:t>
            </w:r>
          </w:p>
        </w:tc>
        <w:tc>
          <w:tcPr>
            <w:tcW w:w="1778" w:type="dxa"/>
            <w:tcBorders>
              <w:top w:val="nil"/>
              <w:left w:val="nil"/>
              <w:bottom w:val="nil"/>
              <w:right w:val="nil"/>
            </w:tcBorders>
            <w:shd w:val="clear" w:color="000000" w:fill="F2F2F2"/>
            <w:noWrap/>
            <w:vAlign w:val="center"/>
            <w:hideMark/>
          </w:tcPr>
          <w:p w:rsidR="00D24BF8" w:rsidRPr="00C54A19" w:rsidRDefault="00D24BF8" w:rsidP="00907F90">
            <w:pPr>
              <w:spacing w:after="0" w:line="240" w:lineRule="auto"/>
              <w:ind w:right="285"/>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2126" w:type="dxa"/>
            <w:tcBorders>
              <w:top w:val="nil"/>
              <w:left w:val="nil"/>
              <w:bottom w:val="nil"/>
              <w:right w:val="nil"/>
            </w:tcBorders>
            <w:shd w:val="clear" w:color="000000" w:fill="F2F2F2"/>
            <w:noWrap/>
            <w:vAlign w:val="center"/>
            <w:hideMark/>
          </w:tcPr>
          <w:p w:rsidR="00D24BF8" w:rsidRPr="00C54A19" w:rsidRDefault="00D24BF8" w:rsidP="00907F90">
            <w:pPr>
              <w:spacing w:after="0" w:line="240" w:lineRule="auto"/>
              <w:ind w:right="285"/>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0.160</w:t>
            </w:r>
          </w:p>
        </w:tc>
      </w:tr>
      <w:tr w:rsidR="00D24BF8" w:rsidRPr="00D24BF8" w:rsidTr="00841B30">
        <w:trPr>
          <w:trHeight w:hRule="exact" w:val="340"/>
        </w:trPr>
        <w:tc>
          <w:tcPr>
            <w:tcW w:w="1020" w:type="dxa"/>
            <w:tcBorders>
              <w:top w:val="nil"/>
              <w:left w:val="nil"/>
              <w:bottom w:val="nil"/>
              <w:right w:val="nil"/>
            </w:tcBorders>
            <w:shd w:val="clear" w:color="000000" w:fill="FFFFFF"/>
            <w:noWrap/>
            <w:vAlign w:val="center"/>
            <w:hideMark/>
          </w:tcPr>
          <w:p w:rsidR="00D24BF8" w:rsidRPr="00C54A19" w:rsidRDefault="00D24BF8" w:rsidP="00D24BF8">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r</w:t>
            </w:r>
            <w:r w:rsidRPr="00C54A19">
              <w:rPr>
                <w:rFonts w:ascii="Calibri" w:eastAsia="Times New Roman" w:hAnsi="Calibri" w:cs="Calibri"/>
                <w:i/>
                <w:iCs/>
                <w:color w:val="000000"/>
                <w:sz w:val="20"/>
                <w:szCs w:val="20"/>
                <w:vertAlign w:val="subscript"/>
                <w:lang w:eastAsia="en-AU"/>
              </w:rPr>
              <w:t>i</w:t>
            </w:r>
            <w:r w:rsidRPr="00C54A19">
              <w:rPr>
                <w:rFonts w:ascii="Calibri" w:eastAsia="Times New Roman" w:hAnsi="Calibri" w:cs="Calibri"/>
                <w:color w:val="000000"/>
                <w:sz w:val="20"/>
                <w:szCs w:val="20"/>
                <w:vertAlign w:val="superscript"/>
                <w:lang w:eastAsia="en-AU"/>
              </w:rPr>
              <w:t>2</w:t>
            </w:r>
          </w:p>
        </w:tc>
        <w:tc>
          <w:tcPr>
            <w:tcW w:w="1940" w:type="dxa"/>
            <w:tcBorders>
              <w:top w:val="nil"/>
              <w:left w:val="nil"/>
              <w:bottom w:val="nil"/>
              <w:right w:val="nil"/>
            </w:tcBorders>
            <w:shd w:val="clear" w:color="000000" w:fill="FFFFFF"/>
            <w:noWrap/>
            <w:vAlign w:val="center"/>
            <w:hideMark/>
          </w:tcPr>
          <w:p w:rsidR="00D24BF8" w:rsidRPr="00C54A19" w:rsidRDefault="00D24BF8" w:rsidP="00907F90">
            <w:pPr>
              <w:spacing w:after="0" w:line="240" w:lineRule="auto"/>
              <w:ind w:right="285"/>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p>
        </w:tc>
        <w:tc>
          <w:tcPr>
            <w:tcW w:w="1940" w:type="dxa"/>
            <w:tcBorders>
              <w:top w:val="nil"/>
              <w:left w:val="nil"/>
              <w:bottom w:val="nil"/>
              <w:right w:val="nil"/>
            </w:tcBorders>
            <w:shd w:val="clear" w:color="000000" w:fill="FFFFFF"/>
            <w:noWrap/>
            <w:vAlign w:val="center"/>
            <w:hideMark/>
          </w:tcPr>
          <w:p w:rsidR="00D24BF8" w:rsidRPr="00C54A19" w:rsidRDefault="00D24BF8" w:rsidP="00907F90">
            <w:pPr>
              <w:spacing w:after="0" w:line="240" w:lineRule="auto"/>
              <w:ind w:right="285"/>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p>
        </w:tc>
        <w:tc>
          <w:tcPr>
            <w:tcW w:w="1778" w:type="dxa"/>
            <w:tcBorders>
              <w:top w:val="nil"/>
              <w:left w:val="nil"/>
              <w:bottom w:val="nil"/>
              <w:right w:val="nil"/>
            </w:tcBorders>
            <w:shd w:val="clear" w:color="000000" w:fill="FFFFFF"/>
            <w:noWrap/>
            <w:vAlign w:val="center"/>
            <w:hideMark/>
          </w:tcPr>
          <w:p w:rsidR="00D24BF8" w:rsidRPr="00C54A19" w:rsidRDefault="00D24BF8" w:rsidP="00907F90">
            <w:pPr>
              <w:spacing w:after="0" w:line="240" w:lineRule="auto"/>
              <w:ind w:right="285"/>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-0.059</w:t>
            </w:r>
          </w:p>
        </w:tc>
        <w:tc>
          <w:tcPr>
            <w:tcW w:w="2126" w:type="dxa"/>
            <w:tcBorders>
              <w:top w:val="nil"/>
              <w:left w:val="nil"/>
              <w:bottom w:val="nil"/>
              <w:right w:val="nil"/>
            </w:tcBorders>
            <w:shd w:val="clear" w:color="000000" w:fill="FFFFFF"/>
            <w:noWrap/>
            <w:vAlign w:val="center"/>
            <w:hideMark/>
          </w:tcPr>
          <w:p w:rsidR="00D24BF8" w:rsidRPr="00C54A19" w:rsidRDefault="00D24BF8" w:rsidP="00907F90">
            <w:pPr>
              <w:spacing w:after="0" w:line="240" w:lineRule="auto"/>
              <w:ind w:right="285"/>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2.646</w:t>
            </w:r>
          </w:p>
        </w:tc>
      </w:tr>
      <w:tr w:rsidR="00D24BF8" w:rsidRPr="00D24BF8" w:rsidTr="00841B30">
        <w:trPr>
          <w:trHeight w:hRule="exact" w:val="340"/>
        </w:trPr>
        <w:tc>
          <w:tcPr>
            <w:tcW w:w="1020" w:type="dxa"/>
            <w:tcBorders>
              <w:top w:val="nil"/>
              <w:left w:val="nil"/>
              <w:bottom w:val="nil"/>
              <w:right w:val="nil"/>
            </w:tcBorders>
            <w:shd w:val="clear" w:color="000000" w:fill="FFFFFF"/>
            <w:vAlign w:val="center"/>
            <w:hideMark/>
          </w:tcPr>
          <w:p w:rsidR="00D24BF8" w:rsidRPr="00C54A19" w:rsidRDefault="00D24BF8" w:rsidP="00D24BF8">
            <w:pPr>
              <w:spacing w:after="0" w:line="240" w:lineRule="auto"/>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940" w:type="dxa"/>
            <w:tcBorders>
              <w:top w:val="nil"/>
              <w:left w:val="nil"/>
              <w:bottom w:val="nil"/>
              <w:right w:val="nil"/>
            </w:tcBorders>
            <w:shd w:val="clear" w:color="000000" w:fill="FFFFFF"/>
            <w:noWrap/>
            <w:vAlign w:val="center"/>
            <w:hideMark/>
          </w:tcPr>
          <w:p w:rsidR="00D24BF8" w:rsidRPr="00C54A19" w:rsidRDefault="00D24BF8" w:rsidP="00907F90">
            <w:pPr>
              <w:spacing w:after="0" w:line="240" w:lineRule="auto"/>
              <w:ind w:right="285"/>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940" w:type="dxa"/>
            <w:tcBorders>
              <w:top w:val="nil"/>
              <w:left w:val="nil"/>
              <w:bottom w:val="nil"/>
              <w:right w:val="nil"/>
            </w:tcBorders>
            <w:shd w:val="clear" w:color="000000" w:fill="FFFFFF"/>
            <w:noWrap/>
            <w:vAlign w:val="center"/>
            <w:hideMark/>
          </w:tcPr>
          <w:p w:rsidR="00D24BF8" w:rsidRPr="00C54A19" w:rsidRDefault="00D24BF8" w:rsidP="00907F90">
            <w:pPr>
              <w:spacing w:after="0" w:line="240" w:lineRule="auto"/>
              <w:ind w:right="285"/>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778" w:type="dxa"/>
            <w:tcBorders>
              <w:top w:val="nil"/>
              <w:left w:val="nil"/>
              <w:bottom w:val="nil"/>
              <w:right w:val="nil"/>
            </w:tcBorders>
            <w:shd w:val="clear" w:color="000000" w:fill="FFFFFF"/>
            <w:noWrap/>
            <w:vAlign w:val="center"/>
            <w:hideMark/>
          </w:tcPr>
          <w:p w:rsidR="00D24BF8" w:rsidRPr="00C54A19" w:rsidRDefault="00D24BF8" w:rsidP="00907F90">
            <w:pPr>
              <w:spacing w:after="0" w:line="240" w:lineRule="auto"/>
              <w:ind w:right="285"/>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0.921</w:t>
            </w:r>
          </w:p>
        </w:tc>
        <w:tc>
          <w:tcPr>
            <w:tcW w:w="2126" w:type="dxa"/>
            <w:tcBorders>
              <w:top w:val="nil"/>
              <w:left w:val="nil"/>
              <w:bottom w:val="nil"/>
              <w:right w:val="nil"/>
            </w:tcBorders>
            <w:shd w:val="clear" w:color="000000" w:fill="FFFFFF"/>
            <w:noWrap/>
            <w:vAlign w:val="center"/>
            <w:hideMark/>
          </w:tcPr>
          <w:p w:rsidR="00D24BF8" w:rsidRPr="00C54A19" w:rsidRDefault="00D24BF8" w:rsidP="00907F90">
            <w:pPr>
              <w:spacing w:after="0" w:line="240" w:lineRule="auto"/>
              <w:ind w:right="285"/>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0.175</w:t>
            </w:r>
          </w:p>
        </w:tc>
      </w:tr>
      <w:tr w:rsidR="00D24BF8" w:rsidRPr="00D24BF8" w:rsidTr="00841B30">
        <w:trPr>
          <w:trHeight w:hRule="exact" w:val="340"/>
        </w:trPr>
        <w:tc>
          <w:tcPr>
            <w:tcW w:w="1020" w:type="dxa"/>
            <w:tcBorders>
              <w:top w:val="nil"/>
              <w:left w:val="nil"/>
              <w:bottom w:val="nil"/>
              <w:right w:val="nil"/>
            </w:tcBorders>
            <w:shd w:val="clear" w:color="000000" w:fill="F2F2F2"/>
            <w:noWrap/>
            <w:vAlign w:val="center"/>
            <w:hideMark/>
          </w:tcPr>
          <w:p w:rsidR="00D24BF8" w:rsidRPr="00C54A19" w:rsidRDefault="00D24BF8" w:rsidP="00D24BF8">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d</w:t>
            </w:r>
            <w:r w:rsidRPr="00C54A19">
              <w:rPr>
                <w:rFonts w:ascii="Calibri" w:eastAsia="Times New Roman" w:hAnsi="Calibri" w:cs="Calibri"/>
                <w:i/>
                <w:iCs/>
                <w:color w:val="000000"/>
                <w:sz w:val="20"/>
                <w:szCs w:val="20"/>
                <w:vertAlign w:val="subscript"/>
                <w:lang w:eastAsia="en-AU"/>
              </w:rPr>
              <w:t>i</w:t>
            </w:r>
            <w:r w:rsidRPr="00C54A19">
              <w:rPr>
                <w:rFonts w:ascii="Calibri" w:eastAsia="Times New Roman" w:hAnsi="Calibri" w:cs="Calibri"/>
                <w:color w:val="000000"/>
                <w:sz w:val="20"/>
                <w:szCs w:val="20"/>
                <w:lang w:eastAsia="en-AU"/>
              </w:rPr>
              <w:t>r</w:t>
            </w:r>
            <w:r w:rsidRPr="00C54A19">
              <w:rPr>
                <w:rFonts w:ascii="Calibri" w:eastAsia="Times New Roman" w:hAnsi="Calibri" w:cs="Calibri"/>
                <w:i/>
                <w:iCs/>
                <w:color w:val="000000"/>
                <w:sz w:val="20"/>
                <w:szCs w:val="20"/>
                <w:vertAlign w:val="subscript"/>
                <w:lang w:eastAsia="en-AU"/>
              </w:rPr>
              <w:t>i</w:t>
            </w:r>
            <w:r w:rsidRPr="00C54A19">
              <w:rPr>
                <w:rFonts w:ascii="Calibri" w:eastAsia="Times New Roman" w:hAnsi="Calibri" w:cs="Calibri"/>
                <w:color w:val="000000"/>
                <w:sz w:val="20"/>
                <w:szCs w:val="20"/>
                <w:vertAlign w:val="superscript"/>
                <w:lang w:eastAsia="en-AU"/>
              </w:rPr>
              <w:t>2</w:t>
            </w:r>
          </w:p>
        </w:tc>
        <w:tc>
          <w:tcPr>
            <w:tcW w:w="1940" w:type="dxa"/>
            <w:tcBorders>
              <w:top w:val="nil"/>
              <w:left w:val="nil"/>
              <w:bottom w:val="nil"/>
              <w:right w:val="nil"/>
            </w:tcBorders>
            <w:shd w:val="clear" w:color="000000" w:fill="F2F2F2"/>
            <w:noWrap/>
            <w:vAlign w:val="center"/>
            <w:hideMark/>
          </w:tcPr>
          <w:p w:rsidR="00D24BF8" w:rsidRPr="00C54A19" w:rsidRDefault="00D24BF8" w:rsidP="00907F90">
            <w:pPr>
              <w:spacing w:after="0" w:line="240" w:lineRule="auto"/>
              <w:ind w:right="285"/>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p>
        </w:tc>
        <w:tc>
          <w:tcPr>
            <w:tcW w:w="1940" w:type="dxa"/>
            <w:tcBorders>
              <w:top w:val="nil"/>
              <w:left w:val="nil"/>
              <w:bottom w:val="nil"/>
              <w:right w:val="nil"/>
            </w:tcBorders>
            <w:shd w:val="clear" w:color="000000" w:fill="F2F2F2"/>
            <w:noWrap/>
            <w:vAlign w:val="center"/>
            <w:hideMark/>
          </w:tcPr>
          <w:p w:rsidR="00D24BF8" w:rsidRPr="00C54A19" w:rsidRDefault="00D24BF8" w:rsidP="00907F90">
            <w:pPr>
              <w:spacing w:after="0" w:line="240" w:lineRule="auto"/>
              <w:ind w:right="285"/>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p>
        </w:tc>
        <w:tc>
          <w:tcPr>
            <w:tcW w:w="1778" w:type="dxa"/>
            <w:tcBorders>
              <w:top w:val="nil"/>
              <w:left w:val="nil"/>
              <w:bottom w:val="nil"/>
              <w:right w:val="nil"/>
            </w:tcBorders>
            <w:shd w:val="clear" w:color="000000" w:fill="F2F2F2"/>
            <w:noWrap/>
            <w:vAlign w:val="center"/>
            <w:hideMark/>
          </w:tcPr>
          <w:p w:rsidR="00D24BF8" w:rsidRPr="00C54A19" w:rsidRDefault="00D24BF8" w:rsidP="00907F90">
            <w:pPr>
              <w:spacing w:after="0" w:line="240" w:lineRule="auto"/>
              <w:ind w:right="285"/>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p>
        </w:tc>
        <w:tc>
          <w:tcPr>
            <w:tcW w:w="2126" w:type="dxa"/>
            <w:tcBorders>
              <w:top w:val="nil"/>
              <w:left w:val="nil"/>
              <w:bottom w:val="nil"/>
              <w:right w:val="nil"/>
            </w:tcBorders>
            <w:shd w:val="clear" w:color="000000" w:fill="F2F2F2"/>
            <w:noWrap/>
            <w:vAlign w:val="center"/>
            <w:hideMark/>
          </w:tcPr>
          <w:p w:rsidR="00D24BF8" w:rsidRPr="00C54A19" w:rsidRDefault="00D24BF8" w:rsidP="00907F90">
            <w:pPr>
              <w:spacing w:after="0" w:line="240" w:lineRule="auto"/>
              <w:ind w:right="285"/>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1.091</w:t>
            </w:r>
          </w:p>
        </w:tc>
      </w:tr>
      <w:tr w:rsidR="00D24BF8" w:rsidRPr="00D24BF8" w:rsidTr="00841B30">
        <w:trPr>
          <w:trHeight w:hRule="exact" w:val="340"/>
        </w:trPr>
        <w:tc>
          <w:tcPr>
            <w:tcW w:w="1020" w:type="dxa"/>
            <w:tcBorders>
              <w:top w:val="nil"/>
              <w:left w:val="nil"/>
              <w:bottom w:val="nil"/>
              <w:right w:val="nil"/>
            </w:tcBorders>
            <w:shd w:val="clear" w:color="000000" w:fill="F2F2F2"/>
            <w:noWrap/>
            <w:vAlign w:val="center"/>
            <w:hideMark/>
          </w:tcPr>
          <w:p w:rsidR="00D24BF8" w:rsidRPr="00C54A19" w:rsidRDefault="00D24BF8" w:rsidP="00D24BF8">
            <w:pPr>
              <w:spacing w:after="0" w:line="240" w:lineRule="auto"/>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940" w:type="dxa"/>
            <w:tcBorders>
              <w:top w:val="nil"/>
              <w:left w:val="nil"/>
              <w:bottom w:val="nil"/>
              <w:right w:val="nil"/>
            </w:tcBorders>
            <w:shd w:val="clear" w:color="000000" w:fill="F2F2F2"/>
            <w:noWrap/>
            <w:vAlign w:val="center"/>
            <w:hideMark/>
          </w:tcPr>
          <w:p w:rsidR="00D24BF8" w:rsidRPr="00C54A19" w:rsidRDefault="00D24BF8" w:rsidP="00907F90">
            <w:pPr>
              <w:spacing w:after="0" w:line="240" w:lineRule="auto"/>
              <w:ind w:right="285"/>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940" w:type="dxa"/>
            <w:tcBorders>
              <w:top w:val="nil"/>
              <w:left w:val="nil"/>
              <w:bottom w:val="nil"/>
              <w:right w:val="nil"/>
            </w:tcBorders>
            <w:shd w:val="clear" w:color="000000" w:fill="F2F2F2"/>
            <w:noWrap/>
            <w:vAlign w:val="center"/>
            <w:hideMark/>
          </w:tcPr>
          <w:p w:rsidR="00D24BF8" w:rsidRPr="00C54A19" w:rsidRDefault="00D24BF8" w:rsidP="00907F90">
            <w:pPr>
              <w:spacing w:after="0" w:line="240" w:lineRule="auto"/>
              <w:ind w:right="285"/>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778" w:type="dxa"/>
            <w:tcBorders>
              <w:top w:val="nil"/>
              <w:left w:val="nil"/>
              <w:bottom w:val="nil"/>
              <w:right w:val="nil"/>
            </w:tcBorders>
            <w:shd w:val="clear" w:color="000000" w:fill="F2F2F2"/>
            <w:noWrap/>
            <w:vAlign w:val="center"/>
            <w:hideMark/>
          </w:tcPr>
          <w:p w:rsidR="00D24BF8" w:rsidRPr="00C54A19" w:rsidRDefault="00D24BF8" w:rsidP="00907F90">
            <w:pPr>
              <w:spacing w:after="0" w:line="240" w:lineRule="auto"/>
              <w:ind w:right="285"/>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2126" w:type="dxa"/>
            <w:tcBorders>
              <w:top w:val="nil"/>
              <w:left w:val="nil"/>
              <w:bottom w:val="nil"/>
              <w:right w:val="nil"/>
            </w:tcBorders>
            <w:shd w:val="clear" w:color="000000" w:fill="F2F2F2"/>
            <w:noWrap/>
            <w:vAlign w:val="center"/>
            <w:hideMark/>
          </w:tcPr>
          <w:p w:rsidR="00D24BF8" w:rsidRPr="00C54A19" w:rsidRDefault="00D24BF8" w:rsidP="00907F90">
            <w:pPr>
              <w:spacing w:after="0" w:line="240" w:lineRule="auto"/>
              <w:ind w:right="285"/>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0.848</w:t>
            </w:r>
          </w:p>
        </w:tc>
      </w:tr>
      <w:tr w:rsidR="00D24BF8" w:rsidRPr="00D24BF8" w:rsidTr="00841B30">
        <w:trPr>
          <w:trHeight w:hRule="exact" w:val="340"/>
        </w:trPr>
        <w:tc>
          <w:tcPr>
            <w:tcW w:w="1020" w:type="dxa"/>
            <w:tcBorders>
              <w:top w:val="nil"/>
              <w:left w:val="nil"/>
              <w:bottom w:val="nil"/>
              <w:right w:val="nil"/>
            </w:tcBorders>
            <w:shd w:val="clear" w:color="000000" w:fill="8EAEDE"/>
            <w:vAlign w:val="center"/>
            <w:hideMark/>
          </w:tcPr>
          <w:p w:rsidR="00D24BF8" w:rsidRPr="00C54A19" w:rsidRDefault="00D24BF8" w:rsidP="00D24BF8">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AICc</w:t>
            </w:r>
          </w:p>
        </w:tc>
        <w:tc>
          <w:tcPr>
            <w:tcW w:w="1940" w:type="dxa"/>
            <w:tcBorders>
              <w:top w:val="nil"/>
              <w:left w:val="nil"/>
              <w:bottom w:val="nil"/>
              <w:right w:val="nil"/>
            </w:tcBorders>
            <w:shd w:val="clear" w:color="000000" w:fill="8EAEDE"/>
            <w:noWrap/>
            <w:vAlign w:val="center"/>
            <w:hideMark/>
          </w:tcPr>
          <w:p w:rsidR="00D24BF8" w:rsidRPr="00C54A19" w:rsidRDefault="00D24BF8" w:rsidP="00907F90">
            <w:pPr>
              <w:spacing w:after="0" w:line="240" w:lineRule="auto"/>
              <w:ind w:right="285"/>
              <w:jc w:val="right"/>
              <w:rPr>
                <w:rFonts w:ascii="Calibri" w:eastAsia="Times New Roman" w:hAnsi="Calibri" w:cs="Calibri"/>
                <w:b/>
                <w:color w:val="000000"/>
                <w:sz w:val="20"/>
                <w:szCs w:val="20"/>
                <w:lang w:eastAsia="en-AU"/>
              </w:rPr>
            </w:pPr>
            <w:r w:rsidRPr="00C54A19">
              <w:rPr>
                <w:rFonts w:ascii="Calibri" w:eastAsia="Times New Roman" w:hAnsi="Calibri" w:cs="Calibri"/>
                <w:b/>
                <w:color w:val="000000"/>
                <w:sz w:val="20"/>
                <w:szCs w:val="20"/>
                <w:lang w:eastAsia="en-AU"/>
              </w:rPr>
              <w:t>376.904</w:t>
            </w:r>
          </w:p>
        </w:tc>
        <w:tc>
          <w:tcPr>
            <w:tcW w:w="1940" w:type="dxa"/>
            <w:tcBorders>
              <w:top w:val="nil"/>
              <w:left w:val="nil"/>
              <w:bottom w:val="nil"/>
              <w:right w:val="nil"/>
            </w:tcBorders>
            <w:shd w:val="clear" w:color="000000" w:fill="8EAEDE"/>
            <w:noWrap/>
            <w:vAlign w:val="center"/>
            <w:hideMark/>
          </w:tcPr>
          <w:p w:rsidR="00D24BF8" w:rsidRPr="00C54A19" w:rsidRDefault="00D24BF8" w:rsidP="00907F90">
            <w:pPr>
              <w:spacing w:after="0" w:line="240" w:lineRule="auto"/>
              <w:ind w:right="285"/>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379.083</w:t>
            </w:r>
          </w:p>
        </w:tc>
        <w:tc>
          <w:tcPr>
            <w:tcW w:w="1778" w:type="dxa"/>
            <w:tcBorders>
              <w:top w:val="nil"/>
              <w:left w:val="nil"/>
              <w:bottom w:val="nil"/>
              <w:right w:val="nil"/>
            </w:tcBorders>
            <w:shd w:val="clear" w:color="000000" w:fill="8EAEDE"/>
            <w:noWrap/>
            <w:vAlign w:val="center"/>
            <w:hideMark/>
          </w:tcPr>
          <w:p w:rsidR="00D24BF8" w:rsidRPr="00C54A19" w:rsidRDefault="00D24BF8" w:rsidP="00907F90">
            <w:pPr>
              <w:spacing w:after="0" w:line="240" w:lineRule="auto"/>
              <w:ind w:right="285"/>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379.515</w:t>
            </w:r>
          </w:p>
        </w:tc>
        <w:tc>
          <w:tcPr>
            <w:tcW w:w="2126" w:type="dxa"/>
            <w:tcBorders>
              <w:top w:val="nil"/>
              <w:left w:val="nil"/>
              <w:bottom w:val="nil"/>
              <w:right w:val="nil"/>
            </w:tcBorders>
            <w:shd w:val="clear" w:color="000000" w:fill="8EAEDE"/>
            <w:noWrap/>
            <w:vAlign w:val="center"/>
            <w:hideMark/>
          </w:tcPr>
          <w:p w:rsidR="00D24BF8" w:rsidRPr="00C54A19" w:rsidRDefault="00D24BF8" w:rsidP="00907F90">
            <w:pPr>
              <w:spacing w:after="0" w:line="240" w:lineRule="auto"/>
              <w:ind w:right="285"/>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382.075</w:t>
            </w:r>
          </w:p>
        </w:tc>
      </w:tr>
    </w:tbl>
    <w:p w:rsidR="00DF2DA0" w:rsidRPr="000615B6" w:rsidRDefault="00E532F6" w:rsidP="000615B6">
      <w:pPr>
        <w:pStyle w:val="Source"/>
        <w:rPr>
          <w:b w:val="0"/>
        </w:rPr>
      </w:pPr>
      <w:r w:rsidRPr="000615B6">
        <w:t>Note:</w:t>
      </w:r>
      <w:r w:rsidRPr="000615B6">
        <w:rPr>
          <w:b w:val="0"/>
        </w:rPr>
        <w:t xml:space="preserve"> It was n</w:t>
      </w:r>
      <w:r w:rsidR="002D48B5" w:rsidRPr="000615B6">
        <w:rPr>
          <w:b w:val="0"/>
        </w:rPr>
        <w:t xml:space="preserve">ot possible to analyse for </w:t>
      </w:r>
      <w:r w:rsidRPr="000615B6">
        <w:rPr>
          <w:b w:val="0"/>
        </w:rPr>
        <w:t xml:space="preserve">the </w:t>
      </w:r>
      <w:r w:rsidR="00BC37C7" w:rsidRPr="000615B6">
        <w:rPr>
          <w:b w:val="0"/>
        </w:rPr>
        <w:t>lower end of the JCB age</w:t>
      </w:r>
      <w:r w:rsidR="007C05BC" w:rsidRPr="000615B6">
        <w:rPr>
          <w:b w:val="0"/>
        </w:rPr>
        <w:t xml:space="preserve"> range </w:t>
      </w:r>
      <w:r w:rsidR="002D48B5" w:rsidRPr="000615B6">
        <w:rPr>
          <w:b w:val="0"/>
        </w:rPr>
        <w:t>as there was insufficient time in the analysis window to achieve sufficient exits to determine median time in service.</w:t>
      </w:r>
    </w:p>
    <w:p w:rsidR="00E532F6" w:rsidRPr="000615B6" w:rsidRDefault="00E532F6" w:rsidP="000615B6">
      <w:pPr>
        <w:pStyle w:val="Source"/>
        <w:rPr>
          <w:b w:val="0"/>
        </w:rPr>
      </w:pPr>
      <w:r w:rsidRPr="000615B6">
        <w:t>Source:</w:t>
      </w:r>
      <w:r w:rsidRPr="000615B6">
        <w:rPr>
          <w:b w:val="0"/>
        </w:rPr>
        <w:t xml:space="preserve"> Department of Employment administrative data and Research and Evaluation Database (RED).</w:t>
      </w:r>
    </w:p>
    <w:p w:rsidR="007C05BC" w:rsidRPr="0006372F" w:rsidRDefault="00603A49" w:rsidP="0006372F">
      <w:pPr>
        <w:pStyle w:val="TableCaption"/>
        <w:spacing w:before="480"/>
      </w:pPr>
      <w:bookmarkStart w:id="283" w:name="_Toc507600331"/>
      <w:r>
        <w:t>Table F</w:t>
      </w:r>
      <w:r w:rsidR="00E532F6">
        <w:t>.</w:t>
      </w:r>
      <w:r w:rsidR="00E76396">
        <w:t>15</w:t>
      </w:r>
      <w:r w:rsidR="00E532F6">
        <w:t xml:space="preserve">: </w:t>
      </w:r>
      <w:r w:rsidR="00841B30">
        <w:t>RDD model parameters for the t</w:t>
      </w:r>
      <w:r w:rsidR="00E532F6">
        <w:t>ime to exit income suppor</w:t>
      </w:r>
      <w:r w:rsidR="00841B30">
        <w:t>t</w:t>
      </w:r>
      <w:r w:rsidR="00E532F6">
        <w:t xml:space="preserve"> after becoming LTU b</w:t>
      </w:r>
      <w:r w:rsidR="00841B30">
        <w:t xml:space="preserve">y </w:t>
      </w:r>
      <w:r w:rsidR="00E532F6">
        <w:t>model type</w:t>
      </w:r>
      <w:r w:rsidR="00E85955">
        <w:t>, h</w:t>
      </w:r>
      <w:r w:rsidR="00BC37C7">
        <w:t>igher end of the JCB age</w:t>
      </w:r>
      <w:r w:rsidR="007C05BC" w:rsidRPr="007C05BC">
        <w:t xml:space="preserve"> range</w:t>
      </w:r>
      <w:bookmarkEnd w:id="283"/>
    </w:p>
    <w:tbl>
      <w:tblPr>
        <w:tblW w:w="8945" w:type="dxa"/>
        <w:tblInd w:w="93" w:type="dxa"/>
        <w:tblLook w:val="04A0" w:firstRow="1" w:lastRow="0" w:firstColumn="1" w:lastColumn="0" w:noHBand="0" w:noVBand="1"/>
      </w:tblPr>
      <w:tblGrid>
        <w:gridCol w:w="1291"/>
        <w:gridCol w:w="1701"/>
        <w:gridCol w:w="1843"/>
        <w:gridCol w:w="1984"/>
        <w:gridCol w:w="2126"/>
      </w:tblGrid>
      <w:tr w:rsidR="00E532F6" w:rsidRPr="00E532F6" w:rsidTr="00841B30">
        <w:trPr>
          <w:trHeight w:val="864"/>
          <w:tblHeader/>
        </w:trPr>
        <w:tc>
          <w:tcPr>
            <w:tcW w:w="1291" w:type="dxa"/>
            <w:tcBorders>
              <w:top w:val="nil"/>
              <w:left w:val="nil"/>
              <w:bottom w:val="nil"/>
              <w:right w:val="nil"/>
            </w:tcBorders>
            <w:shd w:val="clear" w:color="000000" w:fill="1E3D6B"/>
            <w:noWrap/>
            <w:vAlign w:val="bottom"/>
            <w:hideMark/>
          </w:tcPr>
          <w:p w:rsidR="00E532F6" w:rsidRPr="00C54A19" w:rsidRDefault="00E532F6" w:rsidP="00E532F6">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bookmarkStart w:id="284" w:name="Title_F14"/>
            <w:bookmarkEnd w:id="284"/>
          </w:p>
        </w:tc>
        <w:tc>
          <w:tcPr>
            <w:tcW w:w="1701" w:type="dxa"/>
            <w:tcBorders>
              <w:top w:val="nil"/>
              <w:left w:val="nil"/>
              <w:bottom w:val="nil"/>
              <w:right w:val="nil"/>
            </w:tcBorders>
            <w:shd w:val="clear" w:color="000000" w:fill="1E3D6B"/>
            <w:vAlign w:val="center"/>
            <w:hideMark/>
          </w:tcPr>
          <w:p w:rsidR="00E532F6" w:rsidRPr="00C54A19" w:rsidRDefault="00E532F6" w:rsidP="00E532F6">
            <w:pPr>
              <w:spacing w:after="0" w:line="240" w:lineRule="auto"/>
              <w:jc w:val="center"/>
              <w:rPr>
                <w:rFonts w:ascii="Calibri" w:eastAsia="Times New Roman" w:hAnsi="Calibri" w:cs="Calibri"/>
                <w:b/>
                <w:bCs/>
                <w:color w:val="FFFFFF"/>
                <w:sz w:val="20"/>
                <w:szCs w:val="20"/>
                <w:lang w:eastAsia="en-AU"/>
              </w:rPr>
            </w:pPr>
            <w:r w:rsidRPr="00C54A19">
              <w:rPr>
                <w:rFonts w:ascii="Calibri" w:eastAsia="Times New Roman" w:hAnsi="Calibri" w:cs="Calibri"/>
                <w:b/>
                <w:bCs/>
                <w:color w:val="FFFFFF"/>
                <w:sz w:val="20"/>
                <w:szCs w:val="20"/>
                <w:lang w:eastAsia="en-AU"/>
              </w:rPr>
              <w:t>Linear</w:t>
            </w:r>
          </w:p>
        </w:tc>
        <w:tc>
          <w:tcPr>
            <w:tcW w:w="1843" w:type="dxa"/>
            <w:tcBorders>
              <w:top w:val="nil"/>
              <w:left w:val="nil"/>
              <w:bottom w:val="nil"/>
              <w:right w:val="nil"/>
            </w:tcBorders>
            <w:shd w:val="clear" w:color="000000" w:fill="1E3D6B"/>
            <w:vAlign w:val="center"/>
            <w:hideMark/>
          </w:tcPr>
          <w:p w:rsidR="00E532F6" w:rsidRPr="00C54A19" w:rsidRDefault="00E532F6" w:rsidP="00E532F6">
            <w:pPr>
              <w:spacing w:after="0" w:line="240" w:lineRule="auto"/>
              <w:jc w:val="center"/>
              <w:rPr>
                <w:rFonts w:ascii="Calibri" w:eastAsia="Times New Roman" w:hAnsi="Calibri" w:cs="Calibri"/>
                <w:b/>
                <w:bCs/>
                <w:color w:val="FFFFFF"/>
                <w:sz w:val="20"/>
                <w:szCs w:val="20"/>
                <w:lang w:eastAsia="en-AU"/>
              </w:rPr>
            </w:pPr>
            <w:r w:rsidRPr="00C54A19">
              <w:rPr>
                <w:rFonts w:ascii="Calibri" w:eastAsia="Times New Roman" w:hAnsi="Calibri" w:cs="Calibri"/>
                <w:b/>
                <w:bCs/>
                <w:color w:val="FFFFFF"/>
                <w:sz w:val="20"/>
                <w:szCs w:val="20"/>
                <w:lang w:eastAsia="en-AU"/>
              </w:rPr>
              <w:t>Linear interaction</w:t>
            </w:r>
          </w:p>
        </w:tc>
        <w:tc>
          <w:tcPr>
            <w:tcW w:w="1984" w:type="dxa"/>
            <w:tcBorders>
              <w:top w:val="nil"/>
              <w:left w:val="nil"/>
              <w:bottom w:val="nil"/>
              <w:right w:val="nil"/>
            </w:tcBorders>
            <w:shd w:val="clear" w:color="000000" w:fill="1E3D6B"/>
            <w:vAlign w:val="center"/>
            <w:hideMark/>
          </w:tcPr>
          <w:p w:rsidR="00E532F6" w:rsidRPr="00C54A19" w:rsidRDefault="00E532F6" w:rsidP="00E532F6">
            <w:pPr>
              <w:spacing w:after="0" w:line="240" w:lineRule="auto"/>
              <w:jc w:val="center"/>
              <w:rPr>
                <w:rFonts w:ascii="Calibri" w:eastAsia="Times New Roman" w:hAnsi="Calibri" w:cs="Calibri"/>
                <w:b/>
                <w:bCs/>
                <w:color w:val="FFFFFF"/>
                <w:sz w:val="20"/>
                <w:szCs w:val="20"/>
                <w:lang w:eastAsia="en-AU"/>
              </w:rPr>
            </w:pPr>
            <w:r w:rsidRPr="00C54A19">
              <w:rPr>
                <w:rFonts w:ascii="Calibri" w:eastAsia="Times New Roman" w:hAnsi="Calibri" w:cs="Calibri"/>
                <w:b/>
                <w:bCs/>
                <w:color w:val="FFFFFF"/>
                <w:sz w:val="20"/>
                <w:szCs w:val="20"/>
                <w:lang w:eastAsia="en-AU"/>
              </w:rPr>
              <w:t>Squared</w:t>
            </w:r>
          </w:p>
        </w:tc>
        <w:tc>
          <w:tcPr>
            <w:tcW w:w="2126" w:type="dxa"/>
            <w:tcBorders>
              <w:top w:val="nil"/>
              <w:left w:val="nil"/>
              <w:bottom w:val="nil"/>
              <w:right w:val="nil"/>
            </w:tcBorders>
            <w:shd w:val="clear" w:color="000000" w:fill="1E3D6B"/>
            <w:vAlign w:val="center"/>
            <w:hideMark/>
          </w:tcPr>
          <w:p w:rsidR="00E532F6" w:rsidRPr="00C54A19" w:rsidRDefault="00E532F6" w:rsidP="00E532F6">
            <w:pPr>
              <w:spacing w:after="0" w:line="240" w:lineRule="auto"/>
              <w:jc w:val="center"/>
              <w:rPr>
                <w:rFonts w:ascii="Calibri" w:eastAsia="Times New Roman" w:hAnsi="Calibri" w:cs="Calibri"/>
                <w:b/>
                <w:bCs/>
                <w:color w:val="FFFFFF"/>
                <w:sz w:val="20"/>
                <w:szCs w:val="20"/>
                <w:lang w:eastAsia="en-AU"/>
              </w:rPr>
            </w:pPr>
            <w:r w:rsidRPr="00C54A19">
              <w:rPr>
                <w:rFonts w:ascii="Calibri" w:eastAsia="Times New Roman" w:hAnsi="Calibri" w:cs="Calibri"/>
                <w:b/>
                <w:bCs/>
                <w:color w:val="FFFFFF"/>
                <w:sz w:val="20"/>
                <w:szCs w:val="20"/>
                <w:lang w:eastAsia="en-AU"/>
              </w:rPr>
              <w:t>Squared interaction</w:t>
            </w:r>
          </w:p>
        </w:tc>
      </w:tr>
      <w:tr w:rsidR="00E532F6" w:rsidRPr="00E532F6" w:rsidTr="00841B30">
        <w:trPr>
          <w:trHeight w:hRule="exact" w:val="340"/>
        </w:trPr>
        <w:tc>
          <w:tcPr>
            <w:tcW w:w="1291" w:type="dxa"/>
            <w:tcBorders>
              <w:top w:val="nil"/>
              <w:left w:val="nil"/>
              <w:bottom w:val="nil"/>
              <w:right w:val="nil"/>
            </w:tcBorders>
            <w:shd w:val="clear" w:color="auto" w:fill="auto"/>
            <w:vAlign w:val="center"/>
            <w:hideMark/>
          </w:tcPr>
          <w:p w:rsidR="00E532F6" w:rsidRPr="00C54A19" w:rsidRDefault="00E532F6" w:rsidP="00E532F6">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Constant</w:t>
            </w:r>
          </w:p>
        </w:tc>
        <w:tc>
          <w:tcPr>
            <w:tcW w:w="1701" w:type="dxa"/>
            <w:tcBorders>
              <w:top w:val="nil"/>
              <w:left w:val="nil"/>
              <w:bottom w:val="nil"/>
              <w:right w:val="nil"/>
            </w:tcBorders>
            <w:shd w:val="clear" w:color="auto" w:fill="auto"/>
            <w:noWrap/>
            <w:vAlign w:val="center"/>
            <w:hideMark/>
          </w:tcPr>
          <w:p w:rsidR="00E532F6" w:rsidRPr="00C54A19" w:rsidRDefault="00E532F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244.918</w:t>
            </w:r>
          </w:p>
        </w:tc>
        <w:tc>
          <w:tcPr>
            <w:tcW w:w="1843" w:type="dxa"/>
            <w:tcBorders>
              <w:top w:val="nil"/>
              <w:left w:val="nil"/>
              <w:bottom w:val="nil"/>
              <w:right w:val="nil"/>
            </w:tcBorders>
            <w:shd w:val="clear" w:color="auto" w:fill="auto"/>
            <w:noWrap/>
            <w:vAlign w:val="center"/>
            <w:hideMark/>
          </w:tcPr>
          <w:p w:rsidR="00E532F6" w:rsidRPr="00C54A19" w:rsidRDefault="00E532F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250.351</w:t>
            </w:r>
          </w:p>
        </w:tc>
        <w:tc>
          <w:tcPr>
            <w:tcW w:w="1984" w:type="dxa"/>
            <w:tcBorders>
              <w:top w:val="nil"/>
              <w:left w:val="nil"/>
              <w:bottom w:val="nil"/>
              <w:right w:val="nil"/>
            </w:tcBorders>
            <w:shd w:val="clear" w:color="auto" w:fill="auto"/>
            <w:noWrap/>
            <w:vAlign w:val="center"/>
            <w:hideMark/>
          </w:tcPr>
          <w:p w:rsidR="00E532F6" w:rsidRPr="00C54A19" w:rsidRDefault="00E532F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245.097</w:t>
            </w:r>
          </w:p>
        </w:tc>
        <w:tc>
          <w:tcPr>
            <w:tcW w:w="2126" w:type="dxa"/>
            <w:tcBorders>
              <w:top w:val="nil"/>
              <w:left w:val="nil"/>
              <w:bottom w:val="nil"/>
              <w:right w:val="nil"/>
            </w:tcBorders>
            <w:shd w:val="clear" w:color="auto" w:fill="auto"/>
            <w:noWrap/>
            <w:vAlign w:val="center"/>
            <w:hideMark/>
          </w:tcPr>
          <w:p w:rsidR="00E532F6" w:rsidRPr="00C54A19" w:rsidRDefault="00E532F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267.203</w:t>
            </w:r>
          </w:p>
        </w:tc>
      </w:tr>
      <w:tr w:rsidR="00E532F6" w:rsidRPr="00E532F6" w:rsidTr="00841B30">
        <w:trPr>
          <w:trHeight w:hRule="exact" w:val="340"/>
        </w:trPr>
        <w:tc>
          <w:tcPr>
            <w:tcW w:w="1291" w:type="dxa"/>
            <w:tcBorders>
              <w:top w:val="nil"/>
              <w:left w:val="nil"/>
              <w:bottom w:val="nil"/>
              <w:right w:val="nil"/>
            </w:tcBorders>
            <w:shd w:val="clear" w:color="auto" w:fill="auto"/>
            <w:vAlign w:val="center"/>
            <w:hideMark/>
          </w:tcPr>
          <w:p w:rsidR="00E532F6" w:rsidRPr="00C54A19" w:rsidRDefault="00E532F6" w:rsidP="00E532F6">
            <w:pPr>
              <w:spacing w:after="0" w:line="240" w:lineRule="auto"/>
              <w:rPr>
                <w:rFonts w:ascii="Calibri" w:eastAsia="Times New Roman" w:hAnsi="Calibri" w:cs="Calibri"/>
                <w:i/>
                <w:iCs/>
                <w:color w:val="000000"/>
                <w:sz w:val="20"/>
                <w:szCs w:val="20"/>
                <w:lang w:eastAsia="en-AU"/>
              </w:rPr>
            </w:pPr>
          </w:p>
        </w:tc>
        <w:tc>
          <w:tcPr>
            <w:tcW w:w="1701" w:type="dxa"/>
            <w:tcBorders>
              <w:top w:val="nil"/>
              <w:left w:val="nil"/>
              <w:bottom w:val="nil"/>
              <w:right w:val="nil"/>
            </w:tcBorders>
            <w:shd w:val="clear" w:color="auto" w:fill="auto"/>
            <w:noWrap/>
            <w:vAlign w:val="center"/>
            <w:hideMark/>
          </w:tcPr>
          <w:p w:rsidR="00E532F6" w:rsidRPr="00C54A19" w:rsidRDefault="00E532F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&lt;.0001</w:t>
            </w:r>
          </w:p>
        </w:tc>
        <w:tc>
          <w:tcPr>
            <w:tcW w:w="1843" w:type="dxa"/>
            <w:tcBorders>
              <w:top w:val="nil"/>
              <w:left w:val="nil"/>
              <w:bottom w:val="nil"/>
              <w:right w:val="nil"/>
            </w:tcBorders>
            <w:shd w:val="clear" w:color="auto" w:fill="auto"/>
            <w:noWrap/>
            <w:vAlign w:val="center"/>
            <w:hideMark/>
          </w:tcPr>
          <w:p w:rsidR="00E532F6" w:rsidRPr="00C54A19" w:rsidRDefault="00E532F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&lt;.0001</w:t>
            </w:r>
          </w:p>
        </w:tc>
        <w:tc>
          <w:tcPr>
            <w:tcW w:w="1984" w:type="dxa"/>
            <w:tcBorders>
              <w:top w:val="nil"/>
              <w:left w:val="nil"/>
              <w:bottom w:val="nil"/>
              <w:right w:val="nil"/>
            </w:tcBorders>
            <w:shd w:val="clear" w:color="auto" w:fill="auto"/>
            <w:noWrap/>
            <w:vAlign w:val="center"/>
            <w:hideMark/>
          </w:tcPr>
          <w:p w:rsidR="00E532F6" w:rsidRPr="00C54A19" w:rsidRDefault="00E532F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&lt;.0001</w:t>
            </w:r>
          </w:p>
        </w:tc>
        <w:tc>
          <w:tcPr>
            <w:tcW w:w="2126" w:type="dxa"/>
            <w:tcBorders>
              <w:top w:val="nil"/>
              <w:left w:val="nil"/>
              <w:bottom w:val="nil"/>
              <w:right w:val="nil"/>
            </w:tcBorders>
            <w:shd w:val="clear" w:color="auto" w:fill="auto"/>
            <w:noWrap/>
            <w:vAlign w:val="center"/>
            <w:hideMark/>
          </w:tcPr>
          <w:p w:rsidR="00E532F6" w:rsidRPr="00C54A19" w:rsidRDefault="00E532F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&lt;.0001</w:t>
            </w:r>
          </w:p>
        </w:tc>
      </w:tr>
      <w:tr w:rsidR="00841B30" w:rsidRPr="00E532F6" w:rsidTr="00841B30">
        <w:trPr>
          <w:trHeight w:hRule="exact" w:val="340"/>
        </w:trPr>
        <w:tc>
          <w:tcPr>
            <w:tcW w:w="1291" w:type="dxa"/>
            <w:tcBorders>
              <w:top w:val="nil"/>
              <w:left w:val="nil"/>
              <w:bottom w:val="nil"/>
              <w:right w:val="nil"/>
            </w:tcBorders>
            <w:shd w:val="clear" w:color="000000" w:fill="F2F2F2"/>
            <w:noWrap/>
            <w:vAlign w:val="center"/>
            <w:hideMark/>
          </w:tcPr>
          <w:p w:rsidR="00E532F6" w:rsidRPr="00C54A19" w:rsidRDefault="00E532F6" w:rsidP="00E532F6">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r</w:t>
            </w:r>
            <w:r w:rsidRPr="00C54A19">
              <w:rPr>
                <w:rFonts w:ascii="Calibri" w:eastAsia="Times New Roman" w:hAnsi="Calibri" w:cs="Calibri"/>
                <w:i/>
                <w:iCs/>
                <w:color w:val="000000"/>
                <w:sz w:val="20"/>
                <w:szCs w:val="20"/>
                <w:vertAlign w:val="subscript"/>
                <w:lang w:eastAsia="en-AU"/>
              </w:rPr>
              <w:t>i</w:t>
            </w:r>
          </w:p>
        </w:tc>
        <w:tc>
          <w:tcPr>
            <w:tcW w:w="1701" w:type="dxa"/>
            <w:tcBorders>
              <w:top w:val="nil"/>
              <w:left w:val="nil"/>
              <w:bottom w:val="nil"/>
              <w:right w:val="nil"/>
            </w:tcBorders>
            <w:shd w:val="clear" w:color="000000" w:fill="F2F2F2"/>
            <w:noWrap/>
            <w:vAlign w:val="center"/>
            <w:hideMark/>
          </w:tcPr>
          <w:p w:rsidR="00E532F6" w:rsidRPr="00C54A19" w:rsidRDefault="00E532F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2.240</w:t>
            </w:r>
          </w:p>
        </w:tc>
        <w:tc>
          <w:tcPr>
            <w:tcW w:w="1843" w:type="dxa"/>
            <w:tcBorders>
              <w:top w:val="nil"/>
              <w:left w:val="nil"/>
              <w:bottom w:val="nil"/>
              <w:right w:val="nil"/>
            </w:tcBorders>
            <w:shd w:val="clear" w:color="000000" w:fill="F2F2F2"/>
            <w:noWrap/>
            <w:vAlign w:val="center"/>
            <w:hideMark/>
          </w:tcPr>
          <w:p w:rsidR="00E532F6" w:rsidRPr="00C54A19" w:rsidRDefault="00E532F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3.979</w:t>
            </w:r>
          </w:p>
        </w:tc>
        <w:tc>
          <w:tcPr>
            <w:tcW w:w="1984" w:type="dxa"/>
            <w:tcBorders>
              <w:top w:val="nil"/>
              <w:left w:val="nil"/>
              <w:bottom w:val="nil"/>
              <w:right w:val="nil"/>
            </w:tcBorders>
            <w:shd w:val="clear" w:color="000000" w:fill="F2F2F2"/>
            <w:noWrap/>
            <w:vAlign w:val="center"/>
            <w:hideMark/>
          </w:tcPr>
          <w:p w:rsidR="00E532F6" w:rsidRPr="00C54A19" w:rsidRDefault="00E532F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0.257</w:t>
            </w:r>
          </w:p>
        </w:tc>
        <w:tc>
          <w:tcPr>
            <w:tcW w:w="2126" w:type="dxa"/>
            <w:tcBorders>
              <w:top w:val="nil"/>
              <w:left w:val="nil"/>
              <w:bottom w:val="nil"/>
              <w:right w:val="nil"/>
            </w:tcBorders>
            <w:shd w:val="clear" w:color="000000" w:fill="F2F2F2"/>
            <w:noWrap/>
            <w:vAlign w:val="center"/>
            <w:hideMark/>
          </w:tcPr>
          <w:p w:rsidR="00E532F6" w:rsidRPr="00C54A19" w:rsidRDefault="00E532F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19.534</w:t>
            </w:r>
          </w:p>
        </w:tc>
      </w:tr>
      <w:tr w:rsidR="00841B30" w:rsidRPr="00E532F6" w:rsidTr="00841B30">
        <w:trPr>
          <w:trHeight w:hRule="exact" w:val="340"/>
        </w:trPr>
        <w:tc>
          <w:tcPr>
            <w:tcW w:w="1291" w:type="dxa"/>
            <w:tcBorders>
              <w:top w:val="nil"/>
              <w:left w:val="nil"/>
              <w:bottom w:val="nil"/>
              <w:right w:val="nil"/>
            </w:tcBorders>
            <w:shd w:val="clear" w:color="000000" w:fill="F2F2F2"/>
            <w:vAlign w:val="center"/>
            <w:hideMark/>
          </w:tcPr>
          <w:p w:rsidR="00E532F6" w:rsidRPr="00C54A19" w:rsidRDefault="00E532F6" w:rsidP="00E532F6">
            <w:pPr>
              <w:spacing w:after="0" w:line="240" w:lineRule="auto"/>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701" w:type="dxa"/>
            <w:tcBorders>
              <w:top w:val="nil"/>
              <w:left w:val="nil"/>
              <w:bottom w:val="nil"/>
              <w:right w:val="nil"/>
            </w:tcBorders>
            <w:shd w:val="clear" w:color="000000" w:fill="F2F2F2"/>
            <w:noWrap/>
            <w:vAlign w:val="center"/>
            <w:hideMark/>
          </w:tcPr>
          <w:p w:rsidR="00E532F6" w:rsidRPr="00C54A19" w:rsidRDefault="00E532F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0.257</w:t>
            </w:r>
          </w:p>
        </w:tc>
        <w:tc>
          <w:tcPr>
            <w:tcW w:w="1843" w:type="dxa"/>
            <w:tcBorders>
              <w:top w:val="nil"/>
              <w:left w:val="nil"/>
              <w:bottom w:val="nil"/>
              <w:right w:val="nil"/>
            </w:tcBorders>
            <w:shd w:val="clear" w:color="000000" w:fill="F2F2F2"/>
            <w:noWrap/>
            <w:vAlign w:val="center"/>
            <w:hideMark/>
          </w:tcPr>
          <w:p w:rsidR="00E532F6" w:rsidRPr="00C54A19" w:rsidRDefault="00E532F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0.074</w:t>
            </w:r>
          </w:p>
        </w:tc>
        <w:tc>
          <w:tcPr>
            <w:tcW w:w="1984" w:type="dxa"/>
            <w:tcBorders>
              <w:top w:val="nil"/>
              <w:left w:val="nil"/>
              <w:bottom w:val="nil"/>
              <w:right w:val="nil"/>
            </w:tcBorders>
            <w:shd w:val="clear" w:color="000000" w:fill="F2F2F2"/>
            <w:noWrap/>
            <w:vAlign w:val="center"/>
            <w:hideMark/>
          </w:tcPr>
          <w:p w:rsidR="00E532F6" w:rsidRPr="00C54A19" w:rsidRDefault="00E532F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0.922</w:t>
            </w:r>
          </w:p>
        </w:tc>
        <w:tc>
          <w:tcPr>
            <w:tcW w:w="2126" w:type="dxa"/>
            <w:tcBorders>
              <w:top w:val="nil"/>
              <w:left w:val="nil"/>
              <w:bottom w:val="nil"/>
              <w:right w:val="nil"/>
            </w:tcBorders>
            <w:shd w:val="clear" w:color="000000" w:fill="F2F2F2"/>
            <w:noWrap/>
            <w:vAlign w:val="center"/>
            <w:hideMark/>
          </w:tcPr>
          <w:p w:rsidR="00E532F6" w:rsidRPr="00C54A19" w:rsidRDefault="00E532F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0.031</w:t>
            </w:r>
          </w:p>
        </w:tc>
      </w:tr>
      <w:tr w:rsidR="00E532F6" w:rsidRPr="00E532F6" w:rsidTr="00841B30">
        <w:trPr>
          <w:trHeight w:hRule="exact" w:val="340"/>
        </w:trPr>
        <w:tc>
          <w:tcPr>
            <w:tcW w:w="1291" w:type="dxa"/>
            <w:tcBorders>
              <w:top w:val="nil"/>
              <w:left w:val="nil"/>
              <w:bottom w:val="nil"/>
              <w:right w:val="nil"/>
            </w:tcBorders>
            <w:shd w:val="clear" w:color="auto" w:fill="auto"/>
            <w:noWrap/>
            <w:vAlign w:val="center"/>
            <w:hideMark/>
          </w:tcPr>
          <w:p w:rsidR="00E532F6" w:rsidRPr="00C54A19" w:rsidRDefault="00E532F6" w:rsidP="00E532F6">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d</w:t>
            </w:r>
            <w:r w:rsidRPr="00C54A19">
              <w:rPr>
                <w:rFonts w:ascii="Calibri" w:eastAsia="Times New Roman" w:hAnsi="Calibri" w:cs="Calibri"/>
                <w:i/>
                <w:iCs/>
                <w:color w:val="000000"/>
                <w:sz w:val="20"/>
                <w:szCs w:val="20"/>
                <w:vertAlign w:val="subscript"/>
                <w:lang w:eastAsia="en-AU"/>
              </w:rPr>
              <w:t>i</w:t>
            </w:r>
          </w:p>
        </w:tc>
        <w:tc>
          <w:tcPr>
            <w:tcW w:w="1701" w:type="dxa"/>
            <w:tcBorders>
              <w:top w:val="nil"/>
              <w:left w:val="nil"/>
              <w:bottom w:val="nil"/>
              <w:right w:val="nil"/>
            </w:tcBorders>
            <w:shd w:val="clear" w:color="auto" w:fill="auto"/>
            <w:noWrap/>
            <w:vAlign w:val="center"/>
            <w:hideMark/>
          </w:tcPr>
          <w:p w:rsidR="00E532F6" w:rsidRPr="00C54A19" w:rsidRDefault="00E532F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2.694</w:t>
            </w:r>
          </w:p>
        </w:tc>
        <w:tc>
          <w:tcPr>
            <w:tcW w:w="1843" w:type="dxa"/>
            <w:tcBorders>
              <w:top w:val="nil"/>
              <w:left w:val="nil"/>
              <w:bottom w:val="nil"/>
              <w:right w:val="nil"/>
            </w:tcBorders>
            <w:shd w:val="clear" w:color="auto" w:fill="auto"/>
            <w:noWrap/>
            <w:vAlign w:val="center"/>
            <w:hideMark/>
          </w:tcPr>
          <w:p w:rsidR="00E532F6" w:rsidRPr="00C54A19" w:rsidRDefault="00E532F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8.288</w:t>
            </w:r>
          </w:p>
        </w:tc>
        <w:tc>
          <w:tcPr>
            <w:tcW w:w="1984" w:type="dxa"/>
            <w:tcBorders>
              <w:top w:val="nil"/>
              <w:left w:val="nil"/>
              <w:bottom w:val="nil"/>
              <w:right w:val="nil"/>
            </w:tcBorders>
            <w:shd w:val="clear" w:color="auto" w:fill="auto"/>
            <w:noWrap/>
            <w:vAlign w:val="center"/>
            <w:hideMark/>
          </w:tcPr>
          <w:p w:rsidR="00E532F6" w:rsidRPr="00C54A19" w:rsidRDefault="00E532F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8.654</w:t>
            </w:r>
          </w:p>
        </w:tc>
        <w:tc>
          <w:tcPr>
            <w:tcW w:w="2126" w:type="dxa"/>
            <w:tcBorders>
              <w:top w:val="nil"/>
              <w:left w:val="nil"/>
              <w:bottom w:val="nil"/>
              <w:right w:val="nil"/>
            </w:tcBorders>
            <w:shd w:val="clear" w:color="auto" w:fill="auto"/>
            <w:noWrap/>
            <w:vAlign w:val="center"/>
            <w:hideMark/>
          </w:tcPr>
          <w:p w:rsidR="00E532F6" w:rsidRPr="00C54A19" w:rsidRDefault="00E532F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-17.687</w:t>
            </w:r>
          </w:p>
        </w:tc>
      </w:tr>
      <w:tr w:rsidR="00E532F6" w:rsidRPr="00E532F6" w:rsidTr="00841B30">
        <w:trPr>
          <w:trHeight w:hRule="exact" w:val="340"/>
        </w:trPr>
        <w:tc>
          <w:tcPr>
            <w:tcW w:w="1291" w:type="dxa"/>
            <w:tcBorders>
              <w:top w:val="nil"/>
              <w:left w:val="nil"/>
              <w:bottom w:val="nil"/>
              <w:right w:val="nil"/>
            </w:tcBorders>
            <w:shd w:val="clear" w:color="auto" w:fill="auto"/>
            <w:vAlign w:val="center"/>
            <w:hideMark/>
          </w:tcPr>
          <w:p w:rsidR="00E532F6" w:rsidRPr="00C54A19" w:rsidRDefault="00E532F6" w:rsidP="00E532F6">
            <w:pPr>
              <w:spacing w:after="0" w:line="240" w:lineRule="auto"/>
              <w:rPr>
                <w:rFonts w:ascii="Calibri" w:eastAsia="Times New Roman" w:hAnsi="Calibri" w:cs="Calibri"/>
                <w:i/>
                <w:iCs/>
                <w:color w:val="000000"/>
                <w:sz w:val="20"/>
                <w:szCs w:val="20"/>
                <w:lang w:eastAsia="en-AU"/>
              </w:rPr>
            </w:pPr>
          </w:p>
        </w:tc>
        <w:tc>
          <w:tcPr>
            <w:tcW w:w="1701" w:type="dxa"/>
            <w:tcBorders>
              <w:top w:val="nil"/>
              <w:left w:val="nil"/>
              <w:bottom w:val="nil"/>
              <w:right w:val="nil"/>
            </w:tcBorders>
            <w:shd w:val="clear" w:color="auto" w:fill="auto"/>
            <w:noWrap/>
            <w:vAlign w:val="center"/>
            <w:hideMark/>
          </w:tcPr>
          <w:p w:rsidR="00E532F6" w:rsidRPr="00C54A19" w:rsidRDefault="00E532F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0.815</w:t>
            </w:r>
          </w:p>
        </w:tc>
        <w:tc>
          <w:tcPr>
            <w:tcW w:w="1843" w:type="dxa"/>
            <w:tcBorders>
              <w:top w:val="nil"/>
              <w:left w:val="nil"/>
              <w:bottom w:val="nil"/>
              <w:right w:val="nil"/>
            </w:tcBorders>
            <w:shd w:val="clear" w:color="auto" w:fill="auto"/>
            <w:noWrap/>
            <w:vAlign w:val="center"/>
            <w:hideMark/>
          </w:tcPr>
          <w:p w:rsidR="00E532F6" w:rsidRPr="00C54A19" w:rsidRDefault="00E532F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0.482</w:t>
            </w:r>
          </w:p>
        </w:tc>
        <w:tc>
          <w:tcPr>
            <w:tcW w:w="1984" w:type="dxa"/>
            <w:tcBorders>
              <w:top w:val="nil"/>
              <w:left w:val="nil"/>
              <w:bottom w:val="nil"/>
              <w:right w:val="nil"/>
            </w:tcBorders>
            <w:shd w:val="clear" w:color="auto" w:fill="auto"/>
            <w:noWrap/>
            <w:vAlign w:val="center"/>
            <w:hideMark/>
          </w:tcPr>
          <w:p w:rsidR="00E532F6" w:rsidRPr="00C54A19" w:rsidRDefault="00E532F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0.495</w:t>
            </w:r>
          </w:p>
        </w:tc>
        <w:tc>
          <w:tcPr>
            <w:tcW w:w="2126" w:type="dxa"/>
            <w:tcBorders>
              <w:top w:val="nil"/>
              <w:left w:val="nil"/>
              <w:bottom w:val="nil"/>
              <w:right w:val="nil"/>
            </w:tcBorders>
            <w:shd w:val="clear" w:color="auto" w:fill="auto"/>
            <w:noWrap/>
            <w:vAlign w:val="center"/>
            <w:hideMark/>
          </w:tcPr>
          <w:p w:rsidR="00E532F6" w:rsidRPr="00C54A19" w:rsidRDefault="00E532F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0.296</w:t>
            </w:r>
          </w:p>
        </w:tc>
      </w:tr>
      <w:tr w:rsidR="00841B30" w:rsidRPr="00E532F6" w:rsidTr="00841B30">
        <w:trPr>
          <w:trHeight w:hRule="exact" w:val="340"/>
        </w:trPr>
        <w:tc>
          <w:tcPr>
            <w:tcW w:w="1291" w:type="dxa"/>
            <w:tcBorders>
              <w:top w:val="nil"/>
              <w:left w:val="nil"/>
              <w:bottom w:val="nil"/>
              <w:right w:val="nil"/>
            </w:tcBorders>
            <w:shd w:val="clear" w:color="000000" w:fill="F2F2F2"/>
            <w:noWrap/>
            <w:vAlign w:val="center"/>
            <w:hideMark/>
          </w:tcPr>
          <w:p w:rsidR="00E532F6" w:rsidRPr="00C54A19" w:rsidRDefault="00E532F6" w:rsidP="00E532F6">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d</w:t>
            </w:r>
            <w:r w:rsidRPr="00C54A19">
              <w:rPr>
                <w:rFonts w:ascii="Calibri" w:eastAsia="Times New Roman" w:hAnsi="Calibri" w:cs="Calibri"/>
                <w:i/>
                <w:iCs/>
                <w:color w:val="000000"/>
                <w:sz w:val="20"/>
                <w:szCs w:val="20"/>
                <w:vertAlign w:val="subscript"/>
                <w:lang w:eastAsia="en-AU"/>
              </w:rPr>
              <w:t>i</w:t>
            </w:r>
            <w:r w:rsidRPr="00C54A19">
              <w:rPr>
                <w:rFonts w:ascii="Calibri" w:eastAsia="Times New Roman" w:hAnsi="Calibri" w:cs="Calibri"/>
                <w:color w:val="000000"/>
                <w:sz w:val="20"/>
                <w:szCs w:val="20"/>
                <w:lang w:eastAsia="en-AU"/>
              </w:rPr>
              <w:t>r</w:t>
            </w:r>
            <w:r w:rsidRPr="00C54A19">
              <w:rPr>
                <w:rFonts w:ascii="Calibri" w:eastAsia="Times New Roman" w:hAnsi="Calibri" w:cs="Calibri"/>
                <w:i/>
                <w:iCs/>
                <w:color w:val="000000"/>
                <w:sz w:val="20"/>
                <w:szCs w:val="20"/>
                <w:vertAlign w:val="subscript"/>
                <w:lang w:eastAsia="en-AU"/>
              </w:rPr>
              <w:t>i</w:t>
            </w:r>
          </w:p>
        </w:tc>
        <w:tc>
          <w:tcPr>
            <w:tcW w:w="1701" w:type="dxa"/>
            <w:tcBorders>
              <w:top w:val="nil"/>
              <w:left w:val="nil"/>
              <w:bottom w:val="nil"/>
              <w:right w:val="nil"/>
            </w:tcBorders>
            <w:shd w:val="clear" w:color="000000" w:fill="F2F2F2"/>
            <w:noWrap/>
            <w:vAlign w:val="center"/>
            <w:hideMark/>
          </w:tcPr>
          <w:p w:rsidR="00E532F6" w:rsidRPr="00C54A19" w:rsidRDefault="00E532F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p>
        </w:tc>
        <w:tc>
          <w:tcPr>
            <w:tcW w:w="1843" w:type="dxa"/>
            <w:tcBorders>
              <w:top w:val="nil"/>
              <w:left w:val="nil"/>
              <w:bottom w:val="nil"/>
              <w:right w:val="nil"/>
            </w:tcBorders>
            <w:shd w:val="clear" w:color="000000" w:fill="F2F2F2"/>
            <w:noWrap/>
            <w:vAlign w:val="center"/>
            <w:hideMark/>
          </w:tcPr>
          <w:p w:rsidR="00E532F6" w:rsidRPr="00C54A19" w:rsidRDefault="00E532F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-7.620</w:t>
            </w:r>
          </w:p>
        </w:tc>
        <w:tc>
          <w:tcPr>
            <w:tcW w:w="1984" w:type="dxa"/>
            <w:tcBorders>
              <w:top w:val="nil"/>
              <w:left w:val="nil"/>
              <w:bottom w:val="nil"/>
              <w:right w:val="nil"/>
            </w:tcBorders>
            <w:shd w:val="clear" w:color="000000" w:fill="F2F2F2"/>
            <w:noWrap/>
            <w:vAlign w:val="center"/>
            <w:hideMark/>
          </w:tcPr>
          <w:p w:rsidR="00E532F6" w:rsidRPr="00C54A19" w:rsidRDefault="00E532F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p>
        </w:tc>
        <w:tc>
          <w:tcPr>
            <w:tcW w:w="2126" w:type="dxa"/>
            <w:tcBorders>
              <w:top w:val="nil"/>
              <w:left w:val="nil"/>
              <w:bottom w:val="nil"/>
              <w:right w:val="nil"/>
            </w:tcBorders>
            <w:shd w:val="clear" w:color="000000" w:fill="F2F2F2"/>
            <w:noWrap/>
            <w:vAlign w:val="center"/>
            <w:hideMark/>
          </w:tcPr>
          <w:p w:rsidR="00E532F6" w:rsidRPr="00C54A19" w:rsidRDefault="00E532F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-7.534</w:t>
            </w:r>
          </w:p>
        </w:tc>
      </w:tr>
      <w:tr w:rsidR="00841B30" w:rsidRPr="00E532F6" w:rsidTr="00841B30">
        <w:trPr>
          <w:trHeight w:hRule="exact" w:val="340"/>
        </w:trPr>
        <w:tc>
          <w:tcPr>
            <w:tcW w:w="1291" w:type="dxa"/>
            <w:tcBorders>
              <w:top w:val="nil"/>
              <w:left w:val="nil"/>
              <w:bottom w:val="nil"/>
              <w:right w:val="nil"/>
            </w:tcBorders>
            <w:shd w:val="clear" w:color="000000" w:fill="F2F2F2"/>
            <w:vAlign w:val="center"/>
            <w:hideMark/>
          </w:tcPr>
          <w:p w:rsidR="00E532F6" w:rsidRPr="00C54A19" w:rsidRDefault="00E532F6" w:rsidP="00E532F6">
            <w:pPr>
              <w:spacing w:after="0" w:line="240" w:lineRule="auto"/>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701" w:type="dxa"/>
            <w:tcBorders>
              <w:top w:val="nil"/>
              <w:left w:val="nil"/>
              <w:bottom w:val="nil"/>
              <w:right w:val="nil"/>
            </w:tcBorders>
            <w:shd w:val="clear" w:color="000000" w:fill="F2F2F2"/>
            <w:noWrap/>
            <w:vAlign w:val="center"/>
            <w:hideMark/>
          </w:tcPr>
          <w:p w:rsidR="00E532F6" w:rsidRPr="00C54A19" w:rsidRDefault="00E532F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843" w:type="dxa"/>
            <w:tcBorders>
              <w:top w:val="nil"/>
              <w:left w:val="nil"/>
              <w:bottom w:val="nil"/>
              <w:right w:val="nil"/>
            </w:tcBorders>
            <w:shd w:val="clear" w:color="000000" w:fill="F2F2F2"/>
            <w:noWrap/>
            <w:vAlign w:val="center"/>
            <w:hideMark/>
          </w:tcPr>
          <w:p w:rsidR="00E532F6" w:rsidRPr="00C54A19" w:rsidRDefault="00E532F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0.101</w:t>
            </w:r>
          </w:p>
        </w:tc>
        <w:tc>
          <w:tcPr>
            <w:tcW w:w="1984" w:type="dxa"/>
            <w:tcBorders>
              <w:top w:val="nil"/>
              <w:left w:val="nil"/>
              <w:bottom w:val="nil"/>
              <w:right w:val="nil"/>
            </w:tcBorders>
            <w:shd w:val="clear" w:color="000000" w:fill="F2F2F2"/>
            <w:noWrap/>
            <w:vAlign w:val="center"/>
            <w:hideMark/>
          </w:tcPr>
          <w:p w:rsidR="00E532F6" w:rsidRPr="00C54A19" w:rsidRDefault="00E532F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2126" w:type="dxa"/>
            <w:tcBorders>
              <w:top w:val="nil"/>
              <w:left w:val="nil"/>
              <w:bottom w:val="nil"/>
              <w:right w:val="nil"/>
            </w:tcBorders>
            <w:shd w:val="clear" w:color="000000" w:fill="F2F2F2"/>
            <w:noWrap/>
            <w:vAlign w:val="center"/>
            <w:hideMark/>
          </w:tcPr>
          <w:p w:rsidR="00E532F6" w:rsidRPr="00C54A19" w:rsidRDefault="00E532F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0.660</w:t>
            </w:r>
          </w:p>
        </w:tc>
      </w:tr>
      <w:tr w:rsidR="00841B30" w:rsidRPr="00E532F6" w:rsidTr="00841B30">
        <w:trPr>
          <w:trHeight w:hRule="exact" w:val="340"/>
        </w:trPr>
        <w:tc>
          <w:tcPr>
            <w:tcW w:w="1291" w:type="dxa"/>
            <w:tcBorders>
              <w:top w:val="nil"/>
              <w:left w:val="nil"/>
              <w:bottom w:val="nil"/>
              <w:right w:val="nil"/>
            </w:tcBorders>
            <w:shd w:val="clear" w:color="000000" w:fill="FFFFFF"/>
            <w:noWrap/>
            <w:vAlign w:val="center"/>
            <w:hideMark/>
          </w:tcPr>
          <w:p w:rsidR="00E532F6" w:rsidRPr="00C54A19" w:rsidRDefault="00E532F6" w:rsidP="00E532F6">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r</w:t>
            </w:r>
            <w:r w:rsidRPr="00C54A19">
              <w:rPr>
                <w:rFonts w:ascii="Calibri" w:eastAsia="Times New Roman" w:hAnsi="Calibri" w:cs="Calibri"/>
                <w:i/>
                <w:iCs/>
                <w:color w:val="000000"/>
                <w:sz w:val="20"/>
                <w:szCs w:val="20"/>
                <w:vertAlign w:val="subscript"/>
                <w:lang w:eastAsia="en-AU"/>
              </w:rPr>
              <w:t>i</w:t>
            </w:r>
            <w:r w:rsidRPr="00C54A19">
              <w:rPr>
                <w:rFonts w:ascii="Calibri" w:eastAsia="Times New Roman" w:hAnsi="Calibri" w:cs="Calibri"/>
                <w:color w:val="000000"/>
                <w:sz w:val="20"/>
                <w:szCs w:val="20"/>
                <w:vertAlign w:val="superscript"/>
                <w:lang w:eastAsia="en-AU"/>
              </w:rPr>
              <w:t>2</w:t>
            </w:r>
          </w:p>
        </w:tc>
        <w:tc>
          <w:tcPr>
            <w:tcW w:w="1701" w:type="dxa"/>
            <w:tcBorders>
              <w:top w:val="nil"/>
              <w:left w:val="nil"/>
              <w:bottom w:val="nil"/>
              <w:right w:val="nil"/>
            </w:tcBorders>
            <w:shd w:val="clear" w:color="000000" w:fill="FFFFFF"/>
            <w:noWrap/>
            <w:vAlign w:val="center"/>
            <w:hideMark/>
          </w:tcPr>
          <w:p w:rsidR="00E532F6" w:rsidRPr="00C54A19" w:rsidRDefault="00E532F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p>
        </w:tc>
        <w:tc>
          <w:tcPr>
            <w:tcW w:w="1843" w:type="dxa"/>
            <w:tcBorders>
              <w:top w:val="nil"/>
              <w:left w:val="nil"/>
              <w:bottom w:val="nil"/>
              <w:right w:val="nil"/>
            </w:tcBorders>
            <w:shd w:val="clear" w:color="000000" w:fill="FFFFFF"/>
            <w:noWrap/>
            <w:vAlign w:val="center"/>
            <w:hideMark/>
          </w:tcPr>
          <w:p w:rsidR="00E532F6" w:rsidRPr="00C54A19" w:rsidRDefault="00E532F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p>
        </w:tc>
        <w:tc>
          <w:tcPr>
            <w:tcW w:w="1984" w:type="dxa"/>
            <w:tcBorders>
              <w:top w:val="nil"/>
              <w:left w:val="nil"/>
              <w:bottom w:val="nil"/>
              <w:right w:val="nil"/>
            </w:tcBorders>
            <w:shd w:val="clear" w:color="000000" w:fill="FFFFFF"/>
            <w:noWrap/>
            <w:vAlign w:val="center"/>
            <w:hideMark/>
          </w:tcPr>
          <w:p w:rsidR="00E532F6" w:rsidRPr="00C54A19" w:rsidRDefault="00E532F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-0.500</w:t>
            </w:r>
          </w:p>
        </w:tc>
        <w:tc>
          <w:tcPr>
            <w:tcW w:w="2126" w:type="dxa"/>
            <w:tcBorders>
              <w:top w:val="nil"/>
              <w:left w:val="nil"/>
              <w:bottom w:val="nil"/>
              <w:right w:val="nil"/>
            </w:tcBorders>
            <w:shd w:val="clear" w:color="000000" w:fill="FFFFFF"/>
            <w:noWrap/>
            <w:vAlign w:val="center"/>
            <w:hideMark/>
          </w:tcPr>
          <w:p w:rsidR="00E532F6" w:rsidRPr="00C54A19" w:rsidRDefault="00E532F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2.489</w:t>
            </w:r>
          </w:p>
        </w:tc>
      </w:tr>
      <w:tr w:rsidR="00841B30" w:rsidRPr="00E532F6" w:rsidTr="00841B30">
        <w:trPr>
          <w:trHeight w:hRule="exact" w:val="340"/>
        </w:trPr>
        <w:tc>
          <w:tcPr>
            <w:tcW w:w="1291" w:type="dxa"/>
            <w:tcBorders>
              <w:top w:val="nil"/>
              <w:left w:val="nil"/>
              <w:bottom w:val="nil"/>
              <w:right w:val="nil"/>
            </w:tcBorders>
            <w:shd w:val="clear" w:color="000000" w:fill="FFFFFF"/>
            <w:vAlign w:val="center"/>
            <w:hideMark/>
          </w:tcPr>
          <w:p w:rsidR="00E532F6" w:rsidRPr="00C54A19" w:rsidRDefault="00E532F6" w:rsidP="00E532F6">
            <w:pPr>
              <w:spacing w:after="0" w:line="240" w:lineRule="auto"/>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701" w:type="dxa"/>
            <w:tcBorders>
              <w:top w:val="nil"/>
              <w:left w:val="nil"/>
              <w:bottom w:val="nil"/>
              <w:right w:val="nil"/>
            </w:tcBorders>
            <w:shd w:val="clear" w:color="000000" w:fill="FFFFFF"/>
            <w:noWrap/>
            <w:vAlign w:val="center"/>
            <w:hideMark/>
          </w:tcPr>
          <w:p w:rsidR="00E532F6" w:rsidRPr="00C54A19" w:rsidRDefault="00E532F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843" w:type="dxa"/>
            <w:tcBorders>
              <w:top w:val="nil"/>
              <w:left w:val="nil"/>
              <w:bottom w:val="nil"/>
              <w:right w:val="nil"/>
            </w:tcBorders>
            <w:shd w:val="clear" w:color="000000" w:fill="FFFFFF"/>
            <w:noWrap/>
            <w:vAlign w:val="center"/>
            <w:hideMark/>
          </w:tcPr>
          <w:p w:rsidR="00E532F6" w:rsidRPr="00C54A19" w:rsidRDefault="00E532F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984" w:type="dxa"/>
            <w:tcBorders>
              <w:top w:val="nil"/>
              <w:left w:val="nil"/>
              <w:bottom w:val="nil"/>
              <w:right w:val="nil"/>
            </w:tcBorders>
            <w:shd w:val="clear" w:color="000000" w:fill="FFFFFF"/>
            <w:noWrap/>
            <w:vAlign w:val="center"/>
            <w:hideMark/>
          </w:tcPr>
          <w:p w:rsidR="00E532F6" w:rsidRPr="00C54A19" w:rsidRDefault="00E532F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0.260</w:t>
            </w:r>
          </w:p>
        </w:tc>
        <w:tc>
          <w:tcPr>
            <w:tcW w:w="2126" w:type="dxa"/>
            <w:tcBorders>
              <w:top w:val="nil"/>
              <w:left w:val="nil"/>
              <w:bottom w:val="nil"/>
              <w:right w:val="nil"/>
            </w:tcBorders>
            <w:shd w:val="clear" w:color="000000" w:fill="FFFFFF"/>
            <w:noWrap/>
            <w:vAlign w:val="center"/>
            <w:hideMark/>
          </w:tcPr>
          <w:p w:rsidR="00E532F6" w:rsidRPr="00C54A19" w:rsidRDefault="00E532F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0.074</w:t>
            </w:r>
          </w:p>
        </w:tc>
      </w:tr>
      <w:tr w:rsidR="00841B30" w:rsidRPr="00E532F6" w:rsidTr="00841B30">
        <w:trPr>
          <w:trHeight w:hRule="exact" w:val="340"/>
        </w:trPr>
        <w:tc>
          <w:tcPr>
            <w:tcW w:w="1291" w:type="dxa"/>
            <w:tcBorders>
              <w:top w:val="nil"/>
              <w:left w:val="nil"/>
              <w:bottom w:val="nil"/>
              <w:right w:val="nil"/>
            </w:tcBorders>
            <w:shd w:val="clear" w:color="000000" w:fill="F2F2F2"/>
            <w:noWrap/>
            <w:vAlign w:val="center"/>
            <w:hideMark/>
          </w:tcPr>
          <w:p w:rsidR="00E532F6" w:rsidRPr="00C54A19" w:rsidRDefault="00E532F6" w:rsidP="00E532F6">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d</w:t>
            </w:r>
            <w:r w:rsidRPr="00C54A19">
              <w:rPr>
                <w:rFonts w:ascii="Calibri" w:eastAsia="Times New Roman" w:hAnsi="Calibri" w:cs="Calibri"/>
                <w:i/>
                <w:iCs/>
                <w:color w:val="000000"/>
                <w:sz w:val="20"/>
                <w:szCs w:val="20"/>
                <w:vertAlign w:val="subscript"/>
                <w:lang w:eastAsia="en-AU"/>
              </w:rPr>
              <w:t>i</w:t>
            </w:r>
            <w:r w:rsidRPr="00C54A19">
              <w:rPr>
                <w:rFonts w:ascii="Calibri" w:eastAsia="Times New Roman" w:hAnsi="Calibri" w:cs="Calibri"/>
                <w:color w:val="000000"/>
                <w:sz w:val="20"/>
                <w:szCs w:val="20"/>
                <w:lang w:eastAsia="en-AU"/>
              </w:rPr>
              <w:t>r</w:t>
            </w:r>
            <w:r w:rsidRPr="00C54A19">
              <w:rPr>
                <w:rFonts w:ascii="Calibri" w:eastAsia="Times New Roman" w:hAnsi="Calibri" w:cs="Calibri"/>
                <w:i/>
                <w:iCs/>
                <w:color w:val="000000"/>
                <w:sz w:val="20"/>
                <w:szCs w:val="20"/>
                <w:vertAlign w:val="subscript"/>
                <w:lang w:eastAsia="en-AU"/>
              </w:rPr>
              <w:t>i</w:t>
            </w:r>
            <w:r w:rsidRPr="00C54A19">
              <w:rPr>
                <w:rFonts w:ascii="Calibri" w:eastAsia="Times New Roman" w:hAnsi="Calibri" w:cs="Calibri"/>
                <w:color w:val="000000"/>
                <w:sz w:val="20"/>
                <w:szCs w:val="20"/>
                <w:vertAlign w:val="superscript"/>
                <w:lang w:eastAsia="en-AU"/>
              </w:rPr>
              <w:t>2</w:t>
            </w:r>
          </w:p>
        </w:tc>
        <w:tc>
          <w:tcPr>
            <w:tcW w:w="1701" w:type="dxa"/>
            <w:tcBorders>
              <w:top w:val="nil"/>
              <w:left w:val="nil"/>
              <w:bottom w:val="nil"/>
              <w:right w:val="nil"/>
            </w:tcBorders>
            <w:shd w:val="clear" w:color="000000" w:fill="F2F2F2"/>
            <w:noWrap/>
            <w:vAlign w:val="center"/>
            <w:hideMark/>
          </w:tcPr>
          <w:p w:rsidR="00E532F6" w:rsidRPr="00C54A19" w:rsidRDefault="00E532F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p>
        </w:tc>
        <w:tc>
          <w:tcPr>
            <w:tcW w:w="1843" w:type="dxa"/>
            <w:tcBorders>
              <w:top w:val="nil"/>
              <w:left w:val="nil"/>
              <w:bottom w:val="nil"/>
              <w:right w:val="nil"/>
            </w:tcBorders>
            <w:shd w:val="clear" w:color="000000" w:fill="F2F2F2"/>
            <w:noWrap/>
            <w:vAlign w:val="center"/>
            <w:hideMark/>
          </w:tcPr>
          <w:p w:rsidR="00E532F6" w:rsidRPr="00C54A19" w:rsidRDefault="00E532F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p>
        </w:tc>
        <w:tc>
          <w:tcPr>
            <w:tcW w:w="1984" w:type="dxa"/>
            <w:tcBorders>
              <w:top w:val="nil"/>
              <w:left w:val="nil"/>
              <w:bottom w:val="nil"/>
              <w:right w:val="nil"/>
            </w:tcBorders>
            <w:shd w:val="clear" w:color="000000" w:fill="F2F2F2"/>
            <w:noWrap/>
            <w:vAlign w:val="center"/>
            <w:hideMark/>
          </w:tcPr>
          <w:p w:rsidR="00E532F6" w:rsidRPr="00C54A19" w:rsidRDefault="00E532F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p>
        </w:tc>
        <w:tc>
          <w:tcPr>
            <w:tcW w:w="2126" w:type="dxa"/>
            <w:tcBorders>
              <w:top w:val="nil"/>
              <w:left w:val="nil"/>
              <w:bottom w:val="nil"/>
              <w:right w:val="nil"/>
            </w:tcBorders>
            <w:shd w:val="clear" w:color="000000" w:fill="F2F2F2"/>
            <w:noWrap/>
            <w:vAlign w:val="center"/>
            <w:hideMark/>
          </w:tcPr>
          <w:p w:rsidR="00E532F6" w:rsidRPr="00C54A19" w:rsidRDefault="00E532F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-6.660</w:t>
            </w:r>
          </w:p>
        </w:tc>
      </w:tr>
      <w:tr w:rsidR="00841B30" w:rsidRPr="00E532F6" w:rsidTr="00841B30">
        <w:trPr>
          <w:trHeight w:hRule="exact" w:val="340"/>
        </w:trPr>
        <w:tc>
          <w:tcPr>
            <w:tcW w:w="1291" w:type="dxa"/>
            <w:tcBorders>
              <w:top w:val="nil"/>
              <w:left w:val="nil"/>
              <w:bottom w:val="nil"/>
              <w:right w:val="nil"/>
            </w:tcBorders>
            <w:shd w:val="clear" w:color="000000" w:fill="F2F2F2"/>
            <w:noWrap/>
            <w:vAlign w:val="center"/>
            <w:hideMark/>
          </w:tcPr>
          <w:p w:rsidR="00E532F6" w:rsidRPr="00C54A19" w:rsidRDefault="00E532F6" w:rsidP="00E532F6">
            <w:pPr>
              <w:spacing w:after="0" w:line="240" w:lineRule="auto"/>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701" w:type="dxa"/>
            <w:tcBorders>
              <w:top w:val="nil"/>
              <w:left w:val="nil"/>
              <w:bottom w:val="nil"/>
              <w:right w:val="nil"/>
            </w:tcBorders>
            <w:shd w:val="clear" w:color="000000" w:fill="F2F2F2"/>
            <w:noWrap/>
            <w:vAlign w:val="center"/>
            <w:hideMark/>
          </w:tcPr>
          <w:p w:rsidR="00E532F6" w:rsidRPr="00C54A19" w:rsidRDefault="00E532F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843" w:type="dxa"/>
            <w:tcBorders>
              <w:top w:val="nil"/>
              <w:left w:val="nil"/>
              <w:bottom w:val="nil"/>
              <w:right w:val="nil"/>
            </w:tcBorders>
            <w:shd w:val="clear" w:color="000000" w:fill="F2F2F2"/>
            <w:noWrap/>
            <w:vAlign w:val="center"/>
            <w:hideMark/>
          </w:tcPr>
          <w:p w:rsidR="00E532F6" w:rsidRPr="00C54A19" w:rsidRDefault="00E532F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984" w:type="dxa"/>
            <w:tcBorders>
              <w:top w:val="nil"/>
              <w:left w:val="nil"/>
              <w:bottom w:val="nil"/>
              <w:right w:val="nil"/>
            </w:tcBorders>
            <w:shd w:val="clear" w:color="000000" w:fill="F2F2F2"/>
            <w:noWrap/>
            <w:vAlign w:val="center"/>
            <w:hideMark/>
          </w:tcPr>
          <w:p w:rsidR="00E532F6" w:rsidRPr="00C54A19" w:rsidRDefault="00E532F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2126" w:type="dxa"/>
            <w:tcBorders>
              <w:top w:val="nil"/>
              <w:left w:val="nil"/>
              <w:bottom w:val="nil"/>
              <w:right w:val="nil"/>
            </w:tcBorders>
            <w:shd w:val="clear" w:color="000000" w:fill="F2F2F2"/>
            <w:noWrap/>
            <w:vAlign w:val="center"/>
            <w:hideMark/>
          </w:tcPr>
          <w:p w:rsidR="00E532F6" w:rsidRPr="00C54A19" w:rsidRDefault="00E532F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0.104</w:t>
            </w:r>
          </w:p>
        </w:tc>
      </w:tr>
      <w:tr w:rsidR="00841B30" w:rsidRPr="00E532F6" w:rsidTr="00841B30">
        <w:trPr>
          <w:trHeight w:hRule="exact" w:val="340"/>
        </w:trPr>
        <w:tc>
          <w:tcPr>
            <w:tcW w:w="1291" w:type="dxa"/>
            <w:tcBorders>
              <w:top w:val="nil"/>
              <w:left w:val="nil"/>
              <w:bottom w:val="nil"/>
              <w:right w:val="nil"/>
            </w:tcBorders>
            <w:shd w:val="clear" w:color="000000" w:fill="8EAEDE"/>
            <w:vAlign w:val="center"/>
            <w:hideMark/>
          </w:tcPr>
          <w:p w:rsidR="00E532F6" w:rsidRPr="00C54A19" w:rsidRDefault="00E532F6" w:rsidP="00E532F6">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AICc</w:t>
            </w:r>
          </w:p>
        </w:tc>
        <w:tc>
          <w:tcPr>
            <w:tcW w:w="1701" w:type="dxa"/>
            <w:tcBorders>
              <w:top w:val="nil"/>
              <w:left w:val="nil"/>
              <w:bottom w:val="nil"/>
              <w:right w:val="nil"/>
            </w:tcBorders>
            <w:shd w:val="clear" w:color="000000" w:fill="8EAEDE"/>
            <w:noWrap/>
            <w:vAlign w:val="center"/>
            <w:hideMark/>
          </w:tcPr>
          <w:p w:rsidR="00E532F6" w:rsidRPr="00C54A19" w:rsidRDefault="00E532F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354.149</w:t>
            </w:r>
          </w:p>
        </w:tc>
        <w:tc>
          <w:tcPr>
            <w:tcW w:w="1843" w:type="dxa"/>
            <w:tcBorders>
              <w:top w:val="nil"/>
              <w:left w:val="nil"/>
              <w:bottom w:val="nil"/>
              <w:right w:val="nil"/>
            </w:tcBorders>
            <w:shd w:val="clear" w:color="000000" w:fill="8EAEDE"/>
            <w:noWrap/>
            <w:vAlign w:val="center"/>
            <w:hideMark/>
          </w:tcPr>
          <w:p w:rsidR="00E532F6" w:rsidRPr="00C54A19" w:rsidRDefault="00E532F6" w:rsidP="00907F90">
            <w:pPr>
              <w:spacing w:after="0" w:line="240" w:lineRule="auto"/>
              <w:ind w:right="317"/>
              <w:jc w:val="right"/>
              <w:rPr>
                <w:rFonts w:ascii="Calibri" w:eastAsia="Times New Roman" w:hAnsi="Calibri" w:cs="Calibri"/>
                <w:b/>
                <w:bCs/>
                <w:color w:val="000000"/>
                <w:sz w:val="20"/>
                <w:szCs w:val="20"/>
                <w:lang w:eastAsia="en-AU"/>
              </w:rPr>
            </w:pPr>
            <w:r w:rsidRPr="00C54A19">
              <w:rPr>
                <w:rFonts w:ascii="Calibri" w:eastAsia="Times New Roman" w:hAnsi="Calibri" w:cs="Calibri"/>
                <w:b/>
                <w:bCs/>
                <w:color w:val="000000"/>
                <w:sz w:val="20"/>
                <w:szCs w:val="20"/>
                <w:lang w:eastAsia="en-AU"/>
              </w:rPr>
              <w:t>353.738</w:t>
            </w:r>
          </w:p>
        </w:tc>
        <w:tc>
          <w:tcPr>
            <w:tcW w:w="1984" w:type="dxa"/>
            <w:tcBorders>
              <w:top w:val="nil"/>
              <w:left w:val="nil"/>
              <w:bottom w:val="nil"/>
              <w:right w:val="nil"/>
            </w:tcBorders>
            <w:shd w:val="clear" w:color="000000" w:fill="8EAEDE"/>
            <w:noWrap/>
            <w:vAlign w:val="center"/>
            <w:hideMark/>
          </w:tcPr>
          <w:p w:rsidR="00E532F6" w:rsidRPr="00C54A19" w:rsidRDefault="00E532F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355.341</w:t>
            </w:r>
          </w:p>
        </w:tc>
        <w:tc>
          <w:tcPr>
            <w:tcW w:w="2126" w:type="dxa"/>
            <w:tcBorders>
              <w:top w:val="nil"/>
              <w:left w:val="nil"/>
              <w:bottom w:val="nil"/>
              <w:right w:val="nil"/>
            </w:tcBorders>
            <w:shd w:val="clear" w:color="000000" w:fill="8EAEDE"/>
            <w:noWrap/>
            <w:vAlign w:val="center"/>
            <w:hideMark/>
          </w:tcPr>
          <w:p w:rsidR="00E532F6" w:rsidRPr="00C54A19" w:rsidRDefault="00E532F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354.367</w:t>
            </w:r>
          </w:p>
        </w:tc>
      </w:tr>
    </w:tbl>
    <w:p w:rsidR="00E532F6" w:rsidRPr="000615B6" w:rsidRDefault="00E532F6" w:rsidP="000615B6">
      <w:pPr>
        <w:pStyle w:val="Source"/>
        <w:rPr>
          <w:b w:val="0"/>
        </w:rPr>
      </w:pPr>
      <w:r w:rsidRPr="000615B6">
        <w:t>Source:</w:t>
      </w:r>
      <w:r w:rsidRPr="000615B6">
        <w:rPr>
          <w:b w:val="0"/>
        </w:rPr>
        <w:t xml:space="preserve"> Department of Employment administrative data and Research and Evaluation Database (RED).</w:t>
      </w:r>
    </w:p>
    <w:p w:rsidR="00590FD7" w:rsidRDefault="00590FD7" w:rsidP="00590FD7">
      <w:pPr>
        <w:pStyle w:val="Source"/>
        <w:spacing w:before="120"/>
      </w:pPr>
      <w:r>
        <w:rPr>
          <w:b w:val="0"/>
        </w:rPr>
        <w:t xml:space="preserve">Return to </w:t>
      </w:r>
      <w:hyperlink w:anchor="Place_F14" w:history="1">
        <w:r w:rsidR="00877AE2" w:rsidRPr="00590FD7">
          <w:rPr>
            <w:rStyle w:val="Hyperlink"/>
            <w:b w:val="0"/>
          </w:rPr>
          <w:t>Figure 4.</w:t>
        </w:r>
        <w:r w:rsidR="000C30B2">
          <w:rPr>
            <w:rStyle w:val="Hyperlink"/>
            <w:b w:val="0"/>
          </w:rPr>
          <w:t>8</w:t>
        </w:r>
      </w:hyperlink>
      <w:r w:rsidRPr="00590FD7">
        <w:rPr>
          <w:b w:val="0"/>
        </w:rPr>
        <w:t>.</w:t>
      </w:r>
    </w:p>
    <w:p w:rsidR="00E532F6" w:rsidRDefault="00E532F6">
      <w:pPr>
        <w:rPr>
          <w:b/>
        </w:rPr>
      </w:pPr>
      <w:r>
        <w:br w:type="page"/>
      </w:r>
    </w:p>
    <w:p w:rsidR="002E6EBF" w:rsidRPr="00AF2011" w:rsidRDefault="002E6EBF" w:rsidP="00AF2011">
      <w:pPr>
        <w:pStyle w:val="TableCaption"/>
      </w:pPr>
      <w:bookmarkStart w:id="285" w:name="_Toc507600332"/>
      <w:bookmarkEnd w:id="263"/>
      <w:r w:rsidRPr="00AF2011">
        <w:lastRenderedPageBreak/>
        <w:t xml:space="preserve">Table </w:t>
      </w:r>
      <w:r w:rsidR="00603A49">
        <w:t>F</w:t>
      </w:r>
      <w:r w:rsidR="003F5B67" w:rsidRPr="00AF2011">
        <w:t>.</w:t>
      </w:r>
      <w:r w:rsidR="00E76396" w:rsidRPr="00AF2011">
        <w:t>1</w:t>
      </w:r>
      <w:r w:rsidR="00E76396">
        <w:t>6</w:t>
      </w:r>
      <w:r w:rsidRPr="00AF2011">
        <w:t>: Employment by industry by age group, May 2014 (per cent)</w:t>
      </w:r>
      <w:bookmarkEnd w:id="285"/>
    </w:p>
    <w:tbl>
      <w:tblPr>
        <w:tblW w:w="8789" w:type="dxa"/>
        <w:tblInd w:w="108" w:type="dxa"/>
        <w:tblLook w:val="04A0" w:firstRow="1" w:lastRow="0" w:firstColumn="1" w:lastColumn="0" w:noHBand="0" w:noVBand="1"/>
      </w:tblPr>
      <w:tblGrid>
        <w:gridCol w:w="4962"/>
        <w:gridCol w:w="1319"/>
        <w:gridCol w:w="1390"/>
        <w:gridCol w:w="1118"/>
      </w:tblGrid>
      <w:tr w:rsidR="002E6EBF" w:rsidRPr="002E6EBF" w:rsidTr="0001650C">
        <w:trPr>
          <w:trHeight w:hRule="exact" w:val="510"/>
          <w:tblHeader/>
        </w:trPr>
        <w:tc>
          <w:tcPr>
            <w:tcW w:w="4962" w:type="dxa"/>
            <w:shd w:val="clear" w:color="auto" w:fill="1E3D6B"/>
            <w:noWrap/>
            <w:vAlign w:val="center"/>
          </w:tcPr>
          <w:p w:rsidR="002E6EBF" w:rsidRPr="00C54A19" w:rsidRDefault="002E6EBF" w:rsidP="00423793">
            <w:pPr>
              <w:spacing w:after="0"/>
              <w:rPr>
                <w:rFonts w:ascii="Calibri" w:hAnsi="Calibri" w:cs="Calibri"/>
                <w:b/>
                <w:color w:val="FFFFFF" w:themeColor="background2"/>
                <w:sz w:val="20"/>
                <w:szCs w:val="20"/>
              </w:rPr>
            </w:pPr>
            <w:bookmarkStart w:id="286" w:name="Title_F15"/>
            <w:bookmarkEnd w:id="286"/>
            <w:r w:rsidRPr="00C54A19">
              <w:rPr>
                <w:b/>
                <w:color w:val="FFFFFF" w:themeColor="background2"/>
                <w:sz w:val="20"/>
                <w:szCs w:val="20"/>
              </w:rPr>
              <w:t>Industry</w:t>
            </w:r>
          </w:p>
        </w:tc>
        <w:tc>
          <w:tcPr>
            <w:tcW w:w="1319" w:type="dxa"/>
            <w:shd w:val="clear" w:color="auto" w:fill="1E3D6B"/>
            <w:vAlign w:val="center"/>
          </w:tcPr>
          <w:p w:rsidR="002E6EBF" w:rsidRPr="00C54A19" w:rsidRDefault="002E6EBF" w:rsidP="00423793">
            <w:pPr>
              <w:spacing w:after="0"/>
              <w:ind w:right="317"/>
              <w:jc w:val="right"/>
              <w:rPr>
                <w:rFonts w:ascii="Calibri" w:hAnsi="Calibri" w:cs="Calibri"/>
                <w:b/>
                <w:color w:val="FFFFFF" w:themeColor="background2"/>
                <w:sz w:val="20"/>
                <w:szCs w:val="20"/>
              </w:rPr>
            </w:pPr>
            <w:r w:rsidRPr="00C54A19">
              <w:rPr>
                <w:b/>
                <w:color w:val="FFFFFF" w:themeColor="background2"/>
                <w:sz w:val="20"/>
                <w:szCs w:val="20"/>
              </w:rPr>
              <w:t>15 to 29</w:t>
            </w:r>
          </w:p>
        </w:tc>
        <w:tc>
          <w:tcPr>
            <w:tcW w:w="1390" w:type="dxa"/>
            <w:shd w:val="clear" w:color="auto" w:fill="1E3D6B"/>
            <w:vAlign w:val="center"/>
          </w:tcPr>
          <w:p w:rsidR="002E6EBF" w:rsidRPr="00C54A19" w:rsidRDefault="002E6EBF" w:rsidP="00423793">
            <w:pPr>
              <w:spacing w:after="0"/>
              <w:jc w:val="center"/>
              <w:rPr>
                <w:rFonts w:ascii="Calibri" w:hAnsi="Calibri" w:cs="Calibri"/>
                <w:b/>
                <w:color w:val="FFFFFF" w:themeColor="background2"/>
                <w:sz w:val="20"/>
                <w:szCs w:val="20"/>
              </w:rPr>
            </w:pPr>
            <w:r w:rsidRPr="00C54A19">
              <w:rPr>
                <w:b/>
                <w:color w:val="FFFFFF" w:themeColor="background2"/>
                <w:sz w:val="20"/>
                <w:szCs w:val="20"/>
              </w:rPr>
              <w:t>15 to 64</w:t>
            </w:r>
          </w:p>
        </w:tc>
        <w:tc>
          <w:tcPr>
            <w:tcW w:w="1118" w:type="dxa"/>
            <w:shd w:val="clear" w:color="auto" w:fill="1E3D6B"/>
            <w:vAlign w:val="center"/>
          </w:tcPr>
          <w:p w:rsidR="002E6EBF" w:rsidRPr="00C54A19" w:rsidRDefault="002E6EBF" w:rsidP="00423793">
            <w:pPr>
              <w:spacing w:after="0"/>
              <w:jc w:val="center"/>
              <w:rPr>
                <w:b/>
                <w:color w:val="FFFFFF" w:themeColor="background2"/>
                <w:sz w:val="20"/>
                <w:szCs w:val="20"/>
              </w:rPr>
            </w:pPr>
            <w:r w:rsidRPr="00C54A19">
              <w:rPr>
                <w:b/>
                <w:color w:val="FFFFFF" w:themeColor="background2"/>
                <w:sz w:val="20"/>
                <w:szCs w:val="20"/>
              </w:rPr>
              <w:t>(+/-)</w:t>
            </w:r>
          </w:p>
        </w:tc>
      </w:tr>
      <w:tr w:rsidR="002E6EBF" w:rsidRPr="00DD10D0" w:rsidTr="007F77F5">
        <w:trPr>
          <w:trHeight w:hRule="exact" w:val="510"/>
        </w:trPr>
        <w:tc>
          <w:tcPr>
            <w:tcW w:w="4962" w:type="dxa"/>
            <w:shd w:val="clear" w:color="auto" w:fill="auto"/>
            <w:noWrap/>
            <w:vAlign w:val="center"/>
            <w:hideMark/>
          </w:tcPr>
          <w:p w:rsidR="002E6EBF" w:rsidRPr="00C54A19" w:rsidRDefault="002E6EBF" w:rsidP="00423793">
            <w:pPr>
              <w:spacing w:after="0"/>
              <w:rPr>
                <w:rFonts w:ascii="Calibri" w:hAnsi="Calibri" w:cs="Calibri"/>
                <w:color w:val="000000"/>
                <w:sz w:val="20"/>
                <w:szCs w:val="20"/>
              </w:rPr>
            </w:pPr>
            <w:r w:rsidRPr="00C54A19">
              <w:rPr>
                <w:rFonts w:ascii="Calibri" w:hAnsi="Calibri" w:cs="Calibri"/>
                <w:color w:val="000000"/>
                <w:sz w:val="20"/>
                <w:szCs w:val="20"/>
              </w:rPr>
              <w:t>Agriculture, Forestry and Fishing</w:t>
            </w:r>
          </w:p>
        </w:tc>
        <w:tc>
          <w:tcPr>
            <w:tcW w:w="1319" w:type="dxa"/>
            <w:vAlign w:val="center"/>
          </w:tcPr>
          <w:p w:rsidR="002E6EBF" w:rsidRPr="00C54A19" w:rsidRDefault="002E6EBF" w:rsidP="00423793">
            <w:pPr>
              <w:spacing w:after="0"/>
              <w:ind w:right="601"/>
              <w:jc w:val="right"/>
              <w:rPr>
                <w:rFonts w:ascii="Calibri" w:hAnsi="Calibri" w:cs="Calibri"/>
                <w:color w:val="000000"/>
                <w:sz w:val="20"/>
                <w:szCs w:val="20"/>
              </w:rPr>
            </w:pPr>
            <w:r w:rsidRPr="00C54A19">
              <w:rPr>
                <w:rFonts w:ascii="Calibri" w:hAnsi="Calibri" w:cs="Calibri"/>
                <w:color w:val="000000"/>
                <w:sz w:val="20"/>
                <w:szCs w:val="20"/>
              </w:rPr>
              <w:t>1.7</w:t>
            </w:r>
          </w:p>
        </w:tc>
        <w:tc>
          <w:tcPr>
            <w:tcW w:w="1390" w:type="dxa"/>
            <w:vAlign w:val="center"/>
          </w:tcPr>
          <w:p w:rsidR="002E6EBF" w:rsidRPr="00C54A19" w:rsidRDefault="002E6EBF" w:rsidP="00423793">
            <w:pPr>
              <w:spacing w:after="0"/>
              <w:ind w:right="459"/>
              <w:jc w:val="right"/>
              <w:rPr>
                <w:rFonts w:ascii="Calibri" w:hAnsi="Calibri" w:cs="Calibri"/>
                <w:color w:val="000000"/>
                <w:sz w:val="20"/>
                <w:szCs w:val="20"/>
              </w:rPr>
            </w:pPr>
            <w:r w:rsidRPr="00C54A19">
              <w:rPr>
                <w:rFonts w:ascii="Calibri" w:hAnsi="Calibri" w:cs="Calibri"/>
                <w:color w:val="000000"/>
                <w:sz w:val="20"/>
                <w:szCs w:val="20"/>
              </w:rPr>
              <w:t>2.4</w:t>
            </w:r>
          </w:p>
        </w:tc>
        <w:tc>
          <w:tcPr>
            <w:tcW w:w="1118" w:type="dxa"/>
            <w:vAlign w:val="center"/>
          </w:tcPr>
          <w:p w:rsidR="002E6EBF" w:rsidRPr="00C54A19" w:rsidRDefault="002E6EBF" w:rsidP="00423793">
            <w:pPr>
              <w:spacing w:after="0"/>
              <w:jc w:val="center"/>
              <w:rPr>
                <w:rFonts w:ascii="Calibri" w:hAnsi="Calibri" w:cs="Calibri"/>
                <w:color w:val="000000"/>
                <w:sz w:val="20"/>
                <w:szCs w:val="20"/>
              </w:rPr>
            </w:pPr>
            <w:r w:rsidRPr="00C54A19">
              <w:rPr>
                <w:rFonts w:ascii="Calibri" w:hAnsi="Calibri" w:cs="Calibri"/>
                <w:color w:val="000000"/>
                <w:sz w:val="20"/>
                <w:szCs w:val="20"/>
              </w:rPr>
              <w:t>(0.7)</w:t>
            </w:r>
          </w:p>
        </w:tc>
      </w:tr>
      <w:tr w:rsidR="002E6EBF" w:rsidRPr="00DD10D0" w:rsidTr="007F77F5">
        <w:trPr>
          <w:trHeight w:hRule="exact" w:val="510"/>
        </w:trPr>
        <w:tc>
          <w:tcPr>
            <w:tcW w:w="4962" w:type="dxa"/>
            <w:shd w:val="clear" w:color="auto" w:fill="E5E5E5" w:themeFill="background1" w:themeFillTint="33"/>
            <w:noWrap/>
            <w:vAlign w:val="center"/>
            <w:hideMark/>
          </w:tcPr>
          <w:p w:rsidR="002E6EBF" w:rsidRPr="00C54A19" w:rsidRDefault="002E6EBF" w:rsidP="00423793">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Mining</w:t>
            </w:r>
          </w:p>
        </w:tc>
        <w:tc>
          <w:tcPr>
            <w:tcW w:w="1319" w:type="dxa"/>
            <w:shd w:val="clear" w:color="auto" w:fill="E5E5E5" w:themeFill="background1" w:themeFillTint="33"/>
            <w:vAlign w:val="center"/>
          </w:tcPr>
          <w:p w:rsidR="002E6EBF" w:rsidRPr="00C54A19" w:rsidRDefault="002E6EBF" w:rsidP="00423793">
            <w:pPr>
              <w:spacing w:after="0" w:line="240" w:lineRule="auto"/>
              <w:ind w:right="601"/>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1.9</w:t>
            </w:r>
          </w:p>
        </w:tc>
        <w:tc>
          <w:tcPr>
            <w:tcW w:w="1390" w:type="dxa"/>
            <w:shd w:val="clear" w:color="auto" w:fill="E5E5E5" w:themeFill="background1" w:themeFillTint="33"/>
            <w:vAlign w:val="center"/>
          </w:tcPr>
          <w:p w:rsidR="002E6EBF" w:rsidRPr="00C54A19" w:rsidRDefault="002E6EBF" w:rsidP="00423793">
            <w:pPr>
              <w:spacing w:after="0" w:line="240" w:lineRule="auto"/>
              <w:ind w:right="459"/>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2.4</w:t>
            </w:r>
          </w:p>
        </w:tc>
        <w:tc>
          <w:tcPr>
            <w:tcW w:w="1118" w:type="dxa"/>
            <w:shd w:val="clear" w:color="auto" w:fill="E5E5E5" w:themeFill="background1" w:themeFillTint="33"/>
            <w:vAlign w:val="center"/>
          </w:tcPr>
          <w:p w:rsidR="002E6EBF" w:rsidRPr="00C54A19" w:rsidRDefault="002E6EBF" w:rsidP="00423793">
            <w:pPr>
              <w:spacing w:after="0" w:line="240" w:lineRule="auto"/>
              <w:jc w:val="center"/>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(0.5)</w:t>
            </w:r>
          </w:p>
        </w:tc>
      </w:tr>
      <w:tr w:rsidR="002E6EBF" w:rsidRPr="00DD10D0" w:rsidTr="007F77F5">
        <w:trPr>
          <w:trHeight w:hRule="exact" w:val="510"/>
        </w:trPr>
        <w:tc>
          <w:tcPr>
            <w:tcW w:w="4962" w:type="dxa"/>
            <w:shd w:val="clear" w:color="auto" w:fill="auto"/>
            <w:noWrap/>
            <w:vAlign w:val="center"/>
            <w:hideMark/>
          </w:tcPr>
          <w:p w:rsidR="002E6EBF" w:rsidRPr="00C54A19" w:rsidRDefault="002E6EBF" w:rsidP="00423793">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Manufacturing</w:t>
            </w:r>
          </w:p>
        </w:tc>
        <w:tc>
          <w:tcPr>
            <w:tcW w:w="1319" w:type="dxa"/>
            <w:vAlign w:val="center"/>
          </w:tcPr>
          <w:p w:rsidR="002E6EBF" w:rsidRPr="00C54A19" w:rsidRDefault="002E6EBF" w:rsidP="00423793">
            <w:pPr>
              <w:spacing w:after="0" w:line="240" w:lineRule="auto"/>
              <w:ind w:right="601"/>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6.5</w:t>
            </w:r>
          </w:p>
        </w:tc>
        <w:tc>
          <w:tcPr>
            <w:tcW w:w="1390" w:type="dxa"/>
            <w:vAlign w:val="center"/>
          </w:tcPr>
          <w:p w:rsidR="002E6EBF" w:rsidRPr="00C54A19" w:rsidRDefault="002E6EBF" w:rsidP="00423793">
            <w:pPr>
              <w:spacing w:after="0" w:line="240" w:lineRule="auto"/>
              <w:ind w:right="459"/>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8.1</w:t>
            </w:r>
          </w:p>
        </w:tc>
        <w:tc>
          <w:tcPr>
            <w:tcW w:w="1118" w:type="dxa"/>
            <w:vAlign w:val="center"/>
          </w:tcPr>
          <w:p w:rsidR="002E6EBF" w:rsidRPr="00C54A19" w:rsidRDefault="002E6EBF" w:rsidP="00423793">
            <w:pPr>
              <w:spacing w:after="0" w:line="240" w:lineRule="auto"/>
              <w:jc w:val="center"/>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(1.6)</w:t>
            </w:r>
          </w:p>
        </w:tc>
      </w:tr>
      <w:tr w:rsidR="002E6EBF" w:rsidRPr="00DD10D0" w:rsidTr="007F77F5">
        <w:trPr>
          <w:trHeight w:hRule="exact" w:val="510"/>
        </w:trPr>
        <w:tc>
          <w:tcPr>
            <w:tcW w:w="4962" w:type="dxa"/>
            <w:shd w:val="clear" w:color="auto" w:fill="E5E5E5" w:themeFill="background1" w:themeFillTint="33"/>
            <w:noWrap/>
            <w:vAlign w:val="center"/>
            <w:hideMark/>
          </w:tcPr>
          <w:p w:rsidR="002E6EBF" w:rsidRPr="00C54A19" w:rsidRDefault="002E6EBF" w:rsidP="00423793">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Electricity, Gas, Water and Waste Services</w:t>
            </w:r>
          </w:p>
        </w:tc>
        <w:tc>
          <w:tcPr>
            <w:tcW w:w="1319" w:type="dxa"/>
            <w:shd w:val="clear" w:color="auto" w:fill="E5E5E5" w:themeFill="background1" w:themeFillTint="33"/>
            <w:vAlign w:val="center"/>
          </w:tcPr>
          <w:p w:rsidR="002E6EBF" w:rsidRPr="00C54A19" w:rsidRDefault="002E6EBF" w:rsidP="00423793">
            <w:pPr>
              <w:spacing w:after="0" w:line="240" w:lineRule="auto"/>
              <w:ind w:right="601"/>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0.8</w:t>
            </w:r>
          </w:p>
        </w:tc>
        <w:tc>
          <w:tcPr>
            <w:tcW w:w="1390" w:type="dxa"/>
            <w:shd w:val="clear" w:color="auto" w:fill="E5E5E5" w:themeFill="background1" w:themeFillTint="33"/>
            <w:vAlign w:val="center"/>
          </w:tcPr>
          <w:p w:rsidR="002E6EBF" w:rsidRPr="00C54A19" w:rsidRDefault="002E6EBF" w:rsidP="00423793">
            <w:pPr>
              <w:spacing w:after="0" w:line="240" w:lineRule="auto"/>
              <w:ind w:right="459"/>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1.3</w:t>
            </w:r>
          </w:p>
        </w:tc>
        <w:tc>
          <w:tcPr>
            <w:tcW w:w="1118" w:type="dxa"/>
            <w:shd w:val="clear" w:color="auto" w:fill="E5E5E5" w:themeFill="background1" w:themeFillTint="33"/>
            <w:vAlign w:val="center"/>
          </w:tcPr>
          <w:p w:rsidR="002E6EBF" w:rsidRPr="00C54A19" w:rsidRDefault="002E6EBF" w:rsidP="00423793">
            <w:pPr>
              <w:spacing w:after="0" w:line="240" w:lineRule="auto"/>
              <w:jc w:val="center"/>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(0.5)</w:t>
            </w:r>
          </w:p>
        </w:tc>
      </w:tr>
      <w:tr w:rsidR="002E6EBF" w:rsidRPr="00DD10D0" w:rsidTr="007F77F5">
        <w:trPr>
          <w:trHeight w:hRule="exact" w:val="510"/>
        </w:trPr>
        <w:tc>
          <w:tcPr>
            <w:tcW w:w="4962" w:type="dxa"/>
            <w:shd w:val="clear" w:color="auto" w:fill="auto"/>
            <w:noWrap/>
            <w:vAlign w:val="center"/>
            <w:hideMark/>
          </w:tcPr>
          <w:p w:rsidR="002E6EBF" w:rsidRPr="00C54A19" w:rsidRDefault="002E6EBF" w:rsidP="00423793">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Construction</w:t>
            </w:r>
          </w:p>
        </w:tc>
        <w:tc>
          <w:tcPr>
            <w:tcW w:w="1319" w:type="dxa"/>
            <w:vAlign w:val="center"/>
          </w:tcPr>
          <w:p w:rsidR="002E6EBF" w:rsidRPr="00C54A19" w:rsidRDefault="002E6EBF" w:rsidP="00423793">
            <w:pPr>
              <w:spacing w:after="0" w:line="240" w:lineRule="auto"/>
              <w:ind w:right="601"/>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9.8</w:t>
            </w:r>
          </w:p>
        </w:tc>
        <w:tc>
          <w:tcPr>
            <w:tcW w:w="1390" w:type="dxa"/>
            <w:vAlign w:val="center"/>
          </w:tcPr>
          <w:p w:rsidR="002E6EBF" w:rsidRPr="00C54A19" w:rsidRDefault="002E6EBF" w:rsidP="00423793">
            <w:pPr>
              <w:spacing w:after="0" w:line="240" w:lineRule="auto"/>
              <w:ind w:right="459"/>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9.0</w:t>
            </w:r>
          </w:p>
        </w:tc>
        <w:tc>
          <w:tcPr>
            <w:tcW w:w="1118" w:type="dxa"/>
            <w:vAlign w:val="center"/>
          </w:tcPr>
          <w:p w:rsidR="002E6EBF" w:rsidRPr="00C54A19" w:rsidRDefault="002E6EBF" w:rsidP="00423793">
            <w:pPr>
              <w:spacing w:after="0" w:line="240" w:lineRule="auto"/>
              <w:jc w:val="center"/>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0.8</w:t>
            </w:r>
          </w:p>
        </w:tc>
      </w:tr>
      <w:tr w:rsidR="002E6EBF" w:rsidRPr="00DD10D0" w:rsidTr="007F77F5">
        <w:trPr>
          <w:trHeight w:hRule="exact" w:val="510"/>
        </w:trPr>
        <w:tc>
          <w:tcPr>
            <w:tcW w:w="4962" w:type="dxa"/>
            <w:shd w:val="clear" w:color="auto" w:fill="E5E5E5" w:themeFill="background1" w:themeFillTint="33"/>
            <w:noWrap/>
            <w:vAlign w:val="center"/>
            <w:hideMark/>
          </w:tcPr>
          <w:p w:rsidR="002E6EBF" w:rsidRPr="00C54A19" w:rsidRDefault="002E6EBF" w:rsidP="00423793">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Wholesale Trade</w:t>
            </w:r>
          </w:p>
        </w:tc>
        <w:tc>
          <w:tcPr>
            <w:tcW w:w="1319" w:type="dxa"/>
            <w:shd w:val="clear" w:color="auto" w:fill="E5E5E5" w:themeFill="background1" w:themeFillTint="33"/>
            <w:vAlign w:val="center"/>
          </w:tcPr>
          <w:p w:rsidR="002E6EBF" w:rsidRPr="00C54A19" w:rsidRDefault="002E6EBF" w:rsidP="00423793">
            <w:pPr>
              <w:spacing w:after="0" w:line="240" w:lineRule="auto"/>
              <w:ind w:right="601"/>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2.5</w:t>
            </w:r>
          </w:p>
        </w:tc>
        <w:tc>
          <w:tcPr>
            <w:tcW w:w="1390" w:type="dxa"/>
            <w:shd w:val="clear" w:color="auto" w:fill="E5E5E5" w:themeFill="background1" w:themeFillTint="33"/>
            <w:vAlign w:val="center"/>
          </w:tcPr>
          <w:p w:rsidR="002E6EBF" w:rsidRPr="00C54A19" w:rsidRDefault="002E6EBF" w:rsidP="00423793">
            <w:pPr>
              <w:spacing w:after="0" w:line="240" w:lineRule="auto"/>
              <w:ind w:right="459"/>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3.4</w:t>
            </w:r>
          </w:p>
        </w:tc>
        <w:tc>
          <w:tcPr>
            <w:tcW w:w="1118" w:type="dxa"/>
            <w:shd w:val="clear" w:color="auto" w:fill="E5E5E5" w:themeFill="background1" w:themeFillTint="33"/>
            <w:vAlign w:val="center"/>
          </w:tcPr>
          <w:p w:rsidR="002E6EBF" w:rsidRPr="00C54A19" w:rsidRDefault="002E6EBF" w:rsidP="00423793">
            <w:pPr>
              <w:spacing w:after="0" w:line="240" w:lineRule="auto"/>
              <w:jc w:val="center"/>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(0.9)</w:t>
            </w:r>
          </w:p>
        </w:tc>
      </w:tr>
      <w:tr w:rsidR="002E6EBF" w:rsidRPr="00DD10D0" w:rsidTr="007F77F5">
        <w:trPr>
          <w:trHeight w:hRule="exact" w:val="510"/>
        </w:trPr>
        <w:tc>
          <w:tcPr>
            <w:tcW w:w="4962" w:type="dxa"/>
            <w:shd w:val="clear" w:color="auto" w:fill="auto"/>
            <w:noWrap/>
            <w:vAlign w:val="center"/>
            <w:hideMark/>
          </w:tcPr>
          <w:p w:rsidR="002E6EBF" w:rsidRPr="00C54A19" w:rsidRDefault="002E6EBF" w:rsidP="00423793">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Retail Trade</w:t>
            </w:r>
          </w:p>
        </w:tc>
        <w:tc>
          <w:tcPr>
            <w:tcW w:w="1319" w:type="dxa"/>
            <w:vAlign w:val="center"/>
          </w:tcPr>
          <w:p w:rsidR="002E6EBF" w:rsidRPr="00C54A19" w:rsidRDefault="002E6EBF" w:rsidP="00423793">
            <w:pPr>
              <w:spacing w:after="0" w:line="240" w:lineRule="auto"/>
              <w:ind w:right="601"/>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17.9</w:t>
            </w:r>
          </w:p>
        </w:tc>
        <w:tc>
          <w:tcPr>
            <w:tcW w:w="1390" w:type="dxa"/>
            <w:vAlign w:val="center"/>
          </w:tcPr>
          <w:p w:rsidR="002E6EBF" w:rsidRPr="00C54A19" w:rsidRDefault="002E6EBF" w:rsidP="00423793">
            <w:pPr>
              <w:spacing w:after="0" w:line="240" w:lineRule="auto"/>
              <w:ind w:right="459"/>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10.7</w:t>
            </w:r>
          </w:p>
        </w:tc>
        <w:tc>
          <w:tcPr>
            <w:tcW w:w="1118" w:type="dxa"/>
            <w:vAlign w:val="center"/>
          </w:tcPr>
          <w:p w:rsidR="002E6EBF" w:rsidRPr="00C54A19" w:rsidRDefault="002E6EBF" w:rsidP="00423793">
            <w:pPr>
              <w:spacing w:after="0" w:line="240" w:lineRule="auto"/>
              <w:jc w:val="center"/>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7.2</w:t>
            </w:r>
          </w:p>
        </w:tc>
      </w:tr>
      <w:tr w:rsidR="002E6EBF" w:rsidRPr="00DD10D0" w:rsidTr="007F77F5">
        <w:trPr>
          <w:trHeight w:hRule="exact" w:val="510"/>
        </w:trPr>
        <w:tc>
          <w:tcPr>
            <w:tcW w:w="4962" w:type="dxa"/>
            <w:shd w:val="clear" w:color="auto" w:fill="E5E5E5" w:themeFill="background1" w:themeFillTint="33"/>
            <w:noWrap/>
            <w:vAlign w:val="center"/>
            <w:hideMark/>
          </w:tcPr>
          <w:p w:rsidR="002E6EBF" w:rsidRPr="00C54A19" w:rsidRDefault="002E6EBF" w:rsidP="00423793">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Accommodation and Food Services</w:t>
            </w:r>
          </w:p>
        </w:tc>
        <w:tc>
          <w:tcPr>
            <w:tcW w:w="1319" w:type="dxa"/>
            <w:shd w:val="clear" w:color="auto" w:fill="E5E5E5" w:themeFill="background1" w:themeFillTint="33"/>
            <w:vAlign w:val="center"/>
          </w:tcPr>
          <w:p w:rsidR="002E6EBF" w:rsidRPr="00C54A19" w:rsidRDefault="002E6EBF" w:rsidP="00423793">
            <w:pPr>
              <w:spacing w:after="0" w:line="240" w:lineRule="auto"/>
              <w:ind w:right="601"/>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13.5</w:t>
            </w:r>
          </w:p>
        </w:tc>
        <w:tc>
          <w:tcPr>
            <w:tcW w:w="1390" w:type="dxa"/>
            <w:shd w:val="clear" w:color="auto" w:fill="E5E5E5" w:themeFill="background1" w:themeFillTint="33"/>
            <w:vAlign w:val="center"/>
          </w:tcPr>
          <w:p w:rsidR="002E6EBF" w:rsidRPr="00C54A19" w:rsidRDefault="002E6EBF" w:rsidP="00423793">
            <w:pPr>
              <w:spacing w:after="0" w:line="240" w:lineRule="auto"/>
              <w:ind w:right="459"/>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6.7</w:t>
            </w:r>
          </w:p>
        </w:tc>
        <w:tc>
          <w:tcPr>
            <w:tcW w:w="1118" w:type="dxa"/>
            <w:shd w:val="clear" w:color="auto" w:fill="E5E5E5" w:themeFill="background1" w:themeFillTint="33"/>
            <w:vAlign w:val="center"/>
          </w:tcPr>
          <w:p w:rsidR="002E6EBF" w:rsidRPr="00C54A19" w:rsidRDefault="002E6EBF" w:rsidP="00423793">
            <w:pPr>
              <w:spacing w:after="0" w:line="240" w:lineRule="auto"/>
              <w:jc w:val="center"/>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6.8</w:t>
            </w:r>
          </w:p>
        </w:tc>
      </w:tr>
      <w:tr w:rsidR="002E6EBF" w:rsidRPr="00DD10D0" w:rsidTr="007F77F5">
        <w:trPr>
          <w:trHeight w:hRule="exact" w:val="510"/>
        </w:trPr>
        <w:tc>
          <w:tcPr>
            <w:tcW w:w="4962" w:type="dxa"/>
            <w:shd w:val="clear" w:color="auto" w:fill="auto"/>
            <w:noWrap/>
            <w:vAlign w:val="center"/>
            <w:hideMark/>
          </w:tcPr>
          <w:p w:rsidR="002E6EBF" w:rsidRPr="00C54A19" w:rsidRDefault="002E6EBF" w:rsidP="00423793">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Transport, Postal and Warehousing</w:t>
            </w:r>
          </w:p>
        </w:tc>
        <w:tc>
          <w:tcPr>
            <w:tcW w:w="1319" w:type="dxa"/>
            <w:vAlign w:val="center"/>
          </w:tcPr>
          <w:p w:rsidR="002E6EBF" w:rsidRPr="00C54A19" w:rsidRDefault="002E6EBF" w:rsidP="00423793">
            <w:pPr>
              <w:spacing w:after="0" w:line="240" w:lineRule="auto"/>
              <w:ind w:right="601"/>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3.5</w:t>
            </w:r>
          </w:p>
        </w:tc>
        <w:tc>
          <w:tcPr>
            <w:tcW w:w="1390" w:type="dxa"/>
            <w:vAlign w:val="center"/>
          </w:tcPr>
          <w:p w:rsidR="002E6EBF" w:rsidRPr="00C54A19" w:rsidRDefault="002E6EBF" w:rsidP="00423793">
            <w:pPr>
              <w:spacing w:after="0" w:line="240" w:lineRule="auto"/>
              <w:ind w:right="459"/>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5.1</w:t>
            </w:r>
          </w:p>
        </w:tc>
        <w:tc>
          <w:tcPr>
            <w:tcW w:w="1118" w:type="dxa"/>
            <w:vAlign w:val="center"/>
          </w:tcPr>
          <w:p w:rsidR="002E6EBF" w:rsidRPr="00C54A19" w:rsidRDefault="002E6EBF" w:rsidP="00423793">
            <w:pPr>
              <w:spacing w:after="0" w:line="240" w:lineRule="auto"/>
              <w:jc w:val="center"/>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(1.6)</w:t>
            </w:r>
          </w:p>
        </w:tc>
      </w:tr>
      <w:tr w:rsidR="002E6EBF" w:rsidRPr="00DD10D0" w:rsidTr="007F77F5">
        <w:trPr>
          <w:trHeight w:hRule="exact" w:val="510"/>
        </w:trPr>
        <w:tc>
          <w:tcPr>
            <w:tcW w:w="4962" w:type="dxa"/>
            <w:shd w:val="clear" w:color="auto" w:fill="E5E5E5" w:themeFill="background1" w:themeFillTint="33"/>
            <w:noWrap/>
            <w:vAlign w:val="center"/>
            <w:hideMark/>
          </w:tcPr>
          <w:p w:rsidR="002E6EBF" w:rsidRPr="00C54A19" w:rsidRDefault="002E6EBF" w:rsidP="00423793">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Information Media and Telecommunications</w:t>
            </w:r>
          </w:p>
        </w:tc>
        <w:tc>
          <w:tcPr>
            <w:tcW w:w="1319" w:type="dxa"/>
            <w:shd w:val="clear" w:color="auto" w:fill="E5E5E5" w:themeFill="background1" w:themeFillTint="33"/>
            <w:vAlign w:val="center"/>
          </w:tcPr>
          <w:p w:rsidR="002E6EBF" w:rsidRPr="00C54A19" w:rsidRDefault="002E6EBF" w:rsidP="00423793">
            <w:pPr>
              <w:spacing w:after="0" w:line="240" w:lineRule="auto"/>
              <w:ind w:right="601"/>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1.9</w:t>
            </w:r>
          </w:p>
        </w:tc>
        <w:tc>
          <w:tcPr>
            <w:tcW w:w="1390" w:type="dxa"/>
            <w:shd w:val="clear" w:color="auto" w:fill="E5E5E5" w:themeFill="background1" w:themeFillTint="33"/>
            <w:vAlign w:val="center"/>
          </w:tcPr>
          <w:p w:rsidR="002E6EBF" w:rsidRPr="00C54A19" w:rsidRDefault="002E6EBF" w:rsidP="00423793">
            <w:pPr>
              <w:spacing w:after="0" w:line="240" w:lineRule="auto"/>
              <w:ind w:right="459"/>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1.7</w:t>
            </w:r>
          </w:p>
        </w:tc>
        <w:tc>
          <w:tcPr>
            <w:tcW w:w="1118" w:type="dxa"/>
            <w:shd w:val="clear" w:color="auto" w:fill="E5E5E5" w:themeFill="background1" w:themeFillTint="33"/>
            <w:vAlign w:val="center"/>
          </w:tcPr>
          <w:p w:rsidR="002E6EBF" w:rsidRPr="00C54A19" w:rsidRDefault="002E6EBF" w:rsidP="00423793">
            <w:pPr>
              <w:spacing w:after="0" w:line="240" w:lineRule="auto"/>
              <w:jc w:val="center"/>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0.2</w:t>
            </w:r>
          </w:p>
        </w:tc>
      </w:tr>
      <w:tr w:rsidR="002E6EBF" w:rsidRPr="00DD10D0" w:rsidTr="007F77F5">
        <w:trPr>
          <w:trHeight w:hRule="exact" w:val="510"/>
        </w:trPr>
        <w:tc>
          <w:tcPr>
            <w:tcW w:w="4962" w:type="dxa"/>
            <w:shd w:val="clear" w:color="auto" w:fill="auto"/>
            <w:noWrap/>
            <w:vAlign w:val="center"/>
            <w:hideMark/>
          </w:tcPr>
          <w:p w:rsidR="002E6EBF" w:rsidRPr="00C54A19" w:rsidRDefault="002E6EBF" w:rsidP="00423793">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Financial and Insurance Services</w:t>
            </w:r>
          </w:p>
        </w:tc>
        <w:tc>
          <w:tcPr>
            <w:tcW w:w="1319" w:type="dxa"/>
            <w:vAlign w:val="center"/>
          </w:tcPr>
          <w:p w:rsidR="002E6EBF" w:rsidRPr="00C54A19" w:rsidRDefault="002E6EBF" w:rsidP="00423793">
            <w:pPr>
              <w:spacing w:after="0" w:line="240" w:lineRule="auto"/>
              <w:ind w:right="601"/>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3.2</w:t>
            </w:r>
          </w:p>
        </w:tc>
        <w:tc>
          <w:tcPr>
            <w:tcW w:w="1390" w:type="dxa"/>
            <w:vAlign w:val="center"/>
          </w:tcPr>
          <w:p w:rsidR="002E6EBF" w:rsidRPr="00C54A19" w:rsidRDefault="002E6EBF" w:rsidP="00423793">
            <w:pPr>
              <w:spacing w:after="0" w:line="240" w:lineRule="auto"/>
              <w:ind w:right="459"/>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3.7</w:t>
            </w:r>
          </w:p>
        </w:tc>
        <w:tc>
          <w:tcPr>
            <w:tcW w:w="1118" w:type="dxa"/>
            <w:vAlign w:val="center"/>
          </w:tcPr>
          <w:p w:rsidR="002E6EBF" w:rsidRPr="00C54A19" w:rsidRDefault="002E6EBF" w:rsidP="00423793">
            <w:pPr>
              <w:spacing w:after="0" w:line="240" w:lineRule="auto"/>
              <w:jc w:val="center"/>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(0.5)</w:t>
            </w:r>
          </w:p>
        </w:tc>
      </w:tr>
      <w:tr w:rsidR="002E6EBF" w:rsidRPr="00DD10D0" w:rsidTr="007F77F5">
        <w:trPr>
          <w:trHeight w:hRule="exact" w:val="510"/>
        </w:trPr>
        <w:tc>
          <w:tcPr>
            <w:tcW w:w="4962" w:type="dxa"/>
            <w:shd w:val="clear" w:color="auto" w:fill="E5E5E5" w:themeFill="background1" w:themeFillTint="33"/>
            <w:noWrap/>
            <w:vAlign w:val="center"/>
            <w:hideMark/>
          </w:tcPr>
          <w:p w:rsidR="002E6EBF" w:rsidRPr="00C54A19" w:rsidRDefault="002E6EBF" w:rsidP="00423793">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Rental, Hiring and Real Estate Services</w:t>
            </w:r>
          </w:p>
        </w:tc>
        <w:tc>
          <w:tcPr>
            <w:tcW w:w="1319" w:type="dxa"/>
            <w:shd w:val="clear" w:color="auto" w:fill="E5E5E5" w:themeFill="background1" w:themeFillTint="33"/>
            <w:vAlign w:val="center"/>
          </w:tcPr>
          <w:p w:rsidR="002E6EBF" w:rsidRPr="00C54A19" w:rsidRDefault="002E6EBF" w:rsidP="00423793">
            <w:pPr>
              <w:spacing w:after="0" w:line="240" w:lineRule="auto"/>
              <w:ind w:right="601"/>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1.8</w:t>
            </w:r>
          </w:p>
        </w:tc>
        <w:tc>
          <w:tcPr>
            <w:tcW w:w="1390" w:type="dxa"/>
            <w:shd w:val="clear" w:color="auto" w:fill="E5E5E5" w:themeFill="background1" w:themeFillTint="33"/>
            <w:vAlign w:val="center"/>
          </w:tcPr>
          <w:p w:rsidR="002E6EBF" w:rsidRPr="00C54A19" w:rsidRDefault="002E6EBF" w:rsidP="00423793">
            <w:pPr>
              <w:spacing w:after="0" w:line="240" w:lineRule="auto"/>
              <w:ind w:right="459"/>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1.8</w:t>
            </w:r>
          </w:p>
        </w:tc>
        <w:tc>
          <w:tcPr>
            <w:tcW w:w="1118" w:type="dxa"/>
            <w:shd w:val="clear" w:color="auto" w:fill="E5E5E5" w:themeFill="background1" w:themeFillTint="33"/>
            <w:vAlign w:val="center"/>
          </w:tcPr>
          <w:p w:rsidR="002E6EBF" w:rsidRPr="00C54A19" w:rsidRDefault="002E6EBF" w:rsidP="00423793">
            <w:pPr>
              <w:spacing w:after="0" w:line="240" w:lineRule="auto"/>
              <w:jc w:val="center"/>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w:t>
            </w:r>
          </w:p>
        </w:tc>
      </w:tr>
      <w:tr w:rsidR="002E6EBF" w:rsidRPr="00DD10D0" w:rsidTr="007F77F5">
        <w:trPr>
          <w:trHeight w:hRule="exact" w:val="510"/>
        </w:trPr>
        <w:tc>
          <w:tcPr>
            <w:tcW w:w="4962" w:type="dxa"/>
            <w:shd w:val="clear" w:color="auto" w:fill="auto"/>
            <w:noWrap/>
            <w:vAlign w:val="center"/>
            <w:hideMark/>
          </w:tcPr>
          <w:p w:rsidR="002E6EBF" w:rsidRPr="00C54A19" w:rsidRDefault="002E6EBF" w:rsidP="00423793">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Professional, Scientific and Technical Services</w:t>
            </w:r>
          </w:p>
        </w:tc>
        <w:tc>
          <w:tcPr>
            <w:tcW w:w="1319" w:type="dxa"/>
            <w:vAlign w:val="center"/>
          </w:tcPr>
          <w:p w:rsidR="002E6EBF" w:rsidRPr="00C54A19" w:rsidRDefault="002E6EBF" w:rsidP="00423793">
            <w:pPr>
              <w:spacing w:after="0" w:line="240" w:lineRule="auto"/>
              <w:ind w:right="601"/>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6.6</w:t>
            </w:r>
          </w:p>
        </w:tc>
        <w:tc>
          <w:tcPr>
            <w:tcW w:w="1390" w:type="dxa"/>
            <w:vAlign w:val="center"/>
          </w:tcPr>
          <w:p w:rsidR="002E6EBF" w:rsidRPr="00C54A19" w:rsidRDefault="002E6EBF" w:rsidP="00423793">
            <w:pPr>
              <w:spacing w:after="0" w:line="240" w:lineRule="auto"/>
              <w:ind w:right="459"/>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7.8</w:t>
            </w:r>
          </w:p>
        </w:tc>
        <w:tc>
          <w:tcPr>
            <w:tcW w:w="1118" w:type="dxa"/>
            <w:vAlign w:val="center"/>
          </w:tcPr>
          <w:p w:rsidR="002E6EBF" w:rsidRPr="00C54A19" w:rsidRDefault="002E6EBF" w:rsidP="00423793">
            <w:pPr>
              <w:spacing w:after="0" w:line="240" w:lineRule="auto"/>
              <w:jc w:val="center"/>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(1.2)</w:t>
            </w:r>
          </w:p>
        </w:tc>
      </w:tr>
      <w:tr w:rsidR="002E6EBF" w:rsidRPr="00DD10D0" w:rsidTr="007F77F5">
        <w:trPr>
          <w:trHeight w:hRule="exact" w:val="510"/>
        </w:trPr>
        <w:tc>
          <w:tcPr>
            <w:tcW w:w="4962" w:type="dxa"/>
            <w:shd w:val="clear" w:color="auto" w:fill="E5E5E5" w:themeFill="background1" w:themeFillTint="33"/>
            <w:noWrap/>
            <w:vAlign w:val="center"/>
            <w:hideMark/>
          </w:tcPr>
          <w:p w:rsidR="002E6EBF" w:rsidRPr="00C54A19" w:rsidRDefault="002E6EBF" w:rsidP="00423793">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Administrative and Support Services</w:t>
            </w:r>
          </w:p>
        </w:tc>
        <w:tc>
          <w:tcPr>
            <w:tcW w:w="1319" w:type="dxa"/>
            <w:shd w:val="clear" w:color="auto" w:fill="E5E5E5" w:themeFill="background1" w:themeFillTint="33"/>
            <w:vAlign w:val="center"/>
          </w:tcPr>
          <w:p w:rsidR="002E6EBF" w:rsidRPr="00C54A19" w:rsidRDefault="002E6EBF" w:rsidP="00423793">
            <w:pPr>
              <w:spacing w:after="0" w:line="240" w:lineRule="auto"/>
              <w:ind w:right="601"/>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2.8</w:t>
            </w:r>
          </w:p>
        </w:tc>
        <w:tc>
          <w:tcPr>
            <w:tcW w:w="1390" w:type="dxa"/>
            <w:shd w:val="clear" w:color="auto" w:fill="E5E5E5" w:themeFill="background1" w:themeFillTint="33"/>
            <w:vAlign w:val="center"/>
          </w:tcPr>
          <w:p w:rsidR="002E6EBF" w:rsidRPr="00C54A19" w:rsidRDefault="002E6EBF" w:rsidP="00423793">
            <w:pPr>
              <w:spacing w:after="0" w:line="240" w:lineRule="auto"/>
              <w:ind w:right="459"/>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3.3</w:t>
            </w:r>
          </w:p>
        </w:tc>
        <w:tc>
          <w:tcPr>
            <w:tcW w:w="1118" w:type="dxa"/>
            <w:shd w:val="clear" w:color="auto" w:fill="E5E5E5" w:themeFill="background1" w:themeFillTint="33"/>
            <w:vAlign w:val="center"/>
          </w:tcPr>
          <w:p w:rsidR="002E6EBF" w:rsidRPr="00C54A19" w:rsidRDefault="002E6EBF" w:rsidP="00423793">
            <w:pPr>
              <w:spacing w:after="0" w:line="240" w:lineRule="auto"/>
              <w:jc w:val="center"/>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(0.5)</w:t>
            </w:r>
          </w:p>
        </w:tc>
      </w:tr>
      <w:tr w:rsidR="002E6EBF" w:rsidRPr="00DD10D0" w:rsidTr="007F77F5">
        <w:trPr>
          <w:trHeight w:hRule="exact" w:val="510"/>
        </w:trPr>
        <w:tc>
          <w:tcPr>
            <w:tcW w:w="4962" w:type="dxa"/>
            <w:shd w:val="clear" w:color="auto" w:fill="auto"/>
            <w:noWrap/>
            <w:vAlign w:val="center"/>
            <w:hideMark/>
          </w:tcPr>
          <w:p w:rsidR="002E6EBF" w:rsidRPr="00C54A19" w:rsidRDefault="002E6EBF" w:rsidP="00423793">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Public Administration and Safety</w:t>
            </w:r>
          </w:p>
        </w:tc>
        <w:tc>
          <w:tcPr>
            <w:tcW w:w="1319" w:type="dxa"/>
            <w:vAlign w:val="center"/>
          </w:tcPr>
          <w:p w:rsidR="002E6EBF" w:rsidRPr="00C54A19" w:rsidRDefault="002E6EBF" w:rsidP="00423793">
            <w:pPr>
              <w:spacing w:after="0" w:line="240" w:lineRule="auto"/>
              <w:ind w:right="601"/>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3.8</w:t>
            </w:r>
          </w:p>
        </w:tc>
        <w:tc>
          <w:tcPr>
            <w:tcW w:w="1390" w:type="dxa"/>
            <w:vAlign w:val="center"/>
          </w:tcPr>
          <w:p w:rsidR="002E6EBF" w:rsidRPr="00C54A19" w:rsidRDefault="002E6EBF" w:rsidP="00423793">
            <w:pPr>
              <w:spacing w:after="0" w:line="240" w:lineRule="auto"/>
              <w:ind w:right="459"/>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6.6</w:t>
            </w:r>
          </w:p>
        </w:tc>
        <w:tc>
          <w:tcPr>
            <w:tcW w:w="1118" w:type="dxa"/>
            <w:vAlign w:val="center"/>
          </w:tcPr>
          <w:p w:rsidR="002E6EBF" w:rsidRPr="00C54A19" w:rsidRDefault="002E6EBF" w:rsidP="00423793">
            <w:pPr>
              <w:spacing w:after="0" w:line="240" w:lineRule="auto"/>
              <w:jc w:val="center"/>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(2.8)</w:t>
            </w:r>
          </w:p>
        </w:tc>
      </w:tr>
      <w:tr w:rsidR="002E6EBF" w:rsidRPr="00DD10D0" w:rsidTr="007F77F5">
        <w:trPr>
          <w:trHeight w:hRule="exact" w:val="510"/>
        </w:trPr>
        <w:tc>
          <w:tcPr>
            <w:tcW w:w="4962" w:type="dxa"/>
            <w:shd w:val="clear" w:color="auto" w:fill="E5E5E5" w:themeFill="background1" w:themeFillTint="33"/>
            <w:noWrap/>
            <w:vAlign w:val="center"/>
            <w:hideMark/>
          </w:tcPr>
          <w:p w:rsidR="002E6EBF" w:rsidRPr="00C54A19" w:rsidRDefault="002E6EBF" w:rsidP="00423793">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Education and Training</w:t>
            </w:r>
          </w:p>
        </w:tc>
        <w:tc>
          <w:tcPr>
            <w:tcW w:w="1319" w:type="dxa"/>
            <w:shd w:val="clear" w:color="auto" w:fill="E5E5E5" w:themeFill="background1" w:themeFillTint="33"/>
            <w:vAlign w:val="center"/>
          </w:tcPr>
          <w:p w:rsidR="002E6EBF" w:rsidRPr="00C54A19" w:rsidRDefault="002E6EBF" w:rsidP="00423793">
            <w:pPr>
              <w:spacing w:after="0" w:line="240" w:lineRule="auto"/>
              <w:ind w:right="601"/>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5.1</w:t>
            </w:r>
          </w:p>
        </w:tc>
        <w:tc>
          <w:tcPr>
            <w:tcW w:w="1390" w:type="dxa"/>
            <w:shd w:val="clear" w:color="auto" w:fill="E5E5E5" w:themeFill="background1" w:themeFillTint="33"/>
            <w:vAlign w:val="center"/>
          </w:tcPr>
          <w:p w:rsidR="002E6EBF" w:rsidRPr="00C54A19" w:rsidRDefault="002E6EBF" w:rsidP="00423793">
            <w:pPr>
              <w:spacing w:after="0" w:line="240" w:lineRule="auto"/>
              <w:ind w:right="459"/>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7.8</w:t>
            </w:r>
          </w:p>
        </w:tc>
        <w:tc>
          <w:tcPr>
            <w:tcW w:w="1118" w:type="dxa"/>
            <w:shd w:val="clear" w:color="auto" w:fill="E5E5E5" w:themeFill="background1" w:themeFillTint="33"/>
            <w:vAlign w:val="center"/>
          </w:tcPr>
          <w:p w:rsidR="002E6EBF" w:rsidRPr="00C54A19" w:rsidRDefault="002E6EBF" w:rsidP="00423793">
            <w:pPr>
              <w:spacing w:after="0" w:line="240" w:lineRule="auto"/>
              <w:jc w:val="center"/>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(2.7)</w:t>
            </w:r>
          </w:p>
        </w:tc>
      </w:tr>
      <w:tr w:rsidR="002E6EBF" w:rsidRPr="00DD10D0" w:rsidTr="007F77F5">
        <w:trPr>
          <w:trHeight w:hRule="exact" w:val="510"/>
        </w:trPr>
        <w:tc>
          <w:tcPr>
            <w:tcW w:w="4962" w:type="dxa"/>
            <w:shd w:val="clear" w:color="auto" w:fill="auto"/>
            <w:noWrap/>
            <w:vAlign w:val="center"/>
            <w:hideMark/>
          </w:tcPr>
          <w:p w:rsidR="002E6EBF" w:rsidRPr="00C54A19" w:rsidRDefault="002E6EBF" w:rsidP="00423793">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Health Care and Social Assistance</w:t>
            </w:r>
          </w:p>
        </w:tc>
        <w:tc>
          <w:tcPr>
            <w:tcW w:w="1319" w:type="dxa"/>
            <w:vAlign w:val="center"/>
          </w:tcPr>
          <w:p w:rsidR="002E6EBF" w:rsidRPr="00C54A19" w:rsidRDefault="002E6EBF" w:rsidP="00423793">
            <w:pPr>
              <w:spacing w:after="0" w:line="240" w:lineRule="auto"/>
              <w:ind w:right="601"/>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9.4</w:t>
            </w:r>
          </w:p>
        </w:tc>
        <w:tc>
          <w:tcPr>
            <w:tcW w:w="1390" w:type="dxa"/>
            <w:vAlign w:val="center"/>
          </w:tcPr>
          <w:p w:rsidR="002E6EBF" w:rsidRPr="00C54A19" w:rsidRDefault="002E6EBF" w:rsidP="00423793">
            <w:pPr>
              <w:spacing w:after="0" w:line="240" w:lineRule="auto"/>
              <w:ind w:right="459"/>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12.2</w:t>
            </w:r>
          </w:p>
        </w:tc>
        <w:tc>
          <w:tcPr>
            <w:tcW w:w="1118" w:type="dxa"/>
            <w:vAlign w:val="center"/>
          </w:tcPr>
          <w:p w:rsidR="002E6EBF" w:rsidRPr="00C54A19" w:rsidRDefault="002E6EBF" w:rsidP="00423793">
            <w:pPr>
              <w:spacing w:after="0" w:line="240" w:lineRule="auto"/>
              <w:jc w:val="center"/>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(2.8)</w:t>
            </w:r>
          </w:p>
        </w:tc>
      </w:tr>
      <w:tr w:rsidR="002E6EBF" w:rsidRPr="00DD10D0" w:rsidTr="007F77F5">
        <w:trPr>
          <w:trHeight w:hRule="exact" w:val="510"/>
        </w:trPr>
        <w:tc>
          <w:tcPr>
            <w:tcW w:w="4962" w:type="dxa"/>
            <w:shd w:val="clear" w:color="auto" w:fill="E5E5E5" w:themeFill="background1" w:themeFillTint="33"/>
            <w:noWrap/>
            <w:vAlign w:val="center"/>
            <w:hideMark/>
          </w:tcPr>
          <w:p w:rsidR="002E6EBF" w:rsidRPr="00C54A19" w:rsidRDefault="002E6EBF" w:rsidP="00423793">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Arts and Recreation Services</w:t>
            </w:r>
          </w:p>
        </w:tc>
        <w:tc>
          <w:tcPr>
            <w:tcW w:w="1319" w:type="dxa"/>
            <w:shd w:val="clear" w:color="auto" w:fill="E5E5E5" w:themeFill="background1" w:themeFillTint="33"/>
            <w:vAlign w:val="center"/>
          </w:tcPr>
          <w:p w:rsidR="002E6EBF" w:rsidRPr="00C54A19" w:rsidRDefault="002E6EBF" w:rsidP="00423793">
            <w:pPr>
              <w:spacing w:after="0" w:line="240" w:lineRule="auto"/>
              <w:ind w:right="601"/>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2.5</w:t>
            </w:r>
          </w:p>
        </w:tc>
        <w:tc>
          <w:tcPr>
            <w:tcW w:w="1390" w:type="dxa"/>
            <w:shd w:val="clear" w:color="auto" w:fill="E5E5E5" w:themeFill="background1" w:themeFillTint="33"/>
            <w:vAlign w:val="center"/>
          </w:tcPr>
          <w:p w:rsidR="002E6EBF" w:rsidRPr="00C54A19" w:rsidRDefault="002E6EBF" w:rsidP="00423793">
            <w:pPr>
              <w:spacing w:after="0" w:line="240" w:lineRule="auto"/>
              <w:ind w:right="459"/>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1.7</w:t>
            </w:r>
          </w:p>
        </w:tc>
        <w:tc>
          <w:tcPr>
            <w:tcW w:w="1118" w:type="dxa"/>
            <w:shd w:val="clear" w:color="auto" w:fill="E5E5E5" w:themeFill="background1" w:themeFillTint="33"/>
            <w:vAlign w:val="center"/>
          </w:tcPr>
          <w:p w:rsidR="002E6EBF" w:rsidRPr="00C54A19" w:rsidRDefault="002E6EBF" w:rsidP="00423793">
            <w:pPr>
              <w:spacing w:after="0" w:line="240" w:lineRule="auto"/>
              <w:jc w:val="center"/>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0.8</w:t>
            </w:r>
          </w:p>
        </w:tc>
      </w:tr>
      <w:tr w:rsidR="002E6EBF" w:rsidRPr="00DD10D0" w:rsidTr="007F77F5">
        <w:trPr>
          <w:trHeight w:hRule="exact" w:val="510"/>
        </w:trPr>
        <w:tc>
          <w:tcPr>
            <w:tcW w:w="4962" w:type="dxa"/>
            <w:shd w:val="clear" w:color="auto" w:fill="auto"/>
            <w:noWrap/>
            <w:vAlign w:val="center"/>
            <w:hideMark/>
          </w:tcPr>
          <w:p w:rsidR="002E6EBF" w:rsidRPr="00C54A19" w:rsidRDefault="002E6EBF" w:rsidP="00423793">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Other</w:t>
            </w:r>
          </w:p>
        </w:tc>
        <w:tc>
          <w:tcPr>
            <w:tcW w:w="1319" w:type="dxa"/>
            <w:vAlign w:val="center"/>
          </w:tcPr>
          <w:p w:rsidR="002E6EBF" w:rsidRPr="00C54A19" w:rsidRDefault="002E6EBF" w:rsidP="00423793">
            <w:pPr>
              <w:spacing w:after="0" w:line="240" w:lineRule="auto"/>
              <w:ind w:right="601"/>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4.9</w:t>
            </w:r>
          </w:p>
        </w:tc>
        <w:tc>
          <w:tcPr>
            <w:tcW w:w="1390" w:type="dxa"/>
            <w:vAlign w:val="center"/>
          </w:tcPr>
          <w:p w:rsidR="002E6EBF" w:rsidRPr="00C54A19" w:rsidRDefault="002E6EBF" w:rsidP="00423793">
            <w:pPr>
              <w:spacing w:after="0" w:line="240" w:lineRule="auto"/>
              <w:ind w:right="459"/>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4.2</w:t>
            </w:r>
          </w:p>
        </w:tc>
        <w:tc>
          <w:tcPr>
            <w:tcW w:w="1118" w:type="dxa"/>
            <w:vAlign w:val="center"/>
          </w:tcPr>
          <w:p w:rsidR="002E6EBF" w:rsidRPr="00C54A19" w:rsidRDefault="002E6EBF" w:rsidP="00423793">
            <w:pPr>
              <w:spacing w:after="0" w:line="240" w:lineRule="auto"/>
              <w:jc w:val="center"/>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0.7</w:t>
            </w:r>
          </w:p>
        </w:tc>
      </w:tr>
      <w:tr w:rsidR="002E6EBF" w:rsidRPr="00DD10D0" w:rsidTr="007F77F5">
        <w:trPr>
          <w:trHeight w:hRule="exact" w:val="510"/>
        </w:trPr>
        <w:tc>
          <w:tcPr>
            <w:tcW w:w="4962" w:type="dxa"/>
            <w:shd w:val="clear" w:color="auto" w:fill="8EAEDE"/>
            <w:noWrap/>
            <w:vAlign w:val="center"/>
          </w:tcPr>
          <w:p w:rsidR="002E6EBF" w:rsidRPr="00C54A19" w:rsidRDefault="002E6EBF" w:rsidP="00BB27F4">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T</w:t>
            </w:r>
            <w:r w:rsidR="00BB27F4" w:rsidRPr="00C54A19">
              <w:rPr>
                <w:rFonts w:ascii="Calibri" w:eastAsia="Times New Roman" w:hAnsi="Calibri" w:cs="Calibri"/>
                <w:color w:val="000000"/>
                <w:sz w:val="20"/>
                <w:szCs w:val="20"/>
                <w:lang w:eastAsia="en-AU"/>
              </w:rPr>
              <w:t>otal</w:t>
            </w:r>
          </w:p>
        </w:tc>
        <w:tc>
          <w:tcPr>
            <w:tcW w:w="1319" w:type="dxa"/>
            <w:shd w:val="clear" w:color="auto" w:fill="8EAEDE"/>
            <w:vAlign w:val="center"/>
          </w:tcPr>
          <w:p w:rsidR="002E6EBF" w:rsidRPr="00C54A19" w:rsidRDefault="002E6EBF" w:rsidP="00423793">
            <w:pPr>
              <w:spacing w:after="0" w:line="240" w:lineRule="auto"/>
              <w:ind w:right="601"/>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100.0</w:t>
            </w:r>
          </w:p>
        </w:tc>
        <w:tc>
          <w:tcPr>
            <w:tcW w:w="1390" w:type="dxa"/>
            <w:shd w:val="clear" w:color="auto" w:fill="8EAEDE"/>
            <w:vAlign w:val="center"/>
          </w:tcPr>
          <w:p w:rsidR="002E6EBF" w:rsidRPr="00C54A19" w:rsidRDefault="002E6EBF" w:rsidP="00423793">
            <w:pPr>
              <w:spacing w:after="0" w:line="240" w:lineRule="auto"/>
              <w:ind w:right="459"/>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100.0</w:t>
            </w:r>
          </w:p>
        </w:tc>
        <w:tc>
          <w:tcPr>
            <w:tcW w:w="1118" w:type="dxa"/>
            <w:shd w:val="clear" w:color="auto" w:fill="8EAEDE"/>
            <w:vAlign w:val="center"/>
          </w:tcPr>
          <w:p w:rsidR="002E6EBF" w:rsidRPr="00C54A19" w:rsidRDefault="002E6EBF" w:rsidP="00423793">
            <w:pPr>
              <w:spacing w:after="0" w:line="240" w:lineRule="auto"/>
              <w:jc w:val="center"/>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w:t>
            </w:r>
          </w:p>
        </w:tc>
      </w:tr>
    </w:tbl>
    <w:p w:rsidR="002E6EBF" w:rsidRPr="000615B6" w:rsidRDefault="002E6EBF" w:rsidP="000615B6">
      <w:pPr>
        <w:pStyle w:val="Source"/>
        <w:rPr>
          <w:b w:val="0"/>
        </w:rPr>
      </w:pPr>
      <w:r w:rsidRPr="000615B6">
        <w:t>Note:</w:t>
      </w:r>
      <w:r w:rsidRPr="000615B6">
        <w:rPr>
          <w:b w:val="0"/>
        </w:rPr>
        <w:t xml:space="preserve"> Difference figures may be subject to rounding discrepancy</w:t>
      </w:r>
      <w:r w:rsidR="007F77F5" w:rsidRPr="000615B6">
        <w:rPr>
          <w:b w:val="0"/>
        </w:rPr>
        <w:t>.</w:t>
      </w:r>
    </w:p>
    <w:p w:rsidR="002E6EBF" w:rsidRDefault="002E6EBF" w:rsidP="000615B6">
      <w:pPr>
        <w:pStyle w:val="Source"/>
        <w:rPr>
          <w:b w:val="0"/>
        </w:rPr>
      </w:pPr>
      <w:r w:rsidRPr="000615B6">
        <w:t>Source:</w:t>
      </w:r>
      <w:r w:rsidRPr="000615B6">
        <w:rPr>
          <w:b w:val="0"/>
        </w:rPr>
        <w:t xml:space="preserve"> ABS Cat. 6291.0.55.003</w:t>
      </w:r>
      <w:r w:rsidR="003D0246">
        <w:rPr>
          <w:b w:val="0"/>
        </w:rPr>
        <w:t xml:space="preserve"> </w:t>
      </w:r>
      <w:r w:rsidR="00E21B0E">
        <w:rPr>
          <w:b w:val="0"/>
        </w:rPr>
        <w:t xml:space="preserve">Labour Force </w:t>
      </w:r>
      <w:r w:rsidR="003D0246">
        <w:rPr>
          <w:b w:val="0"/>
        </w:rPr>
        <w:t>Survey, Australia, electronic delivery.</w:t>
      </w:r>
    </w:p>
    <w:p w:rsidR="00590FD7" w:rsidRPr="000615B6" w:rsidRDefault="00590FD7" w:rsidP="00590FD7">
      <w:pPr>
        <w:pStyle w:val="Source"/>
        <w:spacing w:before="120"/>
        <w:rPr>
          <w:b w:val="0"/>
        </w:rPr>
      </w:pPr>
      <w:r>
        <w:rPr>
          <w:b w:val="0"/>
        </w:rPr>
        <w:t xml:space="preserve">Return to </w:t>
      </w:r>
      <w:hyperlink w:anchor="Place_F16" w:history="1">
        <w:r w:rsidRPr="00590FD7">
          <w:rPr>
            <w:rStyle w:val="Hyperlink"/>
            <w:b w:val="0"/>
          </w:rPr>
          <w:t>Section 4.3.2</w:t>
        </w:r>
      </w:hyperlink>
      <w:r w:rsidRPr="00590FD7">
        <w:rPr>
          <w:b w:val="0"/>
        </w:rPr>
        <w:t>.</w:t>
      </w:r>
    </w:p>
    <w:p w:rsidR="0089748E" w:rsidRPr="00AF2011" w:rsidRDefault="0089748E" w:rsidP="005C2B87">
      <w:pPr>
        <w:pStyle w:val="TableCaption"/>
        <w:keepLines/>
      </w:pPr>
      <w:bookmarkStart w:id="287" w:name="_Toc507600333"/>
      <w:r w:rsidRPr="00AF2011">
        <w:lastRenderedPageBreak/>
        <w:t xml:space="preserve">Table </w:t>
      </w:r>
      <w:r w:rsidR="00603A49">
        <w:t>F</w:t>
      </w:r>
      <w:r w:rsidRPr="00AF2011">
        <w:t>.</w:t>
      </w:r>
      <w:r w:rsidR="00E76396" w:rsidRPr="00AF2011">
        <w:t>1</w:t>
      </w:r>
      <w:r w:rsidR="00E76396">
        <w:t>7</w:t>
      </w:r>
      <w:r w:rsidRPr="00AF2011">
        <w:t xml:space="preserve">: Employment by </w:t>
      </w:r>
      <w:r w:rsidR="000B5BFB">
        <w:t xml:space="preserve">service and non-service </w:t>
      </w:r>
      <w:r w:rsidRPr="00AF2011">
        <w:t>industry by age group, May 2014 (per cent)</w:t>
      </w:r>
      <w:bookmarkEnd w:id="287"/>
    </w:p>
    <w:tbl>
      <w:tblPr>
        <w:tblW w:w="8789" w:type="dxa"/>
        <w:tblInd w:w="108" w:type="dxa"/>
        <w:tblLook w:val="04A0" w:firstRow="1" w:lastRow="0" w:firstColumn="1" w:lastColumn="0" w:noHBand="0" w:noVBand="1"/>
      </w:tblPr>
      <w:tblGrid>
        <w:gridCol w:w="4962"/>
        <w:gridCol w:w="1319"/>
        <w:gridCol w:w="1390"/>
        <w:gridCol w:w="1118"/>
      </w:tblGrid>
      <w:tr w:rsidR="0089748E" w:rsidRPr="002E6EBF" w:rsidTr="0001650C">
        <w:trPr>
          <w:trHeight w:hRule="exact" w:val="510"/>
          <w:tblHeader/>
        </w:trPr>
        <w:tc>
          <w:tcPr>
            <w:tcW w:w="4962" w:type="dxa"/>
            <w:shd w:val="clear" w:color="auto" w:fill="1E3D6B"/>
            <w:noWrap/>
            <w:vAlign w:val="center"/>
          </w:tcPr>
          <w:p w:rsidR="0089748E" w:rsidRPr="00C54A19" w:rsidRDefault="0089748E" w:rsidP="005C2B87">
            <w:pPr>
              <w:keepNext/>
              <w:keepLines/>
              <w:spacing w:after="0"/>
              <w:rPr>
                <w:rFonts w:ascii="Calibri" w:hAnsi="Calibri" w:cs="Calibri"/>
                <w:b/>
                <w:color w:val="FFFFFF" w:themeColor="background2"/>
                <w:sz w:val="20"/>
                <w:szCs w:val="20"/>
              </w:rPr>
            </w:pPr>
            <w:bookmarkStart w:id="288" w:name="Title_F16"/>
            <w:bookmarkEnd w:id="288"/>
            <w:r w:rsidRPr="00C54A19">
              <w:rPr>
                <w:b/>
                <w:color w:val="FFFFFF" w:themeColor="background2"/>
                <w:sz w:val="20"/>
                <w:szCs w:val="20"/>
              </w:rPr>
              <w:t>Industry</w:t>
            </w:r>
            <w:r w:rsidR="000B5BFB" w:rsidRPr="00C54A19">
              <w:rPr>
                <w:b/>
                <w:color w:val="FFFFFF" w:themeColor="background2"/>
                <w:sz w:val="20"/>
                <w:szCs w:val="20"/>
              </w:rPr>
              <w:t xml:space="preserve"> Type</w:t>
            </w:r>
          </w:p>
        </w:tc>
        <w:tc>
          <w:tcPr>
            <w:tcW w:w="1319" w:type="dxa"/>
            <w:shd w:val="clear" w:color="auto" w:fill="1E3D6B"/>
            <w:vAlign w:val="center"/>
          </w:tcPr>
          <w:p w:rsidR="0089748E" w:rsidRPr="00C54A19" w:rsidRDefault="0089748E" w:rsidP="005C2B87">
            <w:pPr>
              <w:keepNext/>
              <w:keepLines/>
              <w:spacing w:after="0"/>
              <w:ind w:right="317"/>
              <w:jc w:val="right"/>
              <w:rPr>
                <w:rFonts w:ascii="Calibri" w:hAnsi="Calibri" w:cs="Calibri"/>
                <w:b/>
                <w:color w:val="FFFFFF" w:themeColor="background2"/>
                <w:sz w:val="20"/>
                <w:szCs w:val="20"/>
              </w:rPr>
            </w:pPr>
            <w:r w:rsidRPr="00C54A19">
              <w:rPr>
                <w:b/>
                <w:color w:val="FFFFFF" w:themeColor="background2"/>
                <w:sz w:val="20"/>
                <w:szCs w:val="20"/>
              </w:rPr>
              <w:t>15 to 29</w:t>
            </w:r>
          </w:p>
        </w:tc>
        <w:tc>
          <w:tcPr>
            <w:tcW w:w="1390" w:type="dxa"/>
            <w:shd w:val="clear" w:color="auto" w:fill="1E3D6B"/>
            <w:vAlign w:val="center"/>
          </w:tcPr>
          <w:p w:rsidR="0089748E" w:rsidRPr="00C54A19" w:rsidRDefault="009D5271" w:rsidP="005C2B87">
            <w:pPr>
              <w:keepNext/>
              <w:keepLines/>
              <w:spacing w:after="0"/>
              <w:jc w:val="center"/>
              <w:rPr>
                <w:rFonts w:ascii="Calibri" w:hAnsi="Calibri" w:cs="Calibri"/>
                <w:b/>
                <w:color w:val="FFFFFF" w:themeColor="background2"/>
                <w:sz w:val="20"/>
                <w:szCs w:val="20"/>
              </w:rPr>
            </w:pPr>
            <w:r>
              <w:rPr>
                <w:b/>
                <w:color w:val="FFFFFF" w:themeColor="background2"/>
                <w:sz w:val="20"/>
                <w:szCs w:val="20"/>
              </w:rPr>
              <w:t>30 to 64</w:t>
            </w:r>
          </w:p>
        </w:tc>
        <w:tc>
          <w:tcPr>
            <w:tcW w:w="1118" w:type="dxa"/>
            <w:shd w:val="clear" w:color="auto" w:fill="1E3D6B"/>
            <w:vAlign w:val="center"/>
          </w:tcPr>
          <w:p w:rsidR="0089748E" w:rsidRPr="00C54A19" w:rsidRDefault="0089748E" w:rsidP="005C2B87">
            <w:pPr>
              <w:keepNext/>
              <w:keepLines/>
              <w:spacing w:after="0"/>
              <w:jc w:val="center"/>
              <w:rPr>
                <w:b/>
                <w:color w:val="FFFFFF" w:themeColor="background2"/>
                <w:sz w:val="20"/>
                <w:szCs w:val="20"/>
              </w:rPr>
            </w:pPr>
            <w:r w:rsidRPr="00C54A19">
              <w:rPr>
                <w:b/>
                <w:color w:val="FFFFFF" w:themeColor="background2"/>
                <w:sz w:val="20"/>
                <w:szCs w:val="20"/>
              </w:rPr>
              <w:t>(+/-)</w:t>
            </w:r>
          </w:p>
        </w:tc>
      </w:tr>
      <w:tr w:rsidR="000B5BFB" w:rsidRPr="00DD10D0" w:rsidTr="005206D0">
        <w:trPr>
          <w:trHeight w:hRule="exact" w:val="510"/>
        </w:trPr>
        <w:tc>
          <w:tcPr>
            <w:tcW w:w="4962" w:type="dxa"/>
            <w:shd w:val="clear" w:color="auto" w:fill="auto"/>
            <w:noWrap/>
            <w:vAlign w:val="center"/>
          </w:tcPr>
          <w:p w:rsidR="000B5BFB" w:rsidRPr="00C54A19" w:rsidRDefault="000B5BFB" w:rsidP="005C2B87">
            <w:pPr>
              <w:keepNext/>
              <w:keepLines/>
              <w:spacing w:after="0"/>
              <w:rPr>
                <w:rFonts w:ascii="Calibri" w:hAnsi="Calibri" w:cs="Calibri"/>
                <w:color w:val="000000"/>
                <w:sz w:val="20"/>
                <w:szCs w:val="20"/>
              </w:rPr>
            </w:pPr>
            <w:r w:rsidRPr="00C54A19">
              <w:rPr>
                <w:rFonts w:ascii="Calibri" w:hAnsi="Calibri" w:cs="Calibri"/>
                <w:color w:val="000000"/>
                <w:sz w:val="20"/>
                <w:szCs w:val="20"/>
              </w:rPr>
              <w:t>Goods producing industry</w:t>
            </w:r>
          </w:p>
        </w:tc>
        <w:tc>
          <w:tcPr>
            <w:tcW w:w="1319" w:type="dxa"/>
            <w:vAlign w:val="center"/>
          </w:tcPr>
          <w:p w:rsidR="000B5BFB" w:rsidRPr="00C54A19" w:rsidRDefault="009D5271" w:rsidP="009D5271">
            <w:pPr>
              <w:keepNext/>
              <w:keepLines/>
              <w:spacing w:after="0"/>
              <w:ind w:right="601"/>
              <w:jc w:val="right"/>
              <w:rPr>
                <w:rFonts w:ascii="Calibri" w:hAnsi="Calibri" w:cs="Calibri"/>
                <w:color w:val="000000"/>
                <w:sz w:val="20"/>
                <w:szCs w:val="20"/>
              </w:rPr>
            </w:pPr>
            <w:r>
              <w:rPr>
                <w:rFonts w:ascii="Calibri" w:hAnsi="Calibri" w:cs="Calibri"/>
                <w:color w:val="000000"/>
                <w:sz w:val="20"/>
                <w:szCs w:val="20"/>
              </w:rPr>
              <w:t>20.4</w:t>
            </w:r>
          </w:p>
        </w:tc>
        <w:tc>
          <w:tcPr>
            <w:tcW w:w="1390" w:type="dxa"/>
            <w:vAlign w:val="center"/>
          </w:tcPr>
          <w:p w:rsidR="000B5BFB" w:rsidRPr="00C54A19" w:rsidRDefault="009D5271" w:rsidP="005C2B87">
            <w:pPr>
              <w:keepNext/>
              <w:keepLines/>
              <w:spacing w:after="0"/>
              <w:ind w:right="459"/>
              <w:jc w:val="right"/>
              <w:rPr>
                <w:rFonts w:ascii="Calibri" w:hAnsi="Calibri" w:cs="Calibri"/>
                <w:color w:val="000000"/>
                <w:sz w:val="20"/>
                <w:szCs w:val="20"/>
              </w:rPr>
            </w:pPr>
            <w:r>
              <w:rPr>
                <w:rFonts w:ascii="Calibri" w:hAnsi="Calibri" w:cs="Calibri"/>
                <w:color w:val="000000"/>
                <w:sz w:val="20"/>
                <w:szCs w:val="20"/>
              </w:rPr>
              <w:t>23.5</w:t>
            </w:r>
          </w:p>
        </w:tc>
        <w:tc>
          <w:tcPr>
            <w:tcW w:w="1118" w:type="dxa"/>
            <w:vAlign w:val="center"/>
          </w:tcPr>
          <w:p w:rsidR="000B5BFB" w:rsidRPr="00C54A19" w:rsidRDefault="009D5271" w:rsidP="005C2B87">
            <w:pPr>
              <w:keepNext/>
              <w:keepLines/>
              <w:spacing w:after="0"/>
              <w:jc w:val="center"/>
              <w:rPr>
                <w:rFonts w:ascii="Calibri" w:hAnsi="Calibri" w:cs="Calibri"/>
                <w:color w:val="000000"/>
                <w:sz w:val="20"/>
                <w:szCs w:val="20"/>
              </w:rPr>
            </w:pPr>
            <w:r>
              <w:rPr>
                <w:rFonts w:ascii="Calibri" w:hAnsi="Calibri" w:cs="Calibri"/>
                <w:color w:val="000000"/>
                <w:sz w:val="20"/>
                <w:szCs w:val="20"/>
              </w:rPr>
              <w:t>3.1</w:t>
            </w:r>
          </w:p>
        </w:tc>
      </w:tr>
      <w:tr w:rsidR="000B5BFB" w:rsidRPr="00DD10D0" w:rsidTr="005206D0">
        <w:trPr>
          <w:trHeight w:hRule="exact" w:val="510"/>
        </w:trPr>
        <w:tc>
          <w:tcPr>
            <w:tcW w:w="4962" w:type="dxa"/>
            <w:shd w:val="clear" w:color="auto" w:fill="auto"/>
            <w:noWrap/>
            <w:vAlign w:val="center"/>
          </w:tcPr>
          <w:p w:rsidR="000B5BFB" w:rsidRPr="00C54A19" w:rsidRDefault="000B5BFB" w:rsidP="005C2B87">
            <w:pPr>
              <w:keepNext/>
              <w:keepLines/>
              <w:spacing w:after="0"/>
              <w:rPr>
                <w:rFonts w:ascii="Calibri" w:hAnsi="Calibri" w:cs="Calibri"/>
                <w:color w:val="000000"/>
                <w:sz w:val="20"/>
                <w:szCs w:val="20"/>
              </w:rPr>
            </w:pPr>
            <w:r w:rsidRPr="00C54A19">
              <w:rPr>
                <w:rFonts w:ascii="Calibri" w:hAnsi="Calibri" w:cs="Calibri"/>
                <w:color w:val="000000"/>
                <w:sz w:val="20"/>
                <w:szCs w:val="20"/>
              </w:rPr>
              <w:t>Service industry</w:t>
            </w:r>
          </w:p>
        </w:tc>
        <w:tc>
          <w:tcPr>
            <w:tcW w:w="1319" w:type="dxa"/>
            <w:vAlign w:val="center"/>
          </w:tcPr>
          <w:p w:rsidR="000B5BFB" w:rsidRPr="00C54A19" w:rsidRDefault="000B5BFB" w:rsidP="009D5271">
            <w:pPr>
              <w:keepNext/>
              <w:keepLines/>
              <w:spacing w:after="0"/>
              <w:ind w:right="601"/>
              <w:jc w:val="right"/>
              <w:rPr>
                <w:rFonts w:ascii="Calibri" w:hAnsi="Calibri" w:cs="Calibri"/>
                <w:color w:val="000000"/>
                <w:sz w:val="20"/>
                <w:szCs w:val="20"/>
              </w:rPr>
            </w:pPr>
            <w:r w:rsidRPr="00C54A19">
              <w:rPr>
                <w:rFonts w:ascii="Calibri" w:hAnsi="Calibri" w:cs="Calibri"/>
                <w:color w:val="000000"/>
                <w:sz w:val="20"/>
                <w:szCs w:val="20"/>
              </w:rPr>
              <w:t>79</w:t>
            </w:r>
            <w:r w:rsidR="009D5271">
              <w:rPr>
                <w:rFonts w:ascii="Calibri" w:hAnsi="Calibri" w:cs="Calibri"/>
                <w:color w:val="000000"/>
                <w:sz w:val="20"/>
                <w:szCs w:val="20"/>
              </w:rPr>
              <w:t>.6</w:t>
            </w:r>
          </w:p>
        </w:tc>
        <w:tc>
          <w:tcPr>
            <w:tcW w:w="1390" w:type="dxa"/>
            <w:vAlign w:val="center"/>
          </w:tcPr>
          <w:p w:rsidR="000B5BFB" w:rsidRPr="00C54A19" w:rsidRDefault="009D5271" w:rsidP="005C2B87">
            <w:pPr>
              <w:keepNext/>
              <w:keepLines/>
              <w:spacing w:after="0"/>
              <w:ind w:right="459"/>
              <w:jc w:val="right"/>
              <w:rPr>
                <w:rFonts w:ascii="Calibri" w:hAnsi="Calibri" w:cs="Calibri"/>
                <w:color w:val="000000"/>
                <w:sz w:val="20"/>
                <w:szCs w:val="20"/>
              </w:rPr>
            </w:pPr>
            <w:r>
              <w:rPr>
                <w:rFonts w:ascii="Calibri" w:hAnsi="Calibri" w:cs="Calibri"/>
                <w:color w:val="000000"/>
                <w:sz w:val="20"/>
                <w:szCs w:val="20"/>
              </w:rPr>
              <w:t>76.5</w:t>
            </w:r>
          </w:p>
        </w:tc>
        <w:tc>
          <w:tcPr>
            <w:tcW w:w="1118" w:type="dxa"/>
            <w:vAlign w:val="center"/>
          </w:tcPr>
          <w:p w:rsidR="000B5BFB" w:rsidRPr="00C54A19" w:rsidRDefault="009A45C4" w:rsidP="009D5271">
            <w:pPr>
              <w:keepNext/>
              <w:keepLines/>
              <w:spacing w:after="0"/>
              <w:jc w:val="center"/>
              <w:rPr>
                <w:rFonts w:ascii="Calibri" w:hAnsi="Calibri" w:cs="Calibri"/>
                <w:color w:val="000000"/>
                <w:sz w:val="20"/>
                <w:szCs w:val="20"/>
              </w:rPr>
            </w:pPr>
            <w:r w:rsidRPr="00C54A19">
              <w:rPr>
                <w:rFonts w:ascii="Calibri" w:hAnsi="Calibri" w:cs="Calibri"/>
                <w:color w:val="000000"/>
                <w:sz w:val="20"/>
                <w:szCs w:val="20"/>
              </w:rPr>
              <w:t>(</w:t>
            </w:r>
            <w:r w:rsidR="009D5271">
              <w:rPr>
                <w:rFonts w:ascii="Calibri" w:hAnsi="Calibri" w:cs="Calibri"/>
                <w:color w:val="000000"/>
                <w:sz w:val="20"/>
                <w:szCs w:val="20"/>
              </w:rPr>
              <w:t>3.1</w:t>
            </w:r>
            <w:r w:rsidRPr="00C54A19">
              <w:rPr>
                <w:rFonts w:ascii="Calibri" w:hAnsi="Calibri" w:cs="Calibri"/>
                <w:color w:val="000000"/>
                <w:sz w:val="20"/>
                <w:szCs w:val="20"/>
              </w:rPr>
              <w:t>)</w:t>
            </w:r>
          </w:p>
        </w:tc>
      </w:tr>
      <w:tr w:rsidR="0089748E" w:rsidRPr="00DD10D0" w:rsidTr="005206D0">
        <w:trPr>
          <w:trHeight w:hRule="exact" w:val="510"/>
        </w:trPr>
        <w:tc>
          <w:tcPr>
            <w:tcW w:w="4962" w:type="dxa"/>
            <w:shd w:val="clear" w:color="auto" w:fill="8EAEDE"/>
            <w:noWrap/>
            <w:vAlign w:val="center"/>
          </w:tcPr>
          <w:p w:rsidR="0089748E" w:rsidRPr="00C54A19" w:rsidRDefault="0089748E" w:rsidP="005C2B87">
            <w:pPr>
              <w:keepNext/>
              <w:keepLines/>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Total</w:t>
            </w:r>
          </w:p>
        </w:tc>
        <w:tc>
          <w:tcPr>
            <w:tcW w:w="1319" w:type="dxa"/>
            <w:shd w:val="clear" w:color="auto" w:fill="8EAEDE"/>
            <w:vAlign w:val="center"/>
          </w:tcPr>
          <w:p w:rsidR="0089748E" w:rsidRPr="00C54A19" w:rsidRDefault="0089748E" w:rsidP="005C2B87">
            <w:pPr>
              <w:keepNext/>
              <w:keepLines/>
              <w:spacing w:after="0" w:line="240" w:lineRule="auto"/>
              <w:ind w:right="601"/>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100.0</w:t>
            </w:r>
          </w:p>
        </w:tc>
        <w:tc>
          <w:tcPr>
            <w:tcW w:w="1390" w:type="dxa"/>
            <w:shd w:val="clear" w:color="auto" w:fill="8EAEDE"/>
            <w:vAlign w:val="center"/>
          </w:tcPr>
          <w:p w:rsidR="0089748E" w:rsidRPr="00C54A19" w:rsidRDefault="0089748E" w:rsidP="005C2B87">
            <w:pPr>
              <w:keepNext/>
              <w:keepLines/>
              <w:spacing w:after="0" w:line="240" w:lineRule="auto"/>
              <w:ind w:right="459"/>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100.0</w:t>
            </w:r>
          </w:p>
        </w:tc>
        <w:tc>
          <w:tcPr>
            <w:tcW w:w="1118" w:type="dxa"/>
            <w:shd w:val="clear" w:color="auto" w:fill="8EAEDE"/>
            <w:vAlign w:val="center"/>
          </w:tcPr>
          <w:p w:rsidR="0089748E" w:rsidRPr="00C54A19" w:rsidRDefault="0089748E" w:rsidP="005C2B87">
            <w:pPr>
              <w:keepNext/>
              <w:keepLines/>
              <w:spacing w:after="0" w:line="240" w:lineRule="auto"/>
              <w:jc w:val="center"/>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w:t>
            </w:r>
          </w:p>
        </w:tc>
      </w:tr>
    </w:tbl>
    <w:p w:rsidR="009D5271" w:rsidRDefault="0089748E" w:rsidP="005C2B87">
      <w:pPr>
        <w:pStyle w:val="Source"/>
        <w:keepNext/>
        <w:keepLines/>
        <w:rPr>
          <w:rStyle w:val="FootnoteTextChar"/>
        </w:rPr>
      </w:pPr>
      <w:r w:rsidRPr="000615B6">
        <w:t>Note:</w:t>
      </w:r>
      <w:r w:rsidRPr="000615B6">
        <w:rPr>
          <w:b w:val="0"/>
        </w:rPr>
        <w:t xml:space="preserve"> </w:t>
      </w:r>
      <w:r w:rsidR="009D5271" w:rsidRPr="000950E1">
        <w:rPr>
          <w:rStyle w:val="FootnoteTextChar"/>
          <w:b w:val="0"/>
        </w:rPr>
        <w:t>‘Agriculture, Forestry and fishing’, ‘Manufacturing’, ‘Mining’ and ‘Construction’ are classified as goods-producing industries, with ‘Electricity, Gas, Water and Waste Services’ viewed as both a goods-producing and service industry. All other industries in ANZSIC are service industries.</w:t>
      </w:r>
      <w:r w:rsidR="009D5271">
        <w:rPr>
          <w:rStyle w:val="FootnoteTextChar"/>
          <w:b w:val="0"/>
        </w:rPr>
        <w:t xml:space="preserve"> Figures for ‘</w:t>
      </w:r>
      <w:r w:rsidR="009D5271" w:rsidRPr="00095615">
        <w:rPr>
          <w:rStyle w:val="FootnoteTextChar"/>
          <w:b w:val="0"/>
        </w:rPr>
        <w:t>‘Electricity, Gas, Water and Waste Services’</w:t>
      </w:r>
      <w:r w:rsidR="009D5271">
        <w:rPr>
          <w:rStyle w:val="FootnoteTextChar"/>
          <w:b w:val="0"/>
        </w:rPr>
        <w:t xml:space="preserve"> have been equally allocated to Goods producing and Service industry figures.</w:t>
      </w:r>
    </w:p>
    <w:p w:rsidR="0089748E" w:rsidRDefault="0089748E" w:rsidP="005C2B87">
      <w:pPr>
        <w:pStyle w:val="Source"/>
        <w:keepNext/>
        <w:keepLines/>
        <w:rPr>
          <w:b w:val="0"/>
        </w:rPr>
      </w:pPr>
      <w:r w:rsidRPr="000615B6">
        <w:t>Source:</w:t>
      </w:r>
      <w:r w:rsidRPr="000615B6">
        <w:rPr>
          <w:b w:val="0"/>
        </w:rPr>
        <w:t xml:space="preserve"> ABS Cat. 6291.0.55.003</w:t>
      </w:r>
      <w:r>
        <w:rPr>
          <w:b w:val="0"/>
        </w:rPr>
        <w:t xml:space="preserve"> Labour Force Survey, Australia, electronic delivery.</w:t>
      </w:r>
    </w:p>
    <w:p w:rsidR="00590FD7" w:rsidRPr="000615B6" w:rsidRDefault="00590FD7" w:rsidP="00590FD7">
      <w:pPr>
        <w:pStyle w:val="Source"/>
        <w:spacing w:before="120"/>
        <w:rPr>
          <w:b w:val="0"/>
        </w:rPr>
      </w:pPr>
      <w:r>
        <w:rPr>
          <w:b w:val="0"/>
        </w:rPr>
        <w:t xml:space="preserve">Return to </w:t>
      </w:r>
      <w:hyperlink w:anchor="Place_F17" w:history="1">
        <w:r w:rsidR="00D75340">
          <w:rPr>
            <w:rStyle w:val="Hyperlink"/>
            <w:b w:val="0"/>
          </w:rPr>
          <w:t>Section 4.3.2</w:t>
        </w:r>
      </w:hyperlink>
      <w:r w:rsidRPr="00590FD7">
        <w:rPr>
          <w:b w:val="0"/>
        </w:rPr>
        <w:t>.</w:t>
      </w:r>
    </w:p>
    <w:p w:rsidR="002E6EBF" w:rsidRPr="00E04394" w:rsidRDefault="002E6EBF" w:rsidP="008477D2">
      <w:pPr>
        <w:pStyle w:val="TableCaption"/>
        <w:spacing w:before="480"/>
      </w:pPr>
      <w:bookmarkStart w:id="289" w:name="_Toc507600334"/>
      <w:r w:rsidRPr="00E04394">
        <w:t xml:space="preserve">Table </w:t>
      </w:r>
      <w:r w:rsidR="00603A49" w:rsidRPr="00E04394">
        <w:t>F</w:t>
      </w:r>
      <w:r w:rsidR="003F5B67" w:rsidRPr="00E04394">
        <w:t>.</w:t>
      </w:r>
      <w:r w:rsidR="00E76396" w:rsidRPr="00E04394">
        <w:t>1</w:t>
      </w:r>
      <w:r w:rsidR="00E76396">
        <w:t>8</w:t>
      </w:r>
      <w:r w:rsidRPr="00E04394">
        <w:t>: Major industry of employment for 20-29 year olds</w:t>
      </w:r>
      <w:bookmarkEnd w:id="289"/>
    </w:p>
    <w:tbl>
      <w:tblPr>
        <w:tblStyle w:val="APSAccessibilitytable"/>
        <w:tblpPr w:leftFromText="180" w:rightFromText="180" w:vertAnchor="text" w:horzAnchor="margin" w:tblpX="108" w:tblpY="200"/>
        <w:tblW w:w="8755" w:type="dxa"/>
        <w:tblLook w:val="04A0" w:firstRow="1" w:lastRow="0" w:firstColumn="1" w:lastColumn="0" w:noHBand="0" w:noVBand="1"/>
        <w:tblDescription w:val="Table F.18: Major industry of employment for 20-29 year olds"/>
      </w:tblPr>
      <w:tblGrid>
        <w:gridCol w:w="4343"/>
        <w:gridCol w:w="1692"/>
        <w:gridCol w:w="1173"/>
        <w:gridCol w:w="1547"/>
      </w:tblGrid>
      <w:tr w:rsidR="002E6EBF" w:rsidTr="007F77F5">
        <w:trPr>
          <w:cnfStyle w:val="100000000000" w:firstRow="1" w:lastRow="0" w:firstColumn="0" w:lastColumn="0" w:oddVBand="0" w:evenVBand="0" w:oddHBand="0" w:evenHBand="0" w:firstRowFirstColumn="0" w:firstRowLastColumn="0" w:lastRowFirstColumn="0" w:lastRowLastColumn="0"/>
          <w:trHeight w:hRule="exact" w:val="567"/>
          <w:tblHeader/>
        </w:trPr>
        <w:tc>
          <w:tcPr>
            <w:cnfStyle w:val="001000000000" w:firstRow="0" w:lastRow="0" w:firstColumn="1" w:lastColumn="0" w:oddVBand="0" w:evenVBand="0" w:oddHBand="0" w:evenHBand="0" w:firstRowFirstColumn="0" w:firstRowLastColumn="0" w:lastRowFirstColumn="0" w:lastRowLastColumn="0"/>
            <w:tcW w:w="4343" w:type="dxa"/>
          </w:tcPr>
          <w:p w:rsidR="002E6EBF" w:rsidRPr="00C54A19" w:rsidRDefault="002E6EBF" w:rsidP="007F77F5">
            <w:pPr>
              <w:ind w:left="142"/>
              <w:jc w:val="left"/>
              <w:rPr>
                <w:sz w:val="20"/>
                <w:szCs w:val="20"/>
              </w:rPr>
            </w:pPr>
            <w:bookmarkStart w:id="290" w:name="Title_F17"/>
            <w:bookmarkEnd w:id="290"/>
            <w:r w:rsidRPr="00C54A19">
              <w:rPr>
                <w:sz w:val="20"/>
                <w:szCs w:val="20"/>
              </w:rPr>
              <w:t>Industry</w:t>
            </w:r>
          </w:p>
        </w:tc>
        <w:tc>
          <w:tcPr>
            <w:tcW w:w="1692" w:type="dxa"/>
          </w:tcPr>
          <w:p w:rsidR="002E6EBF" w:rsidRPr="00C54A19" w:rsidRDefault="002E6EBF" w:rsidP="007F77F5">
            <w:pPr>
              <w:ind w:left="142"/>
              <w:cnfStyle w:val="100000000000" w:firstRow="1" w:lastRow="0" w:firstColumn="0" w:lastColumn="0" w:oddVBand="0" w:evenVBand="0" w:oddHBand="0" w:evenHBand="0" w:firstRowFirstColumn="0" w:firstRowLastColumn="0" w:lastRowFirstColumn="0" w:lastRowLastColumn="0"/>
              <w:rPr>
                <w:sz w:val="20"/>
                <w:szCs w:val="20"/>
              </w:rPr>
            </w:pPr>
            <w:r w:rsidRPr="00C54A19">
              <w:rPr>
                <w:sz w:val="20"/>
                <w:szCs w:val="20"/>
              </w:rPr>
              <w:t xml:space="preserve">August </w:t>
            </w:r>
            <w:r w:rsidRPr="00C54A19">
              <w:rPr>
                <w:sz w:val="20"/>
                <w:szCs w:val="20"/>
              </w:rPr>
              <w:br/>
              <w:t>2008</w:t>
            </w:r>
          </w:p>
        </w:tc>
        <w:tc>
          <w:tcPr>
            <w:tcW w:w="1173" w:type="dxa"/>
          </w:tcPr>
          <w:p w:rsidR="002E6EBF" w:rsidRPr="00C54A19" w:rsidRDefault="002E6EBF" w:rsidP="007F77F5">
            <w:pPr>
              <w:ind w:left="142"/>
              <w:cnfStyle w:val="100000000000" w:firstRow="1" w:lastRow="0" w:firstColumn="0" w:lastColumn="0" w:oddVBand="0" w:evenVBand="0" w:oddHBand="0" w:evenHBand="0" w:firstRowFirstColumn="0" w:firstRowLastColumn="0" w:lastRowFirstColumn="0" w:lastRowLastColumn="0"/>
              <w:rPr>
                <w:sz w:val="20"/>
                <w:szCs w:val="20"/>
              </w:rPr>
            </w:pPr>
            <w:r w:rsidRPr="00C54A19">
              <w:rPr>
                <w:sz w:val="20"/>
                <w:szCs w:val="20"/>
              </w:rPr>
              <w:t xml:space="preserve">May </w:t>
            </w:r>
            <w:r w:rsidRPr="00C54A19">
              <w:rPr>
                <w:sz w:val="20"/>
                <w:szCs w:val="20"/>
              </w:rPr>
              <w:br/>
              <w:t>2014</w:t>
            </w:r>
          </w:p>
        </w:tc>
        <w:tc>
          <w:tcPr>
            <w:tcW w:w="1547" w:type="dxa"/>
          </w:tcPr>
          <w:p w:rsidR="002E6EBF" w:rsidRPr="00C54A19" w:rsidRDefault="002E6EBF" w:rsidP="007F77F5">
            <w:pPr>
              <w:ind w:left="142"/>
              <w:cnfStyle w:val="100000000000" w:firstRow="1" w:lastRow="0" w:firstColumn="0" w:lastColumn="0" w:oddVBand="0" w:evenVBand="0" w:oddHBand="0" w:evenHBand="0" w:firstRowFirstColumn="0" w:firstRowLastColumn="0" w:lastRowFirstColumn="0" w:lastRowLastColumn="0"/>
              <w:rPr>
                <w:sz w:val="20"/>
                <w:szCs w:val="20"/>
              </w:rPr>
            </w:pPr>
            <w:r w:rsidRPr="00C54A19">
              <w:rPr>
                <w:sz w:val="20"/>
                <w:szCs w:val="20"/>
              </w:rPr>
              <w:t>February</w:t>
            </w:r>
            <w:r w:rsidRPr="00C54A19">
              <w:rPr>
                <w:sz w:val="20"/>
                <w:szCs w:val="20"/>
              </w:rPr>
              <w:br/>
              <w:t>2017</w:t>
            </w:r>
          </w:p>
        </w:tc>
      </w:tr>
      <w:tr w:rsidR="002E6EBF" w:rsidTr="007F77F5">
        <w:trPr>
          <w:trHeight w:val="397"/>
        </w:trPr>
        <w:tc>
          <w:tcPr>
            <w:cnfStyle w:val="001000000000" w:firstRow="0" w:lastRow="0" w:firstColumn="1" w:lastColumn="0" w:oddVBand="0" w:evenVBand="0" w:oddHBand="0" w:evenHBand="0" w:firstRowFirstColumn="0" w:firstRowLastColumn="0" w:lastRowFirstColumn="0" w:lastRowLastColumn="0"/>
            <w:tcW w:w="4343" w:type="dxa"/>
          </w:tcPr>
          <w:p w:rsidR="002E6EBF" w:rsidRPr="00C54A19" w:rsidRDefault="002E6EBF" w:rsidP="007F77F5">
            <w:pPr>
              <w:ind w:left="142"/>
              <w:rPr>
                <w:sz w:val="20"/>
                <w:szCs w:val="20"/>
              </w:rPr>
            </w:pPr>
            <w:r w:rsidRPr="00C54A19">
              <w:rPr>
                <w:sz w:val="20"/>
                <w:szCs w:val="20"/>
              </w:rPr>
              <w:t>Retail</w:t>
            </w:r>
          </w:p>
        </w:tc>
        <w:tc>
          <w:tcPr>
            <w:tcW w:w="1692" w:type="dxa"/>
          </w:tcPr>
          <w:p w:rsidR="002E6EBF" w:rsidRPr="00C54A19" w:rsidRDefault="002E6EBF" w:rsidP="007F77F5">
            <w:pPr>
              <w:ind w:left="142" w:right="601"/>
              <w:jc w:val="right"/>
              <w:cnfStyle w:val="000000000000" w:firstRow="0" w:lastRow="0" w:firstColumn="0" w:lastColumn="0" w:oddVBand="0" w:evenVBand="0" w:oddHBand="0" w:evenHBand="0" w:firstRowFirstColumn="0" w:firstRowLastColumn="0" w:lastRowFirstColumn="0" w:lastRowLastColumn="0"/>
              <w:rPr>
                <w:sz w:val="20"/>
                <w:szCs w:val="20"/>
              </w:rPr>
            </w:pPr>
            <w:r w:rsidRPr="00C54A19">
              <w:rPr>
                <w:sz w:val="20"/>
                <w:szCs w:val="20"/>
              </w:rPr>
              <w:t>14.5</w:t>
            </w:r>
          </w:p>
        </w:tc>
        <w:tc>
          <w:tcPr>
            <w:tcW w:w="1173" w:type="dxa"/>
          </w:tcPr>
          <w:p w:rsidR="002E6EBF" w:rsidRPr="00C54A19" w:rsidRDefault="002E6EBF" w:rsidP="007F77F5">
            <w:pPr>
              <w:ind w:left="142" w:right="176"/>
              <w:jc w:val="right"/>
              <w:cnfStyle w:val="000000000000" w:firstRow="0" w:lastRow="0" w:firstColumn="0" w:lastColumn="0" w:oddVBand="0" w:evenVBand="0" w:oddHBand="0" w:evenHBand="0" w:firstRowFirstColumn="0" w:firstRowLastColumn="0" w:lastRowFirstColumn="0" w:lastRowLastColumn="0"/>
              <w:rPr>
                <w:sz w:val="20"/>
                <w:szCs w:val="20"/>
              </w:rPr>
            </w:pPr>
            <w:r w:rsidRPr="00C54A19">
              <w:rPr>
                <w:sz w:val="20"/>
                <w:szCs w:val="20"/>
              </w:rPr>
              <w:t>14.3</w:t>
            </w:r>
          </w:p>
        </w:tc>
        <w:tc>
          <w:tcPr>
            <w:tcW w:w="1547" w:type="dxa"/>
          </w:tcPr>
          <w:p w:rsidR="002E6EBF" w:rsidRPr="00C54A19" w:rsidRDefault="002E6EBF" w:rsidP="007F77F5">
            <w:pPr>
              <w:ind w:left="142" w:right="601"/>
              <w:jc w:val="right"/>
              <w:cnfStyle w:val="000000000000" w:firstRow="0" w:lastRow="0" w:firstColumn="0" w:lastColumn="0" w:oddVBand="0" w:evenVBand="0" w:oddHBand="0" w:evenHBand="0" w:firstRowFirstColumn="0" w:firstRowLastColumn="0" w:lastRowFirstColumn="0" w:lastRowLastColumn="0"/>
              <w:rPr>
                <w:sz w:val="20"/>
                <w:szCs w:val="20"/>
              </w:rPr>
            </w:pPr>
            <w:r w:rsidRPr="00C54A19">
              <w:rPr>
                <w:sz w:val="20"/>
                <w:szCs w:val="20"/>
              </w:rPr>
              <w:t>14.0</w:t>
            </w:r>
          </w:p>
        </w:tc>
      </w:tr>
      <w:tr w:rsidR="002E6EBF" w:rsidTr="007F77F5">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343" w:type="dxa"/>
            <w:shd w:val="clear" w:color="auto" w:fill="E5E5E5" w:themeFill="background1" w:themeFillTint="33"/>
          </w:tcPr>
          <w:p w:rsidR="002E6EBF" w:rsidRPr="00C54A19" w:rsidRDefault="002E6EBF" w:rsidP="007F77F5">
            <w:pPr>
              <w:ind w:left="142"/>
              <w:rPr>
                <w:sz w:val="20"/>
                <w:szCs w:val="20"/>
              </w:rPr>
            </w:pPr>
            <w:r w:rsidRPr="00C54A19">
              <w:rPr>
                <w:sz w:val="20"/>
                <w:szCs w:val="20"/>
              </w:rPr>
              <w:t>Health care and Social Assistance</w:t>
            </w:r>
          </w:p>
        </w:tc>
        <w:tc>
          <w:tcPr>
            <w:tcW w:w="1692" w:type="dxa"/>
            <w:shd w:val="clear" w:color="auto" w:fill="E5E5E5" w:themeFill="background1" w:themeFillTint="33"/>
          </w:tcPr>
          <w:p w:rsidR="002E6EBF" w:rsidRPr="00C54A19" w:rsidRDefault="002E6EBF" w:rsidP="007F77F5">
            <w:pPr>
              <w:ind w:left="142" w:right="601"/>
              <w:jc w:val="right"/>
              <w:cnfStyle w:val="000000010000" w:firstRow="0" w:lastRow="0" w:firstColumn="0" w:lastColumn="0" w:oddVBand="0" w:evenVBand="0" w:oddHBand="0" w:evenHBand="1" w:firstRowFirstColumn="0" w:firstRowLastColumn="0" w:lastRowFirstColumn="0" w:lastRowLastColumn="0"/>
              <w:rPr>
                <w:sz w:val="20"/>
                <w:szCs w:val="20"/>
              </w:rPr>
            </w:pPr>
            <w:r w:rsidRPr="00C54A19">
              <w:rPr>
                <w:sz w:val="20"/>
                <w:szCs w:val="20"/>
              </w:rPr>
              <w:t>8.3</w:t>
            </w:r>
          </w:p>
        </w:tc>
        <w:tc>
          <w:tcPr>
            <w:tcW w:w="1173" w:type="dxa"/>
            <w:shd w:val="clear" w:color="auto" w:fill="E5E5E5" w:themeFill="background1" w:themeFillTint="33"/>
          </w:tcPr>
          <w:p w:rsidR="002E6EBF" w:rsidRPr="00C54A19" w:rsidRDefault="002E6EBF" w:rsidP="007F77F5">
            <w:pPr>
              <w:ind w:left="142" w:right="176"/>
              <w:jc w:val="right"/>
              <w:cnfStyle w:val="000000010000" w:firstRow="0" w:lastRow="0" w:firstColumn="0" w:lastColumn="0" w:oddVBand="0" w:evenVBand="0" w:oddHBand="0" w:evenHBand="1" w:firstRowFirstColumn="0" w:firstRowLastColumn="0" w:lastRowFirstColumn="0" w:lastRowLastColumn="0"/>
              <w:rPr>
                <w:sz w:val="20"/>
                <w:szCs w:val="20"/>
              </w:rPr>
            </w:pPr>
            <w:r w:rsidRPr="00C54A19">
              <w:rPr>
                <w:sz w:val="20"/>
                <w:szCs w:val="20"/>
              </w:rPr>
              <w:t>10.8</w:t>
            </w:r>
          </w:p>
        </w:tc>
        <w:tc>
          <w:tcPr>
            <w:tcW w:w="1547" w:type="dxa"/>
            <w:shd w:val="clear" w:color="auto" w:fill="E5E5E5" w:themeFill="background1" w:themeFillTint="33"/>
          </w:tcPr>
          <w:p w:rsidR="002E6EBF" w:rsidRPr="00C54A19" w:rsidRDefault="002E6EBF" w:rsidP="007F77F5">
            <w:pPr>
              <w:ind w:left="142" w:right="601"/>
              <w:jc w:val="right"/>
              <w:cnfStyle w:val="000000010000" w:firstRow="0" w:lastRow="0" w:firstColumn="0" w:lastColumn="0" w:oddVBand="0" w:evenVBand="0" w:oddHBand="0" w:evenHBand="1" w:firstRowFirstColumn="0" w:firstRowLastColumn="0" w:lastRowFirstColumn="0" w:lastRowLastColumn="0"/>
              <w:rPr>
                <w:sz w:val="20"/>
                <w:szCs w:val="20"/>
              </w:rPr>
            </w:pPr>
            <w:r w:rsidRPr="00C54A19">
              <w:rPr>
                <w:sz w:val="20"/>
                <w:szCs w:val="20"/>
              </w:rPr>
              <w:t>11.6</w:t>
            </w:r>
          </w:p>
        </w:tc>
      </w:tr>
      <w:tr w:rsidR="002E6EBF" w:rsidTr="007F77F5">
        <w:trPr>
          <w:trHeight w:val="397"/>
        </w:trPr>
        <w:tc>
          <w:tcPr>
            <w:cnfStyle w:val="001000000000" w:firstRow="0" w:lastRow="0" w:firstColumn="1" w:lastColumn="0" w:oddVBand="0" w:evenVBand="0" w:oddHBand="0" w:evenHBand="0" w:firstRowFirstColumn="0" w:firstRowLastColumn="0" w:lastRowFirstColumn="0" w:lastRowLastColumn="0"/>
            <w:tcW w:w="4343" w:type="dxa"/>
          </w:tcPr>
          <w:p w:rsidR="002E6EBF" w:rsidRPr="00C54A19" w:rsidRDefault="002E6EBF" w:rsidP="007F77F5">
            <w:pPr>
              <w:ind w:left="142"/>
              <w:rPr>
                <w:sz w:val="20"/>
                <w:szCs w:val="20"/>
              </w:rPr>
            </w:pPr>
            <w:r w:rsidRPr="00C54A19">
              <w:rPr>
                <w:sz w:val="20"/>
                <w:szCs w:val="20"/>
              </w:rPr>
              <w:t>Construction</w:t>
            </w:r>
          </w:p>
        </w:tc>
        <w:tc>
          <w:tcPr>
            <w:tcW w:w="1692" w:type="dxa"/>
          </w:tcPr>
          <w:p w:rsidR="002E6EBF" w:rsidRPr="00C54A19" w:rsidRDefault="002E6EBF" w:rsidP="007F77F5">
            <w:pPr>
              <w:ind w:left="142" w:right="601"/>
              <w:jc w:val="right"/>
              <w:cnfStyle w:val="000000000000" w:firstRow="0" w:lastRow="0" w:firstColumn="0" w:lastColumn="0" w:oddVBand="0" w:evenVBand="0" w:oddHBand="0" w:evenHBand="0" w:firstRowFirstColumn="0" w:firstRowLastColumn="0" w:lastRowFirstColumn="0" w:lastRowLastColumn="0"/>
              <w:rPr>
                <w:sz w:val="20"/>
                <w:szCs w:val="20"/>
              </w:rPr>
            </w:pPr>
            <w:r w:rsidRPr="00C54A19">
              <w:rPr>
                <w:sz w:val="20"/>
                <w:szCs w:val="20"/>
              </w:rPr>
              <w:t>10.1</w:t>
            </w:r>
          </w:p>
        </w:tc>
        <w:tc>
          <w:tcPr>
            <w:tcW w:w="1173" w:type="dxa"/>
          </w:tcPr>
          <w:p w:rsidR="002E6EBF" w:rsidRPr="00C54A19" w:rsidRDefault="002E6EBF" w:rsidP="007F77F5">
            <w:pPr>
              <w:ind w:left="142" w:right="176"/>
              <w:jc w:val="right"/>
              <w:cnfStyle w:val="000000000000" w:firstRow="0" w:lastRow="0" w:firstColumn="0" w:lastColumn="0" w:oddVBand="0" w:evenVBand="0" w:oddHBand="0" w:evenHBand="0" w:firstRowFirstColumn="0" w:firstRowLastColumn="0" w:lastRowFirstColumn="0" w:lastRowLastColumn="0"/>
              <w:rPr>
                <w:sz w:val="20"/>
                <w:szCs w:val="20"/>
              </w:rPr>
            </w:pPr>
            <w:r w:rsidRPr="00C54A19">
              <w:rPr>
                <w:sz w:val="20"/>
                <w:szCs w:val="20"/>
              </w:rPr>
              <w:t>10.3</w:t>
            </w:r>
          </w:p>
        </w:tc>
        <w:tc>
          <w:tcPr>
            <w:tcW w:w="1547" w:type="dxa"/>
          </w:tcPr>
          <w:p w:rsidR="002E6EBF" w:rsidRPr="00C54A19" w:rsidRDefault="002E6EBF" w:rsidP="007F77F5">
            <w:pPr>
              <w:ind w:left="142" w:right="601"/>
              <w:jc w:val="right"/>
              <w:cnfStyle w:val="000000000000" w:firstRow="0" w:lastRow="0" w:firstColumn="0" w:lastColumn="0" w:oddVBand="0" w:evenVBand="0" w:oddHBand="0" w:evenHBand="0" w:firstRowFirstColumn="0" w:firstRowLastColumn="0" w:lastRowFirstColumn="0" w:lastRowLastColumn="0"/>
              <w:rPr>
                <w:sz w:val="20"/>
                <w:szCs w:val="20"/>
              </w:rPr>
            </w:pPr>
            <w:r w:rsidRPr="00C54A19">
              <w:rPr>
                <w:sz w:val="20"/>
                <w:szCs w:val="20"/>
              </w:rPr>
              <w:t>10.8</w:t>
            </w:r>
          </w:p>
        </w:tc>
      </w:tr>
      <w:tr w:rsidR="002E6EBF" w:rsidTr="007F77F5">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343" w:type="dxa"/>
            <w:shd w:val="clear" w:color="auto" w:fill="E5E5E5" w:themeFill="background1" w:themeFillTint="33"/>
          </w:tcPr>
          <w:p w:rsidR="002E6EBF" w:rsidRPr="00C54A19" w:rsidRDefault="002E6EBF" w:rsidP="007F77F5">
            <w:pPr>
              <w:ind w:left="142"/>
              <w:rPr>
                <w:sz w:val="20"/>
                <w:szCs w:val="20"/>
              </w:rPr>
            </w:pPr>
            <w:r w:rsidRPr="00C54A19">
              <w:rPr>
                <w:sz w:val="20"/>
                <w:szCs w:val="20"/>
              </w:rPr>
              <w:t>Accommodation and Food Services</w:t>
            </w:r>
          </w:p>
        </w:tc>
        <w:tc>
          <w:tcPr>
            <w:tcW w:w="1692" w:type="dxa"/>
            <w:shd w:val="clear" w:color="auto" w:fill="E5E5E5" w:themeFill="background1" w:themeFillTint="33"/>
          </w:tcPr>
          <w:p w:rsidR="002E6EBF" w:rsidRPr="00C54A19" w:rsidRDefault="002E6EBF" w:rsidP="007F77F5">
            <w:pPr>
              <w:ind w:left="142" w:right="601"/>
              <w:jc w:val="right"/>
              <w:cnfStyle w:val="000000010000" w:firstRow="0" w:lastRow="0" w:firstColumn="0" w:lastColumn="0" w:oddVBand="0" w:evenVBand="0" w:oddHBand="0" w:evenHBand="1" w:firstRowFirstColumn="0" w:firstRowLastColumn="0" w:lastRowFirstColumn="0" w:lastRowLastColumn="0"/>
              <w:rPr>
                <w:sz w:val="20"/>
                <w:szCs w:val="20"/>
              </w:rPr>
            </w:pPr>
            <w:r w:rsidRPr="00C54A19">
              <w:rPr>
                <w:sz w:val="20"/>
                <w:szCs w:val="20"/>
              </w:rPr>
              <w:t>8.8</w:t>
            </w:r>
          </w:p>
        </w:tc>
        <w:tc>
          <w:tcPr>
            <w:tcW w:w="1173" w:type="dxa"/>
            <w:shd w:val="clear" w:color="auto" w:fill="E5E5E5" w:themeFill="background1" w:themeFillTint="33"/>
          </w:tcPr>
          <w:p w:rsidR="002E6EBF" w:rsidRPr="00C54A19" w:rsidRDefault="002E6EBF" w:rsidP="007F77F5">
            <w:pPr>
              <w:ind w:left="142" w:right="176"/>
              <w:jc w:val="right"/>
              <w:cnfStyle w:val="000000010000" w:firstRow="0" w:lastRow="0" w:firstColumn="0" w:lastColumn="0" w:oddVBand="0" w:evenVBand="0" w:oddHBand="0" w:evenHBand="1" w:firstRowFirstColumn="0" w:firstRowLastColumn="0" w:lastRowFirstColumn="0" w:lastRowLastColumn="0"/>
              <w:rPr>
                <w:sz w:val="20"/>
                <w:szCs w:val="20"/>
              </w:rPr>
            </w:pPr>
            <w:r w:rsidRPr="00C54A19">
              <w:rPr>
                <w:sz w:val="20"/>
                <w:szCs w:val="20"/>
              </w:rPr>
              <w:t>9.8</w:t>
            </w:r>
          </w:p>
        </w:tc>
        <w:tc>
          <w:tcPr>
            <w:tcW w:w="1547" w:type="dxa"/>
            <w:shd w:val="clear" w:color="auto" w:fill="E5E5E5" w:themeFill="background1" w:themeFillTint="33"/>
          </w:tcPr>
          <w:p w:rsidR="002E6EBF" w:rsidRPr="00C54A19" w:rsidRDefault="002E6EBF" w:rsidP="007F77F5">
            <w:pPr>
              <w:ind w:left="142" w:right="601"/>
              <w:jc w:val="right"/>
              <w:cnfStyle w:val="000000010000" w:firstRow="0" w:lastRow="0" w:firstColumn="0" w:lastColumn="0" w:oddVBand="0" w:evenVBand="0" w:oddHBand="0" w:evenHBand="1" w:firstRowFirstColumn="0" w:firstRowLastColumn="0" w:lastRowFirstColumn="0" w:lastRowLastColumn="0"/>
              <w:rPr>
                <w:sz w:val="20"/>
                <w:szCs w:val="20"/>
              </w:rPr>
            </w:pPr>
            <w:r w:rsidRPr="00C54A19">
              <w:rPr>
                <w:sz w:val="20"/>
                <w:szCs w:val="20"/>
              </w:rPr>
              <w:t>10.5</w:t>
            </w:r>
          </w:p>
        </w:tc>
      </w:tr>
      <w:tr w:rsidR="002E6EBF" w:rsidTr="007F77F5">
        <w:trPr>
          <w:trHeight w:val="397"/>
        </w:trPr>
        <w:tc>
          <w:tcPr>
            <w:cnfStyle w:val="001000000000" w:firstRow="0" w:lastRow="0" w:firstColumn="1" w:lastColumn="0" w:oddVBand="0" w:evenVBand="0" w:oddHBand="0" w:evenHBand="0" w:firstRowFirstColumn="0" w:firstRowLastColumn="0" w:lastRowFirstColumn="0" w:lastRowLastColumn="0"/>
            <w:tcW w:w="4343" w:type="dxa"/>
          </w:tcPr>
          <w:p w:rsidR="002E6EBF" w:rsidRPr="00C54A19" w:rsidRDefault="002E6EBF" w:rsidP="007F77F5">
            <w:pPr>
              <w:ind w:left="142"/>
              <w:rPr>
                <w:sz w:val="20"/>
                <w:szCs w:val="20"/>
              </w:rPr>
            </w:pPr>
            <w:r w:rsidRPr="00C54A19">
              <w:rPr>
                <w:sz w:val="20"/>
                <w:szCs w:val="20"/>
              </w:rPr>
              <w:t>Professional, Scientific and Technical services</w:t>
            </w:r>
          </w:p>
        </w:tc>
        <w:tc>
          <w:tcPr>
            <w:tcW w:w="1692" w:type="dxa"/>
          </w:tcPr>
          <w:p w:rsidR="002E6EBF" w:rsidRPr="00C54A19" w:rsidRDefault="002E6EBF" w:rsidP="007F77F5">
            <w:pPr>
              <w:ind w:left="142" w:right="601"/>
              <w:jc w:val="right"/>
              <w:cnfStyle w:val="000000000000" w:firstRow="0" w:lastRow="0" w:firstColumn="0" w:lastColumn="0" w:oddVBand="0" w:evenVBand="0" w:oddHBand="0" w:evenHBand="0" w:firstRowFirstColumn="0" w:firstRowLastColumn="0" w:lastRowFirstColumn="0" w:lastRowLastColumn="0"/>
              <w:rPr>
                <w:sz w:val="20"/>
                <w:szCs w:val="20"/>
              </w:rPr>
            </w:pPr>
            <w:r w:rsidRPr="00C54A19">
              <w:rPr>
                <w:sz w:val="20"/>
                <w:szCs w:val="20"/>
              </w:rPr>
              <w:t>8.5</w:t>
            </w:r>
          </w:p>
        </w:tc>
        <w:tc>
          <w:tcPr>
            <w:tcW w:w="1173" w:type="dxa"/>
          </w:tcPr>
          <w:p w:rsidR="002E6EBF" w:rsidRPr="00C54A19" w:rsidRDefault="002E6EBF" w:rsidP="007F77F5">
            <w:pPr>
              <w:ind w:left="142" w:right="176"/>
              <w:jc w:val="right"/>
              <w:cnfStyle w:val="000000000000" w:firstRow="0" w:lastRow="0" w:firstColumn="0" w:lastColumn="0" w:oddVBand="0" w:evenVBand="0" w:oddHBand="0" w:evenHBand="0" w:firstRowFirstColumn="0" w:firstRowLastColumn="0" w:lastRowFirstColumn="0" w:lastRowLastColumn="0"/>
              <w:rPr>
                <w:sz w:val="20"/>
                <w:szCs w:val="20"/>
              </w:rPr>
            </w:pPr>
            <w:r w:rsidRPr="00C54A19">
              <w:rPr>
                <w:sz w:val="20"/>
                <w:szCs w:val="20"/>
              </w:rPr>
              <w:t>7.7</w:t>
            </w:r>
          </w:p>
        </w:tc>
        <w:tc>
          <w:tcPr>
            <w:tcW w:w="1547" w:type="dxa"/>
          </w:tcPr>
          <w:p w:rsidR="002E6EBF" w:rsidRPr="00C54A19" w:rsidRDefault="002E6EBF" w:rsidP="007F77F5">
            <w:pPr>
              <w:ind w:left="142" w:right="601"/>
              <w:jc w:val="right"/>
              <w:cnfStyle w:val="000000000000" w:firstRow="0" w:lastRow="0" w:firstColumn="0" w:lastColumn="0" w:oddVBand="0" w:evenVBand="0" w:oddHBand="0" w:evenHBand="0" w:firstRowFirstColumn="0" w:firstRowLastColumn="0" w:lastRowFirstColumn="0" w:lastRowLastColumn="0"/>
              <w:rPr>
                <w:sz w:val="20"/>
                <w:szCs w:val="20"/>
              </w:rPr>
            </w:pPr>
            <w:r w:rsidRPr="00C54A19">
              <w:rPr>
                <w:sz w:val="20"/>
                <w:szCs w:val="20"/>
              </w:rPr>
              <w:t>8.7</w:t>
            </w:r>
          </w:p>
        </w:tc>
      </w:tr>
      <w:tr w:rsidR="002E6EBF" w:rsidTr="007F77F5">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343" w:type="dxa"/>
            <w:shd w:val="clear" w:color="auto" w:fill="E5E5E5" w:themeFill="background1" w:themeFillTint="33"/>
          </w:tcPr>
          <w:p w:rsidR="002E6EBF" w:rsidRPr="00C54A19" w:rsidRDefault="002E6EBF" w:rsidP="007F77F5">
            <w:pPr>
              <w:ind w:left="142"/>
              <w:rPr>
                <w:sz w:val="20"/>
                <w:szCs w:val="20"/>
              </w:rPr>
            </w:pPr>
            <w:r w:rsidRPr="00C54A19">
              <w:rPr>
                <w:sz w:val="20"/>
                <w:szCs w:val="20"/>
              </w:rPr>
              <w:t>Manufacturing</w:t>
            </w:r>
          </w:p>
        </w:tc>
        <w:tc>
          <w:tcPr>
            <w:tcW w:w="1692" w:type="dxa"/>
            <w:shd w:val="clear" w:color="auto" w:fill="E5E5E5" w:themeFill="background1" w:themeFillTint="33"/>
          </w:tcPr>
          <w:p w:rsidR="002E6EBF" w:rsidRPr="00C54A19" w:rsidRDefault="002E6EBF" w:rsidP="007F77F5">
            <w:pPr>
              <w:ind w:left="142" w:right="601"/>
              <w:jc w:val="right"/>
              <w:cnfStyle w:val="000000010000" w:firstRow="0" w:lastRow="0" w:firstColumn="0" w:lastColumn="0" w:oddVBand="0" w:evenVBand="0" w:oddHBand="0" w:evenHBand="1" w:firstRowFirstColumn="0" w:firstRowLastColumn="0" w:lastRowFirstColumn="0" w:lastRowLastColumn="0"/>
              <w:rPr>
                <w:sz w:val="20"/>
                <w:szCs w:val="20"/>
              </w:rPr>
            </w:pPr>
            <w:r w:rsidRPr="00C54A19">
              <w:rPr>
                <w:sz w:val="20"/>
                <w:szCs w:val="20"/>
              </w:rPr>
              <w:t>9.1</w:t>
            </w:r>
          </w:p>
        </w:tc>
        <w:tc>
          <w:tcPr>
            <w:tcW w:w="1173" w:type="dxa"/>
            <w:shd w:val="clear" w:color="auto" w:fill="E5E5E5" w:themeFill="background1" w:themeFillTint="33"/>
          </w:tcPr>
          <w:p w:rsidR="002E6EBF" w:rsidRPr="00C54A19" w:rsidRDefault="002E6EBF" w:rsidP="007F77F5">
            <w:pPr>
              <w:ind w:left="142" w:right="176"/>
              <w:jc w:val="right"/>
              <w:cnfStyle w:val="000000010000" w:firstRow="0" w:lastRow="0" w:firstColumn="0" w:lastColumn="0" w:oddVBand="0" w:evenVBand="0" w:oddHBand="0" w:evenHBand="1" w:firstRowFirstColumn="0" w:firstRowLastColumn="0" w:lastRowFirstColumn="0" w:lastRowLastColumn="0"/>
              <w:rPr>
                <w:sz w:val="20"/>
                <w:szCs w:val="20"/>
              </w:rPr>
            </w:pPr>
            <w:r w:rsidRPr="00C54A19">
              <w:rPr>
                <w:sz w:val="20"/>
                <w:szCs w:val="20"/>
              </w:rPr>
              <w:t>6.7</w:t>
            </w:r>
          </w:p>
        </w:tc>
        <w:tc>
          <w:tcPr>
            <w:tcW w:w="1547" w:type="dxa"/>
            <w:shd w:val="clear" w:color="auto" w:fill="E5E5E5" w:themeFill="background1" w:themeFillTint="33"/>
          </w:tcPr>
          <w:p w:rsidR="002E6EBF" w:rsidRPr="00C54A19" w:rsidRDefault="002E6EBF" w:rsidP="007F77F5">
            <w:pPr>
              <w:ind w:left="142" w:right="601"/>
              <w:jc w:val="right"/>
              <w:cnfStyle w:val="000000010000" w:firstRow="0" w:lastRow="0" w:firstColumn="0" w:lastColumn="0" w:oddVBand="0" w:evenVBand="0" w:oddHBand="0" w:evenHBand="1" w:firstRowFirstColumn="0" w:firstRowLastColumn="0" w:lastRowFirstColumn="0" w:lastRowLastColumn="0"/>
              <w:rPr>
                <w:sz w:val="20"/>
                <w:szCs w:val="20"/>
              </w:rPr>
            </w:pPr>
            <w:r w:rsidRPr="00C54A19">
              <w:rPr>
                <w:sz w:val="20"/>
                <w:szCs w:val="20"/>
              </w:rPr>
              <w:t>6.3</w:t>
            </w:r>
          </w:p>
        </w:tc>
      </w:tr>
      <w:tr w:rsidR="002E6EBF" w:rsidTr="007F77F5">
        <w:trPr>
          <w:trHeight w:val="397"/>
        </w:trPr>
        <w:tc>
          <w:tcPr>
            <w:cnfStyle w:val="001000000000" w:firstRow="0" w:lastRow="0" w:firstColumn="1" w:lastColumn="0" w:oddVBand="0" w:evenVBand="0" w:oddHBand="0" w:evenHBand="0" w:firstRowFirstColumn="0" w:firstRowLastColumn="0" w:lastRowFirstColumn="0" w:lastRowLastColumn="0"/>
            <w:tcW w:w="4343" w:type="dxa"/>
            <w:shd w:val="clear" w:color="auto" w:fill="8EAEDE"/>
          </w:tcPr>
          <w:p w:rsidR="002E6EBF" w:rsidRPr="00C54A19" w:rsidRDefault="002E6EBF" w:rsidP="007F77F5">
            <w:pPr>
              <w:ind w:left="142"/>
              <w:rPr>
                <w:sz w:val="20"/>
                <w:szCs w:val="20"/>
              </w:rPr>
            </w:pPr>
            <w:r w:rsidRPr="00C54A19">
              <w:rPr>
                <w:sz w:val="20"/>
                <w:szCs w:val="20"/>
              </w:rPr>
              <w:t>Total</w:t>
            </w:r>
          </w:p>
        </w:tc>
        <w:tc>
          <w:tcPr>
            <w:tcW w:w="1692" w:type="dxa"/>
            <w:shd w:val="clear" w:color="auto" w:fill="8EAEDE"/>
          </w:tcPr>
          <w:p w:rsidR="002E6EBF" w:rsidRPr="00C54A19" w:rsidRDefault="002E6EBF" w:rsidP="007F77F5">
            <w:pPr>
              <w:ind w:left="142" w:right="601"/>
              <w:jc w:val="right"/>
              <w:cnfStyle w:val="000000000000" w:firstRow="0" w:lastRow="0" w:firstColumn="0" w:lastColumn="0" w:oddVBand="0" w:evenVBand="0" w:oddHBand="0" w:evenHBand="0" w:firstRowFirstColumn="0" w:firstRowLastColumn="0" w:lastRowFirstColumn="0" w:lastRowLastColumn="0"/>
              <w:rPr>
                <w:sz w:val="20"/>
                <w:szCs w:val="20"/>
              </w:rPr>
            </w:pPr>
            <w:r w:rsidRPr="00C54A19">
              <w:rPr>
                <w:sz w:val="20"/>
                <w:szCs w:val="20"/>
              </w:rPr>
              <w:t>59.2</w:t>
            </w:r>
          </w:p>
        </w:tc>
        <w:tc>
          <w:tcPr>
            <w:tcW w:w="1173" w:type="dxa"/>
            <w:shd w:val="clear" w:color="auto" w:fill="8EAEDE"/>
          </w:tcPr>
          <w:p w:rsidR="002E6EBF" w:rsidRPr="00C54A19" w:rsidRDefault="002E6EBF" w:rsidP="007F77F5">
            <w:pPr>
              <w:ind w:left="142" w:right="176"/>
              <w:jc w:val="right"/>
              <w:cnfStyle w:val="000000000000" w:firstRow="0" w:lastRow="0" w:firstColumn="0" w:lastColumn="0" w:oddVBand="0" w:evenVBand="0" w:oddHBand="0" w:evenHBand="0" w:firstRowFirstColumn="0" w:firstRowLastColumn="0" w:lastRowFirstColumn="0" w:lastRowLastColumn="0"/>
              <w:rPr>
                <w:sz w:val="20"/>
                <w:szCs w:val="20"/>
              </w:rPr>
            </w:pPr>
            <w:r w:rsidRPr="00C54A19">
              <w:rPr>
                <w:sz w:val="20"/>
                <w:szCs w:val="20"/>
              </w:rPr>
              <w:t>59.5</w:t>
            </w:r>
          </w:p>
        </w:tc>
        <w:tc>
          <w:tcPr>
            <w:tcW w:w="1547" w:type="dxa"/>
            <w:shd w:val="clear" w:color="auto" w:fill="8EAEDE"/>
          </w:tcPr>
          <w:p w:rsidR="002E6EBF" w:rsidRPr="00C54A19" w:rsidRDefault="002E6EBF" w:rsidP="007F77F5">
            <w:pPr>
              <w:ind w:left="142" w:right="601"/>
              <w:jc w:val="right"/>
              <w:cnfStyle w:val="000000000000" w:firstRow="0" w:lastRow="0" w:firstColumn="0" w:lastColumn="0" w:oddVBand="0" w:evenVBand="0" w:oddHBand="0" w:evenHBand="0" w:firstRowFirstColumn="0" w:firstRowLastColumn="0" w:lastRowFirstColumn="0" w:lastRowLastColumn="0"/>
              <w:rPr>
                <w:sz w:val="20"/>
                <w:szCs w:val="20"/>
              </w:rPr>
            </w:pPr>
            <w:r w:rsidRPr="00C54A19">
              <w:rPr>
                <w:sz w:val="20"/>
                <w:szCs w:val="20"/>
              </w:rPr>
              <w:t>61.9</w:t>
            </w:r>
          </w:p>
        </w:tc>
      </w:tr>
    </w:tbl>
    <w:p w:rsidR="002E6EBF" w:rsidRPr="000615B6" w:rsidRDefault="002E6EBF" w:rsidP="000615B6">
      <w:pPr>
        <w:pStyle w:val="Source"/>
        <w:rPr>
          <w:b w:val="0"/>
        </w:rPr>
      </w:pPr>
      <w:r w:rsidRPr="000615B6">
        <w:t>Note:</w:t>
      </w:r>
      <w:r w:rsidRPr="000615B6">
        <w:rPr>
          <w:b w:val="0"/>
        </w:rPr>
        <w:t xml:space="preserve"> Data observed in the quarter before the start of the GFC, prior to the JCB’s introduction and after the cessation of the JCB program.</w:t>
      </w:r>
    </w:p>
    <w:p w:rsidR="00590FD7" w:rsidRDefault="002E6EBF" w:rsidP="008477D2">
      <w:pPr>
        <w:pStyle w:val="Source"/>
        <w:rPr>
          <w:b w:val="0"/>
        </w:rPr>
      </w:pPr>
      <w:r w:rsidRPr="000615B6">
        <w:t>Source:</w:t>
      </w:r>
      <w:r w:rsidRPr="000615B6">
        <w:rPr>
          <w:b w:val="0"/>
        </w:rPr>
        <w:t xml:space="preserve"> ABS Cat. 6291.0.55.003</w:t>
      </w:r>
      <w:r w:rsidR="003D0246">
        <w:rPr>
          <w:b w:val="0"/>
        </w:rPr>
        <w:t xml:space="preserve"> </w:t>
      </w:r>
      <w:r w:rsidR="00E21B0E">
        <w:rPr>
          <w:b w:val="0"/>
        </w:rPr>
        <w:t xml:space="preserve">Labour Force </w:t>
      </w:r>
      <w:r w:rsidR="003D0246">
        <w:rPr>
          <w:b w:val="0"/>
        </w:rPr>
        <w:t>Survey, Australia, electronic delivery.</w:t>
      </w:r>
    </w:p>
    <w:p w:rsidR="00590FD7" w:rsidRPr="000615B6" w:rsidRDefault="00590FD7" w:rsidP="00590FD7">
      <w:pPr>
        <w:pStyle w:val="Source"/>
        <w:spacing w:before="120"/>
        <w:rPr>
          <w:b w:val="0"/>
        </w:rPr>
      </w:pPr>
      <w:r>
        <w:rPr>
          <w:b w:val="0"/>
        </w:rPr>
        <w:t xml:space="preserve">Return to </w:t>
      </w:r>
      <w:hyperlink w:anchor="Place_F18" w:history="1">
        <w:r w:rsidR="00D75340">
          <w:rPr>
            <w:rStyle w:val="Hyperlink"/>
            <w:b w:val="0"/>
          </w:rPr>
          <w:t>Section 4.3.2</w:t>
        </w:r>
      </w:hyperlink>
      <w:r w:rsidR="00D75340">
        <w:rPr>
          <w:b w:val="0"/>
        </w:rPr>
        <w:t>.</w:t>
      </w:r>
    </w:p>
    <w:p w:rsidR="002E6EBF" w:rsidRDefault="002E6EBF" w:rsidP="008477D2">
      <w:pPr>
        <w:pStyle w:val="Source"/>
        <w:rPr>
          <w:b w:val="0"/>
          <w:color w:val="000000" w:themeColor="text1"/>
        </w:rPr>
      </w:pPr>
      <w:r>
        <w:rPr>
          <w:b w:val="0"/>
          <w:color w:val="000000" w:themeColor="text1"/>
        </w:rPr>
        <w:br w:type="page"/>
      </w:r>
    </w:p>
    <w:p w:rsidR="00B07341" w:rsidRPr="003A4B00" w:rsidRDefault="00603A49" w:rsidP="00B07341">
      <w:pPr>
        <w:pStyle w:val="TableCaption"/>
      </w:pPr>
      <w:bookmarkStart w:id="291" w:name="_Toc507600335"/>
      <w:r>
        <w:lastRenderedPageBreak/>
        <w:t>Table F</w:t>
      </w:r>
      <w:r w:rsidR="00965FBD">
        <w:t>.</w:t>
      </w:r>
      <w:r w:rsidR="00E76396">
        <w:t>19</w:t>
      </w:r>
      <w:r w:rsidR="00B07341" w:rsidRPr="003A4B00">
        <w:t xml:space="preserve">: </w:t>
      </w:r>
      <w:r w:rsidR="00B07341">
        <w:t>Industry classification of jobs of approved JCB1 claims compared with the Australian average, November quarter 2016 (per cent)</w:t>
      </w:r>
      <w:bookmarkEnd w:id="291"/>
    </w:p>
    <w:tbl>
      <w:tblPr>
        <w:tblW w:w="8931" w:type="dxa"/>
        <w:tblInd w:w="108" w:type="dxa"/>
        <w:shd w:val="clear" w:color="auto" w:fill="FFFFFF" w:themeFill="background2"/>
        <w:tblLayout w:type="fixed"/>
        <w:tblLook w:val="04A0" w:firstRow="1" w:lastRow="0" w:firstColumn="1" w:lastColumn="0" w:noHBand="0" w:noVBand="1"/>
      </w:tblPr>
      <w:tblGrid>
        <w:gridCol w:w="2552"/>
        <w:gridCol w:w="1134"/>
        <w:gridCol w:w="1280"/>
        <w:gridCol w:w="1315"/>
        <w:gridCol w:w="1232"/>
        <w:gridCol w:w="1418"/>
      </w:tblGrid>
      <w:tr w:rsidR="00B07341" w:rsidRPr="00865E79" w:rsidTr="00907F90">
        <w:trPr>
          <w:trHeight w:val="1440"/>
          <w:tblHeader/>
        </w:trPr>
        <w:tc>
          <w:tcPr>
            <w:tcW w:w="2552" w:type="dxa"/>
            <w:shd w:val="clear" w:color="auto" w:fill="1E3D6B"/>
            <w:noWrap/>
            <w:vAlign w:val="center"/>
            <w:hideMark/>
          </w:tcPr>
          <w:p w:rsidR="00B07341" w:rsidRPr="00A27991" w:rsidRDefault="003F5B67" w:rsidP="0063681D">
            <w:pPr>
              <w:spacing w:after="0" w:line="240" w:lineRule="auto"/>
              <w:ind w:left="33" w:hanging="33"/>
              <w:rPr>
                <w:rFonts w:eastAsia="Times New Roman" w:cstheme="minorHAnsi"/>
                <w:b/>
                <w:bCs/>
                <w:color w:val="FFFFFF"/>
                <w:lang w:eastAsia="en-AU"/>
              </w:rPr>
            </w:pPr>
            <w:bookmarkStart w:id="292" w:name="Title_F18"/>
            <w:bookmarkEnd w:id="292"/>
            <w:r>
              <w:rPr>
                <w:rFonts w:eastAsia="Times New Roman" w:cstheme="minorHAnsi"/>
                <w:b/>
                <w:bCs/>
                <w:color w:val="FFFFFF"/>
                <w:lang w:eastAsia="en-AU"/>
              </w:rPr>
              <w:t>Industry</w:t>
            </w:r>
          </w:p>
        </w:tc>
        <w:tc>
          <w:tcPr>
            <w:tcW w:w="1134" w:type="dxa"/>
            <w:shd w:val="clear" w:color="auto" w:fill="1E3D6B"/>
            <w:vAlign w:val="center"/>
            <w:hideMark/>
          </w:tcPr>
          <w:p w:rsidR="00B07341" w:rsidRPr="00A27991" w:rsidRDefault="00B07341" w:rsidP="0063681D">
            <w:pPr>
              <w:spacing w:after="0" w:line="240" w:lineRule="auto"/>
              <w:ind w:left="33" w:hanging="33"/>
              <w:jc w:val="center"/>
              <w:rPr>
                <w:rFonts w:eastAsia="Times New Roman" w:cstheme="minorHAnsi"/>
                <w:b/>
                <w:bCs/>
                <w:color w:val="FFFFFF"/>
                <w:lang w:eastAsia="en-AU"/>
              </w:rPr>
            </w:pPr>
            <w:r w:rsidRPr="00A27991">
              <w:rPr>
                <w:rFonts w:eastAsia="Times New Roman" w:cstheme="minorHAnsi"/>
                <w:b/>
                <w:bCs/>
                <w:color w:val="FFFFFF"/>
                <w:lang w:eastAsia="en-AU"/>
              </w:rPr>
              <w:t xml:space="preserve">Females </w:t>
            </w:r>
            <w:r w:rsidRPr="00A27991">
              <w:rPr>
                <w:rFonts w:eastAsia="Times New Roman" w:cstheme="minorHAnsi"/>
                <w:b/>
                <w:bCs/>
                <w:color w:val="FFFFFF"/>
                <w:lang w:eastAsia="en-AU"/>
              </w:rPr>
              <w:br/>
            </w:r>
            <w:r w:rsidRPr="00865E79">
              <w:rPr>
                <w:rFonts w:eastAsia="Times New Roman" w:cstheme="minorHAnsi"/>
                <w:b/>
                <w:bCs/>
                <w:color w:val="FFFFFF"/>
                <w:lang w:eastAsia="en-AU"/>
              </w:rPr>
              <w:t>approved for</w:t>
            </w:r>
            <w:r w:rsidRPr="00A27991">
              <w:rPr>
                <w:rFonts w:eastAsia="Times New Roman" w:cstheme="minorHAnsi"/>
                <w:b/>
                <w:bCs/>
                <w:color w:val="FFFFFF"/>
                <w:lang w:eastAsia="en-AU"/>
              </w:rPr>
              <w:t xml:space="preserve"> JCB1</w:t>
            </w:r>
          </w:p>
        </w:tc>
        <w:tc>
          <w:tcPr>
            <w:tcW w:w="1280" w:type="dxa"/>
            <w:shd w:val="clear" w:color="auto" w:fill="1E3D6B"/>
            <w:vAlign w:val="center"/>
            <w:hideMark/>
          </w:tcPr>
          <w:p w:rsidR="00B07341" w:rsidRPr="00A27991" w:rsidRDefault="00B07341" w:rsidP="0063681D">
            <w:pPr>
              <w:spacing w:after="0" w:line="240" w:lineRule="auto"/>
              <w:ind w:left="33" w:hanging="33"/>
              <w:jc w:val="center"/>
              <w:rPr>
                <w:rFonts w:eastAsia="Times New Roman" w:cstheme="minorHAnsi"/>
                <w:b/>
                <w:bCs/>
                <w:color w:val="FFFFFF"/>
                <w:lang w:eastAsia="en-AU"/>
              </w:rPr>
            </w:pPr>
            <w:r w:rsidRPr="00A27991">
              <w:rPr>
                <w:rFonts w:eastAsia="Times New Roman" w:cstheme="minorHAnsi"/>
                <w:b/>
                <w:bCs/>
                <w:color w:val="FFFFFF"/>
                <w:lang w:eastAsia="en-AU"/>
              </w:rPr>
              <w:t xml:space="preserve">Males </w:t>
            </w:r>
            <w:r w:rsidRPr="00A27991">
              <w:rPr>
                <w:rFonts w:eastAsia="Times New Roman" w:cstheme="minorHAnsi"/>
                <w:b/>
                <w:bCs/>
                <w:color w:val="FFFFFF"/>
                <w:lang w:eastAsia="en-AU"/>
              </w:rPr>
              <w:br/>
            </w:r>
            <w:r w:rsidRPr="00865E79">
              <w:rPr>
                <w:rFonts w:eastAsia="Times New Roman" w:cstheme="minorHAnsi"/>
                <w:b/>
                <w:bCs/>
                <w:color w:val="FFFFFF"/>
                <w:lang w:eastAsia="en-AU"/>
              </w:rPr>
              <w:t xml:space="preserve">approved for </w:t>
            </w:r>
            <w:r w:rsidRPr="00A27991">
              <w:rPr>
                <w:rFonts w:eastAsia="Times New Roman" w:cstheme="minorHAnsi"/>
                <w:b/>
                <w:bCs/>
                <w:color w:val="FFFFFF"/>
                <w:lang w:eastAsia="en-AU"/>
              </w:rPr>
              <w:t>JCB1</w:t>
            </w:r>
          </w:p>
        </w:tc>
        <w:tc>
          <w:tcPr>
            <w:tcW w:w="1315" w:type="dxa"/>
            <w:shd w:val="clear" w:color="auto" w:fill="1E3D6B"/>
            <w:vAlign w:val="center"/>
            <w:hideMark/>
          </w:tcPr>
          <w:p w:rsidR="00B07341" w:rsidRPr="00A27991" w:rsidRDefault="00B07341" w:rsidP="0063681D">
            <w:pPr>
              <w:spacing w:after="0" w:line="240" w:lineRule="auto"/>
              <w:ind w:left="33" w:hanging="33"/>
              <w:jc w:val="center"/>
              <w:rPr>
                <w:rFonts w:eastAsia="Times New Roman" w:cstheme="minorHAnsi"/>
                <w:b/>
                <w:bCs/>
                <w:color w:val="FFFFFF"/>
                <w:lang w:eastAsia="en-AU"/>
              </w:rPr>
            </w:pPr>
            <w:r w:rsidRPr="00A27991">
              <w:rPr>
                <w:rFonts w:eastAsia="Times New Roman" w:cstheme="minorHAnsi"/>
                <w:b/>
                <w:bCs/>
                <w:color w:val="FFFFFF"/>
                <w:lang w:eastAsia="en-AU"/>
              </w:rPr>
              <w:t xml:space="preserve">Total </w:t>
            </w:r>
            <w:r w:rsidRPr="00865E79">
              <w:rPr>
                <w:rFonts w:eastAsia="Times New Roman" w:cstheme="minorHAnsi"/>
                <w:b/>
                <w:bCs/>
                <w:color w:val="FFFFFF"/>
                <w:lang w:eastAsia="en-AU"/>
              </w:rPr>
              <w:t xml:space="preserve">approved </w:t>
            </w:r>
            <w:r w:rsidRPr="00A27991">
              <w:rPr>
                <w:rFonts w:eastAsia="Times New Roman" w:cstheme="minorHAnsi"/>
                <w:b/>
                <w:bCs/>
                <w:color w:val="FFFFFF"/>
                <w:lang w:eastAsia="en-AU"/>
              </w:rPr>
              <w:t>JCB1</w:t>
            </w:r>
          </w:p>
        </w:tc>
        <w:tc>
          <w:tcPr>
            <w:tcW w:w="1232" w:type="dxa"/>
            <w:shd w:val="clear" w:color="auto" w:fill="1E3D6B"/>
            <w:vAlign w:val="center"/>
            <w:hideMark/>
          </w:tcPr>
          <w:p w:rsidR="00B07341" w:rsidRPr="00A27991" w:rsidRDefault="00B07341" w:rsidP="0063681D">
            <w:pPr>
              <w:spacing w:after="0" w:line="240" w:lineRule="auto"/>
              <w:ind w:left="33" w:hanging="33"/>
              <w:jc w:val="center"/>
              <w:rPr>
                <w:rFonts w:eastAsia="Times New Roman" w:cstheme="minorHAnsi"/>
                <w:b/>
                <w:bCs/>
                <w:color w:val="FFFFFF"/>
                <w:lang w:eastAsia="en-AU"/>
              </w:rPr>
            </w:pPr>
            <w:r w:rsidRPr="00A27991">
              <w:rPr>
                <w:rFonts w:eastAsia="Times New Roman" w:cstheme="minorHAnsi"/>
                <w:b/>
                <w:bCs/>
                <w:color w:val="FFFFFF"/>
                <w:lang w:eastAsia="en-AU"/>
              </w:rPr>
              <w:t xml:space="preserve">Australian average </w:t>
            </w:r>
            <w:r w:rsidRPr="00A27991">
              <w:rPr>
                <w:rFonts w:eastAsia="Times New Roman" w:cstheme="minorHAnsi"/>
                <w:b/>
                <w:bCs/>
                <w:color w:val="FFFFFF"/>
                <w:lang w:eastAsia="en-AU"/>
              </w:rPr>
              <w:br/>
              <w:t>20 - 29 year olds</w:t>
            </w:r>
          </w:p>
        </w:tc>
        <w:tc>
          <w:tcPr>
            <w:tcW w:w="1418" w:type="dxa"/>
            <w:shd w:val="clear" w:color="auto" w:fill="1E3D6B"/>
            <w:vAlign w:val="center"/>
            <w:hideMark/>
          </w:tcPr>
          <w:p w:rsidR="00B07341" w:rsidRPr="00A27991" w:rsidRDefault="00B07341" w:rsidP="0063681D">
            <w:pPr>
              <w:spacing w:after="0" w:line="240" w:lineRule="auto"/>
              <w:ind w:left="33" w:hanging="33"/>
              <w:jc w:val="center"/>
              <w:rPr>
                <w:rFonts w:eastAsia="Times New Roman" w:cstheme="minorHAnsi"/>
                <w:b/>
                <w:bCs/>
                <w:color w:val="FFFFFF"/>
                <w:lang w:eastAsia="en-AU"/>
              </w:rPr>
            </w:pPr>
            <w:r w:rsidRPr="00A27991">
              <w:rPr>
                <w:rFonts w:eastAsia="Times New Roman" w:cstheme="minorHAnsi"/>
                <w:b/>
                <w:bCs/>
                <w:color w:val="FFFFFF"/>
                <w:lang w:eastAsia="en-AU"/>
              </w:rPr>
              <w:t>ppt Difference</w:t>
            </w:r>
            <w:r w:rsidR="00907F90">
              <w:rPr>
                <w:rFonts w:eastAsia="Times New Roman" w:cstheme="minorHAnsi"/>
                <w:b/>
                <w:bCs/>
                <w:color w:val="FFFFFF"/>
                <w:lang w:eastAsia="en-AU"/>
              </w:rPr>
              <w:br/>
              <w:t>(Total to Australian average)</w:t>
            </w:r>
          </w:p>
        </w:tc>
      </w:tr>
      <w:tr w:rsidR="00B07341" w:rsidRPr="00865E79" w:rsidTr="00907F90">
        <w:trPr>
          <w:trHeight w:val="397"/>
        </w:trPr>
        <w:tc>
          <w:tcPr>
            <w:tcW w:w="2552" w:type="dxa"/>
            <w:shd w:val="clear" w:color="auto" w:fill="FFFFFF" w:themeFill="background2"/>
            <w:noWrap/>
            <w:vAlign w:val="center"/>
            <w:hideMark/>
          </w:tcPr>
          <w:p w:rsidR="00B07341" w:rsidRPr="00A27991" w:rsidRDefault="00B07341" w:rsidP="0063681D">
            <w:pPr>
              <w:spacing w:after="0" w:line="240" w:lineRule="auto"/>
              <w:ind w:left="33" w:firstLine="1"/>
              <w:rPr>
                <w:rFonts w:eastAsia="Times New Roman" w:cstheme="minorHAnsi"/>
                <w:sz w:val="20"/>
                <w:szCs w:val="20"/>
                <w:lang w:eastAsia="en-AU"/>
              </w:rPr>
            </w:pPr>
            <w:r w:rsidRPr="00A27991">
              <w:rPr>
                <w:rFonts w:eastAsia="Times New Roman" w:cstheme="minorHAnsi"/>
                <w:sz w:val="20"/>
                <w:szCs w:val="20"/>
                <w:lang w:eastAsia="en-AU"/>
              </w:rPr>
              <w:t>Agriculture, forestry and fishing</w:t>
            </w:r>
          </w:p>
        </w:tc>
        <w:tc>
          <w:tcPr>
            <w:tcW w:w="1134"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0.6</w:t>
            </w:r>
          </w:p>
        </w:tc>
        <w:tc>
          <w:tcPr>
            <w:tcW w:w="1280"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2.8</w:t>
            </w:r>
          </w:p>
        </w:tc>
        <w:tc>
          <w:tcPr>
            <w:tcW w:w="1315"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1.8</w:t>
            </w:r>
          </w:p>
        </w:tc>
        <w:tc>
          <w:tcPr>
            <w:tcW w:w="1232"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3.2</w:t>
            </w:r>
          </w:p>
        </w:tc>
        <w:tc>
          <w:tcPr>
            <w:tcW w:w="1418" w:type="dxa"/>
            <w:shd w:val="clear" w:color="auto" w:fill="FFFFFF" w:themeFill="background2"/>
            <w:noWrap/>
            <w:vAlign w:val="center"/>
            <w:hideMark/>
          </w:tcPr>
          <w:p w:rsidR="00B07341" w:rsidRPr="00A27991" w:rsidRDefault="00B07341" w:rsidP="0063681D">
            <w:pPr>
              <w:spacing w:after="0" w:line="240" w:lineRule="auto"/>
              <w:ind w:left="33" w:right="349"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-1.3</w:t>
            </w:r>
          </w:p>
        </w:tc>
      </w:tr>
      <w:tr w:rsidR="00B07341" w:rsidRPr="00865E79" w:rsidTr="00907F90">
        <w:trPr>
          <w:trHeight w:val="397"/>
        </w:trPr>
        <w:tc>
          <w:tcPr>
            <w:tcW w:w="2552" w:type="dxa"/>
            <w:shd w:val="clear" w:color="auto" w:fill="E5E5E5" w:themeFill="background1" w:themeFillTint="33"/>
            <w:noWrap/>
            <w:vAlign w:val="center"/>
            <w:hideMark/>
          </w:tcPr>
          <w:p w:rsidR="00B07341" w:rsidRPr="00A27991" w:rsidRDefault="00B07341" w:rsidP="0063681D">
            <w:pPr>
              <w:spacing w:after="0" w:line="240" w:lineRule="auto"/>
              <w:ind w:left="33" w:firstLine="1"/>
              <w:rPr>
                <w:rFonts w:eastAsia="Times New Roman" w:cstheme="minorHAnsi"/>
                <w:sz w:val="20"/>
                <w:szCs w:val="20"/>
                <w:lang w:eastAsia="en-AU"/>
              </w:rPr>
            </w:pPr>
            <w:r w:rsidRPr="00A27991">
              <w:rPr>
                <w:rFonts w:eastAsia="Times New Roman" w:cstheme="minorHAnsi"/>
                <w:sz w:val="20"/>
                <w:szCs w:val="20"/>
                <w:lang w:eastAsia="en-AU"/>
              </w:rPr>
              <w:t>Mining</w:t>
            </w:r>
          </w:p>
        </w:tc>
        <w:tc>
          <w:tcPr>
            <w:tcW w:w="1134"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0.2</w:t>
            </w:r>
          </w:p>
        </w:tc>
        <w:tc>
          <w:tcPr>
            <w:tcW w:w="1280"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0.3</w:t>
            </w:r>
          </w:p>
        </w:tc>
        <w:tc>
          <w:tcPr>
            <w:tcW w:w="1315"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0.3</w:t>
            </w:r>
          </w:p>
        </w:tc>
        <w:tc>
          <w:tcPr>
            <w:tcW w:w="1232"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1.3</w:t>
            </w:r>
          </w:p>
        </w:tc>
        <w:tc>
          <w:tcPr>
            <w:tcW w:w="1418" w:type="dxa"/>
            <w:shd w:val="clear" w:color="auto" w:fill="E5E5E5" w:themeFill="background1" w:themeFillTint="33"/>
            <w:noWrap/>
            <w:vAlign w:val="center"/>
            <w:hideMark/>
          </w:tcPr>
          <w:p w:rsidR="00B07341" w:rsidRPr="00A27991" w:rsidRDefault="00B07341" w:rsidP="0063681D">
            <w:pPr>
              <w:spacing w:after="0" w:line="240" w:lineRule="auto"/>
              <w:ind w:left="33" w:right="349"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-1.1</w:t>
            </w:r>
          </w:p>
        </w:tc>
      </w:tr>
      <w:tr w:rsidR="00B07341" w:rsidRPr="00865E79" w:rsidTr="00907F90">
        <w:trPr>
          <w:trHeight w:val="397"/>
        </w:trPr>
        <w:tc>
          <w:tcPr>
            <w:tcW w:w="2552" w:type="dxa"/>
            <w:shd w:val="clear" w:color="auto" w:fill="FFFFFF" w:themeFill="background2"/>
            <w:noWrap/>
            <w:vAlign w:val="center"/>
            <w:hideMark/>
          </w:tcPr>
          <w:p w:rsidR="00B07341" w:rsidRPr="00A27991" w:rsidRDefault="00B07341" w:rsidP="0063681D">
            <w:pPr>
              <w:spacing w:after="0" w:line="240" w:lineRule="auto"/>
              <w:ind w:left="33" w:firstLine="1"/>
              <w:rPr>
                <w:rFonts w:eastAsia="Times New Roman" w:cstheme="minorHAnsi"/>
                <w:sz w:val="20"/>
                <w:szCs w:val="20"/>
                <w:lang w:eastAsia="en-AU"/>
              </w:rPr>
            </w:pPr>
            <w:r w:rsidRPr="00A27991">
              <w:rPr>
                <w:rFonts w:eastAsia="Times New Roman" w:cstheme="minorHAnsi"/>
                <w:sz w:val="20"/>
                <w:szCs w:val="20"/>
                <w:lang w:eastAsia="en-AU"/>
              </w:rPr>
              <w:t>Manufacturing</w:t>
            </w:r>
          </w:p>
        </w:tc>
        <w:tc>
          <w:tcPr>
            <w:tcW w:w="1134"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3.9</w:t>
            </w:r>
          </w:p>
        </w:tc>
        <w:tc>
          <w:tcPr>
            <w:tcW w:w="1280"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11.2</w:t>
            </w:r>
          </w:p>
        </w:tc>
        <w:tc>
          <w:tcPr>
            <w:tcW w:w="1315"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8.0</w:t>
            </w:r>
          </w:p>
        </w:tc>
        <w:tc>
          <w:tcPr>
            <w:tcW w:w="1232"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6.7</w:t>
            </w:r>
          </w:p>
        </w:tc>
        <w:tc>
          <w:tcPr>
            <w:tcW w:w="1418" w:type="dxa"/>
            <w:shd w:val="clear" w:color="auto" w:fill="FFFFFF" w:themeFill="background2"/>
            <w:noWrap/>
            <w:vAlign w:val="center"/>
            <w:hideMark/>
          </w:tcPr>
          <w:p w:rsidR="00B07341" w:rsidRPr="00A27991" w:rsidRDefault="00B07341" w:rsidP="0063681D">
            <w:pPr>
              <w:spacing w:after="0" w:line="240" w:lineRule="auto"/>
              <w:ind w:left="33" w:right="349"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1.3</w:t>
            </w:r>
          </w:p>
        </w:tc>
      </w:tr>
      <w:tr w:rsidR="00B07341" w:rsidRPr="00865E79" w:rsidTr="00907F90">
        <w:trPr>
          <w:trHeight w:val="397"/>
        </w:trPr>
        <w:tc>
          <w:tcPr>
            <w:tcW w:w="2552" w:type="dxa"/>
            <w:shd w:val="clear" w:color="auto" w:fill="E5E5E5" w:themeFill="background1" w:themeFillTint="33"/>
            <w:noWrap/>
            <w:vAlign w:val="center"/>
            <w:hideMark/>
          </w:tcPr>
          <w:p w:rsidR="00B07341" w:rsidRPr="00A27991" w:rsidRDefault="00B07341" w:rsidP="0063681D">
            <w:pPr>
              <w:spacing w:after="0" w:line="240" w:lineRule="auto"/>
              <w:ind w:left="33" w:firstLine="1"/>
              <w:rPr>
                <w:rFonts w:eastAsia="Times New Roman" w:cstheme="minorHAnsi"/>
                <w:sz w:val="20"/>
                <w:szCs w:val="20"/>
                <w:lang w:eastAsia="en-AU"/>
              </w:rPr>
            </w:pPr>
            <w:r w:rsidRPr="00A27991">
              <w:rPr>
                <w:rFonts w:eastAsia="Times New Roman" w:cstheme="minorHAnsi"/>
                <w:sz w:val="20"/>
                <w:szCs w:val="20"/>
                <w:lang w:eastAsia="en-AU"/>
              </w:rPr>
              <w:t>Electricity, gas, water and waste services</w:t>
            </w:r>
          </w:p>
        </w:tc>
        <w:tc>
          <w:tcPr>
            <w:tcW w:w="1134"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0.4</w:t>
            </w:r>
          </w:p>
        </w:tc>
        <w:tc>
          <w:tcPr>
            <w:tcW w:w="1280"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0.5</w:t>
            </w:r>
          </w:p>
        </w:tc>
        <w:tc>
          <w:tcPr>
            <w:tcW w:w="1315"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0.5</w:t>
            </w:r>
          </w:p>
        </w:tc>
        <w:tc>
          <w:tcPr>
            <w:tcW w:w="1232"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0.9</w:t>
            </w:r>
          </w:p>
        </w:tc>
        <w:tc>
          <w:tcPr>
            <w:tcW w:w="1418" w:type="dxa"/>
            <w:shd w:val="clear" w:color="auto" w:fill="E5E5E5" w:themeFill="background1" w:themeFillTint="33"/>
            <w:noWrap/>
            <w:vAlign w:val="center"/>
            <w:hideMark/>
          </w:tcPr>
          <w:p w:rsidR="00B07341" w:rsidRPr="00A27991" w:rsidRDefault="00B07341" w:rsidP="0063681D">
            <w:pPr>
              <w:spacing w:after="0" w:line="240" w:lineRule="auto"/>
              <w:ind w:left="33" w:right="349"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-0.4</w:t>
            </w:r>
          </w:p>
        </w:tc>
      </w:tr>
      <w:tr w:rsidR="00B07341" w:rsidRPr="00865E79" w:rsidTr="00907F90">
        <w:trPr>
          <w:trHeight w:val="397"/>
        </w:trPr>
        <w:tc>
          <w:tcPr>
            <w:tcW w:w="2552" w:type="dxa"/>
            <w:shd w:val="clear" w:color="auto" w:fill="FFFFFF" w:themeFill="background2"/>
            <w:noWrap/>
            <w:vAlign w:val="center"/>
            <w:hideMark/>
          </w:tcPr>
          <w:p w:rsidR="00B07341" w:rsidRPr="00A27991" w:rsidRDefault="00B07341" w:rsidP="0063681D">
            <w:pPr>
              <w:spacing w:after="0" w:line="240" w:lineRule="auto"/>
              <w:ind w:left="33" w:firstLine="1"/>
              <w:rPr>
                <w:rFonts w:eastAsia="Times New Roman" w:cstheme="minorHAnsi"/>
                <w:sz w:val="20"/>
                <w:szCs w:val="20"/>
                <w:lang w:eastAsia="en-AU"/>
              </w:rPr>
            </w:pPr>
            <w:r w:rsidRPr="00A27991">
              <w:rPr>
                <w:rFonts w:eastAsia="Times New Roman" w:cstheme="minorHAnsi"/>
                <w:sz w:val="20"/>
                <w:szCs w:val="20"/>
                <w:lang w:eastAsia="en-AU"/>
              </w:rPr>
              <w:t>Construction</w:t>
            </w:r>
          </w:p>
        </w:tc>
        <w:tc>
          <w:tcPr>
            <w:tcW w:w="1134"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1.6</w:t>
            </w:r>
          </w:p>
        </w:tc>
        <w:tc>
          <w:tcPr>
            <w:tcW w:w="1280"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8.2</w:t>
            </w:r>
          </w:p>
        </w:tc>
        <w:tc>
          <w:tcPr>
            <w:tcW w:w="1315"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5.3</w:t>
            </w:r>
          </w:p>
        </w:tc>
        <w:tc>
          <w:tcPr>
            <w:tcW w:w="1232"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9.4</w:t>
            </w:r>
          </w:p>
        </w:tc>
        <w:tc>
          <w:tcPr>
            <w:tcW w:w="1418" w:type="dxa"/>
            <w:shd w:val="clear" w:color="auto" w:fill="FFFFFF" w:themeFill="background2"/>
            <w:noWrap/>
            <w:vAlign w:val="center"/>
            <w:hideMark/>
          </w:tcPr>
          <w:p w:rsidR="00B07341" w:rsidRPr="00A27991" w:rsidRDefault="00B07341" w:rsidP="0063681D">
            <w:pPr>
              <w:spacing w:after="0" w:line="240" w:lineRule="auto"/>
              <w:ind w:left="33" w:right="349"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-4.0</w:t>
            </w:r>
          </w:p>
        </w:tc>
      </w:tr>
      <w:tr w:rsidR="00B07341" w:rsidRPr="00865E79" w:rsidTr="00907F90">
        <w:trPr>
          <w:trHeight w:val="397"/>
        </w:trPr>
        <w:tc>
          <w:tcPr>
            <w:tcW w:w="2552" w:type="dxa"/>
            <w:shd w:val="clear" w:color="auto" w:fill="E5E5E5" w:themeFill="background1" w:themeFillTint="33"/>
            <w:noWrap/>
            <w:vAlign w:val="center"/>
            <w:hideMark/>
          </w:tcPr>
          <w:p w:rsidR="00B07341" w:rsidRPr="00A27991" w:rsidRDefault="00B07341" w:rsidP="0063681D">
            <w:pPr>
              <w:spacing w:after="0" w:line="240" w:lineRule="auto"/>
              <w:ind w:left="33" w:firstLine="1"/>
              <w:rPr>
                <w:rFonts w:eastAsia="Times New Roman" w:cstheme="minorHAnsi"/>
                <w:sz w:val="20"/>
                <w:szCs w:val="20"/>
                <w:lang w:eastAsia="en-AU"/>
              </w:rPr>
            </w:pPr>
            <w:r w:rsidRPr="00A27991">
              <w:rPr>
                <w:rFonts w:eastAsia="Times New Roman" w:cstheme="minorHAnsi"/>
                <w:sz w:val="20"/>
                <w:szCs w:val="20"/>
                <w:lang w:eastAsia="en-AU"/>
              </w:rPr>
              <w:t>Wholesale trade</w:t>
            </w:r>
          </w:p>
        </w:tc>
        <w:tc>
          <w:tcPr>
            <w:tcW w:w="1134"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3.8</w:t>
            </w:r>
          </w:p>
        </w:tc>
        <w:tc>
          <w:tcPr>
            <w:tcW w:w="1280"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6.2</w:t>
            </w:r>
          </w:p>
        </w:tc>
        <w:tc>
          <w:tcPr>
            <w:tcW w:w="1315"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5.2</w:t>
            </w:r>
          </w:p>
        </w:tc>
        <w:tc>
          <w:tcPr>
            <w:tcW w:w="1232"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2.8</w:t>
            </w:r>
          </w:p>
        </w:tc>
        <w:tc>
          <w:tcPr>
            <w:tcW w:w="1418" w:type="dxa"/>
            <w:shd w:val="clear" w:color="auto" w:fill="E5E5E5" w:themeFill="background1" w:themeFillTint="33"/>
            <w:noWrap/>
            <w:vAlign w:val="center"/>
            <w:hideMark/>
          </w:tcPr>
          <w:p w:rsidR="00B07341" w:rsidRPr="00A27991" w:rsidRDefault="00B07341" w:rsidP="0063681D">
            <w:pPr>
              <w:spacing w:after="0" w:line="240" w:lineRule="auto"/>
              <w:ind w:left="33" w:right="349"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2.3</w:t>
            </w:r>
          </w:p>
        </w:tc>
      </w:tr>
      <w:tr w:rsidR="00B07341" w:rsidRPr="00865E79" w:rsidTr="00907F90">
        <w:trPr>
          <w:trHeight w:val="397"/>
        </w:trPr>
        <w:tc>
          <w:tcPr>
            <w:tcW w:w="2552" w:type="dxa"/>
            <w:shd w:val="clear" w:color="auto" w:fill="FFFFFF" w:themeFill="background2"/>
            <w:noWrap/>
            <w:vAlign w:val="center"/>
            <w:hideMark/>
          </w:tcPr>
          <w:p w:rsidR="00B07341" w:rsidRPr="00A27991" w:rsidRDefault="00B07341" w:rsidP="0063681D">
            <w:pPr>
              <w:spacing w:after="0" w:line="240" w:lineRule="auto"/>
              <w:ind w:left="33" w:firstLine="1"/>
              <w:rPr>
                <w:rFonts w:eastAsia="Times New Roman" w:cstheme="minorHAnsi"/>
                <w:sz w:val="20"/>
                <w:szCs w:val="20"/>
                <w:lang w:eastAsia="en-AU"/>
              </w:rPr>
            </w:pPr>
            <w:r w:rsidRPr="00A27991">
              <w:rPr>
                <w:rFonts w:eastAsia="Times New Roman" w:cstheme="minorHAnsi"/>
                <w:sz w:val="20"/>
                <w:szCs w:val="20"/>
                <w:lang w:eastAsia="en-AU"/>
              </w:rPr>
              <w:t>Retail trade</w:t>
            </w:r>
          </w:p>
        </w:tc>
        <w:tc>
          <w:tcPr>
            <w:tcW w:w="1134"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18.3</w:t>
            </w:r>
          </w:p>
        </w:tc>
        <w:tc>
          <w:tcPr>
            <w:tcW w:w="1280"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15.7</w:t>
            </w:r>
          </w:p>
        </w:tc>
        <w:tc>
          <w:tcPr>
            <w:tcW w:w="1315"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16.8</w:t>
            </w:r>
          </w:p>
        </w:tc>
        <w:tc>
          <w:tcPr>
            <w:tcW w:w="1232"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12.5</w:t>
            </w:r>
          </w:p>
        </w:tc>
        <w:tc>
          <w:tcPr>
            <w:tcW w:w="1418" w:type="dxa"/>
            <w:shd w:val="clear" w:color="auto" w:fill="FFFFFF" w:themeFill="background2"/>
            <w:noWrap/>
            <w:vAlign w:val="center"/>
            <w:hideMark/>
          </w:tcPr>
          <w:p w:rsidR="00B07341" w:rsidRPr="00A27991" w:rsidRDefault="00B07341" w:rsidP="0063681D">
            <w:pPr>
              <w:spacing w:after="0" w:line="240" w:lineRule="auto"/>
              <w:ind w:left="33" w:right="349"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4.3</w:t>
            </w:r>
          </w:p>
        </w:tc>
      </w:tr>
      <w:tr w:rsidR="00B07341" w:rsidRPr="00865E79" w:rsidTr="00907F90">
        <w:trPr>
          <w:trHeight w:val="397"/>
        </w:trPr>
        <w:tc>
          <w:tcPr>
            <w:tcW w:w="2552" w:type="dxa"/>
            <w:shd w:val="clear" w:color="auto" w:fill="E5E5E5" w:themeFill="background1" w:themeFillTint="33"/>
            <w:noWrap/>
            <w:vAlign w:val="center"/>
            <w:hideMark/>
          </w:tcPr>
          <w:p w:rsidR="00B07341" w:rsidRPr="00A27991" w:rsidRDefault="00B07341" w:rsidP="0063681D">
            <w:pPr>
              <w:spacing w:after="0" w:line="240" w:lineRule="auto"/>
              <w:ind w:left="33" w:firstLine="1"/>
              <w:rPr>
                <w:rFonts w:eastAsia="Times New Roman" w:cstheme="minorHAnsi"/>
                <w:sz w:val="20"/>
                <w:szCs w:val="20"/>
                <w:lang w:eastAsia="en-AU"/>
              </w:rPr>
            </w:pPr>
            <w:r w:rsidRPr="00A27991">
              <w:rPr>
                <w:rFonts w:eastAsia="Times New Roman" w:cstheme="minorHAnsi"/>
                <w:sz w:val="20"/>
                <w:szCs w:val="20"/>
                <w:lang w:eastAsia="en-AU"/>
              </w:rPr>
              <w:t>Accommodation and food services</w:t>
            </w:r>
          </w:p>
        </w:tc>
        <w:tc>
          <w:tcPr>
            <w:tcW w:w="1134"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10.9</w:t>
            </w:r>
          </w:p>
        </w:tc>
        <w:tc>
          <w:tcPr>
            <w:tcW w:w="1280"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7.9</w:t>
            </w:r>
          </w:p>
        </w:tc>
        <w:tc>
          <w:tcPr>
            <w:tcW w:w="1315"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9.3</w:t>
            </w:r>
          </w:p>
        </w:tc>
        <w:tc>
          <w:tcPr>
            <w:tcW w:w="1232"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8.5</w:t>
            </w:r>
          </w:p>
        </w:tc>
        <w:tc>
          <w:tcPr>
            <w:tcW w:w="1418" w:type="dxa"/>
            <w:shd w:val="clear" w:color="auto" w:fill="E5E5E5" w:themeFill="background1" w:themeFillTint="33"/>
            <w:noWrap/>
            <w:vAlign w:val="center"/>
            <w:hideMark/>
          </w:tcPr>
          <w:p w:rsidR="00B07341" w:rsidRPr="00A27991" w:rsidRDefault="00B07341" w:rsidP="0063681D">
            <w:pPr>
              <w:spacing w:after="0" w:line="240" w:lineRule="auto"/>
              <w:ind w:left="33" w:right="349"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0.7</w:t>
            </w:r>
          </w:p>
        </w:tc>
      </w:tr>
      <w:tr w:rsidR="00B07341" w:rsidRPr="00865E79" w:rsidTr="00907F90">
        <w:trPr>
          <w:trHeight w:val="397"/>
        </w:trPr>
        <w:tc>
          <w:tcPr>
            <w:tcW w:w="2552" w:type="dxa"/>
            <w:shd w:val="clear" w:color="auto" w:fill="FFFFFF" w:themeFill="background2"/>
            <w:noWrap/>
            <w:vAlign w:val="center"/>
            <w:hideMark/>
          </w:tcPr>
          <w:p w:rsidR="00B07341" w:rsidRPr="00A27991" w:rsidRDefault="00B07341" w:rsidP="0063681D">
            <w:pPr>
              <w:spacing w:after="0" w:line="240" w:lineRule="auto"/>
              <w:ind w:left="33" w:firstLine="1"/>
              <w:rPr>
                <w:rFonts w:eastAsia="Times New Roman" w:cstheme="minorHAnsi"/>
                <w:sz w:val="20"/>
                <w:szCs w:val="20"/>
                <w:lang w:eastAsia="en-AU"/>
              </w:rPr>
            </w:pPr>
            <w:r w:rsidRPr="00A27991">
              <w:rPr>
                <w:rFonts w:eastAsia="Times New Roman" w:cstheme="minorHAnsi"/>
                <w:sz w:val="20"/>
                <w:szCs w:val="20"/>
                <w:lang w:eastAsia="en-AU"/>
              </w:rPr>
              <w:t>Transport, postal and warehousing</w:t>
            </w:r>
          </w:p>
        </w:tc>
        <w:tc>
          <w:tcPr>
            <w:tcW w:w="1134"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1.5</w:t>
            </w:r>
          </w:p>
        </w:tc>
        <w:tc>
          <w:tcPr>
            <w:tcW w:w="1280"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3.9</w:t>
            </w:r>
          </w:p>
        </w:tc>
        <w:tc>
          <w:tcPr>
            <w:tcW w:w="1315"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2.9</w:t>
            </w:r>
          </w:p>
        </w:tc>
        <w:tc>
          <w:tcPr>
            <w:tcW w:w="1232"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4.3</w:t>
            </w:r>
          </w:p>
        </w:tc>
        <w:tc>
          <w:tcPr>
            <w:tcW w:w="1418" w:type="dxa"/>
            <w:shd w:val="clear" w:color="auto" w:fill="FFFFFF" w:themeFill="background2"/>
            <w:noWrap/>
            <w:vAlign w:val="center"/>
            <w:hideMark/>
          </w:tcPr>
          <w:p w:rsidR="00B07341" w:rsidRPr="00A27991" w:rsidRDefault="00B07341" w:rsidP="0063681D">
            <w:pPr>
              <w:spacing w:after="0" w:line="240" w:lineRule="auto"/>
              <w:ind w:left="33" w:right="349"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-1.4</w:t>
            </w:r>
          </w:p>
        </w:tc>
      </w:tr>
      <w:tr w:rsidR="00B07341" w:rsidRPr="00865E79" w:rsidTr="00907F90">
        <w:trPr>
          <w:trHeight w:val="397"/>
        </w:trPr>
        <w:tc>
          <w:tcPr>
            <w:tcW w:w="2552" w:type="dxa"/>
            <w:shd w:val="clear" w:color="auto" w:fill="E5E5E5" w:themeFill="background1" w:themeFillTint="33"/>
            <w:noWrap/>
            <w:vAlign w:val="center"/>
            <w:hideMark/>
          </w:tcPr>
          <w:p w:rsidR="00B07341" w:rsidRPr="00A27991" w:rsidRDefault="00B07341" w:rsidP="0063681D">
            <w:pPr>
              <w:spacing w:after="0" w:line="240" w:lineRule="auto"/>
              <w:ind w:left="33" w:firstLine="1"/>
              <w:rPr>
                <w:rFonts w:eastAsia="Times New Roman" w:cstheme="minorHAnsi"/>
                <w:sz w:val="20"/>
                <w:szCs w:val="20"/>
                <w:lang w:eastAsia="en-AU"/>
              </w:rPr>
            </w:pPr>
            <w:r w:rsidRPr="00A27991">
              <w:rPr>
                <w:rFonts w:eastAsia="Times New Roman" w:cstheme="minorHAnsi"/>
                <w:sz w:val="20"/>
                <w:szCs w:val="20"/>
                <w:lang w:eastAsia="en-AU"/>
              </w:rPr>
              <w:t>Information media and telecommunications</w:t>
            </w:r>
          </w:p>
        </w:tc>
        <w:tc>
          <w:tcPr>
            <w:tcW w:w="1134"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0.9</w:t>
            </w:r>
          </w:p>
        </w:tc>
        <w:tc>
          <w:tcPr>
            <w:tcW w:w="1280"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1.4</w:t>
            </w:r>
          </w:p>
        </w:tc>
        <w:tc>
          <w:tcPr>
            <w:tcW w:w="1315"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1.2</w:t>
            </w:r>
          </w:p>
        </w:tc>
        <w:tc>
          <w:tcPr>
            <w:tcW w:w="1232"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1.6</w:t>
            </w:r>
          </w:p>
        </w:tc>
        <w:tc>
          <w:tcPr>
            <w:tcW w:w="1418" w:type="dxa"/>
            <w:shd w:val="clear" w:color="auto" w:fill="E5E5E5" w:themeFill="background1" w:themeFillTint="33"/>
            <w:noWrap/>
            <w:vAlign w:val="center"/>
            <w:hideMark/>
          </w:tcPr>
          <w:p w:rsidR="00B07341" w:rsidRPr="00A27991" w:rsidRDefault="00B07341" w:rsidP="0063681D">
            <w:pPr>
              <w:spacing w:after="0" w:line="240" w:lineRule="auto"/>
              <w:ind w:left="33" w:right="349"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-0.4</w:t>
            </w:r>
          </w:p>
        </w:tc>
      </w:tr>
      <w:tr w:rsidR="00B07341" w:rsidRPr="00865E79" w:rsidTr="00907F90">
        <w:trPr>
          <w:trHeight w:val="397"/>
        </w:trPr>
        <w:tc>
          <w:tcPr>
            <w:tcW w:w="2552" w:type="dxa"/>
            <w:shd w:val="clear" w:color="auto" w:fill="FFFFFF" w:themeFill="background2"/>
            <w:noWrap/>
            <w:vAlign w:val="center"/>
            <w:hideMark/>
          </w:tcPr>
          <w:p w:rsidR="00B07341" w:rsidRPr="00A27991" w:rsidRDefault="00B07341" w:rsidP="0063681D">
            <w:pPr>
              <w:spacing w:after="0" w:line="240" w:lineRule="auto"/>
              <w:ind w:left="33" w:firstLine="1"/>
              <w:rPr>
                <w:rFonts w:eastAsia="Times New Roman" w:cstheme="minorHAnsi"/>
                <w:sz w:val="20"/>
                <w:szCs w:val="20"/>
                <w:lang w:eastAsia="en-AU"/>
              </w:rPr>
            </w:pPr>
            <w:r w:rsidRPr="00A27991">
              <w:rPr>
                <w:rFonts w:eastAsia="Times New Roman" w:cstheme="minorHAnsi"/>
                <w:sz w:val="20"/>
                <w:szCs w:val="20"/>
                <w:lang w:eastAsia="en-AU"/>
              </w:rPr>
              <w:t>Financial and insurance services</w:t>
            </w:r>
          </w:p>
        </w:tc>
        <w:tc>
          <w:tcPr>
            <w:tcW w:w="1134"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3.9</w:t>
            </w:r>
          </w:p>
        </w:tc>
        <w:tc>
          <w:tcPr>
            <w:tcW w:w="1280"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2.7</w:t>
            </w:r>
          </w:p>
        </w:tc>
        <w:tc>
          <w:tcPr>
            <w:tcW w:w="1315"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3.3</w:t>
            </w:r>
          </w:p>
        </w:tc>
        <w:tc>
          <w:tcPr>
            <w:tcW w:w="1232"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2.8</w:t>
            </w:r>
          </w:p>
        </w:tc>
        <w:tc>
          <w:tcPr>
            <w:tcW w:w="1418" w:type="dxa"/>
            <w:shd w:val="clear" w:color="auto" w:fill="FFFFFF" w:themeFill="background2"/>
            <w:noWrap/>
            <w:vAlign w:val="center"/>
            <w:hideMark/>
          </w:tcPr>
          <w:p w:rsidR="00B07341" w:rsidRPr="00A27991" w:rsidRDefault="00B07341" w:rsidP="0063681D">
            <w:pPr>
              <w:spacing w:after="0" w:line="240" w:lineRule="auto"/>
              <w:ind w:left="33" w:right="349"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0.5</w:t>
            </w:r>
          </w:p>
        </w:tc>
      </w:tr>
      <w:tr w:rsidR="00B07341" w:rsidRPr="00865E79" w:rsidTr="00907F90">
        <w:trPr>
          <w:trHeight w:val="397"/>
        </w:trPr>
        <w:tc>
          <w:tcPr>
            <w:tcW w:w="2552" w:type="dxa"/>
            <w:shd w:val="clear" w:color="auto" w:fill="E5E5E5" w:themeFill="background1" w:themeFillTint="33"/>
            <w:noWrap/>
            <w:vAlign w:val="center"/>
            <w:hideMark/>
          </w:tcPr>
          <w:p w:rsidR="00B07341" w:rsidRPr="00A27991" w:rsidRDefault="00B07341" w:rsidP="0063681D">
            <w:pPr>
              <w:spacing w:after="0" w:line="240" w:lineRule="auto"/>
              <w:ind w:left="33" w:firstLine="1"/>
              <w:rPr>
                <w:rFonts w:eastAsia="Times New Roman" w:cstheme="minorHAnsi"/>
                <w:sz w:val="20"/>
                <w:szCs w:val="20"/>
                <w:lang w:eastAsia="en-AU"/>
              </w:rPr>
            </w:pPr>
            <w:r w:rsidRPr="00A27991">
              <w:rPr>
                <w:rFonts w:eastAsia="Times New Roman" w:cstheme="minorHAnsi"/>
                <w:sz w:val="20"/>
                <w:szCs w:val="20"/>
                <w:lang w:eastAsia="en-AU"/>
              </w:rPr>
              <w:t>Rental, hiring and real estate services</w:t>
            </w:r>
          </w:p>
        </w:tc>
        <w:tc>
          <w:tcPr>
            <w:tcW w:w="1134"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2.3</w:t>
            </w:r>
          </w:p>
        </w:tc>
        <w:tc>
          <w:tcPr>
            <w:tcW w:w="1280"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2.1</w:t>
            </w:r>
          </w:p>
        </w:tc>
        <w:tc>
          <w:tcPr>
            <w:tcW w:w="1315"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2.2</w:t>
            </w:r>
          </w:p>
        </w:tc>
        <w:tc>
          <w:tcPr>
            <w:tcW w:w="1232"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2.1</w:t>
            </w:r>
          </w:p>
        </w:tc>
        <w:tc>
          <w:tcPr>
            <w:tcW w:w="1418" w:type="dxa"/>
            <w:shd w:val="clear" w:color="auto" w:fill="E5E5E5" w:themeFill="background1" w:themeFillTint="33"/>
            <w:noWrap/>
            <w:vAlign w:val="center"/>
            <w:hideMark/>
          </w:tcPr>
          <w:p w:rsidR="00B07341" w:rsidRPr="00A27991" w:rsidRDefault="00B07341" w:rsidP="0063681D">
            <w:pPr>
              <w:spacing w:after="0" w:line="240" w:lineRule="auto"/>
              <w:ind w:left="33" w:right="349"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0.1</w:t>
            </w:r>
          </w:p>
        </w:tc>
      </w:tr>
      <w:tr w:rsidR="00B07341" w:rsidRPr="00865E79" w:rsidTr="00907F90">
        <w:trPr>
          <w:trHeight w:val="397"/>
        </w:trPr>
        <w:tc>
          <w:tcPr>
            <w:tcW w:w="2552" w:type="dxa"/>
            <w:shd w:val="clear" w:color="auto" w:fill="FFFFFF" w:themeFill="background2"/>
            <w:noWrap/>
            <w:vAlign w:val="center"/>
            <w:hideMark/>
          </w:tcPr>
          <w:p w:rsidR="00B07341" w:rsidRPr="00A27991" w:rsidRDefault="00B07341" w:rsidP="0063681D">
            <w:pPr>
              <w:spacing w:after="0" w:line="240" w:lineRule="auto"/>
              <w:ind w:left="33" w:firstLine="1"/>
              <w:rPr>
                <w:rFonts w:eastAsia="Times New Roman" w:cstheme="minorHAnsi"/>
                <w:sz w:val="20"/>
                <w:szCs w:val="20"/>
                <w:lang w:eastAsia="en-AU"/>
              </w:rPr>
            </w:pPr>
            <w:r w:rsidRPr="00A27991">
              <w:rPr>
                <w:rFonts w:eastAsia="Times New Roman" w:cstheme="minorHAnsi"/>
                <w:sz w:val="20"/>
                <w:szCs w:val="20"/>
                <w:lang w:eastAsia="en-AU"/>
              </w:rPr>
              <w:t>Professional, scientific and technical services</w:t>
            </w:r>
          </w:p>
        </w:tc>
        <w:tc>
          <w:tcPr>
            <w:tcW w:w="1134"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6.2</w:t>
            </w:r>
          </w:p>
        </w:tc>
        <w:tc>
          <w:tcPr>
            <w:tcW w:w="1280"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6.7</w:t>
            </w:r>
          </w:p>
        </w:tc>
        <w:tc>
          <w:tcPr>
            <w:tcW w:w="1315"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6.5</w:t>
            </w:r>
          </w:p>
        </w:tc>
        <w:tc>
          <w:tcPr>
            <w:tcW w:w="1232"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8.8</w:t>
            </w:r>
          </w:p>
        </w:tc>
        <w:tc>
          <w:tcPr>
            <w:tcW w:w="1418" w:type="dxa"/>
            <w:shd w:val="clear" w:color="auto" w:fill="FFFFFF" w:themeFill="background2"/>
            <w:noWrap/>
            <w:vAlign w:val="center"/>
            <w:hideMark/>
          </w:tcPr>
          <w:p w:rsidR="00B07341" w:rsidRPr="00A27991" w:rsidRDefault="00B07341" w:rsidP="0063681D">
            <w:pPr>
              <w:spacing w:after="0" w:line="240" w:lineRule="auto"/>
              <w:ind w:left="33" w:right="349"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-2.3</w:t>
            </w:r>
          </w:p>
        </w:tc>
      </w:tr>
      <w:tr w:rsidR="00B07341" w:rsidRPr="00865E79" w:rsidTr="00907F90">
        <w:trPr>
          <w:trHeight w:val="397"/>
        </w:trPr>
        <w:tc>
          <w:tcPr>
            <w:tcW w:w="2552" w:type="dxa"/>
            <w:shd w:val="clear" w:color="auto" w:fill="E5E5E5" w:themeFill="background1" w:themeFillTint="33"/>
            <w:noWrap/>
            <w:vAlign w:val="center"/>
            <w:hideMark/>
          </w:tcPr>
          <w:p w:rsidR="00B07341" w:rsidRPr="00A27991" w:rsidRDefault="00B07341" w:rsidP="0063681D">
            <w:pPr>
              <w:spacing w:after="0" w:line="240" w:lineRule="auto"/>
              <w:ind w:left="33" w:firstLine="1"/>
              <w:rPr>
                <w:rFonts w:eastAsia="Times New Roman" w:cstheme="minorHAnsi"/>
                <w:sz w:val="20"/>
                <w:szCs w:val="20"/>
                <w:lang w:eastAsia="en-AU"/>
              </w:rPr>
            </w:pPr>
            <w:r w:rsidRPr="00A27991">
              <w:rPr>
                <w:rFonts w:eastAsia="Times New Roman" w:cstheme="minorHAnsi"/>
                <w:sz w:val="20"/>
                <w:szCs w:val="20"/>
                <w:lang w:eastAsia="en-AU"/>
              </w:rPr>
              <w:t>Administrative and support services</w:t>
            </w:r>
          </w:p>
        </w:tc>
        <w:tc>
          <w:tcPr>
            <w:tcW w:w="1134"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10.0</w:t>
            </w:r>
          </w:p>
        </w:tc>
        <w:tc>
          <w:tcPr>
            <w:tcW w:w="1280"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12.4</w:t>
            </w:r>
          </w:p>
        </w:tc>
        <w:tc>
          <w:tcPr>
            <w:tcW w:w="1315"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11.3</w:t>
            </w:r>
          </w:p>
        </w:tc>
        <w:tc>
          <w:tcPr>
            <w:tcW w:w="1232"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3.7</w:t>
            </w:r>
          </w:p>
        </w:tc>
        <w:tc>
          <w:tcPr>
            <w:tcW w:w="1418" w:type="dxa"/>
            <w:shd w:val="clear" w:color="auto" w:fill="E5E5E5" w:themeFill="background1" w:themeFillTint="33"/>
            <w:noWrap/>
            <w:vAlign w:val="center"/>
            <w:hideMark/>
          </w:tcPr>
          <w:p w:rsidR="00B07341" w:rsidRPr="00A27991" w:rsidRDefault="00B07341" w:rsidP="0063681D">
            <w:pPr>
              <w:spacing w:after="0" w:line="240" w:lineRule="auto"/>
              <w:ind w:left="33" w:right="349"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7.6</w:t>
            </w:r>
          </w:p>
        </w:tc>
      </w:tr>
      <w:tr w:rsidR="00B07341" w:rsidRPr="00865E79" w:rsidTr="00907F90">
        <w:trPr>
          <w:trHeight w:val="397"/>
        </w:trPr>
        <w:tc>
          <w:tcPr>
            <w:tcW w:w="2552" w:type="dxa"/>
            <w:shd w:val="clear" w:color="auto" w:fill="FFFFFF" w:themeFill="background2"/>
            <w:noWrap/>
            <w:vAlign w:val="center"/>
            <w:hideMark/>
          </w:tcPr>
          <w:p w:rsidR="00B07341" w:rsidRPr="00A27991" w:rsidRDefault="00B07341" w:rsidP="0063681D">
            <w:pPr>
              <w:spacing w:after="0" w:line="240" w:lineRule="auto"/>
              <w:ind w:left="33" w:firstLine="1"/>
              <w:rPr>
                <w:rFonts w:eastAsia="Times New Roman" w:cstheme="minorHAnsi"/>
                <w:sz w:val="20"/>
                <w:szCs w:val="20"/>
                <w:lang w:eastAsia="en-AU"/>
              </w:rPr>
            </w:pPr>
            <w:r w:rsidRPr="00A27991">
              <w:rPr>
                <w:rFonts w:eastAsia="Times New Roman" w:cstheme="minorHAnsi"/>
                <w:sz w:val="20"/>
                <w:szCs w:val="20"/>
                <w:lang w:eastAsia="en-AU"/>
              </w:rPr>
              <w:t>Public administration and safety</w:t>
            </w:r>
          </w:p>
        </w:tc>
        <w:tc>
          <w:tcPr>
            <w:tcW w:w="1134"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5.4</w:t>
            </w:r>
          </w:p>
        </w:tc>
        <w:tc>
          <w:tcPr>
            <w:tcW w:w="1280"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5.1</w:t>
            </w:r>
          </w:p>
        </w:tc>
        <w:tc>
          <w:tcPr>
            <w:tcW w:w="1315"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5.3</w:t>
            </w:r>
          </w:p>
        </w:tc>
        <w:tc>
          <w:tcPr>
            <w:tcW w:w="1232"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5.4</w:t>
            </w:r>
          </w:p>
        </w:tc>
        <w:tc>
          <w:tcPr>
            <w:tcW w:w="1418" w:type="dxa"/>
            <w:shd w:val="clear" w:color="auto" w:fill="FFFFFF" w:themeFill="background2"/>
            <w:noWrap/>
            <w:vAlign w:val="center"/>
            <w:hideMark/>
          </w:tcPr>
          <w:p w:rsidR="00B07341" w:rsidRPr="00A27991" w:rsidRDefault="00B07341" w:rsidP="0063681D">
            <w:pPr>
              <w:spacing w:after="0" w:line="240" w:lineRule="auto"/>
              <w:ind w:left="33" w:right="349"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-0.2</w:t>
            </w:r>
          </w:p>
        </w:tc>
      </w:tr>
      <w:tr w:rsidR="00B07341" w:rsidRPr="00865E79" w:rsidTr="00907F90">
        <w:trPr>
          <w:trHeight w:val="397"/>
        </w:trPr>
        <w:tc>
          <w:tcPr>
            <w:tcW w:w="2552" w:type="dxa"/>
            <w:shd w:val="clear" w:color="auto" w:fill="E5E5E5" w:themeFill="background1" w:themeFillTint="33"/>
            <w:noWrap/>
            <w:vAlign w:val="center"/>
            <w:hideMark/>
          </w:tcPr>
          <w:p w:rsidR="00B07341" w:rsidRPr="00A27991" w:rsidRDefault="00B07341" w:rsidP="0063681D">
            <w:pPr>
              <w:spacing w:after="0" w:line="240" w:lineRule="auto"/>
              <w:ind w:left="33" w:firstLine="1"/>
              <w:rPr>
                <w:rFonts w:eastAsia="Times New Roman" w:cstheme="minorHAnsi"/>
                <w:sz w:val="20"/>
                <w:szCs w:val="20"/>
                <w:lang w:eastAsia="en-AU"/>
              </w:rPr>
            </w:pPr>
            <w:r w:rsidRPr="00A27991">
              <w:rPr>
                <w:rFonts w:eastAsia="Times New Roman" w:cstheme="minorHAnsi"/>
                <w:sz w:val="20"/>
                <w:szCs w:val="20"/>
                <w:lang w:eastAsia="en-AU"/>
              </w:rPr>
              <w:t>Education and training</w:t>
            </w:r>
          </w:p>
        </w:tc>
        <w:tc>
          <w:tcPr>
            <w:tcW w:w="1134"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3.6</w:t>
            </w:r>
          </w:p>
        </w:tc>
        <w:tc>
          <w:tcPr>
            <w:tcW w:w="1280"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1.6</w:t>
            </w:r>
          </w:p>
        </w:tc>
        <w:tc>
          <w:tcPr>
            <w:tcW w:w="1315"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2.5</w:t>
            </w:r>
          </w:p>
        </w:tc>
        <w:tc>
          <w:tcPr>
            <w:tcW w:w="1232"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7.3</w:t>
            </w:r>
          </w:p>
        </w:tc>
        <w:tc>
          <w:tcPr>
            <w:tcW w:w="1418" w:type="dxa"/>
            <w:shd w:val="clear" w:color="auto" w:fill="E5E5E5" w:themeFill="background1" w:themeFillTint="33"/>
            <w:noWrap/>
            <w:vAlign w:val="center"/>
            <w:hideMark/>
          </w:tcPr>
          <w:p w:rsidR="00B07341" w:rsidRPr="00A27991" w:rsidRDefault="00B07341" w:rsidP="0063681D">
            <w:pPr>
              <w:spacing w:after="0" w:line="240" w:lineRule="auto"/>
              <w:ind w:left="33" w:right="349"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-4.9</w:t>
            </w:r>
          </w:p>
        </w:tc>
      </w:tr>
      <w:tr w:rsidR="00B07341" w:rsidRPr="00865E79" w:rsidTr="00907F90">
        <w:trPr>
          <w:trHeight w:val="397"/>
        </w:trPr>
        <w:tc>
          <w:tcPr>
            <w:tcW w:w="2552" w:type="dxa"/>
            <w:shd w:val="clear" w:color="auto" w:fill="FFFFFF" w:themeFill="background2"/>
            <w:noWrap/>
            <w:vAlign w:val="center"/>
            <w:hideMark/>
          </w:tcPr>
          <w:p w:rsidR="00B07341" w:rsidRPr="00A27991" w:rsidRDefault="00B07341" w:rsidP="0063681D">
            <w:pPr>
              <w:spacing w:after="0" w:line="240" w:lineRule="auto"/>
              <w:ind w:left="33" w:firstLine="1"/>
              <w:rPr>
                <w:rFonts w:eastAsia="Times New Roman" w:cstheme="minorHAnsi"/>
                <w:sz w:val="20"/>
                <w:szCs w:val="20"/>
                <w:lang w:eastAsia="en-AU"/>
              </w:rPr>
            </w:pPr>
            <w:r w:rsidRPr="00A27991">
              <w:rPr>
                <w:rFonts w:eastAsia="Times New Roman" w:cstheme="minorHAnsi"/>
                <w:sz w:val="20"/>
                <w:szCs w:val="20"/>
                <w:lang w:eastAsia="en-AU"/>
              </w:rPr>
              <w:t>Health care and social assistance</w:t>
            </w:r>
          </w:p>
        </w:tc>
        <w:tc>
          <w:tcPr>
            <w:tcW w:w="1134"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19.8</w:t>
            </w:r>
          </w:p>
        </w:tc>
        <w:tc>
          <w:tcPr>
            <w:tcW w:w="1280"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5.2</w:t>
            </w:r>
          </w:p>
        </w:tc>
        <w:tc>
          <w:tcPr>
            <w:tcW w:w="1315"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11.6</w:t>
            </w:r>
          </w:p>
        </w:tc>
        <w:tc>
          <w:tcPr>
            <w:tcW w:w="1232"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12.1</w:t>
            </w:r>
          </w:p>
        </w:tc>
        <w:tc>
          <w:tcPr>
            <w:tcW w:w="1418" w:type="dxa"/>
            <w:shd w:val="clear" w:color="auto" w:fill="FFFFFF" w:themeFill="background2"/>
            <w:noWrap/>
            <w:vAlign w:val="center"/>
            <w:hideMark/>
          </w:tcPr>
          <w:p w:rsidR="00B07341" w:rsidRPr="00A27991" w:rsidRDefault="00B07341" w:rsidP="0063681D">
            <w:pPr>
              <w:spacing w:after="0" w:line="240" w:lineRule="auto"/>
              <w:ind w:left="33" w:right="349"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-0.5</w:t>
            </w:r>
          </w:p>
        </w:tc>
      </w:tr>
      <w:tr w:rsidR="00B07341" w:rsidRPr="00865E79" w:rsidTr="00907F90">
        <w:trPr>
          <w:trHeight w:val="397"/>
        </w:trPr>
        <w:tc>
          <w:tcPr>
            <w:tcW w:w="2552" w:type="dxa"/>
            <w:shd w:val="clear" w:color="auto" w:fill="E5E5E5" w:themeFill="background1" w:themeFillTint="33"/>
            <w:noWrap/>
            <w:vAlign w:val="center"/>
            <w:hideMark/>
          </w:tcPr>
          <w:p w:rsidR="00B07341" w:rsidRPr="00A27991" w:rsidRDefault="00B07341" w:rsidP="0063681D">
            <w:pPr>
              <w:spacing w:after="0" w:line="240" w:lineRule="auto"/>
              <w:ind w:left="33" w:firstLine="1"/>
              <w:rPr>
                <w:rFonts w:eastAsia="Times New Roman" w:cstheme="minorHAnsi"/>
                <w:sz w:val="20"/>
                <w:szCs w:val="20"/>
                <w:lang w:eastAsia="en-AU"/>
              </w:rPr>
            </w:pPr>
            <w:r w:rsidRPr="00A27991">
              <w:rPr>
                <w:rFonts w:eastAsia="Times New Roman" w:cstheme="minorHAnsi"/>
                <w:sz w:val="20"/>
                <w:szCs w:val="20"/>
                <w:lang w:eastAsia="en-AU"/>
              </w:rPr>
              <w:t>Arts and recreation services</w:t>
            </w:r>
          </w:p>
        </w:tc>
        <w:tc>
          <w:tcPr>
            <w:tcW w:w="1134"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2.1</w:t>
            </w:r>
          </w:p>
        </w:tc>
        <w:tc>
          <w:tcPr>
            <w:tcW w:w="1280"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2.2</w:t>
            </w:r>
          </w:p>
        </w:tc>
        <w:tc>
          <w:tcPr>
            <w:tcW w:w="1315"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2.2</w:t>
            </w:r>
          </w:p>
        </w:tc>
        <w:tc>
          <w:tcPr>
            <w:tcW w:w="1232" w:type="dxa"/>
            <w:shd w:val="clear" w:color="auto" w:fill="E5E5E5" w:themeFill="background1" w:themeFillTint="33"/>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2.2</w:t>
            </w:r>
          </w:p>
        </w:tc>
        <w:tc>
          <w:tcPr>
            <w:tcW w:w="1418" w:type="dxa"/>
            <w:shd w:val="clear" w:color="auto" w:fill="E5E5E5" w:themeFill="background1" w:themeFillTint="33"/>
            <w:noWrap/>
            <w:vAlign w:val="center"/>
            <w:hideMark/>
          </w:tcPr>
          <w:p w:rsidR="00B07341" w:rsidRPr="00A27991" w:rsidRDefault="00B07341" w:rsidP="0063681D">
            <w:pPr>
              <w:spacing w:after="0" w:line="240" w:lineRule="auto"/>
              <w:ind w:left="33" w:right="349"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0.0</w:t>
            </w:r>
          </w:p>
        </w:tc>
      </w:tr>
      <w:tr w:rsidR="00B07341" w:rsidRPr="00865E79" w:rsidTr="00907F90">
        <w:trPr>
          <w:trHeight w:val="397"/>
        </w:trPr>
        <w:tc>
          <w:tcPr>
            <w:tcW w:w="2552" w:type="dxa"/>
            <w:shd w:val="clear" w:color="auto" w:fill="FFFFFF" w:themeFill="background2"/>
            <w:noWrap/>
            <w:vAlign w:val="center"/>
            <w:hideMark/>
          </w:tcPr>
          <w:p w:rsidR="00B07341" w:rsidRPr="00A27991" w:rsidRDefault="00B07341" w:rsidP="0063681D">
            <w:pPr>
              <w:spacing w:after="0" w:line="240" w:lineRule="auto"/>
              <w:ind w:left="33" w:firstLine="1"/>
              <w:rPr>
                <w:rFonts w:eastAsia="Times New Roman" w:cstheme="minorHAnsi"/>
                <w:sz w:val="20"/>
                <w:szCs w:val="20"/>
                <w:lang w:eastAsia="en-AU"/>
              </w:rPr>
            </w:pPr>
            <w:r w:rsidRPr="00A27991">
              <w:rPr>
                <w:rFonts w:eastAsia="Times New Roman" w:cstheme="minorHAnsi"/>
                <w:sz w:val="20"/>
                <w:szCs w:val="20"/>
                <w:lang w:eastAsia="en-AU"/>
              </w:rPr>
              <w:t>Other services</w:t>
            </w:r>
          </w:p>
        </w:tc>
        <w:tc>
          <w:tcPr>
            <w:tcW w:w="1134"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4.4</w:t>
            </w:r>
          </w:p>
        </w:tc>
        <w:tc>
          <w:tcPr>
            <w:tcW w:w="1280"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3.7</w:t>
            </w:r>
          </w:p>
        </w:tc>
        <w:tc>
          <w:tcPr>
            <w:tcW w:w="1315"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4.0</w:t>
            </w:r>
          </w:p>
        </w:tc>
        <w:tc>
          <w:tcPr>
            <w:tcW w:w="1232" w:type="dxa"/>
            <w:shd w:val="clear" w:color="auto" w:fill="FFFFFF" w:themeFill="background2"/>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4.4</w:t>
            </w:r>
          </w:p>
        </w:tc>
        <w:tc>
          <w:tcPr>
            <w:tcW w:w="1418" w:type="dxa"/>
            <w:shd w:val="clear" w:color="auto" w:fill="FFFFFF" w:themeFill="background2"/>
            <w:noWrap/>
            <w:vAlign w:val="center"/>
            <w:hideMark/>
          </w:tcPr>
          <w:p w:rsidR="00B07341" w:rsidRPr="00A27991" w:rsidRDefault="00B07341" w:rsidP="0063681D">
            <w:pPr>
              <w:spacing w:after="0" w:line="240" w:lineRule="auto"/>
              <w:ind w:left="33" w:right="349"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-0.3</w:t>
            </w:r>
          </w:p>
        </w:tc>
      </w:tr>
      <w:tr w:rsidR="00B07341" w:rsidRPr="00865E79" w:rsidTr="00907F90">
        <w:trPr>
          <w:trHeight w:val="397"/>
        </w:trPr>
        <w:tc>
          <w:tcPr>
            <w:tcW w:w="2552" w:type="dxa"/>
            <w:shd w:val="clear" w:color="auto" w:fill="8EAEDE"/>
            <w:noWrap/>
            <w:vAlign w:val="center"/>
            <w:hideMark/>
          </w:tcPr>
          <w:p w:rsidR="00B07341" w:rsidRPr="00A27991" w:rsidRDefault="00B07341" w:rsidP="0063681D">
            <w:pPr>
              <w:spacing w:after="0" w:line="240" w:lineRule="auto"/>
              <w:ind w:left="33" w:firstLine="1"/>
              <w:rPr>
                <w:rFonts w:eastAsia="Times New Roman" w:cstheme="minorHAnsi"/>
                <w:bCs/>
                <w:sz w:val="20"/>
                <w:szCs w:val="20"/>
                <w:lang w:eastAsia="en-AU"/>
              </w:rPr>
            </w:pPr>
            <w:r w:rsidRPr="00A27991">
              <w:rPr>
                <w:rFonts w:eastAsia="Times New Roman" w:cstheme="minorHAnsi"/>
                <w:bCs/>
                <w:sz w:val="20"/>
                <w:szCs w:val="20"/>
                <w:lang w:eastAsia="en-AU"/>
              </w:rPr>
              <w:t>T</w:t>
            </w:r>
            <w:r w:rsidRPr="00865E79">
              <w:rPr>
                <w:rFonts w:eastAsia="Times New Roman" w:cstheme="minorHAnsi"/>
                <w:bCs/>
                <w:sz w:val="20"/>
                <w:szCs w:val="20"/>
                <w:lang w:eastAsia="en-AU"/>
              </w:rPr>
              <w:t>otal</w:t>
            </w:r>
          </w:p>
        </w:tc>
        <w:tc>
          <w:tcPr>
            <w:tcW w:w="1134" w:type="dxa"/>
            <w:shd w:val="clear" w:color="auto" w:fill="8EAEDE"/>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100.0</w:t>
            </w:r>
          </w:p>
        </w:tc>
        <w:tc>
          <w:tcPr>
            <w:tcW w:w="1280" w:type="dxa"/>
            <w:shd w:val="clear" w:color="auto" w:fill="8EAEDE"/>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100.0</w:t>
            </w:r>
          </w:p>
        </w:tc>
        <w:tc>
          <w:tcPr>
            <w:tcW w:w="1315" w:type="dxa"/>
            <w:shd w:val="clear" w:color="auto" w:fill="8EAEDE"/>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100.0</w:t>
            </w:r>
          </w:p>
        </w:tc>
        <w:tc>
          <w:tcPr>
            <w:tcW w:w="1232" w:type="dxa"/>
            <w:shd w:val="clear" w:color="auto" w:fill="8EAEDE"/>
            <w:noWrap/>
            <w:vAlign w:val="center"/>
            <w:hideMark/>
          </w:tcPr>
          <w:p w:rsidR="00B07341" w:rsidRPr="00A27991" w:rsidRDefault="00B07341" w:rsidP="0063681D">
            <w:pPr>
              <w:spacing w:after="0" w:line="240" w:lineRule="auto"/>
              <w:ind w:left="33"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100.0</w:t>
            </w:r>
          </w:p>
        </w:tc>
        <w:tc>
          <w:tcPr>
            <w:tcW w:w="1418" w:type="dxa"/>
            <w:shd w:val="clear" w:color="auto" w:fill="8EAEDE"/>
            <w:noWrap/>
            <w:vAlign w:val="center"/>
            <w:hideMark/>
          </w:tcPr>
          <w:p w:rsidR="00B07341" w:rsidRPr="00A27991" w:rsidRDefault="00B07341" w:rsidP="0063681D">
            <w:pPr>
              <w:spacing w:after="0" w:line="240" w:lineRule="auto"/>
              <w:ind w:left="33" w:right="349" w:firstLine="1"/>
              <w:jc w:val="right"/>
              <w:rPr>
                <w:rFonts w:eastAsia="Times New Roman" w:cstheme="minorHAnsi"/>
                <w:color w:val="000000"/>
                <w:sz w:val="20"/>
                <w:szCs w:val="20"/>
                <w:lang w:eastAsia="en-AU"/>
              </w:rPr>
            </w:pPr>
            <w:r w:rsidRPr="00A27991">
              <w:rPr>
                <w:rFonts w:eastAsia="Times New Roman" w:cstheme="minorHAnsi"/>
                <w:color w:val="000000"/>
                <w:sz w:val="20"/>
                <w:szCs w:val="20"/>
                <w:lang w:eastAsia="en-AU"/>
              </w:rPr>
              <w:t>0.0</w:t>
            </w:r>
          </w:p>
        </w:tc>
      </w:tr>
    </w:tbl>
    <w:p w:rsidR="00B07341" w:rsidRPr="00907F90" w:rsidRDefault="00B07341" w:rsidP="000615B6">
      <w:pPr>
        <w:pStyle w:val="Source"/>
        <w:rPr>
          <w:rFonts w:eastAsia="Univers"/>
          <w:lang w:eastAsia="en-AU"/>
        </w:rPr>
      </w:pPr>
      <w:r w:rsidRPr="00907F90">
        <w:rPr>
          <w:rFonts w:eastAsia="Univers"/>
          <w:lang w:eastAsia="en-AU"/>
        </w:rPr>
        <w:t>Notes:</w:t>
      </w:r>
    </w:p>
    <w:p w:rsidR="00B07341" w:rsidRDefault="00B07341" w:rsidP="00E3205B">
      <w:pPr>
        <w:pStyle w:val="Sourceandnotetextsubnote"/>
        <w:keepNext w:val="0"/>
        <w:keepLines w:val="0"/>
        <w:numPr>
          <w:ilvl w:val="0"/>
          <w:numId w:val="85"/>
        </w:numPr>
        <w:ind w:left="714" w:hanging="357"/>
        <w:rPr>
          <w:rFonts w:eastAsia="Univers"/>
          <w:lang w:eastAsia="en-AU"/>
        </w:rPr>
      </w:pPr>
      <w:r w:rsidRPr="00263CE0">
        <w:rPr>
          <w:rFonts w:eastAsia="Univers"/>
          <w:lang w:eastAsia="en-AU"/>
        </w:rPr>
        <w:t>Industry of main job.</w:t>
      </w:r>
    </w:p>
    <w:p w:rsidR="00B07341" w:rsidRPr="00263CE0" w:rsidRDefault="00B07341" w:rsidP="00E3205B">
      <w:pPr>
        <w:pStyle w:val="Sourceandnotetextsubnote"/>
        <w:keepNext w:val="0"/>
        <w:keepLines w:val="0"/>
        <w:numPr>
          <w:ilvl w:val="0"/>
          <w:numId w:val="85"/>
        </w:numPr>
        <w:ind w:left="714" w:hanging="357"/>
        <w:rPr>
          <w:rFonts w:eastAsia="Univers"/>
          <w:lang w:eastAsia="en-AU"/>
        </w:rPr>
      </w:pPr>
      <w:r w:rsidRPr="00263CE0">
        <w:rPr>
          <w:rFonts w:eastAsia="Univers"/>
          <w:lang w:eastAsia="en-AU"/>
        </w:rPr>
        <w:t xml:space="preserve">Bonus claims – </w:t>
      </w:r>
      <w:r>
        <w:rPr>
          <w:rFonts w:eastAsia="Univers"/>
          <w:lang w:eastAsia="en-AU"/>
        </w:rPr>
        <w:t>Those</w:t>
      </w:r>
      <w:r w:rsidRPr="00263CE0">
        <w:rPr>
          <w:rFonts w:eastAsia="Univers"/>
          <w:lang w:eastAsia="en-AU"/>
        </w:rPr>
        <w:t xml:space="preserve"> who claimed and approved </w:t>
      </w:r>
      <w:r>
        <w:rPr>
          <w:rFonts w:eastAsia="Univers"/>
          <w:lang w:eastAsia="en-AU"/>
        </w:rPr>
        <w:t xml:space="preserve">for JCB1 </w:t>
      </w:r>
      <w:r w:rsidRPr="00263CE0">
        <w:rPr>
          <w:rFonts w:eastAsia="Univers"/>
          <w:lang w:eastAsia="en-AU"/>
        </w:rPr>
        <w:t xml:space="preserve">after 1 July 2016 – this accounted for </w:t>
      </w:r>
      <w:r>
        <w:rPr>
          <w:rFonts w:eastAsia="Univers"/>
          <w:lang w:eastAsia="en-AU"/>
        </w:rPr>
        <w:t>3,199</w:t>
      </w:r>
      <w:r w:rsidRPr="00263CE0">
        <w:rPr>
          <w:rFonts w:eastAsia="Univers"/>
          <w:lang w:eastAsia="en-AU"/>
        </w:rPr>
        <w:t xml:space="preserve"> claims in total.</w:t>
      </w:r>
      <w:r>
        <w:rPr>
          <w:rFonts w:eastAsia="Univers"/>
          <w:lang w:eastAsia="en-AU"/>
        </w:rPr>
        <w:t xml:space="preserve"> The industry relates to employment in the JCB1 period. If multiple jobs were claimed then the job that the person had been employed in the longest in the 12 months qualifying period for the JCB1 is used. This may not necessarily have been the main job (in terms of hours or earnings).</w:t>
      </w:r>
    </w:p>
    <w:p w:rsidR="00B07341" w:rsidRDefault="00B07341" w:rsidP="008477D2">
      <w:pPr>
        <w:pStyle w:val="Source"/>
        <w:rPr>
          <w:rFonts w:eastAsia="Univers"/>
          <w:lang w:eastAsia="en-AU"/>
        </w:rPr>
      </w:pPr>
      <w:r w:rsidRPr="000615B6">
        <w:rPr>
          <w:rFonts w:eastAsia="Univers"/>
          <w:lang w:eastAsia="en-AU"/>
        </w:rPr>
        <w:t>Source:</w:t>
      </w:r>
      <w:r w:rsidRPr="000615B6">
        <w:rPr>
          <w:rFonts w:eastAsia="Univers"/>
          <w:b w:val="0"/>
          <w:lang w:eastAsia="en-AU"/>
        </w:rPr>
        <w:t xml:space="preserve"> AB</w:t>
      </w:r>
      <w:r w:rsidR="00395094">
        <w:rPr>
          <w:rFonts w:eastAsia="Univers"/>
          <w:b w:val="0"/>
          <w:lang w:eastAsia="en-AU"/>
        </w:rPr>
        <w:t>S Labour Force survey, Australia (electronic delivery),</w:t>
      </w:r>
      <w:r w:rsidRPr="000615B6">
        <w:rPr>
          <w:rFonts w:eastAsia="Univers"/>
          <w:b w:val="0"/>
          <w:lang w:eastAsia="en-AU"/>
        </w:rPr>
        <w:t xml:space="preserve"> Department of Employment administrative and DHS monitoring data</w:t>
      </w:r>
      <w:r w:rsidR="008477D2">
        <w:rPr>
          <w:rFonts w:eastAsia="Univers"/>
          <w:lang w:eastAsia="en-AU"/>
        </w:rPr>
        <w:t>.</w:t>
      </w:r>
    </w:p>
    <w:p w:rsidR="00590FD7" w:rsidRPr="000615B6" w:rsidRDefault="00590FD7" w:rsidP="00590FD7">
      <w:pPr>
        <w:pStyle w:val="Source"/>
        <w:spacing w:before="120"/>
        <w:rPr>
          <w:b w:val="0"/>
        </w:rPr>
      </w:pPr>
      <w:r>
        <w:rPr>
          <w:b w:val="0"/>
        </w:rPr>
        <w:t xml:space="preserve">Return to </w:t>
      </w:r>
      <w:hyperlink w:anchor="Place_F19a" w:history="1">
        <w:r w:rsidR="00D75340">
          <w:rPr>
            <w:rStyle w:val="Hyperlink"/>
            <w:b w:val="0"/>
          </w:rPr>
          <w:t>Section 4.3.2</w:t>
        </w:r>
      </w:hyperlink>
      <w:r w:rsidRPr="00590FD7">
        <w:rPr>
          <w:b w:val="0"/>
        </w:rPr>
        <w:t>.</w:t>
      </w:r>
    </w:p>
    <w:p w:rsidR="00590FD7" w:rsidRPr="008477D2" w:rsidRDefault="00590FD7" w:rsidP="008477D2">
      <w:pPr>
        <w:pStyle w:val="Source"/>
        <w:rPr>
          <w:rFonts w:eastAsia="Univers"/>
          <w:lang w:eastAsia="en-AU"/>
        </w:rPr>
        <w:sectPr w:rsidR="00590FD7" w:rsidRPr="008477D2" w:rsidSect="00D75340">
          <w:pgSz w:w="11906" w:h="16838" w:code="9"/>
          <w:pgMar w:top="1440" w:right="1440" w:bottom="1440" w:left="1440" w:header="709" w:footer="709" w:gutter="0"/>
          <w:cols w:space="708"/>
          <w:docGrid w:linePitch="360"/>
        </w:sectPr>
      </w:pPr>
    </w:p>
    <w:p w:rsidR="00325628" w:rsidRPr="0006372F" w:rsidRDefault="00603A49" w:rsidP="0006372F">
      <w:pPr>
        <w:pStyle w:val="TableCaption"/>
      </w:pPr>
      <w:bookmarkStart w:id="293" w:name="_Toc507600336"/>
      <w:bookmarkEnd w:id="239"/>
      <w:bookmarkEnd w:id="240"/>
      <w:r>
        <w:lastRenderedPageBreak/>
        <w:t>Table F</w:t>
      </w:r>
      <w:r w:rsidR="00BB1226">
        <w:t>.</w:t>
      </w:r>
      <w:r w:rsidR="00E76396">
        <w:t>20</w:t>
      </w:r>
      <w:r w:rsidR="00BB1226">
        <w:t>: RDD model parameters for the proportion off LTU off income support 52 weeks after exit by model type</w:t>
      </w:r>
      <w:r w:rsidR="00E85955">
        <w:t>, h</w:t>
      </w:r>
      <w:r w:rsidR="00BB1226" w:rsidRPr="001A4F81">
        <w:t xml:space="preserve">igher </w:t>
      </w:r>
      <w:r w:rsidR="00325628">
        <w:t>end of the JCB age</w:t>
      </w:r>
      <w:r w:rsidR="00325628" w:rsidRPr="007C05BC">
        <w:t xml:space="preserve"> range</w:t>
      </w:r>
      <w:bookmarkEnd w:id="293"/>
    </w:p>
    <w:tbl>
      <w:tblPr>
        <w:tblW w:w="8946" w:type="dxa"/>
        <w:tblInd w:w="93" w:type="dxa"/>
        <w:tblLook w:val="04A0" w:firstRow="1" w:lastRow="0" w:firstColumn="1" w:lastColumn="0" w:noHBand="0" w:noVBand="1"/>
      </w:tblPr>
      <w:tblGrid>
        <w:gridCol w:w="1575"/>
        <w:gridCol w:w="1559"/>
        <w:gridCol w:w="1843"/>
        <w:gridCol w:w="1842"/>
        <w:gridCol w:w="2127"/>
      </w:tblGrid>
      <w:tr w:rsidR="00BB1226" w:rsidRPr="00DF2DA0" w:rsidTr="004272D4">
        <w:trPr>
          <w:trHeight w:val="588"/>
          <w:tblHeader/>
        </w:trPr>
        <w:tc>
          <w:tcPr>
            <w:tcW w:w="1575" w:type="dxa"/>
            <w:tcBorders>
              <w:top w:val="nil"/>
              <w:left w:val="nil"/>
              <w:bottom w:val="nil"/>
              <w:right w:val="nil"/>
            </w:tcBorders>
            <w:shd w:val="clear" w:color="000000" w:fill="1E3D6B"/>
            <w:noWrap/>
            <w:vAlign w:val="bottom"/>
            <w:hideMark/>
          </w:tcPr>
          <w:p w:rsidR="00BB1226" w:rsidRPr="00C54A19" w:rsidRDefault="00BB1226" w:rsidP="004272D4">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bookmarkStart w:id="294" w:name="Title_F19"/>
            <w:bookmarkEnd w:id="294"/>
          </w:p>
        </w:tc>
        <w:tc>
          <w:tcPr>
            <w:tcW w:w="1559" w:type="dxa"/>
            <w:tcBorders>
              <w:top w:val="nil"/>
              <w:left w:val="nil"/>
              <w:bottom w:val="nil"/>
              <w:right w:val="nil"/>
            </w:tcBorders>
            <w:shd w:val="clear" w:color="000000" w:fill="1E3D6B"/>
            <w:vAlign w:val="center"/>
            <w:hideMark/>
          </w:tcPr>
          <w:p w:rsidR="00BB1226" w:rsidRPr="00C54A19" w:rsidRDefault="00BB1226" w:rsidP="00907F90">
            <w:pPr>
              <w:spacing w:after="0" w:line="240" w:lineRule="auto"/>
              <w:jc w:val="center"/>
              <w:rPr>
                <w:rFonts w:ascii="Calibri" w:eastAsia="Times New Roman" w:hAnsi="Calibri" w:cs="Calibri"/>
                <w:b/>
                <w:bCs/>
                <w:color w:val="FFFFFF"/>
                <w:sz w:val="20"/>
                <w:szCs w:val="20"/>
                <w:lang w:eastAsia="en-AU"/>
              </w:rPr>
            </w:pPr>
            <w:r w:rsidRPr="00C54A19">
              <w:rPr>
                <w:rFonts w:ascii="Calibri" w:eastAsia="Times New Roman" w:hAnsi="Calibri" w:cs="Calibri"/>
                <w:b/>
                <w:bCs/>
                <w:color w:val="FFFFFF"/>
                <w:sz w:val="20"/>
                <w:szCs w:val="20"/>
                <w:lang w:eastAsia="en-AU"/>
              </w:rPr>
              <w:t>Linear</w:t>
            </w:r>
          </w:p>
        </w:tc>
        <w:tc>
          <w:tcPr>
            <w:tcW w:w="1843" w:type="dxa"/>
            <w:tcBorders>
              <w:top w:val="nil"/>
              <w:left w:val="nil"/>
              <w:bottom w:val="nil"/>
              <w:right w:val="nil"/>
            </w:tcBorders>
            <w:shd w:val="clear" w:color="000000" w:fill="1E3D6B"/>
            <w:vAlign w:val="center"/>
            <w:hideMark/>
          </w:tcPr>
          <w:p w:rsidR="00BB1226" w:rsidRPr="00C54A19" w:rsidRDefault="00BB1226" w:rsidP="00907F90">
            <w:pPr>
              <w:spacing w:after="0" w:line="240" w:lineRule="auto"/>
              <w:jc w:val="center"/>
              <w:rPr>
                <w:rFonts w:ascii="Calibri" w:eastAsia="Times New Roman" w:hAnsi="Calibri" w:cs="Calibri"/>
                <w:b/>
                <w:bCs/>
                <w:color w:val="FFFFFF"/>
                <w:sz w:val="20"/>
                <w:szCs w:val="20"/>
                <w:lang w:eastAsia="en-AU"/>
              </w:rPr>
            </w:pPr>
            <w:r w:rsidRPr="00C54A19">
              <w:rPr>
                <w:rFonts w:ascii="Calibri" w:eastAsia="Times New Roman" w:hAnsi="Calibri" w:cs="Calibri"/>
                <w:b/>
                <w:bCs/>
                <w:color w:val="FFFFFF"/>
                <w:sz w:val="20"/>
                <w:szCs w:val="20"/>
                <w:lang w:eastAsia="en-AU"/>
              </w:rPr>
              <w:t>Linear interaction</w:t>
            </w:r>
          </w:p>
        </w:tc>
        <w:tc>
          <w:tcPr>
            <w:tcW w:w="1842" w:type="dxa"/>
            <w:tcBorders>
              <w:top w:val="nil"/>
              <w:left w:val="nil"/>
              <w:bottom w:val="nil"/>
              <w:right w:val="nil"/>
            </w:tcBorders>
            <w:shd w:val="clear" w:color="000000" w:fill="1E3D6B"/>
            <w:vAlign w:val="center"/>
            <w:hideMark/>
          </w:tcPr>
          <w:p w:rsidR="00BB1226" w:rsidRPr="00C54A19" w:rsidRDefault="00BB1226" w:rsidP="00907F90">
            <w:pPr>
              <w:spacing w:after="0" w:line="240" w:lineRule="auto"/>
              <w:jc w:val="center"/>
              <w:rPr>
                <w:rFonts w:ascii="Calibri" w:eastAsia="Times New Roman" w:hAnsi="Calibri" w:cs="Calibri"/>
                <w:b/>
                <w:bCs/>
                <w:color w:val="FFFFFF"/>
                <w:sz w:val="20"/>
                <w:szCs w:val="20"/>
                <w:lang w:eastAsia="en-AU"/>
              </w:rPr>
            </w:pPr>
            <w:r w:rsidRPr="00C54A19">
              <w:rPr>
                <w:rFonts w:ascii="Calibri" w:eastAsia="Times New Roman" w:hAnsi="Calibri" w:cs="Calibri"/>
                <w:b/>
                <w:bCs/>
                <w:color w:val="FFFFFF"/>
                <w:sz w:val="20"/>
                <w:szCs w:val="20"/>
                <w:lang w:eastAsia="en-AU"/>
              </w:rPr>
              <w:t>Squared</w:t>
            </w:r>
          </w:p>
        </w:tc>
        <w:tc>
          <w:tcPr>
            <w:tcW w:w="2127" w:type="dxa"/>
            <w:tcBorders>
              <w:top w:val="nil"/>
              <w:left w:val="nil"/>
              <w:bottom w:val="nil"/>
              <w:right w:val="nil"/>
            </w:tcBorders>
            <w:shd w:val="clear" w:color="000000" w:fill="1E3D6B"/>
            <w:vAlign w:val="center"/>
            <w:hideMark/>
          </w:tcPr>
          <w:p w:rsidR="00BB1226" w:rsidRPr="00C54A19" w:rsidRDefault="00BB1226" w:rsidP="00907F90">
            <w:pPr>
              <w:spacing w:after="0" w:line="240" w:lineRule="auto"/>
              <w:jc w:val="center"/>
              <w:rPr>
                <w:rFonts w:ascii="Calibri" w:eastAsia="Times New Roman" w:hAnsi="Calibri" w:cs="Calibri"/>
                <w:b/>
                <w:bCs/>
                <w:color w:val="FFFFFF"/>
                <w:sz w:val="20"/>
                <w:szCs w:val="20"/>
                <w:lang w:eastAsia="en-AU"/>
              </w:rPr>
            </w:pPr>
            <w:r w:rsidRPr="00C54A19">
              <w:rPr>
                <w:rFonts w:ascii="Calibri" w:eastAsia="Times New Roman" w:hAnsi="Calibri" w:cs="Calibri"/>
                <w:b/>
                <w:bCs/>
                <w:color w:val="FFFFFF"/>
                <w:sz w:val="20"/>
                <w:szCs w:val="20"/>
                <w:lang w:eastAsia="en-AU"/>
              </w:rPr>
              <w:t>Squared interaction</w:t>
            </w:r>
          </w:p>
        </w:tc>
      </w:tr>
      <w:tr w:rsidR="00BB1226" w:rsidRPr="00DF2DA0" w:rsidTr="004272D4">
        <w:trPr>
          <w:trHeight w:hRule="exact" w:val="340"/>
        </w:trPr>
        <w:tc>
          <w:tcPr>
            <w:tcW w:w="1575" w:type="dxa"/>
            <w:tcBorders>
              <w:top w:val="nil"/>
              <w:left w:val="nil"/>
              <w:bottom w:val="nil"/>
              <w:right w:val="nil"/>
            </w:tcBorders>
            <w:shd w:val="clear" w:color="auto" w:fill="auto"/>
            <w:vAlign w:val="center"/>
            <w:hideMark/>
          </w:tcPr>
          <w:p w:rsidR="00BB1226" w:rsidRPr="00C54A19" w:rsidRDefault="00BB1226" w:rsidP="004272D4">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Constant</w:t>
            </w:r>
          </w:p>
        </w:tc>
        <w:tc>
          <w:tcPr>
            <w:tcW w:w="1559" w:type="dxa"/>
            <w:tcBorders>
              <w:top w:val="nil"/>
              <w:left w:val="nil"/>
              <w:bottom w:val="nil"/>
              <w:right w:val="nil"/>
            </w:tcBorders>
            <w:shd w:val="clear" w:color="auto" w:fill="auto"/>
            <w:noWrap/>
            <w:vAlign w:val="center"/>
            <w:hideMark/>
          </w:tcPr>
          <w:p w:rsidR="00BB1226" w:rsidRPr="00C54A19" w:rsidRDefault="00BB122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61.794</w:t>
            </w:r>
          </w:p>
        </w:tc>
        <w:tc>
          <w:tcPr>
            <w:tcW w:w="1843" w:type="dxa"/>
            <w:tcBorders>
              <w:top w:val="nil"/>
              <w:left w:val="nil"/>
              <w:bottom w:val="nil"/>
              <w:right w:val="nil"/>
            </w:tcBorders>
            <w:shd w:val="clear" w:color="auto" w:fill="auto"/>
            <w:noWrap/>
            <w:vAlign w:val="center"/>
            <w:hideMark/>
          </w:tcPr>
          <w:p w:rsidR="00BB1226" w:rsidRPr="00C54A19" w:rsidRDefault="00BB122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62.012</w:t>
            </w:r>
          </w:p>
        </w:tc>
        <w:tc>
          <w:tcPr>
            <w:tcW w:w="1842" w:type="dxa"/>
            <w:tcBorders>
              <w:top w:val="nil"/>
              <w:left w:val="nil"/>
              <w:bottom w:val="nil"/>
              <w:right w:val="nil"/>
            </w:tcBorders>
            <w:shd w:val="clear" w:color="auto" w:fill="auto"/>
            <w:noWrap/>
            <w:vAlign w:val="center"/>
            <w:hideMark/>
          </w:tcPr>
          <w:p w:rsidR="00BB1226" w:rsidRPr="00C54A19" w:rsidRDefault="00BB122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61.793</w:t>
            </w:r>
          </w:p>
        </w:tc>
        <w:tc>
          <w:tcPr>
            <w:tcW w:w="2127" w:type="dxa"/>
            <w:tcBorders>
              <w:top w:val="nil"/>
              <w:left w:val="nil"/>
              <w:bottom w:val="nil"/>
              <w:right w:val="nil"/>
            </w:tcBorders>
            <w:shd w:val="clear" w:color="auto" w:fill="auto"/>
            <w:noWrap/>
            <w:vAlign w:val="center"/>
            <w:hideMark/>
          </w:tcPr>
          <w:p w:rsidR="00BB1226" w:rsidRPr="00C54A19" w:rsidRDefault="00BB122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63.962</w:t>
            </w:r>
          </w:p>
        </w:tc>
      </w:tr>
      <w:tr w:rsidR="00BB1226" w:rsidRPr="00DF2DA0" w:rsidTr="004272D4">
        <w:trPr>
          <w:trHeight w:hRule="exact" w:val="340"/>
        </w:trPr>
        <w:tc>
          <w:tcPr>
            <w:tcW w:w="1575" w:type="dxa"/>
            <w:tcBorders>
              <w:top w:val="nil"/>
              <w:left w:val="nil"/>
              <w:bottom w:val="nil"/>
              <w:right w:val="nil"/>
            </w:tcBorders>
            <w:shd w:val="clear" w:color="auto" w:fill="auto"/>
            <w:vAlign w:val="center"/>
            <w:hideMark/>
          </w:tcPr>
          <w:p w:rsidR="00BB1226" w:rsidRPr="00C54A19" w:rsidRDefault="00BB1226" w:rsidP="004272D4">
            <w:pPr>
              <w:spacing w:after="0" w:line="240" w:lineRule="auto"/>
              <w:rPr>
                <w:rFonts w:ascii="Calibri" w:eastAsia="Times New Roman" w:hAnsi="Calibri" w:cs="Calibri"/>
                <w:i/>
                <w:iCs/>
                <w:color w:val="000000"/>
                <w:sz w:val="20"/>
                <w:szCs w:val="20"/>
                <w:lang w:eastAsia="en-AU"/>
              </w:rPr>
            </w:pPr>
          </w:p>
        </w:tc>
        <w:tc>
          <w:tcPr>
            <w:tcW w:w="1559" w:type="dxa"/>
            <w:tcBorders>
              <w:top w:val="nil"/>
              <w:left w:val="nil"/>
              <w:bottom w:val="nil"/>
              <w:right w:val="nil"/>
            </w:tcBorders>
            <w:shd w:val="clear" w:color="auto" w:fill="auto"/>
            <w:noWrap/>
            <w:vAlign w:val="center"/>
            <w:hideMark/>
          </w:tcPr>
          <w:p w:rsidR="00BB1226" w:rsidRPr="00C54A19" w:rsidRDefault="00BB122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&lt;.0001</w:t>
            </w:r>
          </w:p>
        </w:tc>
        <w:tc>
          <w:tcPr>
            <w:tcW w:w="1843" w:type="dxa"/>
            <w:tcBorders>
              <w:top w:val="nil"/>
              <w:left w:val="nil"/>
              <w:bottom w:val="nil"/>
              <w:right w:val="nil"/>
            </w:tcBorders>
            <w:shd w:val="clear" w:color="auto" w:fill="auto"/>
            <w:noWrap/>
            <w:vAlign w:val="center"/>
            <w:hideMark/>
          </w:tcPr>
          <w:p w:rsidR="00BB1226" w:rsidRPr="00C54A19" w:rsidRDefault="00BB122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&lt;.0001</w:t>
            </w:r>
          </w:p>
        </w:tc>
        <w:tc>
          <w:tcPr>
            <w:tcW w:w="1842" w:type="dxa"/>
            <w:tcBorders>
              <w:top w:val="nil"/>
              <w:left w:val="nil"/>
              <w:bottom w:val="nil"/>
              <w:right w:val="nil"/>
            </w:tcBorders>
            <w:shd w:val="clear" w:color="auto" w:fill="auto"/>
            <w:noWrap/>
            <w:vAlign w:val="center"/>
            <w:hideMark/>
          </w:tcPr>
          <w:p w:rsidR="00BB1226" w:rsidRPr="00C54A19" w:rsidRDefault="00BB122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&lt;.0001</w:t>
            </w:r>
          </w:p>
        </w:tc>
        <w:tc>
          <w:tcPr>
            <w:tcW w:w="2127" w:type="dxa"/>
            <w:tcBorders>
              <w:top w:val="nil"/>
              <w:left w:val="nil"/>
              <w:bottom w:val="nil"/>
              <w:right w:val="nil"/>
            </w:tcBorders>
            <w:shd w:val="clear" w:color="auto" w:fill="auto"/>
            <w:noWrap/>
            <w:vAlign w:val="center"/>
            <w:hideMark/>
          </w:tcPr>
          <w:p w:rsidR="00BB1226" w:rsidRPr="00C54A19" w:rsidRDefault="00BB122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&lt;.0001</w:t>
            </w:r>
          </w:p>
        </w:tc>
      </w:tr>
      <w:tr w:rsidR="00BB1226" w:rsidRPr="00DF2DA0" w:rsidTr="004272D4">
        <w:trPr>
          <w:trHeight w:hRule="exact" w:val="340"/>
        </w:trPr>
        <w:tc>
          <w:tcPr>
            <w:tcW w:w="1575" w:type="dxa"/>
            <w:tcBorders>
              <w:top w:val="nil"/>
              <w:left w:val="nil"/>
              <w:bottom w:val="nil"/>
              <w:right w:val="nil"/>
            </w:tcBorders>
            <w:shd w:val="clear" w:color="000000" w:fill="F2F2F2"/>
            <w:noWrap/>
            <w:vAlign w:val="center"/>
            <w:hideMark/>
          </w:tcPr>
          <w:p w:rsidR="00BB1226" w:rsidRPr="00C54A19" w:rsidRDefault="00BB1226" w:rsidP="004272D4">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r</w:t>
            </w:r>
            <w:r w:rsidRPr="00C54A19">
              <w:rPr>
                <w:rFonts w:ascii="Calibri" w:eastAsia="Times New Roman" w:hAnsi="Calibri" w:cs="Calibri"/>
                <w:i/>
                <w:iCs/>
                <w:color w:val="000000"/>
                <w:sz w:val="20"/>
                <w:szCs w:val="20"/>
                <w:vertAlign w:val="subscript"/>
                <w:lang w:eastAsia="en-AU"/>
              </w:rPr>
              <w:t>i</w:t>
            </w:r>
          </w:p>
        </w:tc>
        <w:tc>
          <w:tcPr>
            <w:tcW w:w="1559" w:type="dxa"/>
            <w:tcBorders>
              <w:top w:val="nil"/>
              <w:left w:val="nil"/>
              <w:bottom w:val="nil"/>
              <w:right w:val="nil"/>
            </w:tcBorders>
            <w:shd w:val="clear" w:color="000000" w:fill="F2F2F2"/>
            <w:noWrap/>
            <w:vAlign w:val="center"/>
            <w:hideMark/>
          </w:tcPr>
          <w:p w:rsidR="00BB1226" w:rsidRPr="00C54A19" w:rsidRDefault="00BB122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-0.829</w:t>
            </w:r>
          </w:p>
        </w:tc>
        <w:tc>
          <w:tcPr>
            <w:tcW w:w="1843" w:type="dxa"/>
            <w:tcBorders>
              <w:top w:val="nil"/>
              <w:left w:val="nil"/>
              <w:bottom w:val="nil"/>
              <w:right w:val="nil"/>
            </w:tcBorders>
            <w:shd w:val="clear" w:color="000000" w:fill="F2F2F2"/>
            <w:noWrap/>
            <w:vAlign w:val="center"/>
            <w:hideMark/>
          </w:tcPr>
          <w:p w:rsidR="00BB1226" w:rsidRPr="00C54A19" w:rsidRDefault="00BB122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-0.759</w:t>
            </w:r>
          </w:p>
        </w:tc>
        <w:tc>
          <w:tcPr>
            <w:tcW w:w="1842" w:type="dxa"/>
            <w:tcBorders>
              <w:top w:val="nil"/>
              <w:left w:val="nil"/>
              <w:bottom w:val="nil"/>
              <w:right w:val="nil"/>
            </w:tcBorders>
            <w:shd w:val="clear" w:color="000000" w:fill="F2F2F2"/>
            <w:noWrap/>
            <w:vAlign w:val="center"/>
            <w:hideMark/>
          </w:tcPr>
          <w:p w:rsidR="00BB1226" w:rsidRPr="00C54A19" w:rsidRDefault="00BB122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-0.817</w:t>
            </w:r>
          </w:p>
        </w:tc>
        <w:tc>
          <w:tcPr>
            <w:tcW w:w="2127" w:type="dxa"/>
            <w:tcBorders>
              <w:top w:val="nil"/>
              <w:left w:val="nil"/>
              <w:bottom w:val="nil"/>
              <w:right w:val="nil"/>
            </w:tcBorders>
            <w:shd w:val="clear" w:color="000000" w:fill="F2F2F2"/>
            <w:noWrap/>
            <w:vAlign w:val="center"/>
            <w:hideMark/>
          </w:tcPr>
          <w:p w:rsidR="00BB1226" w:rsidRPr="00C54A19" w:rsidRDefault="00BB122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1.041</w:t>
            </w:r>
          </w:p>
        </w:tc>
      </w:tr>
      <w:tr w:rsidR="00BB1226" w:rsidRPr="00DF2DA0" w:rsidTr="004272D4">
        <w:trPr>
          <w:trHeight w:hRule="exact" w:val="340"/>
        </w:trPr>
        <w:tc>
          <w:tcPr>
            <w:tcW w:w="1575" w:type="dxa"/>
            <w:tcBorders>
              <w:top w:val="nil"/>
              <w:left w:val="nil"/>
              <w:bottom w:val="nil"/>
              <w:right w:val="nil"/>
            </w:tcBorders>
            <w:shd w:val="clear" w:color="000000" w:fill="F2F2F2"/>
            <w:vAlign w:val="center"/>
            <w:hideMark/>
          </w:tcPr>
          <w:p w:rsidR="00BB1226" w:rsidRPr="00C54A19" w:rsidRDefault="00BB1226" w:rsidP="004272D4">
            <w:pPr>
              <w:spacing w:after="0" w:line="240" w:lineRule="auto"/>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559" w:type="dxa"/>
            <w:tcBorders>
              <w:top w:val="nil"/>
              <w:left w:val="nil"/>
              <w:bottom w:val="nil"/>
              <w:right w:val="nil"/>
            </w:tcBorders>
            <w:shd w:val="clear" w:color="000000" w:fill="F2F2F2"/>
            <w:noWrap/>
            <w:vAlign w:val="center"/>
            <w:hideMark/>
          </w:tcPr>
          <w:p w:rsidR="00BB1226" w:rsidRPr="00C54A19" w:rsidRDefault="00BB122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0.060</w:t>
            </w:r>
          </w:p>
        </w:tc>
        <w:tc>
          <w:tcPr>
            <w:tcW w:w="1843" w:type="dxa"/>
            <w:tcBorders>
              <w:top w:val="nil"/>
              <w:left w:val="nil"/>
              <w:bottom w:val="nil"/>
              <w:right w:val="nil"/>
            </w:tcBorders>
            <w:shd w:val="clear" w:color="000000" w:fill="F2F2F2"/>
            <w:noWrap/>
            <w:vAlign w:val="center"/>
            <w:hideMark/>
          </w:tcPr>
          <w:p w:rsidR="00BB1226" w:rsidRPr="00C54A19" w:rsidRDefault="00BB122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0.133</w:t>
            </w:r>
          </w:p>
        </w:tc>
        <w:tc>
          <w:tcPr>
            <w:tcW w:w="1842" w:type="dxa"/>
            <w:tcBorders>
              <w:top w:val="nil"/>
              <w:left w:val="nil"/>
              <w:bottom w:val="nil"/>
              <w:right w:val="nil"/>
            </w:tcBorders>
            <w:shd w:val="clear" w:color="000000" w:fill="F2F2F2"/>
            <w:noWrap/>
            <w:vAlign w:val="center"/>
            <w:hideMark/>
          </w:tcPr>
          <w:p w:rsidR="00BB1226" w:rsidRPr="00C54A19" w:rsidRDefault="00BB122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0.169</w:t>
            </w:r>
          </w:p>
        </w:tc>
        <w:tc>
          <w:tcPr>
            <w:tcW w:w="2127" w:type="dxa"/>
            <w:tcBorders>
              <w:top w:val="nil"/>
              <w:left w:val="nil"/>
              <w:bottom w:val="nil"/>
              <w:right w:val="nil"/>
            </w:tcBorders>
            <w:shd w:val="clear" w:color="000000" w:fill="F2F2F2"/>
            <w:noWrap/>
            <w:vAlign w:val="center"/>
            <w:hideMark/>
          </w:tcPr>
          <w:p w:rsidR="00BB1226" w:rsidRPr="00C54A19" w:rsidRDefault="00BB122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0.596</w:t>
            </w:r>
          </w:p>
        </w:tc>
      </w:tr>
      <w:tr w:rsidR="00BB1226" w:rsidRPr="00DF2DA0" w:rsidTr="004272D4">
        <w:trPr>
          <w:trHeight w:hRule="exact" w:val="340"/>
        </w:trPr>
        <w:tc>
          <w:tcPr>
            <w:tcW w:w="1575" w:type="dxa"/>
            <w:tcBorders>
              <w:top w:val="nil"/>
              <w:left w:val="nil"/>
              <w:bottom w:val="nil"/>
              <w:right w:val="nil"/>
            </w:tcBorders>
            <w:shd w:val="clear" w:color="auto" w:fill="auto"/>
            <w:noWrap/>
            <w:vAlign w:val="center"/>
            <w:hideMark/>
          </w:tcPr>
          <w:p w:rsidR="00BB1226" w:rsidRPr="00C54A19" w:rsidRDefault="00BB1226" w:rsidP="004272D4">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d</w:t>
            </w:r>
            <w:r w:rsidRPr="00C54A19">
              <w:rPr>
                <w:rFonts w:ascii="Calibri" w:eastAsia="Times New Roman" w:hAnsi="Calibri" w:cs="Calibri"/>
                <w:i/>
                <w:iCs/>
                <w:color w:val="000000"/>
                <w:sz w:val="20"/>
                <w:szCs w:val="20"/>
                <w:vertAlign w:val="subscript"/>
                <w:lang w:eastAsia="en-AU"/>
              </w:rPr>
              <w:t>i</w:t>
            </w:r>
          </w:p>
        </w:tc>
        <w:tc>
          <w:tcPr>
            <w:tcW w:w="1559" w:type="dxa"/>
            <w:tcBorders>
              <w:top w:val="nil"/>
              <w:left w:val="nil"/>
              <w:bottom w:val="nil"/>
              <w:right w:val="nil"/>
            </w:tcBorders>
            <w:shd w:val="clear" w:color="auto" w:fill="auto"/>
            <w:noWrap/>
            <w:vAlign w:val="center"/>
            <w:hideMark/>
          </w:tcPr>
          <w:p w:rsidR="00BB1226" w:rsidRPr="00C54A19" w:rsidRDefault="00BB122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-0.102</w:t>
            </w:r>
          </w:p>
        </w:tc>
        <w:tc>
          <w:tcPr>
            <w:tcW w:w="1843" w:type="dxa"/>
            <w:tcBorders>
              <w:top w:val="nil"/>
              <w:left w:val="nil"/>
              <w:bottom w:val="nil"/>
              <w:right w:val="nil"/>
            </w:tcBorders>
            <w:shd w:val="clear" w:color="auto" w:fill="auto"/>
            <w:noWrap/>
            <w:vAlign w:val="center"/>
            <w:hideMark/>
          </w:tcPr>
          <w:p w:rsidR="00BB1226" w:rsidRPr="00C54A19" w:rsidRDefault="00BB122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0.122</w:t>
            </w:r>
          </w:p>
        </w:tc>
        <w:tc>
          <w:tcPr>
            <w:tcW w:w="1842" w:type="dxa"/>
            <w:tcBorders>
              <w:top w:val="nil"/>
              <w:left w:val="nil"/>
              <w:bottom w:val="nil"/>
              <w:right w:val="nil"/>
            </w:tcBorders>
            <w:shd w:val="clear" w:color="auto" w:fill="auto"/>
            <w:noWrap/>
            <w:vAlign w:val="center"/>
            <w:hideMark/>
          </w:tcPr>
          <w:p w:rsidR="00BB1226" w:rsidRPr="00C54A19" w:rsidRDefault="00BB122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-0.138</w:t>
            </w:r>
          </w:p>
        </w:tc>
        <w:tc>
          <w:tcPr>
            <w:tcW w:w="2127" w:type="dxa"/>
            <w:tcBorders>
              <w:top w:val="nil"/>
              <w:left w:val="nil"/>
              <w:bottom w:val="nil"/>
              <w:right w:val="nil"/>
            </w:tcBorders>
            <w:shd w:val="clear" w:color="auto" w:fill="auto"/>
            <w:noWrap/>
            <w:vAlign w:val="center"/>
            <w:hideMark/>
          </w:tcPr>
          <w:p w:rsidR="00BB1226" w:rsidRPr="00C54A19" w:rsidRDefault="00BB122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-1.197</w:t>
            </w:r>
          </w:p>
        </w:tc>
      </w:tr>
      <w:tr w:rsidR="00BB1226" w:rsidRPr="00DF2DA0" w:rsidTr="004272D4">
        <w:trPr>
          <w:trHeight w:hRule="exact" w:val="340"/>
        </w:trPr>
        <w:tc>
          <w:tcPr>
            <w:tcW w:w="1575" w:type="dxa"/>
            <w:tcBorders>
              <w:top w:val="nil"/>
              <w:left w:val="nil"/>
              <w:bottom w:val="nil"/>
              <w:right w:val="nil"/>
            </w:tcBorders>
            <w:shd w:val="clear" w:color="auto" w:fill="auto"/>
            <w:vAlign w:val="center"/>
            <w:hideMark/>
          </w:tcPr>
          <w:p w:rsidR="00BB1226" w:rsidRPr="00C54A19" w:rsidRDefault="00BB1226" w:rsidP="004272D4">
            <w:pPr>
              <w:spacing w:after="0" w:line="240" w:lineRule="auto"/>
              <w:rPr>
                <w:rFonts w:ascii="Calibri" w:eastAsia="Times New Roman" w:hAnsi="Calibri" w:cs="Calibri"/>
                <w:i/>
                <w:iCs/>
                <w:color w:val="000000"/>
                <w:sz w:val="20"/>
                <w:szCs w:val="20"/>
                <w:lang w:eastAsia="en-AU"/>
              </w:rPr>
            </w:pPr>
          </w:p>
        </w:tc>
        <w:tc>
          <w:tcPr>
            <w:tcW w:w="1559" w:type="dxa"/>
            <w:tcBorders>
              <w:top w:val="nil"/>
              <w:left w:val="nil"/>
              <w:bottom w:val="nil"/>
              <w:right w:val="nil"/>
            </w:tcBorders>
            <w:shd w:val="clear" w:color="auto" w:fill="auto"/>
            <w:noWrap/>
            <w:vAlign w:val="center"/>
            <w:hideMark/>
          </w:tcPr>
          <w:p w:rsidR="00BB1226" w:rsidRPr="00C54A19" w:rsidRDefault="00BB122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0.968</w:t>
            </w:r>
          </w:p>
        </w:tc>
        <w:tc>
          <w:tcPr>
            <w:tcW w:w="1843" w:type="dxa"/>
            <w:tcBorders>
              <w:top w:val="nil"/>
              <w:left w:val="nil"/>
              <w:bottom w:val="nil"/>
              <w:right w:val="nil"/>
            </w:tcBorders>
            <w:shd w:val="clear" w:color="auto" w:fill="auto"/>
            <w:noWrap/>
            <w:vAlign w:val="center"/>
            <w:hideMark/>
          </w:tcPr>
          <w:p w:rsidR="00BB1226" w:rsidRPr="00C54A19" w:rsidRDefault="00BB122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0.964</w:t>
            </w:r>
          </w:p>
        </w:tc>
        <w:tc>
          <w:tcPr>
            <w:tcW w:w="1842" w:type="dxa"/>
            <w:tcBorders>
              <w:top w:val="nil"/>
              <w:left w:val="nil"/>
              <w:bottom w:val="nil"/>
              <w:right w:val="nil"/>
            </w:tcBorders>
            <w:shd w:val="clear" w:color="auto" w:fill="auto"/>
            <w:noWrap/>
            <w:vAlign w:val="center"/>
            <w:hideMark/>
          </w:tcPr>
          <w:p w:rsidR="00BB1226" w:rsidRPr="00C54A19" w:rsidRDefault="00BB122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0.961</w:t>
            </w:r>
          </w:p>
        </w:tc>
        <w:tc>
          <w:tcPr>
            <w:tcW w:w="2127" w:type="dxa"/>
            <w:tcBorders>
              <w:top w:val="nil"/>
              <w:left w:val="nil"/>
              <w:bottom w:val="nil"/>
              <w:right w:val="nil"/>
            </w:tcBorders>
            <w:shd w:val="clear" w:color="auto" w:fill="auto"/>
            <w:noWrap/>
            <w:vAlign w:val="center"/>
            <w:hideMark/>
          </w:tcPr>
          <w:p w:rsidR="00BB1226" w:rsidRPr="00C54A19" w:rsidRDefault="00BB122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0.692</w:t>
            </w:r>
          </w:p>
        </w:tc>
      </w:tr>
      <w:tr w:rsidR="00BB1226" w:rsidRPr="00DF2DA0" w:rsidTr="004272D4">
        <w:trPr>
          <w:trHeight w:hRule="exact" w:val="340"/>
        </w:trPr>
        <w:tc>
          <w:tcPr>
            <w:tcW w:w="1575" w:type="dxa"/>
            <w:tcBorders>
              <w:top w:val="nil"/>
              <w:left w:val="nil"/>
              <w:bottom w:val="nil"/>
              <w:right w:val="nil"/>
            </w:tcBorders>
            <w:shd w:val="clear" w:color="000000" w:fill="F2F2F2"/>
            <w:noWrap/>
            <w:vAlign w:val="center"/>
            <w:hideMark/>
          </w:tcPr>
          <w:p w:rsidR="00BB1226" w:rsidRPr="00C54A19" w:rsidRDefault="00BB1226" w:rsidP="004272D4">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d</w:t>
            </w:r>
            <w:r w:rsidRPr="00C54A19">
              <w:rPr>
                <w:rFonts w:ascii="Calibri" w:eastAsia="Times New Roman" w:hAnsi="Calibri" w:cs="Calibri"/>
                <w:i/>
                <w:iCs/>
                <w:color w:val="000000"/>
                <w:sz w:val="20"/>
                <w:szCs w:val="20"/>
                <w:vertAlign w:val="subscript"/>
                <w:lang w:eastAsia="en-AU"/>
              </w:rPr>
              <w:t>i</w:t>
            </w:r>
            <w:r w:rsidRPr="00C54A19">
              <w:rPr>
                <w:rFonts w:ascii="Calibri" w:eastAsia="Times New Roman" w:hAnsi="Calibri" w:cs="Calibri"/>
                <w:color w:val="000000"/>
                <w:sz w:val="20"/>
                <w:szCs w:val="20"/>
                <w:lang w:eastAsia="en-AU"/>
              </w:rPr>
              <w:t>r</w:t>
            </w:r>
            <w:r w:rsidRPr="00C54A19">
              <w:rPr>
                <w:rFonts w:ascii="Calibri" w:eastAsia="Times New Roman" w:hAnsi="Calibri" w:cs="Calibri"/>
                <w:i/>
                <w:iCs/>
                <w:color w:val="000000"/>
                <w:sz w:val="20"/>
                <w:szCs w:val="20"/>
                <w:vertAlign w:val="subscript"/>
                <w:lang w:eastAsia="en-AU"/>
              </w:rPr>
              <w:t>i</w:t>
            </w:r>
          </w:p>
        </w:tc>
        <w:tc>
          <w:tcPr>
            <w:tcW w:w="1559" w:type="dxa"/>
            <w:tcBorders>
              <w:top w:val="nil"/>
              <w:left w:val="nil"/>
              <w:bottom w:val="nil"/>
              <w:right w:val="nil"/>
            </w:tcBorders>
            <w:shd w:val="clear" w:color="000000" w:fill="F2F2F2"/>
            <w:noWrap/>
            <w:vAlign w:val="center"/>
            <w:hideMark/>
          </w:tcPr>
          <w:p w:rsidR="00BB1226" w:rsidRPr="00C54A19" w:rsidRDefault="00BB122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p>
        </w:tc>
        <w:tc>
          <w:tcPr>
            <w:tcW w:w="1843" w:type="dxa"/>
            <w:tcBorders>
              <w:top w:val="nil"/>
              <w:left w:val="nil"/>
              <w:bottom w:val="nil"/>
              <w:right w:val="nil"/>
            </w:tcBorders>
            <w:shd w:val="clear" w:color="000000" w:fill="F2F2F2"/>
            <w:noWrap/>
            <w:vAlign w:val="center"/>
            <w:hideMark/>
          </w:tcPr>
          <w:p w:rsidR="00BB1226" w:rsidRPr="00C54A19" w:rsidRDefault="00BB122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-0.306</w:t>
            </w:r>
          </w:p>
        </w:tc>
        <w:tc>
          <w:tcPr>
            <w:tcW w:w="1842" w:type="dxa"/>
            <w:tcBorders>
              <w:top w:val="nil"/>
              <w:left w:val="nil"/>
              <w:bottom w:val="nil"/>
              <w:right w:val="nil"/>
            </w:tcBorders>
            <w:shd w:val="clear" w:color="000000" w:fill="F2F2F2"/>
            <w:noWrap/>
            <w:vAlign w:val="center"/>
            <w:hideMark/>
          </w:tcPr>
          <w:p w:rsidR="00BB1226" w:rsidRPr="00C54A19" w:rsidRDefault="00BB122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p>
        </w:tc>
        <w:tc>
          <w:tcPr>
            <w:tcW w:w="2127" w:type="dxa"/>
            <w:tcBorders>
              <w:top w:val="nil"/>
              <w:left w:val="nil"/>
              <w:bottom w:val="nil"/>
              <w:right w:val="nil"/>
            </w:tcBorders>
            <w:shd w:val="clear" w:color="000000" w:fill="F2F2F2"/>
            <w:noWrap/>
            <w:vAlign w:val="center"/>
            <w:hideMark/>
          </w:tcPr>
          <w:p w:rsidR="00BB1226" w:rsidRPr="00C54A19" w:rsidRDefault="00BB122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-3.185</w:t>
            </w:r>
          </w:p>
        </w:tc>
      </w:tr>
      <w:tr w:rsidR="00BB1226" w:rsidRPr="00DF2DA0" w:rsidTr="004272D4">
        <w:trPr>
          <w:trHeight w:hRule="exact" w:val="340"/>
        </w:trPr>
        <w:tc>
          <w:tcPr>
            <w:tcW w:w="1575" w:type="dxa"/>
            <w:tcBorders>
              <w:top w:val="nil"/>
              <w:left w:val="nil"/>
              <w:bottom w:val="nil"/>
              <w:right w:val="nil"/>
            </w:tcBorders>
            <w:shd w:val="clear" w:color="000000" w:fill="F2F2F2"/>
            <w:vAlign w:val="center"/>
            <w:hideMark/>
          </w:tcPr>
          <w:p w:rsidR="00BB1226" w:rsidRPr="00C54A19" w:rsidRDefault="00BB1226" w:rsidP="004272D4">
            <w:pPr>
              <w:spacing w:after="0" w:line="240" w:lineRule="auto"/>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559" w:type="dxa"/>
            <w:tcBorders>
              <w:top w:val="nil"/>
              <w:left w:val="nil"/>
              <w:bottom w:val="nil"/>
              <w:right w:val="nil"/>
            </w:tcBorders>
            <w:shd w:val="clear" w:color="000000" w:fill="F2F2F2"/>
            <w:noWrap/>
            <w:vAlign w:val="center"/>
            <w:hideMark/>
          </w:tcPr>
          <w:p w:rsidR="00BB1226" w:rsidRPr="00C54A19" w:rsidRDefault="00BB122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843" w:type="dxa"/>
            <w:tcBorders>
              <w:top w:val="nil"/>
              <w:left w:val="nil"/>
              <w:bottom w:val="nil"/>
              <w:right w:val="nil"/>
            </w:tcBorders>
            <w:shd w:val="clear" w:color="000000" w:fill="F2F2F2"/>
            <w:noWrap/>
            <w:vAlign w:val="center"/>
            <w:hideMark/>
          </w:tcPr>
          <w:p w:rsidR="00BB1226" w:rsidRPr="00C54A19" w:rsidRDefault="00BB122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0.769</w:t>
            </w:r>
          </w:p>
        </w:tc>
        <w:tc>
          <w:tcPr>
            <w:tcW w:w="1842" w:type="dxa"/>
            <w:tcBorders>
              <w:top w:val="nil"/>
              <w:left w:val="nil"/>
              <w:bottom w:val="nil"/>
              <w:right w:val="nil"/>
            </w:tcBorders>
            <w:shd w:val="clear" w:color="000000" w:fill="F2F2F2"/>
            <w:noWrap/>
            <w:vAlign w:val="center"/>
            <w:hideMark/>
          </w:tcPr>
          <w:p w:rsidR="00BB1226" w:rsidRPr="00C54A19" w:rsidRDefault="00BB122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2127" w:type="dxa"/>
            <w:tcBorders>
              <w:top w:val="nil"/>
              <w:left w:val="nil"/>
              <w:bottom w:val="nil"/>
              <w:right w:val="nil"/>
            </w:tcBorders>
            <w:shd w:val="clear" w:color="000000" w:fill="F2F2F2"/>
            <w:noWrap/>
            <w:vAlign w:val="center"/>
            <w:hideMark/>
          </w:tcPr>
          <w:p w:rsidR="00BB1226" w:rsidRPr="00C54A19" w:rsidRDefault="00BB122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0.324</w:t>
            </w:r>
          </w:p>
        </w:tc>
      </w:tr>
      <w:tr w:rsidR="00BB1226" w:rsidRPr="00DF2DA0" w:rsidTr="004272D4">
        <w:trPr>
          <w:trHeight w:hRule="exact" w:val="340"/>
        </w:trPr>
        <w:tc>
          <w:tcPr>
            <w:tcW w:w="1575" w:type="dxa"/>
            <w:tcBorders>
              <w:top w:val="nil"/>
              <w:left w:val="nil"/>
              <w:bottom w:val="nil"/>
              <w:right w:val="nil"/>
            </w:tcBorders>
            <w:shd w:val="clear" w:color="000000" w:fill="FFFFFF"/>
            <w:noWrap/>
            <w:vAlign w:val="center"/>
            <w:hideMark/>
          </w:tcPr>
          <w:p w:rsidR="00BB1226" w:rsidRPr="00C54A19" w:rsidRDefault="00BB1226" w:rsidP="004272D4">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r</w:t>
            </w:r>
            <w:r w:rsidRPr="00C54A19">
              <w:rPr>
                <w:rFonts w:ascii="Calibri" w:eastAsia="Times New Roman" w:hAnsi="Calibri" w:cs="Calibri"/>
                <w:i/>
                <w:iCs/>
                <w:color w:val="000000"/>
                <w:sz w:val="20"/>
                <w:szCs w:val="20"/>
                <w:vertAlign w:val="subscript"/>
                <w:lang w:eastAsia="en-AU"/>
              </w:rPr>
              <w:t>i</w:t>
            </w:r>
            <w:r w:rsidRPr="00C54A19">
              <w:rPr>
                <w:rFonts w:ascii="Calibri" w:eastAsia="Times New Roman" w:hAnsi="Calibri" w:cs="Calibri"/>
                <w:color w:val="000000"/>
                <w:sz w:val="20"/>
                <w:szCs w:val="20"/>
                <w:vertAlign w:val="superscript"/>
                <w:lang w:eastAsia="en-AU"/>
              </w:rPr>
              <w:t>2</w:t>
            </w:r>
          </w:p>
        </w:tc>
        <w:tc>
          <w:tcPr>
            <w:tcW w:w="1559" w:type="dxa"/>
            <w:tcBorders>
              <w:top w:val="nil"/>
              <w:left w:val="nil"/>
              <w:bottom w:val="nil"/>
              <w:right w:val="nil"/>
            </w:tcBorders>
            <w:shd w:val="clear" w:color="000000" w:fill="FFFFFF"/>
            <w:noWrap/>
            <w:vAlign w:val="center"/>
            <w:hideMark/>
          </w:tcPr>
          <w:p w:rsidR="00BB1226" w:rsidRPr="00C54A19" w:rsidRDefault="00BB122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p>
        </w:tc>
        <w:tc>
          <w:tcPr>
            <w:tcW w:w="1843" w:type="dxa"/>
            <w:tcBorders>
              <w:top w:val="nil"/>
              <w:left w:val="nil"/>
              <w:bottom w:val="nil"/>
              <w:right w:val="nil"/>
            </w:tcBorders>
            <w:shd w:val="clear" w:color="000000" w:fill="FFFFFF"/>
            <w:noWrap/>
            <w:vAlign w:val="center"/>
            <w:hideMark/>
          </w:tcPr>
          <w:p w:rsidR="00BB1226" w:rsidRPr="00C54A19" w:rsidRDefault="00BB122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p>
        </w:tc>
        <w:tc>
          <w:tcPr>
            <w:tcW w:w="1842" w:type="dxa"/>
            <w:tcBorders>
              <w:top w:val="nil"/>
              <w:left w:val="nil"/>
              <w:bottom w:val="nil"/>
              <w:right w:val="nil"/>
            </w:tcBorders>
            <w:shd w:val="clear" w:color="000000" w:fill="FFFFFF"/>
            <w:noWrap/>
            <w:vAlign w:val="center"/>
            <w:hideMark/>
          </w:tcPr>
          <w:p w:rsidR="00BB1226" w:rsidRPr="00C54A19" w:rsidRDefault="00BB122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0.003</w:t>
            </w:r>
          </w:p>
        </w:tc>
        <w:tc>
          <w:tcPr>
            <w:tcW w:w="2127" w:type="dxa"/>
            <w:tcBorders>
              <w:top w:val="nil"/>
              <w:left w:val="nil"/>
              <w:bottom w:val="nil"/>
              <w:right w:val="nil"/>
            </w:tcBorders>
            <w:shd w:val="clear" w:color="000000" w:fill="FFFFFF"/>
            <w:noWrap/>
            <w:vAlign w:val="center"/>
            <w:hideMark/>
          </w:tcPr>
          <w:p w:rsidR="00BB1226" w:rsidRPr="00C54A19" w:rsidRDefault="00BB122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0.288</w:t>
            </w:r>
          </w:p>
        </w:tc>
      </w:tr>
      <w:tr w:rsidR="00BB1226" w:rsidRPr="00DF2DA0" w:rsidTr="004272D4">
        <w:trPr>
          <w:trHeight w:hRule="exact" w:val="340"/>
        </w:trPr>
        <w:tc>
          <w:tcPr>
            <w:tcW w:w="1575" w:type="dxa"/>
            <w:tcBorders>
              <w:top w:val="nil"/>
              <w:left w:val="nil"/>
              <w:bottom w:val="nil"/>
              <w:right w:val="nil"/>
            </w:tcBorders>
            <w:shd w:val="clear" w:color="000000" w:fill="FFFFFF"/>
            <w:vAlign w:val="center"/>
            <w:hideMark/>
          </w:tcPr>
          <w:p w:rsidR="00BB1226" w:rsidRPr="00C54A19" w:rsidRDefault="00BB1226" w:rsidP="004272D4">
            <w:pPr>
              <w:spacing w:after="0" w:line="240" w:lineRule="auto"/>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559" w:type="dxa"/>
            <w:tcBorders>
              <w:top w:val="nil"/>
              <w:left w:val="nil"/>
              <w:bottom w:val="nil"/>
              <w:right w:val="nil"/>
            </w:tcBorders>
            <w:shd w:val="clear" w:color="000000" w:fill="FFFFFF"/>
            <w:noWrap/>
            <w:vAlign w:val="center"/>
            <w:hideMark/>
          </w:tcPr>
          <w:p w:rsidR="00BB1226" w:rsidRPr="00C54A19" w:rsidRDefault="00BB122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843" w:type="dxa"/>
            <w:tcBorders>
              <w:top w:val="nil"/>
              <w:left w:val="nil"/>
              <w:bottom w:val="nil"/>
              <w:right w:val="nil"/>
            </w:tcBorders>
            <w:shd w:val="clear" w:color="000000" w:fill="FFFFFF"/>
            <w:noWrap/>
            <w:vAlign w:val="center"/>
            <w:hideMark/>
          </w:tcPr>
          <w:p w:rsidR="00BB1226" w:rsidRPr="00C54A19" w:rsidRDefault="00BB122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842" w:type="dxa"/>
            <w:tcBorders>
              <w:top w:val="nil"/>
              <w:left w:val="nil"/>
              <w:bottom w:val="nil"/>
              <w:right w:val="nil"/>
            </w:tcBorders>
            <w:shd w:val="clear" w:color="000000" w:fill="FFFFFF"/>
            <w:noWrap/>
            <w:vAlign w:val="center"/>
            <w:hideMark/>
          </w:tcPr>
          <w:p w:rsidR="00BB1226" w:rsidRPr="00C54A19" w:rsidRDefault="00BB122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0.975</w:t>
            </w:r>
          </w:p>
        </w:tc>
        <w:tc>
          <w:tcPr>
            <w:tcW w:w="2127" w:type="dxa"/>
            <w:tcBorders>
              <w:top w:val="nil"/>
              <w:left w:val="nil"/>
              <w:bottom w:val="nil"/>
              <w:right w:val="nil"/>
            </w:tcBorders>
            <w:shd w:val="clear" w:color="000000" w:fill="FFFFFF"/>
            <w:noWrap/>
            <w:vAlign w:val="center"/>
            <w:hideMark/>
          </w:tcPr>
          <w:p w:rsidR="00BB1226" w:rsidRPr="00C54A19" w:rsidRDefault="00BB122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0.345</w:t>
            </w:r>
          </w:p>
        </w:tc>
      </w:tr>
      <w:tr w:rsidR="00BB1226" w:rsidRPr="00DF2DA0" w:rsidTr="004272D4">
        <w:trPr>
          <w:trHeight w:hRule="exact" w:val="340"/>
        </w:trPr>
        <w:tc>
          <w:tcPr>
            <w:tcW w:w="1575" w:type="dxa"/>
            <w:tcBorders>
              <w:top w:val="nil"/>
              <w:left w:val="nil"/>
              <w:bottom w:val="nil"/>
              <w:right w:val="nil"/>
            </w:tcBorders>
            <w:shd w:val="clear" w:color="000000" w:fill="F2F2F2"/>
            <w:noWrap/>
            <w:vAlign w:val="center"/>
            <w:hideMark/>
          </w:tcPr>
          <w:p w:rsidR="00BB1226" w:rsidRPr="00C54A19" w:rsidRDefault="00BB1226" w:rsidP="004272D4">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d</w:t>
            </w:r>
            <w:r w:rsidRPr="00C54A19">
              <w:rPr>
                <w:rFonts w:ascii="Calibri" w:eastAsia="Times New Roman" w:hAnsi="Calibri" w:cs="Calibri"/>
                <w:i/>
                <w:iCs/>
                <w:color w:val="000000"/>
                <w:sz w:val="20"/>
                <w:szCs w:val="20"/>
                <w:vertAlign w:val="subscript"/>
                <w:lang w:eastAsia="en-AU"/>
              </w:rPr>
              <w:t>i</w:t>
            </w:r>
            <w:r w:rsidRPr="00C54A19">
              <w:rPr>
                <w:rFonts w:ascii="Calibri" w:eastAsia="Times New Roman" w:hAnsi="Calibri" w:cs="Calibri"/>
                <w:color w:val="000000"/>
                <w:sz w:val="20"/>
                <w:szCs w:val="20"/>
                <w:lang w:eastAsia="en-AU"/>
              </w:rPr>
              <w:t>r</w:t>
            </w:r>
            <w:r w:rsidRPr="00C54A19">
              <w:rPr>
                <w:rFonts w:ascii="Calibri" w:eastAsia="Times New Roman" w:hAnsi="Calibri" w:cs="Calibri"/>
                <w:i/>
                <w:iCs/>
                <w:color w:val="000000"/>
                <w:sz w:val="20"/>
                <w:szCs w:val="20"/>
                <w:vertAlign w:val="subscript"/>
                <w:lang w:eastAsia="en-AU"/>
              </w:rPr>
              <w:t>i</w:t>
            </w:r>
            <w:r w:rsidRPr="00C54A19">
              <w:rPr>
                <w:rFonts w:ascii="Calibri" w:eastAsia="Times New Roman" w:hAnsi="Calibri" w:cs="Calibri"/>
                <w:color w:val="000000"/>
                <w:sz w:val="20"/>
                <w:szCs w:val="20"/>
                <w:vertAlign w:val="superscript"/>
                <w:lang w:eastAsia="en-AU"/>
              </w:rPr>
              <w:t>2</w:t>
            </w:r>
          </w:p>
        </w:tc>
        <w:tc>
          <w:tcPr>
            <w:tcW w:w="1559" w:type="dxa"/>
            <w:tcBorders>
              <w:top w:val="nil"/>
              <w:left w:val="nil"/>
              <w:bottom w:val="nil"/>
              <w:right w:val="nil"/>
            </w:tcBorders>
            <w:shd w:val="clear" w:color="000000" w:fill="F2F2F2"/>
            <w:noWrap/>
            <w:vAlign w:val="center"/>
            <w:hideMark/>
          </w:tcPr>
          <w:p w:rsidR="00BB1226" w:rsidRPr="00C54A19" w:rsidRDefault="00BB122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p>
        </w:tc>
        <w:tc>
          <w:tcPr>
            <w:tcW w:w="1843" w:type="dxa"/>
            <w:tcBorders>
              <w:top w:val="nil"/>
              <w:left w:val="nil"/>
              <w:bottom w:val="nil"/>
              <w:right w:val="nil"/>
            </w:tcBorders>
            <w:shd w:val="clear" w:color="000000" w:fill="F2F2F2"/>
            <w:noWrap/>
            <w:vAlign w:val="center"/>
            <w:hideMark/>
          </w:tcPr>
          <w:p w:rsidR="00BB1226" w:rsidRPr="00C54A19" w:rsidRDefault="00BB122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p>
        </w:tc>
        <w:tc>
          <w:tcPr>
            <w:tcW w:w="1842" w:type="dxa"/>
            <w:tcBorders>
              <w:top w:val="nil"/>
              <w:left w:val="nil"/>
              <w:bottom w:val="nil"/>
              <w:right w:val="nil"/>
            </w:tcBorders>
            <w:shd w:val="clear" w:color="000000" w:fill="F2F2F2"/>
            <w:noWrap/>
            <w:vAlign w:val="center"/>
            <w:hideMark/>
          </w:tcPr>
          <w:p w:rsidR="00BB1226" w:rsidRPr="00C54A19" w:rsidRDefault="00BB122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 </w:t>
            </w:r>
          </w:p>
        </w:tc>
        <w:tc>
          <w:tcPr>
            <w:tcW w:w="2127" w:type="dxa"/>
            <w:tcBorders>
              <w:top w:val="nil"/>
              <w:left w:val="nil"/>
              <w:bottom w:val="nil"/>
              <w:right w:val="nil"/>
            </w:tcBorders>
            <w:shd w:val="clear" w:color="000000" w:fill="F2F2F2"/>
            <w:noWrap/>
            <w:vAlign w:val="center"/>
            <w:hideMark/>
          </w:tcPr>
          <w:p w:rsidR="00BB1226" w:rsidRPr="00C54A19" w:rsidRDefault="00BB122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3.717</w:t>
            </w:r>
          </w:p>
        </w:tc>
      </w:tr>
      <w:tr w:rsidR="00BB1226" w:rsidRPr="00DF2DA0" w:rsidTr="004272D4">
        <w:trPr>
          <w:trHeight w:hRule="exact" w:val="340"/>
        </w:trPr>
        <w:tc>
          <w:tcPr>
            <w:tcW w:w="1575" w:type="dxa"/>
            <w:tcBorders>
              <w:top w:val="nil"/>
              <w:left w:val="nil"/>
              <w:bottom w:val="nil"/>
              <w:right w:val="nil"/>
            </w:tcBorders>
            <w:shd w:val="clear" w:color="000000" w:fill="F2F2F2"/>
            <w:noWrap/>
            <w:vAlign w:val="center"/>
            <w:hideMark/>
          </w:tcPr>
          <w:p w:rsidR="00BB1226" w:rsidRPr="00C54A19" w:rsidRDefault="00BB1226" w:rsidP="004272D4">
            <w:pPr>
              <w:spacing w:after="0" w:line="240" w:lineRule="auto"/>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559" w:type="dxa"/>
            <w:tcBorders>
              <w:top w:val="nil"/>
              <w:left w:val="nil"/>
              <w:bottom w:val="nil"/>
              <w:right w:val="nil"/>
            </w:tcBorders>
            <w:shd w:val="clear" w:color="000000" w:fill="F2F2F2"/>
            <w:noWrap/>
            <w:vAlign w:val="center"/>
            <w:hideMark/>
          </w:tcPr>
          <w:p w:rsidR="00BB1226" w:rsidRPr="00C54A19" w:rsidRDefault="00BB122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843" w:type="dxa"/>
            <w:tcBorders>
              <w:top w:val="nil"/>
              <w:left w:val="nil"/>
              <w:bottom w:val="nil"/>
              <w:right w:val="nil"/>
            </w:tcBorders>
            <w:shd w:val="clear" w:color="000000" w:fill="F2F2F2"/>
            <w:noWrap/>
            <w:vAlign w:val="center"/>
            <w:hideMark/>
          </w:tcPr>
          <w:p w:rsidR="00BB1226" w:rsidRPr="00C54A19" w:rsidRDefault="00BB122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1842" w:type="dxa"/>
            <w:tcBorders>
              <w:top w:val="nil"/>
              <w:left w:val="nil"/>
              <w:bottom w:val="nil"/>
              <w:right w:val="nil"/>
            </w:tcBorders>
            <w:shd w:val="clear" w:color="000000" w:fill="F2F2F2"/>
            <w:noWrap/>
            <w:vAlign w:val="center"/>
            <w:hideMark/>
          </w:tcPr>
          <w:p w:rsidR="00BB1226" w:rsidRPr="00C54A19" w:rsidRDefault="00BB122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 </w:t>
            </w:r>
          </w:p>
        </w:tc>
        <w:tc>
          <w:tcPr>
            <w:tcW w:w="2127" w:type="dxa"/>
            <w:tcBorders>
              <w:top w:val="nil"/>
              <w:left w:val="nil"/>
              <w:bottom w:val="nil"/>
              <w:right w:val="nil"/>
            </w:tcBorders>
            <w:shd w:val="clear" w:color="000000" w:fill="F2F2F2"/>
            <w:noWrap/>
            <w:vAlign w:val="center"/>
            <w:hideMark/>
          </w:tcPr>
          <w:p w:rsidR="00BB1226" w:rsidRPr="00C54A19" w:rsidRDefault="00BB1226" w:rsidP="00907F90">
            <w:pPr>
              <w:spacing w:after="0" w:line="240" w:lineRule="auto"/>
              <w:ind w:right="317"/>
              <w:jc w:val="right"/>
              <w:rPr>
                <w:rFonts w:ascii="Calibri" w:eastAsia="Times New Roman" w:hAnsi="Calibri" w:cs="Calibri"/>
                <w:i/>
                <w:iCs/>
                <w:color w:val="000000"/>
                <w:sz w:val="20"/>
                <w:szCs w:val="20"/>
                <w:lang w:eastAsia="en-AU"/>
              </w:rPr>
            </w:pPr>
            <w:r w:rsidRPr="00C54A19">
              <w:rPr>
                <w:rFonts w:ascii="Calibri" w:eastAsia="Times New Roman" w:hAnsi="Calibri" w:cs="Calibri"/>
                <w:i/>
                <w:iCs/>
                <w:color w:val="000000"/>
                <w:sz w:val="20"/>
                <w:szCs w:val="20"/>
                <w:lang w:eastAsia="en-AU"/>
              </w:rPr>
              <w:t>0.489</w:t>
            </w:r>
          </w:p>
        </w:tc>
      </w:tr>
      <w:tr w:rsidR="00BB1226" w:rsidRPr="00DF2DA0" w:rsidTr="004272D4">
        <w:trPr>
          <w:trHeight w:hRule="exact" w:val="340"/>
        </w:trPr>
        <w:tc>
          <w:tcPr>
            <w:tcW w:w="1575" w:type="dxa"/>
            <w:tcBorders>
              <w:top w:val="nil"/>
              <w:left w:val="nil"/>
              <w:bottom w:val="nil"/>
              <w:right w:val="nil"/>
            </w:tcBorders>
            <w:shd w:val="clear" w:color="000000" w:fill="8EAEDE"/>
            <w:vAlign w:val="center"/>
            <w:hideMark/>
          </w:tcPr>
          <w:p w:rsidR="00BB1226" w:rsidRPr="00C54A19" w:rsidRDefault="00BB1226" w:rsidP="004272D4">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AICc</w:t>
            </w:r>
          </w:p>
        </w:tc>
        <w:tc>
          <w:tcPr>
            <w:tcW w:w="1559" w:type="dxa"/>
            <w:tcBorders>
              <w:top w:val="nil"/>
              <w:left w:val="nil"/>
              <w:bottom w:val="nil"/>
              <w:right w:val="nil"/>
            </w:tcBorders>
            <w:shd w:val="clear" w:color="000000" w:fill="8EAEDE"/>
            <w:noWrap/>
            <w:vAlign w:val="center"/>
            <w:hideMark/>
          </w:tcPr>
          <w:p w:rsidR="00BB1226" w:rsidRPr="00C54A19" w:rsidRDefault="00BB1226" w:rsidP="00907F90">
            <w:pPr>
              <w:spacing w:after="0" w:line="240" w:lineRule="auto"/>
              <w:ind w:right="317"/>
              <w:jc w:val="right"/>
              <w:rPr>
                <w:rFonts w:ascii="Calibri" w:eastAsia="Times New Roman" w:hAnsi="Calibri" w:cs="Calibri"/>
                <w:b/>
                <w:bCs/>
                <w:color w:val="000000"/>
                <w:sz w:val="20"/>
                <w:szCs w:val="20"/>
                <w:lang w:eastAsia="en-AU"/>
              </w:rPr>
            </w:pPr>
            <w:r w:rsidRPr="00C54A19">
              <w:rPr>
                <w:rFonts w:ascii="Calibri" w:eastAsia="Times New Roman" w:hAnsi="Calibri" w:cs="Calibri"/>
                <w:b/>
                <w:bCs/>
                <w:color w:val="000000"/>
                <w:sz w:val="20"/>
                <w:szCs w:val="20"/>
                <w:lang w:eastAsia="en-AU"/>
              </w:rPr>
              <w:t>232.981</w:t>
            </w:r>
          </w:p>
        </w:tc>
        <w:tc>
          <w:tcPr>
            <w:tcW w:w="1843" w:type="dxa"/>
            <w:tcBorders>
              <w:top w:val="nil"/>
              <w:left w:val="nil"/>
              <w:bottom w:val="nil"/>
              <w:right w:val="nil"/>
            </w:tcBorders>
            <w:shd w:val="clear" w:color="000000" w:fill="8EAEDE"/>
            <w:noWrap/>
            <w:vAlign w:val="center"/>
            <w:hideMark/>
          </w:tcPr>
          <w:p w:rsidR="00BB1226" w:rsidRPr="00C54A19" w:rsidRDefault="00BB122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235.505</w:t>
            </w:r>
          </w:p>
        </w:tc>
        <w:tc>
          <w:tcPr>
            <w:tcW w:w="1842" w:type="dxa"/>
            <w:tcBorders>
              <w:top w:val="nil"/>
              <w:left w:val="nil"/>
              <w:bottom w:val="nil"/>
              <w:right w:val="nil"/>
            </w:tcBorders>
            <w:shd w:val="clear" w:color="000000" w:fill="8EAEDE"/>
            <w:noWrap/>
            <w:vAlign w:val="center"/>
            <w:hideMark/>
          </w:tcPr>
          <w:p w:rsidR="00BB1226" w:rsidRPr="00C54A19" w:rsidRDefault="00BB122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235.602</w:t>
            </w:r>
          </w:p>
        </w:tc>
        <w:tc>
          <w:tcPr>
            <w:tcW w:w="2127" w:type="dxa"/>
            <w:tcBorders>
              <w:top w:val="nil"/>
              <w:left w:val="nil"/>
              <w:bottom w:val="nil"/>
              <w:right w:val="nil"/>
            </w:tcBorders>
            <w:shd w:val="clear" w:color="000000" w:fill="8EAEDE"/>
            <w:noWrap/>
            <w:vAlign w:val="center"/>
            <w:hideMark/>
          </w:tcPr>
          <w:p w:rsidR="00BB1226" w:rsidRPr="00C54A19" w:rsidRDefault="00BB1226" w:rsidP="00907F90">
            <w:pPr>
              <w:spacing w:after="0" w:line="240" w:lineRule="auto"/>
              <w:ind w:right="317"/>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239.682</w:t>
            </w:r>
          </w:p>
        </w:tc>
      </w:tr>
    </w:tbl>
    <w:p w:rsidR="00BB1226" w:rsidRDefault="00BB1226" w:rsidP="000615B6">
      <w:pPr>
        <w:pStyle w:val="Source"/>
        <w:rPr>
          <w:b w:val="0"/>
        </w:rPr>
      </w:pPr>
      <w:r w:rsidRPr="000615B6">
        <w:t>Source:</w:t>
      </w:r>
      <w:r w:rsidRPr="000615B6">
        <w:rPr>
          <w:b w:val="0"/>
        </w:rPr>
        <w:t xml:space="preserve"> Department of Employment administrative data and Research and Evaluation Database (RED).</w:t>
      </w:r>
    </w:p>
    <w:p w:rsidR="006A5B97" w:rsidRPr="000615B6" w:rsidRDefault="006A5B97" w:rsidP="006A5B97">
      <w:pPr>
        <w:pStyle w:val="Source"/>
        <w:spacing w:before="120"/>
        <w:rPr>
          <w:b w:val="0"/>
        </w:rPr>
      </w:pPr>
      <w:r>
        <w:rPr>
          <w:b w:val="0"/>
        </w:rPr>
        <w:t xml:space="preserve">Return to </w:t>
      </w:r>
      <w:hyperlink w:anchor="Place_F19" w:history="1">
        <w:r w:rsidR="000C30B2" w:rsidRPr="006A5B97">
          <w:rPr>
            <w:rStyle w:val="Hyperlink"/>
            <w:b w:val="0"/>
          </w:rPr>
          <w:t>Figure 4.</w:t>
        </w:r>
        <w:r w:rsidR="000C30B2">
          <w:rPr>
            <w:rStyle w:val="Hyperlink"/>
            <w:b w:val="0"/>
          </w:rPr>
          <w:t>11</w:t>
        </w:r>
      </w:hyperlink>
      <w:r w:rsidRPr="00590FD7">
        <w:rPr>
          <w:b w:val="0"/>
        </w:rPr>
        <w:t>.</w:t>
      </w:r>
    </w:p>
    <w:p w:rsidR="008065DC" w:rsidRDefault="00603A49" w:rsidP="008477D2">
      <w:pPr>
        <w:pStyle w:val="TableCaption"/>
        <w:spacing w:before="480"/>
      </w:pPr>
      <w:bookmarkStart w:id="295" w:name="_Toc507600337"/>
      <w:r>
        <w:t>Table F</w:t>
      </w:r>
      <w:r w:rsidR="008065DC">
        <w:t>.</w:t>
      </w:r>
      <w:r w:rsidR="00E76396">
        <w:t>21</w:t>
      </w:r>
      <w:r w:rsidR="008065DC" w:rsidRPr="00D83A7E">
        <w:t xml:space="preserve">: </w:t>
      </w:r>
      <w:r w:rsidR="008065DC">
        <w:t>Proportion that sustained exit from income support for 52 weeks, before and after JCB introduction</w:t>
      </w:r>
      <w:bookmarkEnd w:id="295"/>
    </w:p>
    <w:tbl>
      <w:tblPr>
        <w:tblW w:w="9087" w:type="dxa"/>
        <w:tblInd w:w="93" w:type="dxa"/>
        <w:tblLook w:val="04A0" w:firstRow="1" w:lastRow="0" w:firstColumn="1" w:lastColumn="0" w:noHBand="0" w:noVBand="1"/>
      </w:tblPr>
      <w:tblGrid>
        <w:gridCol w:w="2992"/>
        <w:gridCol w:w="2268"/>
        <w:gridCol w:w="1984"/>
        <w:gridCol w:w="1843"/>
      </w:tblGrid>
      <w:tr w:rsidR="00ED222A" w:rsidRPr="00ED222A" w:rsidTr="009464D5">
        <w:trPr>
          <w:trHeight w:hRule="exact" w:val="397"/>
          <w:tblHeader/>
        </w:trPr>
        <w:tc>
          <w:tcPr>
            <w:tcW w:w="2992" w:type="dxa"/>
            <w:shd w:val="clear" w:color="000000" w:fill="1E3D6B"/>
            <w:noWrap/>
            <w:vAlign w:val="center"/>
            <w:hideMark/>
          </w:tcPr>
          <w:p w:rsidR="00ED222A" w:rsidRPr="00C54A19" w:rsidRDefault="009464D5" w:rsidP="008065DC">
            <w:pPr>
              <w:spacing w:after="0" w:line="240" w:lineRule="auto"/>
              <w:rPr>
                <w:rFonts w:ascii="Calibri" w:eastAsia="Times New Roman" w:hAnsi="Calibri" w:cs="Calibri"/>
                <w:b/>
                <w:bCs/>
                <w:color w:val="FFFFFF"/>
                <w:sz w:val="20"/>
                <w:szCs w:val="20"/>
                <w:lang w:eastAsia="en-AU"/>
              </w:rPr>
            </w:pPr>
            <w:bookmarkStart w:id="296" w:name="Title_F20"/>
            <w:bookmarkEnd w:id="296"/>
            <w:r w:rsidRPr="00C54A19">
              <w:rPr>
                <w:rFonts w:ascii="Calibri" w:eastAsia="Times New Roman" w:hAnsi="Calibri" w:cs="Calibri"/>
                <w:b/>
                <w:bCs/>
                <w:color w:val="FFFFFF"/>
                <w:sz w:val="20"/>
                <w:szCs w:val="20"/>
                <w:lang w:eastAsia="en-AU"/>
              </w:rPr>
              <w:t>Age group</w:t>
            </w:r>
          </w:p>
        </w:tc>
        <w:tc>
          <w:tcPr>
            <w:tcW w:w="2268" w:type="dxa"/>
            <w:shd w:val="clear" w:color="000000" w:fill="1E3D6B"/>
            <w:noWrap/>
            <w:vAlign w:val="center"/>
            <w:hideMark/>
          </w:tcPr>
          <w:p w:rsidR="00ED222A" w:rsidRPr="00C54A19" w:rsidRDefault="00ED222A" w:rsidP="008065DC">
            <w:pPr>
              <w:spacing w:after="0" w:line="240" w:lineRule="auto"/>
              <w:ind w:left="202"/>
              <w:rPr>
                <w:rFonts w:ascii="Calibri" w:eastAsia="Times New Roman" w:hAnsi="Calibri" w:cs="Calibri"/>
                <w:b/>
                <w:bCs/>
                <w:color w:val="FFFFFF"/>
                <w:sz w:val="20"/>
                <w:szCs w:val="20"/>
                <w:lang w:eastAsia="en-AU"/>
              </w:rPr>
            </w:pPr>
            <w:r w:rsidRPr="00C54A19">
              <w:rPr>
                <w:rFonts w:ascii="Calibri" w:eastAsia="Times New Roman" w:hAnsi="Calibri" w:cs="Calibri"/>
                <w:b/>
                <w:bCs/>
                <w:color w:val="FFFFFF"/>
                <w:sz w:val="20"/>
                <w:szCs w:val="20"/>
                <w:lang w:eastAsia="en-AU"/>
              </w:rPr>
              <w:t>Before JCB</w:t>
            </w:r>
          </w:p>
        </w:tc>
        <w:tc>
          <w:tcPr>
            <w:tcW w:w="1984" w:type="dxa"/>
            <w:shd w:val="clear" w:color="000000" w:fill="1E3D6B"/>
            <w:noWrap/>
            <w:vAlign w:val="center"/>
            <w:hideMark/>
          </w:tcPr>
          <w:p w:rsidR="00ED222A" w:rsidRPr="00C54A19" w:rsidRDefault="00ED222A" w:rsidP="008065DC">
            <w:pPr>
              <w:spacing w:after="0" w:line="240" w:lineRule="auto"/>
              <w:rPr>
                <w:rFonts w:ascii="Calibri" w:eastAsia="Times New Roman" w:hAnsi="Calibri" w:cs="Calibri"/>
                <w:b/>
                <w:bCs/>
                <w:color w:val="FFFFFF"/>
                <w:sz w:val="20"/>
                <w:szCs w:val="20"/>
                <w:lang w:eastAsia="en-AU"/>
              </w:rPr>
            </w:pPr>
            <w:r w:rsidRPr="00C54A19">
              <w:rPr>
                <w:rFonts w:ascii="Calibri" w:eastAsia="Times New Roman" w:hAnsi="Calibri" w:cs="Calibri"/>
                <w:b/>
                <w:bCs/>
                <w:color w:val="FFFFFF"/>
                <w:sz w:val="20"/>
                <w:szCs w:val="20"/>
                <w:lang w:eastAsia="en-AU"/>
              </w:rPr>
              <w:t>After JCB</w:t>
            </w:r>
          </w:p>
        </w:tc>
        <w:tc>
          <w:tcPr>
            <w:tcW w:w="1843" w:type="dxa"/>
            <w:shd w:val="clear" w:color="000000" w:fill="1E3D6B"/>
            <w:noWrap/>
            <w:vAlign w:val="center"/>
            <w:hideMark/>
          </w:tcPr>
          <w:p w:rsidR="00ED222A" w:rsidRPr="00C54A19" w:rsidRDefault="00ED222A" w:rsidP="008065DC">
            <w:pPr>
              <w:spacing w:after="0" w:line="240" w:lineRule="auto"/>
              <w:rPr>
                <w:rFonts w:ascii="Calibri" w:eastAsia="Times New Roman" w:hAnsi="Calibri" w:cs="Calibri"/>
                <w:b/>
                <w:bCs/>
                <w:color w:val="FFFFFF"/>
                <w:sz w:val="20"/>
                <w:szCs w:val="20"/>
                <w:lang w:eastAsia="en-AU"/>
              </w:rPr>
            </w:pPr>
            <w:r w:rsidRPr="00C54A19">
              <w:rPr>
                <w:rFonts w:ascii="Calibri" w:eastAsia="Times New Roman" w:hAnsi="Calibri" w:cs="Calibri"/>
                <w:b/>
                <w:bCs/>
                <w:color w:val="FFFFFF"/>
                <w:sz w:val="20"/>
                <w:szCs w:val="20"/>
                <w:lang w:eastAsia="en-AU"/>
              </w:rPr>
              <w:t>Difference</w:t>
            </w:r>
          </w:p>
        </w:tc>
      </w:tr>
      <w:tr w:rsidR="00ED222A" w:rsidRPr="00ED222A" w:rsidTr="008065DC">
        <w:trPr>
          <w:trHeight w:hRule="exact" w:val="397"/>
        </w:trPr>
        <w:tc>
          <w:tcPr>
            <w:tcW w:w="2992" w:type="dxa"/>
            <w:shd w:val="clear" w:color="auto" w:fill="auto"/>
            <w:noWrap/>
            <w:vAlign w:val="center"/>
            <w:hideMark/>
          </w:tcPr>
          <w:p w:rsidR="00ED222A" w:rsidRPr="00C54A19" w:rsidRDefault="00ED222A" w:rsidP="008065DC">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Under 19 years</w:t>
            </w:r>
          </w:p>
        </w:tc>
        <w:tc>
          <w:tcPr>
            <w:tcW w:w="2268" w:type="dxa"/>
            <w:shd w:val="clear" w:color="auto" w:fill="auto"/>
            <w:noWrap/>
            <w:vAlign w:val="center"/>
            <w:hideMark/>
          </w:tcPr>
          <w:p w:rsidR="00ED222A" w:rsidRPr="00C54A19" w:rsidRDefault="00ED222A" w:rsidP="008065DC">
            <w:pPr>
              <w:spacing w:after="0" w:line="240" w:lineRule="auto"/>
              <w:ind w:left="-108"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48.8</w:t>
            </w:r>
          </w:p>
        </w:tc>
        <w:tc>
          <w:tcPr>
            <w:tcW w:w="1984" w:type="dxa"/>
            <w:shd w:val="clear" w:color="auto" w:fill="auto"/>
            <w:noWrap/>
            <w:vAlign w:val="center"/>
            <w:hideMark/>
          </w:tcPr>
          <w:p w:rsidR="00ED222A" w:rsidRPr="00C54A19" w:rsidRDefault="00ED222A" w:rsidP="008065DC">
            <w:pPr>
              <w:spacing w:after="0" w:line="240" w:lineRule="auto"/>
              <w:ind w:left="-108"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42.9</w:t>
            </w:r>
          </w:p>
        </w:tc>
        <w:tc>
          <w:tcPr>
            <w:tcW w:w="1843" w:type="dxa"/>
            <w:shd w:val="clear" w:color="auto" w:fill="auto"/>
            <w:noWrap/>
            <w:vAlign w:val="center"/>
            <w:hideMark/>
          </w:tcPr>
          <w:p w:rsidR="00ED222A" w:rsidRPr="00C54A19" w:rsidRDefault="00ED222A" w:rsidP="008065DC">
            <w:pPr>
              <w:spacing w:after="0" w:line="240" w:lineRule="auto"/>
              <w:ind w:left="-108"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5.9</w:t>
            </w:r>
          </w:p>
        </w:tc>
      </w:tr>
      <w:tr w:rsidR="00ED222A" w:rsidRPr="00ED222A" w:rsidTr="008065DC">
        <w:trPr>
          <w:trHeight w:hRule="exact" w:val="397"/>
        </w:trPr>
        <w:tc>
          <w:tcPr>
            <w:tcW w:w="2992" w:type="dxa"/>
            <w:shd w:val="clear" w:color="auto" w:fill="E5E5E5" w:themeFill="background1" w:themeFillTint="33"/>
            <w:noWrap/>
            <w:vAlign w:val="center"/>
            <w:hideMark/>
          </w:tcPr>
          <w:p w:rsidR="00ED222A" w:rsidRPr="00C54A19" w:rsidRDefault="00ED222A" w:rsidP="008065DC">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19 years - under 22</w:t>
            </w:r>
          </w:p>
        </w:tc>
        <w:tc>
          <w:tcPr>
            <w:tcW w:w="2268" w:type="dxa"/>
            <w:shd w:val="clear" w:color="auto" w:fill="E5E5E5" w:themeFill="background1" w:themeFillTint="33"/>
            <w:noWrap/>
            <w:vAlign w:val="center"/>
            <w:hideMark/>
          </w:tcPr>
          <w:p w:rsidR="00ED222A" w:rsidRPr="00C54A19" w:rsidRDefault="00ED222A" w:rsidP="008065DC">
            <w:pPr>
              <w:spacing w:after="0" w:line="240" w:lineRule="auto"/>
              <w:ind w:left="-108"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39.2</w:t>
            </w:r>
          </w:p>
        </w:tc>
        <w:tc>
          <w:tcPr>
            <w:tcW w:w="1984" w:type="dxa"/>
            <w:shd w:val="clear" w:color="auto" w:fill="E5E5E5" w:themeFill="background1" w:themeFillTint="33"/>
            <w:noWrap/>
            <w:vAlign w:val="center"/>
            <w:hideMark/>
          </w:tcPr>
          <w:p w:rsidR="00ED222A" w:rsidRPr="00C54A19" w:rsidRDefault="00ED222A" w:rsidP="008065DC">
            <w:pPr>
              <w:spacing w:after="0" w:line="240" w:lineRule="auto"/>
              <w:ind w:left="-108"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38.3</w:t>
            </w:r>
          </w:p>
        </w:tc>
        <w:tc>
          <w:tcPr>
            <w:tcW w:w="1843" w:type="dxa"/>
            <w:shd w:val="clear" w:color="auto" w:fill="E5E5E5" w:themeFill="background1" w:themeFillTint="33"/>
            <w:noWrap/>
            <w:vAlign w:val="center"/>
            <w:hideMark/>
          </w:tcPr>
          <w:p w:rsidR="00ED222A" w:rsidRPr="00C54A19" w:rsidRDefault="00ED222A" w:rsidP="008065DC">
            <w:pPr>
              <w:spacing w:after="0" w:line="240" w:lineRule="auto"/>
              <w:ind w:left="-108"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0.8</w:t>
            </w:r>
          </w:p>
        </w:tc>
      </w:tr>
      <w:tr w:rsidR="00ED222A" w:rsidRPr="00ED222A" w:rsidTr="008065DC">
        <w:trPr>
          <w:trHeight w:hRule="exact" w:val="397"/>
        </w:trPr>
        <w:tc>
          <w:tcPr>
            <w:tcW w:w="2992" w:type="dxa"/>
            <w:shd w:val="clear" w:color="auto" w:fill="auto"/>
            <w:noWrap/>
            <w:vAlign w:val="center"/>
            <w:hideMark/>
          </w:tcPr>
          <w:p w:rsidR="00ED222A" w:rsidRPr="00C54A19" w:rsidRDefault="00ED222A" w:rsidP="008065DC">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22 years - under 25</w:t>
            </w:r>
          </w:p>
        </w:tc>
        <w:tc>
          <w:tcPr>
            <w:tcW w:w="2268" w:type="dxa"/>
            <w:shd w:val="clear" w:color="auto" w:fill="auto"/>
            <w:noWrap/>
            <w:vAlign w:val="center"/>
            <w:hideMark/>
          </w:tcPr>
          <w:p w:rsidR="00ED222A" w:rsidRPr="00C54A19" w:rsidRDefault="00ED222A" w:rsidP="008065DC">
            <w:pPr>
              <w:spacing w:after="0" w:line="240" w:lineRule="auto"/>
              <w:ind w:left="-108"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37.6</w:t>
            </w:r>
          </w:p>
        </w:tc>
        <w:tc>
          <w:tcPr>
            <w:tcW w:w="1984" w:type="dxa"/>
            <w:shd w:val="clear" w:color="auto" w:fill="auto"/>
            <w:noWrap/>
            <w:vAlign w:val="center"/>
            <w:hideMark/>
          </w:tcPr>
          <w:p w:rsidR="00ED222A" w:rsidRPr="00C54A19" w:rsidRDefault="00ED222A" w:rsidP="008065DC">
            <w:pPr>
              <w:spacing w:after="0" w:line="240" w:lineRule="auto"/>
              <w:ind w:left="-108"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33.3</w:t>
            </w:r>
          </w:p>
        </w:tc>
        <w:tc>
          <w:tcPr>
            <w:tcW w:w="1843" w:type="dxa"/>
            <w:shd w:val="clear" w:color="auto" w:fill="auto"/>
            <w:noWrap/>
            <w:vAlign w:val="center"/>
            <w:hideMark/>
          </w:tcPr>
          <w:p w:rsidR="00ED222A" w:rsidRPr="00C54A19" w:rsidRDefault="00ED222A" w:rsidP="008065DC">
            <w:pPr>
              <w:spacing w:after="0" w:line="240" w:lineRule="auto"/>
              <w:ind w:left="-108"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4.3</w:t>
            </w:r>
          </w:p>
        </w:tc>
      </w:tr>
      <w:tr w:rsidR="00ED222A" w:rsidRPr="00ED222A" w:rsidTr="008065DC">
        <w:trPr>
          <w:trHeight w:hRule="exact" w:val="397"/>
        </w:trPr>
        <w:tc>
          <w:tcPr>
            <w:tcW w:w="2992" w:type="dxa"/>
            <w:shd w:val="clear" w:color="auto" w:fill="E5E5E5" w:themeFill="background1" w:themeFillTint="33"/>
            <w:noWrap/>
            <w:vAlign w:val="center"/>
            <w:hideMark/>
          </w:tcPr>
          <w:p w:rsidR="00ED222A" w:rsidRPr="00C54A19" w:rsidRDefault="00ED222A" w:rsidP="008065DC">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25 years - under 31</w:t>
            </w:r>
          </w:p>
        </w:tc>
        <w:tc>
          <w:tcPr>
            <w:tcW w:w="2268" w:type="dxa"/>
            <w:shd w:val="clear" w:color="auto" w:fill="E5E5E5" w:themeFill="background1" w:themeFillTint="33"/>
            <w:noWrap/>
            <w:vAlign w:val="center"/>
            <w:hideMark/>
          </w:tcPr>
          <w:p w:rsidR="00ED222A" w:rsidRPr="00C54A19" w:rsidRDefault="00ED222A" w:rsidP="008065DC">
            <w:pPr>
              <w:spacing w:after="0" w:line="240" w:lineRule="auto"/>
              <w:ind w:left="-108"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34.4</w:t>
            </w:r>
          </w:p>
        </w:tc>
        <w:tc>
          <w:tcPr>
            <w:tcW w:w="1984" w:type="dxa"/>
            <w:shd w:val="clear" w:color="auto" w:fill="E5E5E5" w:themeFill="background1" w:themeFillTint="33"/>
            <w:noWrap/>
            <w:vAlign w:val="center"/>
            <w:hideMark/>
          </w:tcPr>
          <w:p w:rsidR="00ED222A" w:rsidRPr="00C54A19" w:rsidRDefault="00ED222A" w:rsidP="008065DC">
            <w:pPr>
              <w:spacing w:after="0" w:line="240" w:lineRule="auto"/>
              <w:ind w:left="-108"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30.2</w:t>
            </w:r>
          </w:p>
        </w:tc>
        <w:tc>
          <w:tcPr>
            <w:tcW w:w="1843" w:type="dxa"/>
            <w:shd w:val="clear" w:color="auto" w:fill="E5E5E5" w:themeFill="background1" w:themeFillTint="33"/>
            <w:noWrap/>
            <w:vAlign w:val="center"/>
            <w:hideMark/>
          </w:tcPr>
          <w:p w:rsidR="00ED222A" w:rsidRPr="00C54A19" w:rsidRDefault="00ED222A" w:rsidP="008065DC">
            <w:pPr>
              <w:spacing w:after="0" w:line="240" w:lineRule="auto"/>
              <w:ind w:left="-108"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4.3</w:t>
            </w:r>
          </w:p>
        </w:tc>
      </w:tr>
      <w:tr w:rsidR="00ED222A" w:rsidRPr="00ED222A" w:rsidTr="008065DC">
        <w:trPr>
          <w:trHeight w:hRule="exact" w:val="397"/>
        </w:trPr>
        <w:tc>
          <w:tcPr>
            <w:tcW w:w="2992" w:type="dxa"/>
            <w:shd w:val="clear" w:color="auto" w:fill="auto"/>
            <w:noWrap/>
            <w:vAlign w:val="center"/>
            <w:hideMark/>
          </w:tcPr>
          <w:p w:rsidR="00ED222A" w:rsidRPr="00C54A19" w:rsidRDefault="00ED222A" w:rsidP="008065DC">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Total JCB cohort</w:t>
            </w:r>
          </w:p>
        </w:tc>
        <w:tc>
          <w:tcPr>
            <w:tcW w:w="2268" w:type="dxa"/>
            <w:shd w:val="clear" w:color="auto" w:fill="auto"/>
            <w:noWrap/>
            <w:vAlign w:val="center"/>
            <w:hideMark/>
          </w:tcPr>
          <w:p w:rsidR="00ED222A" w:rsidRPr="00C54A19" w:rsidRDefault="00ED222A" w:rsidP="008065DC">
            <w:pPr>
              <w:spacing w:after="0" w:line="240" w:lineRule="auto"/>
              <w:ind w:left="-108"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36.4</w:t>
            </w:r>
          </w:p>
        </w:tc>
        <w:tc>
          <w:tcPr>
            <w:tcW w:w="1984" w:type="dxa"/>
            <w:shd w:val="clear" w:color="auto" w:fill="auto"/>
            <w:noWrap/>
            <w:vAlign w:val="center"/>
            <w:hideMark/>
          </w:tcPr>
          <w:p w:rsidR="00ED222A" w:rsidRPr="00C54A19" w:rsidRDefault="00ED222A" w:rsidP="008065DC">
            <w:pPr>
              <w:spacing w:after="0" w:line="240" w:lineRule="auto"/>
              <w:ind w:left="-108"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33.0</w:t>
            </w:r>
          </w:p>
        </w:tc>
        <w:tc>
          <w:tcPr>
            <w:tcW w:w="1843" w:type="dxa"/>
            <w:shd w:val="clear" w:color="auto" w:fill="auto"/>
            <w:noWrap/>
            <w:vAlign w:val="center"/>
            <w:hideMark/>
          </w:tcPr>
          <w:p w:rsidR="00ED222A" w:rsidRPr="00C54A19" w:rsidRDefault="00ED222A" w:rsidP="008065DC">
            <w:pPr>
              <w:spacing w:after="0" w:line="240" w:lineRule="auto"/>
              <w:ind w:left="-108"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3.4</w:t>
            </w:r>
          </w:p>
        </w:tc>
      </w:tr>
      <w:tr w:rsidR="00ED222A" w:rsidRPr="00ED222A" w:rsidTr="008065DC">
        <w:trPr>
          <w:trHeight w:hRule="exact" w:val="397"/>
        </w:trPr>
        <w:tc>
          <w:tcPr>
            <w:tcW w:w="2992" w:type="dxa"/>
            <w:shd w:val="clear" w:color="auto" w:fill="E5E5E5" w:themeFill="background1" w:themeFillTint="33"/>
            <w:noWrap/>
            <w:vAlign w:val="center"/>
            <w:hideMark/>
          </w:tcPr>
          <w:p w:rsidR="00ED222A" w:rsidRPr="00C54A19" w:rsidRDefault="00ED222A" w:rsidP="008065DC">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31 years - under 35</w:t>
            </w:r>
          </w:p>
        </w:tc>
        <w:tc>
          <w:tcPr>
            <w:tcW w:w="2268" w:type="dxa"/>
            <w:shd w:val="clear" w:color="auto" w:fill="E5E5E5" w:themeFill="background1" w:themeFillTint="33"/>
            <w:noWrap/>
            <w:vAlign w:val="center"/>
            <w:hideMark/>
          </w:tcPr>
          <w:p w:rsidR="00ED222A" w:rsidRPr="00C54A19" w:rsidRDefault="00ED222A" w:rsidP="008065DC">
            <w:pPr>
              <w:spacing w:after="0" w:line="240" w:lineRule="auto"/>
              <w:ind w:left="-108"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36.7</w:t>
            </w:r>
          </w:p>
        </w:tc>
        <w:tc>
          <w:tcPr>
            <w:tcW w:w="1984" w:type="dxa"/>
            <w:shd w:val="clear" w:color="auto" w:fill="E5E5E5" w:themeFill="background1" w:themeFillTint="33"/>
            <w:noWrap/>
            <w:vAlign w:val="center"/>
            <w:hideMark/>
          </w:tcPr>
          <w:p w:rsidR="00ED222A" w:rsidRPr="00C54A19" w:rsidRDefault="00ED222A" w:rsidP="008065DC">
            <w:pPr>
              <w:spacing w:after="0" w:line="240" w:lineRule="auto"/>
              <w:ind w:left="-108"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33.8</w:t>
            </w:r>
          </w:p>
        </w:tc>
        <w:tc>
          <w:tcPr>
            <w:tcW w:w="1843" w:type="dxa"/>
            <w:shd w:val="clear" w:color="auto" w:fill="E5E5E5" w:themeFill="background1" w:themeFillTint="33"/>
            <w:noWrap/>
            <w:vAlign w:val="center"/>
            <w:hideMark/>
          </w:tcPr>
          <w:p w:rsidR="00ED222A" w:rsidRPr="00C54A19" w:rsidRDefault="00ED222A" w:rsidP="008065DC">
            <w:pPr>
              <w:spacing w:after="0" w:line="240" w:lineRule="auto"/>
              <w:ind w:left="-108"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2.9</w:t>
            </w:r>
          </w:p>
        </w:tc>
      </w:tr>
      <w:tr w:rsidR="00ED222A" w:rsidRPr="00ED222A" w:rsidTr="009464D5">
        <w:trPr>
          <w:trHeight w:hRule="exact" w:val="397"/>
        </w:trPr>
        <w:tc>
          <w:tcPr>
            <w:tcW w:w="2992" w:type="dxa"/>
            <w:shd w:val="clear" w:color="auto" w:fill="auto"/>
            <w:noWrap/>
            <w:vAlign w:val="center"/>
            <w:hideMark/>
          </w:tcPr>
          <w:p w:rsidR="00ED222A" w:rsidRPr="00C54A19" w:rsidRDefault="00ED222A" w:rsidP="008065DC">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35+ years</w:t>
            </w:r>
          </w:p>
        </w:tc>
        <w:tc>
          <w:tcPr>
            <w:tcW w:w="2268" w:type="dxa"/>
            <w:shd w:val="clear" w:color="auto" w:fill="auto"/>
            <w:noWrap/>
            <w:vAlign w:val="center"/>
            <w:hideMark/>
          </w:tcPr>
          <w:p w:rsidR="00ED222A" w:rsidRPr="00C54A19" w:rsidRDefault="00ED222A" w:rsidP="008065DC">
            <w:pPr>
              <w:spacing w:after="0" w:line="240" w:lineRule="auto"/>
              <w:ind w:left="-108"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29.7</w:t>
            </w:r>
          </w:p>
        </w:tc>
        <w:tc>
          <w:tcPr>
            <w:tcW w:w="1984" w:type="dxa"/>
            <w:shd w:val="clear" w:color="auto" w:fill="auto"/>
            <w:noWrap/>
            <w:vAlign w:val="center"/>
            <w:hideMark/>
          </w:tcPr>
          <w:p w:rsidR="00ED222A" w:rsidRPr="00C54A19" w:rsidRDefault="00ED222A" w:rsidP="008065DC">
            <w:pPr>
              <w:spacing w:after="0" w:line="240" w:lineRule="auto"/>
              <w:ind w:left="-108"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28.6</w:t>
            </w:r>
          </w:p>
        </w:tc>
        <w:tc>
          <w:tcPr>
            <w:tcW w:w="1843" w:type="dxa"/>
            <w:shd w:val="clear" w:color="auto" w:fill="auto"/>
            <w:noWrap/>
            <w:vAlign w:val="center"/>
            <w:hideMark/>
          </w:tcPr>
          <w:p w:rsidR="00ED222A" w:rsidRPr="00C54A19" w:rsidRDefault="00ED222A" w:rsidP="008065DC">
            <w:pPr>
              <w:spacing w:after="0" w:line="240" w:lineRule="auto"/>
              <w:ind w:left="-108"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1.0</w:t>
            </w:r>
          </w:p>
        </w:tc>
      </w:tr>
      <w:tr w:rsidR="00ED222A" w:rsidRPr="00ED222A" w:rsidTr="009464D5">
        <w:trPr>
          <w:trHeight w:hRule="exact" w:val="397"/>
        </w:trPr>
        <w:tc>
          <w:tcPr>
            <w:tcW w:w="2992" w:type="dxa"/>
            <w:shd w:val="clear" w:color="auto" w:fill="8EAEDE"/>
            <w:noWrap/>
            <w:vAlign w:val="center"/>
            <w:hideMark/>
          </w:tcPr>
          <w:p w:rsidR="00ED222A" w:rsidRPr="00C54A19" w:rsidRDefault="009464D5" w:rsidP="008065DC">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Overall</w:t>
            </w:r>
          </w:p>
        </w:tc>
        <w:tc>
          <w:tcPr>
            <w:tcW w:w="2268" w:type="dxa"/>
            <w:shd w:val="clear" w:color="auto" w:fill="8EAEDE"/>
            <w:noWrap/>
            <w:vAlign w:val="center"/>
            <w:hideMark/>
          </w:tcPr>
          <w:p w:rsidR="00ED222A" w:rsidRPr="00C54A19" w:rsidRDefault="00ED222A" w:rsidP="008065DC">
            <w:pPr>
              <w:spacing w:after="0" w:line="240" w:lineRule="auto"/>
              <w:ind w:left="-108"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33.8</w:t>
            </w:r>
          </w:p>
        </w:tc>
        <w:tc>
          <w:tcPr>
            <w:tcW w:w="1984" w:type="dxa"/>
            <w:shd w:val="clear" w:color="auto" w:fill="8EAEDE"/>
            <w:noWrap/>
            <w:vAlign w:val="center"/>
            <w:hideMark/>
          </w:tcPr>
          <w:p w:rsidR="00ED222A" w:rsidRPr="00C54A19" w:rsidRDefault="00ED222A" w:rsidP="008065DC">
            <w:pPr>
              <w:spacing w:after="0" w:line="240" w:lineRule="auto"/>
              <w:ind w:left="-108"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31.5</w:t>
            </w:r>
          </w:p>
        </w:tc>
        <w:tc>
          <w:tcPr>
            <w:tcW w:w="1843" w:type="dxa"/>
            <w:shd w:val="clear" w:color="auto" w:fill="8EAEDE"/>
            <w:noWrap/>
            <w:vAlign w:val="center"/>
            <w:hideMark/>
          </w:tcPr>
          <w:p w:rsidR="00ED222A" w:rsidRPr="00C54A19" w:rsidRDefault="00ED222A" w:rsidP="008065DC">
            <w:pPr>
              <w:spacing w:after="0" w:line="240" w:lineRule="auto"/>
              <w:ind w:left="-108"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2.3</w:t>
            </w:r>
          </w:p>
        </w:tc>
      </w:tr>
    </w:tbl>
    <w:p w:rsidR="007B2D40" w:rsidRPr="000615B6" w:rsidRDefault="007B2D40" w:rsidP="000615B6">
      <w:pPr>
        <w:pStyle w:val="Source"/>
        <w:rPr>
          <w:b w:val="0"/>
        </w:rPr>
      </w:pPr>
      <w:r w:rsidRPr="000615B6">
        <w:t>Source:</w:t>
      </w:r>
      <w:r w:rsidRPr="000615B6">
        <w:rPr>
          <w:b w:val="0"/>
        </w:rPr>
        <w:t xml:space="preserve"> Department of Employment administrative data and Research and Evaluation Database (RED).</w:t>
      </w:r>
    </w:p>
    <w:p w:rsidR="006A5B97" w:rsidRPr="00114E45" w:rsidRDefault="006A5B97" w:rsidP="006A5B97">
      <w:pPr>
        <w:pStyle w:val="Source"/>
        <w:spacing w:before="120"/>
        <w:rPr>
          <w:b w:val="0"/>
        </w:rPr>
        <w:sectPr w:rsidR="006A5B97" w:rsidRPr="00114E45" w:rsidSect="00BB1226">
          <w:headerReference w:type="even" r:id="rId67"/>
          <w:headerReference w:type="default" r:id="rId68"/>
          <w:footerReference w:type="default" r:id="rId69"/>
          <w:headerReference w:type="first" r:id="rId70"/>
          <w:pgSz w:w="11906" w:h="16838" w:code="9"/>
          <w:pgMar w:top="1440" w:right="1440" w:bottom="1440" w:left="1440" w:header="709" w:footer="709" w:gutter="0"/>
          <w:cols w:space="708"/>
          <w:docGrid w:linePitch="360"/>
        </w:sectPr>
      </w:pPr>
      <w:r>
        <w:rPr>
          <w:b w:val="0"/>
        </w:rPr>
        <w:t xml:space="preserve">Return to </w:t>
      </w:r>
      <w:hyperlink w:anchor="Place_F20" w:history="1">
        <w:r w:rsidR="000C30B2" w:rsidRPr="006A5B97">
          <w:rPr>
            <w:rStyle w:val="Hyperlink"/>
            <w:b w:val="0"/>
          </w:rPr>
          <w:t>Figure 4.</w:t>
        </w:r>
        <w:r w:rsidR="000C30B2">
          <w:rPr>
            <w:rStyle w:val="Hyperlink"/>
            <w:b w:val="0"/>
          </w:rPr>
          <w:t>12</w:t>
        </w:r>
      </w:hyperlink>
      <w:r w:rsidRPr="00590FD7">
        <w:rPr>
          <w:b w:val="0"/>
        </w:rPr>
        <w:t>.</w:t>
      </w:r>
    </w:p>
    <w:p w:rsidR="00325628" w:rsidRPr="001A4F81" w:rsidRDefault="00603A49" w:rsidP="0069351E">
      <w:pPr>
        <w:pStyle w:val="TableCaption"/>
      </w:pPr>
      <w:bookmarkStart w:id="297" w:name="_Toc507600338"/>
      <w:r>
        <w:lastRenderedPageBreak/>
        <w:t>Table F</w:t>
      </w:r>
      <w:r w:rsidR="00D77A08">
        <w:t>.</w:t>
      </w:r>
      <w:r w:rsidR="00E76396">
        <w:t>22</w:t>
      </w:r>
      <w:r w:rsidR="00D77A08" w:rsidRPr="00D83A7E">
        <w:t xml:space="preserve">: </w:t>
      </w:r>
      <w:r w:rsidR="00D77A08">
        <w:t>Difference in difference analysis for probability of sustaining exit f</w:t>
      </w:r>
      <w:r w:rsidR="0003047C">
        <w:t>rom income support for 52 weeks</w:t>
      </w:r>
      <w:r w:rsidR="00E85955">
        <w:t>, h</w:t>
      </w:r>
      <w:r w:rsidR="00EF5549" w:rsidRPr="00EF5549">
        <w:t xml:space="preserve">igher </w:t>
      </w:r>
      <w:r w:rsidR="00325628">
        <w:t>end of the JCB age</w:t>
      </w:r>
      <w:r w:rsidR="00325628" w:rsidRPr="007C05BC">
        <w:t xml:space="preserve"> range</w:t>
      </w:r>
      <w:bookmarkEnd w:id="297"/>
    </w:p>
    <w:tbl>
      <w:tblPr>
        <w:tblW w:w="14049" w:type="dxa"/>
        <w:tblInd w:w="93" w:type="dxa"/>
        <w:tblLayout w:type="fixed"/>
        <w:tblLook w:val="04A0" w:firstRow="1" w:lastRow="0" w:firstColumn="1" w:lastColumn="0" w:noHBand="0" w:noVBand="1"/>
      </w:tblPr>
      <w:tblGrid>
        <w:gridCol w:w="5969"/>
        <w:gridCol w:w="5245"/>
        <w:gridCol w:w="1417"/>
        <w:gridCol w:w="1418"/>
      </w:tblGrid>
      <w:tr w:rsidR="00EF5549" w:rsidRPr="00EF5549" w:rsidTr="00EF5549">
        <w:trPr>
          <w:trHeight w:val="576"/>
          <w:tblHeader/>
        </w:trPr>
        <w:tc>
          <w:tcPr>
            <w:tcW w:w="5969" w:type="dxa"/>
            <w:shd w:val="clear" w:color="000000" w:fill="1E3D6B"/>
            <w:noWrap/>
            <w:vAlign w:val="center"/>
            <w:hideMark/>
          </w:tcPr>
          <w:p w:rsidR="00EF5549" w:rsidRPr="00EF5549" w:rsidRDefault="003F5B67" w:rsidP="003F5B67">
            <w:pPr>
              <w:spacing w:after="0" w:line="240" w:lineRule="auto"/>
              <w:rPr>
                <w:rFonts w:ascii="Calibri" w:eastAsia="Times New Roman" w:hAnsi="Calibri" w:cs="Calibri"/>
                <w:b/>
                <w:bCs/>
                <w:color w:val="FFFFFF"/>
                <w:lang w:eastAsia="en-AU"/>
              </w:rPr>
            </w:pPr>
            <w:bookmarkStart w:id="298" w:name="Title_F21"/>
            <w:bookmarkEnd w:id="298"/>
            <w:r>
              <w:rPr>
                <w:rFonts w:ascii="Calibri" w:eastAsia="Times New Roman" w:hAnsi="Calibri" w:cs="Calibri"/>
                <w:b/>
                <w:bCs/>
                <w:color w:val="FFFFFF"/>
                <w:lang w:eastAsia="en-AU"/>
              </w:rPr>
              <w:t>Demographic c</w:t>
            </w:r>
            <w:r w:rsidR="003B33C3">
              <w:rPr>
                <w:rFonts w:ascii="Calibri" w:eastAsia="Times New Roman" w:hAnsi="Calibri" w:cs="Calibri"/>
                <w:b/>
                <w:bCs/>
                <w:color w:val="FFFFFF"/>
                <w:lang w:eastAsia="en-AU"/>
              </w:rPr>
              <w:t>haracteristic</w:t>
            </w:r>
          </w:p>
        </w:tc>
        <w:tc>
          <w:tcPr>
            <w:tcW w:w="5245" w:type="dxa"/>
            <w:shd w:val="clear" w:color="000000" w:fill="1E3D6B"/>
            <w:noWrap/>
            <w:vAlign w:val="center"/>
            <w:hideMark/>
          </w:tcPr>
          <w:p w:rsidR="00EF5549" w:rsidRPr="00EF5549" w:rsidRDefault="003B33C3" w:rsidP="003F5B67">
            <w:pPr>
              <w:spacing w:after="0" w:line="240" w:lineRule="auto"/>
              <w:rPr>
                <w:rFonts w:ascii="Calibri" w:eastAsia="Times New Roman" w:hAnsi="Calibri" w:cs="Calibri"/>
                <w:b/>
                <w:bCs/>
                <w:color w:val="FFFFFF"/>
                <w:lang w:eastAsia="en-AU"/>
              </w:rPr>
            </w:pPr>
            <w:r>
              <w:rPr>
                <w:rFonts w:ascii="Calibri" w:eastAsia="Times New Roman" w:hAnsi="Calibri" w:cs="Calibri"/>
                <w:b/>
                <w:bCs/>
                <w:color w:val="FFFFFF"/>
                <w:lang w:eastAsia="en-AU"/>
              </w:rPr>
              <w:t xml:space="preserve">Compared </w:t>
            </w:r>
            <w:r w:rsidR="003F5B67">
              <w:rPr>
                <w:rFonts w:ascii="Calibri" w:eastAsia="Times New Roman" w:hAnsi="Calibri" w:cs="Calibri"/>
                <w:b/>
                <w:bCs/>
                <w:color w:val="FFFFFF"/>
                <w:lang w:eastAsia="en-AU"/>
              </w:rPr>
              <w:t>with</w:t>
            </w:r>
          </w:p>
        </w:tc>
        <w:tc>
          <w:tcPr>
            <w:tcW w:w="1417" w:type="dxa"/>
            <w:shd w:val="clear" w:color="000000" w:fill="1E3D6B"/>
            <w:noWrap/>
            <w:vAlign w:val="center"/>
            <w:hideMark/>
          </w:tcPr>
          <w:p w:rsidR="00EF5549" w:rsidRPr="00EF5549" w:rsidRDefault="006E1C2B" w:rsidP="00EF5549">
            <w:pPr>
              <w:spacing w:after="0" w:line="240" w:lineRule="auto"/>
              <w:ind w:left="317"/>
              <w:rPr>
                <w:rFonts w:ascii="Calibri" w:eastAsia="Times New Roman" w:hAnsi="Calibri" w:cs="Calibri"/>
                <w:b/>
                <w:bCs/>
                <w:color w:val="FFFFFF"/>
                <w:lang w:eastAsia="en-AU"/>
              </w:rPr>
            </w:pPr>
            <w:r>
              <w:rPr>
                <w:rFonts w:ascii="Calibri" w:eastAsia="Times New Roman" w:hAnsi="Calibri" w:cs="Calibri"/>
                <w:b/>
                <w:bCs/>
                <w:color w:val="FFFFFF"/>
                <w:lang w:eastAsia="en-AU"/>
              </w:rPr>
              <w:t>MEM</w:t>
            </w:r>
            <w:r>
              <w:rPr>
                <w:rFonts w:ascii="Calibri" w:eastAsia="Times New Roman" w:hAnsi="Calibri" w:cs="Calibri"/>
                <w:b/>
                <w:bCs/>
                <w:color w:val="FFFFFF"/>
                <w:lang w:eastAsia="en-AU"/>
              </w:rPr>
              <w:br/>
              <w:t>(ppt)</w:t>
            </w:r>
          </w:p>
        </w:tc>
        <w:tc>
          <w:tcPr>
            <w:tcW w:w="1418" w:type="dxa"/>
            <w:shd w:val="clear" w:color="000000" w:fill="1E3D6B"/>
            <w:vAlign w:val="center"/>
            <w:hideMark/>
          </w:tcPr>
          <w:p w:rsidR="00EF5549" w:rsidRPr="00EF5549" w:rsidRDefault="00EF5549" w:rsidP="00EF5549">
            <w:pPr>
              <w:spacing w:after="0" w:line="240" w:lineRule="auto"/>
              <w:ind w:left="34"/>
              <w:rPr>
                <w:rFonts w:ascii="Calibri" w:eastAsia="Times New Roman" w:hAnsi="Calibri" w:cs="Calibri"/>
                <w:b/>
                <w:bCs/>
                <w:color w:val="FFFFFF"/>
                <w:lang w:eastAsia="en-AU"/>
              </w:rPr>
            </w:pPr>
            <w:r w:rsidRPr="00EF5549">
              <w:rPr>
                <w:rFonts w:ascii="Calibri" w:eastAsia="Times New Roman" w:hAnsi="Calibri" w:cs="Calibri"/>
                <w:b/>
                <w:bCs/>
                <w:color w:val="FFFFFF"/>
                <w:lang w:eastAsia="en-AU"/>
              </w:rPr>
              <w:t xml:space="preserve">Statistical </w:t>
            </w:r>
            <w:r w:rsidRPr="00EF5549">
              <w:rPr>
                <w:rFonts w:ascii="Calibri" w:eastAsia="Times New Roman" w:hAnsi="Calibri" w:cs="Calibri"/>
                <w:b/>
                <w:bCs/>
                <w:color w:val="FFFFFF"/>
                <w:lang w:eastAsia="en-AU"/>
              </w:rPr>
              <w:br/>
              <w:t>significance</w:t>
            </w:r>
          </w:p>
        </w:tc>
      </w:tr>
      <w:tr w:rsidR="00EF5549" w:rsidRPr="00EF5549" w:rsidTr="00D25EC9">
        <w:trPr>
          <w:trHeight w:val="397"/>
        </w:trPr>
        <w:tc>
          <w:tcPr>
            <w:tcW w:w="5969" w:type="dxa"/>
            <w:shd w:val="clear" w:color="auto" w:fill="auto"/>
            <w:noWrap/>
            <w:vAlign w:val="center"/>
            <w:hideMark/>
          </w:tcPr>
          <w:p w:rsidR="00EF5549" w:rsidRPr="00EF5549" w:rsidRDefault="00FA14FE" w:rsidP="00F40CF4">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After JCB introduction</w:t>
            </w:r>
            <w:r w:rsidR="00EF5549" w:rsidRPr="00EF5549">
              <w:rPr>
                <w:rFonts w:ascii="Calibri" w:eastAsia="Times New Roman" w:hAnsi="Calibri" w:cs="Calibri"/>
                <w:color w:val="000000"/>
                <w:sz w:val="20"/>
                <w:szCs w:val="20"/>
                <w:lang w:eastAsia="en-AU"/>
              </w:rPr>
              <w:t xml:space="preserve"> (X)</w:t>
            </w:r>
          </w:p>
        </w:tc>
        <w:tc>
          <w:tcPr>
            <w:tcW w:w="5245" w:type="dxa"/>
            <w:shd w:val="clear" w:color="auto" w:fill="auto"/>
            <w:noWrap/>
            <w:vAlign w:val="center"/>
            <w:hideMark/>
          </w:tcPr>
          <w:p w:rsidR="00EF5549" w:rsidRPr="00EF5549" w:rsidRDefault="00EF5549"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Before JCB introduction</w:t>
            </w:r>
          </w:p>
        </w:tc>
        <w:tc>
          <w:tcPr>
            <w:tcW w:w="1417" w:type="dxa"/>
            <w:shd w:val="clear" w:color="auto" w:fill="auto"/>
            <w:noWrap/>
            <w:vAlign w:val="center"/>
            <w:hideMark/>
          </w:tcPr>
          <w:p w:rsidR="00EF5549" w:rsidRPr="00EF5549" w:rsidRDefault="00EF5549"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-3.0</w:t>
            </w:r>
          </w:p>
        </w:tc>
        <w:tc>
          <w:tcPr>
            <w:tcW w:w="1418" w:type="dxa"/>
            <w:shd w:val="clear" w:color="auto" w:fill="auto"/>
            <w:noWrap/>
            <w:vAlign w:val="center"/>
            <w:hideMark/>
          </w:tcPr>
          <w:p w:rsidR="00EF5549" w:rsidRPr="00EF5549" w:rsidRDefault="00EF5549"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0.032</w:t>
            </w:r>
          </w:p>
        </w:tc>
      </w:tr>
      <w:tr w:rsidR="003B33C3" w:rsidRPr="00EF5549" w:rsidTr="00D25EC9">
        <w:trPr>
          <w:trHeight w:val="397"/>
        </w:trPr>
        <w:tc>
          <w:tcPr>
            <w:tcW w:w="5969" w:type="dxa"/>
            <w:shd w:val="clear" w:color="auto" w:fill="E5E5E5" w:themeFill="background1" w:themeFillTint="33"/>
            <w:noWrap/>
            <w:vAlign w:val="center"/>
            <w:hideMark/>
          </w:tcPr>
          <w:p w:rsidR="003B33C3" w:rsidRPr="00D25EC9" w:rsidRDefault="003B33C3" w:rsidP="009D2BAC">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31 to under 35 years</w:t>
            </w:r>
            <w:r w:rsidRPr="00D25EC9">
              <w:rPr>
                <w:rFonts w:ascii="Calibri" w:eastAsia="Times New Roman" w:hAnsi="Calibri" w:cs="Calibri"/>
                <w:color w:val="000000"/>
                <w:sz w:val="20"/>
                <w:szCs w:val="20"/>
                <w:lang w:eastAsia="en-AU"/>
              </w:rPr>
              <w:t xml:space="preserve"> (Y)</w:t>
            </w:r>
          </w:p>
        </w:tc>
        <w:tc>
          <w:tcPr>
            <w:tcW w:w="5245" w:type="dxa"/>
            <w:shd w:val="clear" w:color="auto" w:fill="E5E5E5" w:themeFill="background1" w:themeFillTint="33"/>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25 to under 31 years (in JCB target)</w:t>
            </w:r>
          </w:p>
        </w:tc>
        <w:tc>
          <w:tcPr>
            <w:tcW w:w="1417" w:type="dxa"/>
            <w:shd w:val="clear" w:color="auto" w:fill="E5E5E5" w:themeFill="background1" w:themeFillTint="33"/>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2.0</w:t>
            </w:r>
          </w:p>
        </w:tc>
        <w:tc>
          <w:tcPr>
            <w:tcW w:w="1418" w:type="dxa"/>
            <w:shd w:val="clear" w:color="auto" w:fill="E5E5E5" w:themeFill="background1" w:themeFillTint="33"/>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0.247</w:t>
            </w:r>
          </w:p>
        </w:tc>
      </w:tr>
      <w:tr w:rsidR="003B33C3" w:rsidRPr="00EF5549" w:rsidTr="00D25EC9">
        <w:trPr>
          <w:trHeight w:val="397"/>
        </w:trPr>
        <w:tc>
          <w:tcPr>
            <w:tcW w:w="5969" w:type="dxa"/>
            <w:shd w:val="clear" w:color="auto" w:fill="auto"/>
            <w:noWrap/>
            <w:vAlign w:val="center"/>
            <w:hideMark/>
          </w:tcPr>
          <w:p w:rsidR="003B33C3" w:rsidRPr="00EF5549" w:rsidRDefault="003B33C3" w:rsidP="00F40CF4">
            <w:pPr>
              <w:spacing w:after="0" w:line="240" w:lineRule="auto"/>
              <w:rPr>
                <w:rFonts w:ascii="Calibri" w:eastAsia="Times New Roman" w:hAnsi="Calibri" w:cs="Calibri"/>
                <w:bCs/>
                <w:color w:val="000000"/>
                <w:sz w:val="20"/>
                <w:szCs w:val="20"/>
                <w:lang w:eastAsia="en-AU"/>
              </w:rPr>
            </w:pPr>
            <w:r w:rsidRPr="00EF5549">
              <w:rPr>
                <w:rFonts w:ascii="Calibri" w:eastAsia="Times New Roman" w:hAnsi="Calibri" w:cs="Calibri"/>
                <w:bCs/>
                <w:color w:val="000000"/>
                <w:sz w:val="20"/>
                <w:szCs w:val="20"/>
                <w:lang w:eastAsia="en-AU"/>
              </w:rPr>
              <w:t>Interaction variable (X</w:t>
            </w:r>
            <w:r>
              <w:rPr>
                <w:rFonts w:ascii="Calibri" w:eastAsia="Times New Roman" w:hAnsi="Calibri" w:cs="Calibri"/>
                <w:bCs/>
                <w:color w:val="000000"/>
                <w:sz w:val="20"/>
                <w:szCs w:val="20"/>
                <w:lang w:eastAsia="en-AU"/>
              </w:rPr>
              <w:t>*</w:t>
            </w:r>
            <w:r w:rsidRPr="00EF5549">
              <w:rPr>
                <w:rFonts w:ascii="Calibri" w:eastAsia="Times New Roman" w:hAnsi="Calibri" w:cs="Calibri"/>
                <w:bCs/>
                <w:color w:val="000000"/>
                <w:sz w:val="20"/>
                <w:szCs w:val="20"/>
                <w:lang w:eastAsia="en-AU"/>
              </w:rPr>
              <w:t xml:space="preserve">Y) </w:t>
            </w:r>
          </w:p>
        </w:tc>
        <w:tc>
          <w:tcPr>
            <w:tcW w:w="5245" w:type="dxa"/>
            <w:shd w:val="clear" w:color="auto" w:fill="auto"/>
            <w:noWrap/>
            <w:vAlign w:val="center"/>
            <w:hideMark/>
          </w:tcPr>
          <w:p w:rsidR="003B33C3" w:rsidRPr="00EF5549" w:rsidRDefault="003B33C3" w:rsidP="00EF5549">
            <w:pPr>
              <w:spacing w:after="0" w:line="240" w:lineRule="auto"/>
              <w:rPr>
                <w:rFonts w:ascii="Calibri" w:eastAsia="Times New Roman" w:hAnsi="Calibri" w:cs="Calibri"/>
                <w:bCs/>
                <w:color w:val="000000"/>
                <w:sz w:val="20"/>
                <w:szCs w:val="20"/>
                <w:lang w:eastAsia="en-AU"/>
              </w:rPr>
            </w:pPr>
            <w:r w:rsidRPr="00EF5549">
              <w:rPr>
                <w:rFonts w:ascii="Calibri" w:eastAsia="Times New Roman" w:hAnsi="Calibri" w:cs="Calibri"/>
                <w:bCs/>
                <w:color w:val="000000"/>
                <w:sz w:val="20"/>
                <w:szCs w:val="20"/>
                <w:lang w:eastAsia="en-AU"/>
              </w:rPr>
              <w:t>No interaction</w:t>
            </w:r>
          </w:p>
        </w:tc>
        <w:tc>
          <w:tcPr>
            <w:tcW w:w="1417" w:type="dxa"/>
            <w:shd w:val="clear" w:color="auto" w:fill="auto"/>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bCs/>
                <w:color w:val="000000"/>
                <w:lang w:eastAsia="en-AU"/>
              </w:rPr>
            </w:pPr>
            <w:r w:rsidRPr="00EF5549">
              <w:rPr>
                <w:rFonts w:ascii="Calibri" w:eastAsia="Times New Roman" w:hAnsi="Calibri" w:cs="Calibri"/>
                <w:bCs/>
                <w:color w:val="000000"/>
                <w:lang w:eastAsia="en-AU"/>
              </w:rPr>
              <w:t>2.1</w:t>
            </w:r>
          </w:p>
        </w:tc>
        <w:tc>
          <w:tcPr>
            <w:tcW w:w="1418" w:type="dxa"/>
            <w:shd w:val="clear" w:color="auto" w:fill="auto"/>
            <w:noWrap/>
            <w:vAlign w:val="center"/>
            <w:hideMark/>
          </w:tcPr>
          <w:p w:rsidR="003B33C3" w:rsidRPr="00EF5549" w:rsidRDefault="003B33C3" w:rsidP="00EF5549">
            <w:pPr>
              <w:spacing w:after="0" w:line="240" w:lineRule="auto"/>
              <w:ind w:right="318"/>
              <w:jc w:val="right"/>
              <w:rPr>
                <w:rFonts w:ascii="Calibri" w:eastAsia="Times New Roman" w:hAnsi="Calibri" w:cs="Calibri"/>
                <w:bCs/>
                <w:color w:val="000000"/>
                <w:lang w:eastAsia="en-AU"/>
              </w:rPr>
            </w:pPr>
            <w:r w:rsidRPr="00EF5549">
              <w:rPr>
                <w:rFonts w:ascii="Calibri" w:eastAsia="Times New Roman" w:hAnsi="Calibri" w:cs="Calibri"/>
                <w:bCs/>
                <w:color w:val="000000"/>
                <w:lang w:eastAsia="en-AU"/>
              </w:rPr>
              <w:t>0.377</w:t>
            </w:r>
          </w:p>
        </w:tc>
      </w:tr>
      <w:tr w:rsidR="003B33C3" w:rsidRPr="00EF5549" w:rsidTr="00D25EC9">
        <w:trPr>
          <w:trHeight w:val="397"/>
        </w:trPr>
        <w:tc>
          <w:tcPr>
            <w:tcW w:w="5969" w:type="dxa"/>
            <w:shd w:val="clear" w:color="auto" w:fill="E5E5E5" w:themeFill="background1" w:themeFillTint="33"/>
            <w:noWrap/>
            <w:vAlign w:val="center"/>
            <w:hideMark/>
          </w:tcPr>
          <w:p w:rsidR="003B33C3" w:rsidRPr="00EF5549" w:rsidRDefault="00BB27F4" w:rsidP="00EF554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Female</w:t>
            </w:r>
          </w:p>
        </w:tc>
        <w:tc>
          <w:tcPr>
            <w:tcW w:w="5245" w:type="dxa"/>
            <w:shd w:val="clear" w:color="auto" w:fill="E5E5E5" w:themeFill="background1" w:themeFillTint="33"/>
            <w:noWrap/>
            <w:vAlign w:val="center"/>
            <w:hideMark/>
          </w:tcPr>
          <w:p w:rsidR="003B33C3" w:rsidRPr="00EF5549" w:rsidRDefault="00BB27F4" w:rsidP="00EF554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Male</w:t>
            </w:r>
          </w:p>
        </w:tc>
        <w:tc>
          <w:tcPr>
            <w:tcW w:w="1417" w:type="dxa"/>
            <w:shd w:val="clear" w:color="auto" w:fill="E5E5E5" w:themeFill="background1" w:themeFillTint="33"/>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-1.7</w:t>
            </w:r>
          </w:p>
        </w:tc>
        <w:tc>
          <w:tcPr>
            <w:tcW w:w="1418" w:type="dxa"/>
            <w:shd w:val="clear" w:color="auto" w:fill="E5E5E5" w:themeFill="background1" w:themeFillTint="33"/>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0.227</w:t>
            </w:r>
          </w:p>
        </w:tc>
      </w:tr>
      <w:tr w:rsidR="003B33C3" w:rsidRPr="00EF5549" w:rsidTr="00D25EC9">
        <w:trPr>
          <w:trHeight w:val="397"/>
        </w:trPr>
        <w:tc>
          <w:tcPr>
            <w:tcW w:w="5969" w:type="dxa"/>
            <w:shd w:val="clear" w:color="auto" w:fill="auto"/>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 xml:space="preserve">Poor/Mixed English Proficiency </w:t>
            </w:r>
          </w:p>
        </w:tc>
        <w:tc>
          <w:tcPr>
            <w:tcW w:w="5245" w:type="dxa"/>
            <w:shd w:val="clear" w:color="auto" w:fill="auto"/>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Good English Proficiency</w:t>
            </w:r>
          </w:p>
        </w:tc>
        <w:tc>
          <w:tcPr>
            <w:tcW w:w="1417" w:type="dxa"/>
            <w:shd w:val="clear" w:color="auto" w:fill="auto"/>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1.7</w:t>
            </w:r>
          </w:p>
        </w:tc>
        <w:tc>
          <w:tcPr>
            <w:tcW w:w="1418" w:type="dxa"/>
            <w:shd w:val="clear" w:color="auto" w:fill="auto"/>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0.429</w:t>
            </w:r>
          </w:p>
        </w:tc>
      </w:tr>
      <w:tr w:rsidR="003B33C3" w:rsidRPr="00EF5549" w:rsidTr="00D25EC9">
        <w:trPr>
          <w:trHeight w:val="397"/>
        </w:trPr>
        <w:tc>
          <w:tcPr>
            <w:tcW w:w="5969" w:type="dxa"/>
            <w:shd w:val="clear" w:color="auto" w:fill="E5E5E5" w:themeFill="background1" w:themeFillTint="33"/>
            <w:noWrap/>
            <w:vAlign w:val="center"/>
            <w:hideMark/>
          </w:tcPr>
          <w:p w:rsidR="003B33C3" w:rsidRPr="00EF5549" w:rsidRDefault="00C962FC" w:rsidP="00EF554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With disability</w:t>
            </w:r>
          </w:p>
        </w:tc>
        <w:tc>
          <w:tcPr>
            <w:tcW w:w="5245" w:type="dxa"/>
            <w:shd w:val="clear" w:color="auto" w:fill="E5E5E5" w:themeFill="background1" w:themeFillTint="33"/>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No disability</w:t>
            </w:r>
          </w:p>
        </w:tc>
        <w:tc>
          <w:tcPr>
            <w:tcW w:w="1417" w:type="dxa"/>
            <w:shd w:val="clear" w:color="auto" w:fill="E5E5E5" w:themeFill="background1" w:themeFillTint="33"/>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0.0</w:t>
            </w:r>
          </w:p>
        </w:tc>
        <w:tc>
          <w:tcPr>
            <w:tcW w:w="1418" w:type="dxa"/>
            <w:shd w:val="clear" w:color="auto" w:fill="E5E5E5" w:themeFill="background1" w:themeFillTint="33"/>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0.985</w:t>
            </w:r>
          </w:p>
        </w:tc>
      </w:tr>
      <w:tr w:rsidR="003B33C3" w:rsidRPr="00EF5549" w:rsidTr="00D25EC9">
        <w:trPr>
          <w:trHeight w:val="397"/>
        </w:trPr>
        <w:tc>
          <w:tcPr>
            <w:tcW w:w="5969" w:type="dxa"/>
            <w:shd w:val="clear" w:color="auto" w:fill="auto"/>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 xml:space="preserve">Unstable residence </w:t>
            </w:r>
          </w:p>
        </w:tc>
        <w:tc>
          <w:tcPr>
            <w:tcW w:w="5245" w:type="dxa"/>
            <w:shd w:val="clear" w:color="auto" w:fill="auto"/>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Stable residence</w:t>
            </w:r>
          </w:p>
        </w:tc>
        <w:tc>
          <w:tcPr>
            <w:tcW w:w="1417" w:type="dxa"/>
            <w:shd w:val="clear" w:color="auto" w:fill="auto"/>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1.9</w:t>
            </w:r>
          </w:p>
        </w:tc>
        <w:tc>
          <w:tcPr>
            <w:tcW w:w="1418" w:type="dxa"/>
            <w:shd w:val="clear" w:color="auto" w:fill="auto"/>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0.288</w:t>
            </w:r>
          </w:p>
        </w:tc>
      </w:tr>
      <w:tr w:rsidR="003B33C3" w:rsidRPr="00EF5549" w:rsidTr="00D25EC9">
        <w:trPr>
          <w:trHeight w:val="397"/>
        </w:trPr>
        <w:tc>
          <w:tcPr>
            <w:tcW w:w="5969" w:type="dxa"/>
            <w:shd w:val="clear" w:color="auto" w:fill="E5E5E5" w:themeFill="background1" w:themeFillTint="33"/>
            <w:noWrap/>
            <w:vAlign w:val="center"/>
            <w:hideMark/>
          </w:tcPr>
          <w:p w:rsidR="003B33C3" w:rsidRPr="00EF5549" w:rsidRDefault="00C962FC" w:rsidP="00C962FC">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Indigenous</w:t>
            </w:r>
          </w:p>
        </w:tc>
        <w:tc>
          <w:tcPr>
            <w:tcW w:w="5245" w:type="dxa"/>
            <w:shd w:val="clear" w:color="auto" w:fill="E5E5E5" w:themeFill="background1" w:themeFillTint="33"/>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Not Indigenous</w:t>
            </w:r>
          </w:p>
        </w:tc>
        <w:tc>
          <w:tcPr>
            <w:tcW w:w="1417" w:type="dxa"/>
            <w:shd w:val="clear" w:color="auto" w:fill="E5E5E5" w:themeFill="background1" w:themeFillTint="33"/>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4.2</w:t>
            </w:r>
          </w:p>
        </w:tc>
        <w:tc>
          <w:tcPr>
            <w:tcW w:w="1418" w:type="dxa"/>
            <w:shd w:val="clear" w:color="auto" w:fill="E5E5E5" w:themeFill="background1" w:themeFillTint="33"/>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0.094</w:t>
            </w:r>
          </w:p>
        </w:tc>
      </w:tr>
      <w:tr w:rsidR="003B33C3" w:rsidRPr="00EF5549" w:rsidTr="00D25EC9">
        <w:trPr>
          <w:trHeight w:val="397"/>
        </w:trPr>
        <w:tc>
          <w:tcPr>
            <w:tcW w:w="5969" w:type="dxa"/>
            <w:shd w:val="clear" w:color="auto" w:fill="auto"/>
            <w:noWrap/>
            <w:vAlign w:val="center"/>
            <w:hideMark/>
          </w:tcPr>
          <w:p w:rsidR="003B33C3" w:rsidRPr="00EF5549" w:rsidRDefault="00C962FC" w:rsidP="00C962FC">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Ex-offender</w:t>
            </w:r>
          </w:p>
        </w:tc>
        <w:tc>
          <w:tcPr>
            <w:tcW w:w="5245" w:type="dxa"/>
            <w:shd w:val="clear" w:color="auto" w:fill="auto"/>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Not ex-offender</w:t>
            </w:r>
          </w:p>
        </w:tc>
        <w:tc>
          <w:tcPr>
            <w:tcW w:w="1417" w:type="dxa"/>
            <w:shd w:val="clear" w:color="auto" w:fill="auto"/>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5.3</w:t>
            </w:r>
          </w:p>
        </w:tc>
        <w:tc>
          <w:tcPr>
            <w:tcW w:w="1418" w:type="dxa"/>
            <w:shd w:val="clear" w:color="auto" w:fill="auto"/>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0.001</w:t>
            </w:r>
          </w:p>
        </w:tc>
      </w:tr>
      <w:tr w:rsidR="003B33C3" w:rsidRPr="00EF5549" w:rsidTr="00D25EC9">
        <w:trPr>
          <w:trHeight w:val="397"/>
        </w:trPr>
        <w:tc>
          <w:tcPr>
            <w:tcW w:w="5969" w:type="dxa"/>
            <w:shd w:val="clear" w:color="auto" w:fill="E5E5E5" w:themeFill="background1" w:themeFillTint="33"/>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 xml:space="preserve">Single parent </w:t>
            </w:r>
          </w:p>
        </w:tc>
        <w:tc>
          <w:tcPr>
            <w:tcW w:w="5245" w:type="dxa"/>
            <w:shd w:val="clear" w:color="auto" w:fill="E5E5E5" w:themeFill="background1" w:themeFillTint="33"/>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Not a single parent</w:t>
            </w:r>
          </w:p>
        </w:tc>
        <w:tc>
          <w:tcPr>
            <w:tcW w:w="1417" w:type="dxa"/>
            <w:shd w:val="clear" w:color="auto" w:fill="E5E5E5" w:themeFill="background1" w:themeFillTint="33"/>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0.4</w:t>
            </w:r>
          </w:p>
        </w:tc>
        <w:tc>
          <w:tcPr>
            <w:tcW w:w="1418" w:type="dxa"/>
            <w:shd w:val="clear" w:color="auto" w:fill="E5E5E5" w:themeFill="background1" w:themeFillTint="33"/>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0.929</w:t>
            </w:r>
          </w:p>
        </w:tc>
      </w:tr>
      <w:tr w:rsidR="003B33C3" w:rsidRPr="00EF5549" w:rsidTr="00D25EC9">
        <w:trPr>
          <w:trHeight w:val="397"/>
        </w:trPr>
        <w:tc>
          <w:tcPr>
            <w:tcW w:w="5969" w:type="dxa"/>
            <w:shd w:val="clear" w:color="auto" w:fill="auto"/>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 xml:space="preserve">Not contactable by phone </w:t>
            </w:r>
          </w:p>
        </w:tc>
        <w:tc>
          <w:tcPr>
            <w:tcW w:w="5245" w:type="dxa"/>
            <w:shd w:val="clear" w:color="auto" w:fill="auto"/>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Contactable by phone</w:t>
            </w:r>
          </w:p>
        </w:tc>
        <w:tc>
          <w:tcPr>
            <w:tcW w:w="1417" w:type="dxa"/>
            <w:shd w:val="clear" w:color="auto" w:fill="auto"/>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1.0</w:t>
            </w:r>
          </w:p>
        </w:tc>
        <w:tc>
          <w:tcPr>
            <w:tcW w:w="1418" w:type="dxa"/>
            <w:shd w:val="clear" w:color="auto" w:fill="auto"/>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0.796</w:t>
            </w:r>
          </w:p>
        </w:tc>
      </w:tr>
      <w:tr w:rsidR="003B33C3" w:rsidRPr="00EF5549" w:rsidTr="00D25EC9">
        <w:trPr>
          <w:trHeight w:val="397"/>
        </w:trPr>
        <w:tc>
          <w:tcPr>
            <w:tcW w:w="5969" w:type="dxa"/>
            <w:shd w:val="clear" w:color="auto" w:fill="E5E5E5" w:themeFill="background1" w:themeFillTint="33"/>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 xml:space="preserve">CALD </w:t>
            </w:r>
          </w:p>
        </w:tc>
        <w:tc>
          <w:tcPr>
            <w:tcW w:w="5245" w:type="dxa"/>
            <w:shd w:val="clear" w:color="auto" w:fill="E5E5E5" w:themeFill="background1" w:themeFillTint="33"/>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Not CALD</w:t>
            </w:r>
          </w:p>
        </w:tc>
        <w:tc>
          <w:tcPr>
            <w:tcW w:w="1417" w:type="dxa"/>
            <w:shd w:val="clear" w:color="auto" w:fill="E5E5E5" w:themeFill="background1" w:themeFillTint="33"/>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-6.6</w:t>
            </w:r>
          </w:p>
        </w:tc>
        <w:tc>
          <w:tcPr>
            <w:tcW w:w="1418" w:type="dxa"/>
            <w:shd w:val="clear" w:color="auto" w:fill="E5E5E5" w:themeFill="background1" w:themeFillTint="33"/>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0.001</w:t>
            </w:r>
          </w:p>
        </w:tc>
      </w:tr>
      <w:tr w:rsidR="003B33C3" w:rsidRPr="00EF5549" w:rsidTr="00D25EC9">
        <w:trPr>
          <w:trHeight w:val="397"/>
        </w:trPr>
        <w:tc>
          <w:tcPr>
            <w:tcW w:w="5969" w:type="dxa"/>
            <w:shd w:val="clear" w:color="auto" w:fill="auto"/>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Other</w:t>
            </w:r>
          </w:p>
        </w:tc>
        <w:tc>
          <w:tcPr>
            <w:tcW w:w="5245" w:type="dxa"/>
            <w:shd w:val="clear" w:color="auto" w:fill="auto"/>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Major city or Inner regional</w:t>
            </w:r>
          </w:p>
        </w:tc>
        <w:tc>
          <w:tcPr>
            <w:tcW w:w="1417" w:type="dxa"/>
            <w:shd w:val="clear" w:color="auto" w:fill="auto"/>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3.5</w:t>
            </w:r>
          </w:p>
        </w:tc>
        <w:tc>
          <w:tcPr>
            <w:tcW w:w="1418" w:type="dxa"/>
            <w:shd w:val="clear" w:color="auto" w:fill="auto"/>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0.098</w:t>
            </w:r>
          </w:p>
        </w:tc>
      </w:tr>
      <w:tr w:rsidR="003B33C3" w:rsidRPr="00EF5549" w:rsidTr="00D25EC9">
        <w:trPr>
          <w:trHeight w:val="397"/>
        </w:trPr>
        <w:tc>
          <w:tcPr>
            <w:tcW w:w="5969" w:type="dxa"/>
            <w:shd w:val="clear" w:color="auto" w:fill="E5E5E5" w:themeFill="background1" w:themeFillTint="33"/>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Has job</w:t>
            </w:r>
            <w:r w:rsidR="008477D2">
              <w:rPr>
                <w:rFonts w:ascii="Calibri" w:eastAsia="Times New Roman" w:hAnsi="Calibri" w:cs="Calibri"/>
                <w:color w:val="000000"/>
                <w:sz w:val="20"/>
                <w:szCs w:val="20"/>
                <w:lang w:eastAsia="en-AU"/>
              </w:rPr>
              <w:t xml:space="preserve"> </w:t>
            </w:r>
            <w:r w:rsidRPr="00EF5549">
              <w:rPr>
                <w:rFonts w:ascii="Calibri" w:eastAsia="Times New Roman" w:hAnsi="Calibri" w:cs="Calibri"/>
                <w:color w:val="000000"/>
                <w:sz w:val="20"/>
                <w:szCs w:val="20"/>
                <w:lang w:eastAsia="en-AU"/>
              </w:rPr>
              <w:t xml:space="preserve">seeker history </w:t>
            </w:r>
          </w:p>
        </w:tc>
        <w:tc>
          <w:tcPr>
            <w:tcW w:w="5245" w:type="dxa"/>
            <w:shd w:val="clear" w:color="auto" w:fill="E5E5E5" w:themeFill="background1" w:themeFillTint="33"/>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No job</w:t>
            </w:r>
            <w:r w:rsidR="008477D2">
              <w:rPr>
                <w:rFonts w:ascii="Calibri" w:eastAsia="Times New Roman" w:hAnsi="Calibri" w:cs="Calibri"/>
                <w:color w:val="000000"/>
                <w:sz w:val="20"/>
                <w:szCs w:val="20"/>
                <w:lang w:eastAsia="en-AU"/>
              </w:rPr>
              <w:t xml:space="preserve"> </w:t>
            </w:r>
            <w:r w:rsidRPr="00EF5549">
              <w:rPr>
                <w:rFonts w:ascii="Calibri" w:eastAsia="Times New Roman" w:hAnsi="Calibri" w:cs="Calibri"/>
                <w:color w:val="000000"/>
                <w:sz w:val="20"/>
                <w:szCs w:val="20"/>
                <w:lang w:eastAsia="en-AU"/>
              </w:rPr>
              <w:t>seeker history</w:t>
            </w:r>
          </w:p>
        </w:tc>
        <w:tc>
          <w:tcPr>
            <w:tcW w:w="1417" w:type="dxa"/>
            <w:shd w:val="clear" w:color="auto" w:fill="E5E5E5" w:themeFill="background1" w:themeFillTint="33"/>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7.8</w:t>
            </w:r>
          </w:p>
        </w:tc>
        <w:tc>
          <w:tcPr>
            <w:tcW w:w="1418" w:type="dxa"/>
            <w:shd w:val="clear" w:color="auto" w:fill="E5E5E5" w:themeFill="background1" w:themeFillTint="33"/>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&lt;.0001</w:t>
            </w:r>
          </w:p>
        </w:tc>
      </w:tr>
      <w:tr w:rsidR="003B33C3" w:rsidRPr="00EF5549" w:rsidTr="00D25EC9">
        <w:trPr>
          <w:trHeight w:val="397"/>
        </w:trPr>
        <w:tc>
          <w:tcPr>
            <w:tcW w:w="5969" w:type="dxa"/>
            <w:shd w:val="clear" w:color="auto" w:fill="auto"/>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Unemployment rate</w:t>
            </w:r>
          </w:p>
        </w:tc>
        <w:tc>
          <w:tcPr>
            <w:tcW w:w="5245" w:type="dxa"/>
            <w:shd w:val="clear" w:color="auto" w:fill="auto"/>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Continuous variable</w:t>
            </w:r>
          </w:p>
        </w:tc>
        <w:tc>
          <w:tcPr>
            <w:tcW w:w="1417" w:type="dxa"/>
            <w:shd w:val="clear" w:color="auto" w:fill="auto"/>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0.1</w:t>
            </w:r>
          </w:p>
        </w:tc>
        <w:tc>
          <w:tcPr>
            <w:tcW w:w="1418" w:type="dxa"/>
            <w:shd w:val="clear" w:color="auto" w:fill="auto"/>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0.885</w:t>
            </w:r>
          </w:p>
        </w:tc>
      </w:tr>
      <w:tr w:rsidR="003B33C3" w:rsidRPr="00EF5549" w:rsidTr="00D25EC9">
        <w:trPr>
          <w:trHeight w:val="397"/>
        </w:trPr>
        <w:tc>
          <w:tcPr>
            <w:tcW w:w="5969" w:type="dxa"/>
            <w:shd w:val="clear" w:color="auto" w:fill="E5E5E5" w:themeFill="background1" w:themeFillTint="33"/>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Personal factors: High impact</w:t>
            </w:r>
          </w:p>
        </w:tc>
        <w:tc>
          <w:tcPr>
            <w:tcW w:w="5245" w:type="dxa"/>
            <w:shd w:val="clear" w:color="auto" w:fill="E5E5E5" w:themeFill="background1" w:themeFillTint="33"/>
            <w:noWrap/>
            <w:vAlign w:val="center"/>
            <w:hideMark/>
          </w:tcPr>
          <w:p w:rsidR="003B33C3" w:rsidRPr="00EF5549" w:rsidRDefault="00FA14FE" w:rsidP="00EF554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 xml:space="preserve">Personal factors: </w:t>
            </w:r>
            <w:r w:rsidR="003B33C3" w:rsidRPr="00EF5549">
              <w:rPr>
                <w:rFonts w:ascii="Calibri" w:eastAsia="Times New Roman" w:hAnsi="Calibri" w:cs="Calibri"/>
                <w:color w:val="000000"/>
                <w:sz w:val="20"/>
                <w:szCs w:val="20"/>
                <w:lang w:eastAsia="en-AU"/>
              </w:rPr>
              <w:t>No impact</w:t>
            </w:r>
          </w:p>
        </w:tc>
        <w:tc>
          <w:tcPr>
            <w:tcW w:w="1417" w:type="dxa"/>
            <w:shd w:val="clear" w:color="auto" w:fill="E5E5E5" w:themeFill="background1" w:themeFillTint="33"/>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7.8</w:t>
            </w:r>
          </w:p>
        </w:tc>
        <w:tc>
          <w:tcPr>
            <w:tcW w:w="1418" w:type="dxa"/>
            <w:shd w:val="clear" w:color="auto" w:fill="E5E5E5" w:themeFill="background1" w:themeFillTint="33"/>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0.000</w:t>
            </w:r>
          </w:p>
        </w:tc>
      </w:tr>
      <w:tr w:rsidR="003B33C3" w:rsidRPr="00EF5549" w:rsidTr="00D25EC9">
        <w:trPr>
          <w:trHeight w:val="397"/>
        </w:trPr>
        <w:tc>
          <w:tcPr>
            <w:tcW w:w="5969" w:type="dxa"/>
            <w:shd w:val="clear" w:color="auto" w:fill="auto"/>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Personal factors: Low impact</w:t>
            </w:r>
          </w:p>
        </w:tc>
        <w:tc>
          <w:tcPr>
            <w:tcW w:w="5245" w:type="dxa"/>
            <w:shd w:val="clear" w:color="auto" w:fill="auto"/>
            <w:noWrap/>
            <w:vAlign w:val="center"/>
            <w:hideMark/>
          </w:tcPr>
          <w:p w:rsidR="003B33C3" w:rsidRPr="00EF5549" w:rsidRDefault="00FA14FE" w:rsidP="00EF554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 xml:space="preserve">Personal factors: </w:t>
            </w:r>
            <w:r w:rsidR="003B33C3" w:rsidRPr="00EF5549">
              <w:rPr>
                <w:rFonts w:ascii="Calibri" w:eastAsia="Times New Roman" w:hAnsi="Calibri" w:cs="Calibri"/>
                <w:color w:val="000000"/>
                <w:sz w:val="20"/>
                <w:szCs w:val="20"/>
                <w:lang w:eastAsia="en-AU"/>
              </w:rPr>
              <w:t>No impact</w:t>
            </w:r>
          </w:p>
        </w:tc>
        <w:tc>
          <w:tcPr>
            <w:tcW w:w="1417" w:type="dxa"/>
            <w:shd w:val="clear" w:color="auto" w:fill="auto"/>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5.4</w:t>
            </w:r>
          </w:p>
        </w:tc>
        <w:tc>
          <w:tcPr>
            <w:tcW w:w="1418" w:type="dxa"/>
            <w:shd w:val="clear" w:color="auto" w:fill="auto"/>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0.027</w:t>
            </w:r>
          </w:p>
        </w:tc>
      </w:tr>
      <w:tr w:rsidR="003B33C3" w:rsidRPr="00EF5549" w:rsidTr="00D25EC9">
        <w:trPr>
          <w:trHeight w:val="397"/>
        </w:trPr>
        <w:tc>
          <w:tcPr>
            <w:tcW w:w="5969" w:type="dxa"/>
            <w:shd w:val="clear" w:color="auto" w:fill="E5E5E5" w:themeFill="background1" w:themeFillTint="33"/>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Personal factors: Medium impact</w:t>
            </w:r>
          </w:p>
        </w:tc>
        <w:tc>
          <w:tcPr>
            <w:tcW w:w="5245" w:type="dxa"/>
            <w:shd w:val="clear" w:color="auto" w:fill="E5E5E5" w:themeFill="background1" w:themeFillTint="33"/>
            <w:noWrap/>
            <w:vAlign w:val="center"/>
            <w:hideMark/>
          </w:tcPr>
          <w:p w:rsidR="003B33C3" w:rsidRPr="00EF5549" w:rsidRDefault="00FA14FE" w:rsidP="00EF554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 xml:space="preserve">Personal factors: </w:t>
            </w:r>
            <w:r w:rsidR="003B33C3" w:rsidRPr="00EF5549">
              <w:rPr>
                <w:rFonts w:ascii="Calibri" w:eastAsia="Times New Roman" w:hAnsi="Calibri" w:cs="Calibri"/>
                <w:color w:val="000000"/>
                <w:sz w:val="20"/>
                <w:szCs w:val="20"/>
                <w:lang w:eastAsia="en-AU"/>
              </w:rPr>
              <w:t>No impact</w:t>
            </w:r>
          </w:p>
        </w:tc>
        <w:tc>
          <w:tcPr>
            <w:tcW w:w="1417" w:type="dxa"/>
            <w:shd w:val="clear" w:color="auto" w:fill="E5E5E5" w:themeFill="background1" w:themeFillTint="33"/>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-2.7</w:t>
            </w:r>
          </w:p>
        </w:tc>
        <w:tc>
          <w:tcPr>
            <w:tcW w:w="1418" w:type="dxa"/>
            <w:shd w:val="clear" w:color="auto" w:fill="E5E5E5" w:themeFill="background1" w:themeFillTint="33"/>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0.459</w:t>
            </w:r>
          </w:p>
        </w:tc>
      </w:tr>
      <w:tr w:rsidR="003B33C3" w:rsidRPr="00EF5549" w:rsidTr="00D25EC9">
        <w:trPr>
          <w:trHeight w:val="397"/>
        </w:trPr>
        <w:tc>
          <w:tcPr>
            <w:tcW w:w="5969" w:type="dxa"/>
            <w:shd w:val="clear" w:color="auto" w:fill="auto"/>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 xml:space="preserve">Access to transport: Other private transport </w:t>
            </w:r>
          </w:p>
        </w:tc>
        <w:tc>
          <w:tcPr>
            <w:tcW w:w="5245" w:type="dxa"/>
            <w:shd w:val="clear" w:color="auto" w:fill="auto"/>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Own transport</w:t>
            </w:r>
          </w:p>
        </w:tc>
        <w:tc>
          <w:tcPr>
            <w:tcW w:w="1417" w:type="dxa"/>
            <w:shd w:val="clear" w:color="auto" w:fill="auto"/>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1.0</w:t>
            </w:r>
          </w:p>
        </w:tc>
        <w:tc>
          <w:tcPr>
            <w:tcW w:w="1418" w:type="dxa"/>
            <w:shd w:val="clear" w:color="auto" w:fill="auto"/>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0.639</w:t>
            </w:r>
          </w:p>
        </w:tc>
      </w:tr>
      <w:tr w:rsidR="003B33C3" w:rsidRPr="00EF5549" w:rsidTr="00D25EC9">
        <w:trPr>
          <w:trHeight w:val="397"/>
        </w:trPr>
        <w:tc>
          <w:tcPr>
            <w:tcW w:w="5969" w:type="dxa"/>
            <w:shd w:val="clear" w:color="auto" w:fill="E5E5E5" w:themeFill="background1" w:themeFillTint="33"/>
            <w:noWrap/>
            <w:vAlign w:val="center"/>
            <w:hideMark/>
          </w:tcPr>
          <w:p w:rsidR="003B33C3" w:rsidRPr="00EF5549" w:rsidRDefault="00FA14FE" w:rsidP="00EF554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 xml:space="preserve">Access to transport: </w:t>
            </w:r>
            <w:r w:rsidR="003B33C3" w:rsidRPr="00EF5549">
              <w:rPr>
                <w:rFonts w:ascii="Calibri" w:eastAsia="Times New Roman" w:hAnsi="Calibri" w:cs="Calibri"/>
                <w:color w:val="000000"/>
                <w:sz w:val="20"/>
                <w:szCs w:val="20"/>
                <w:lang w:eastAsia="en-AU"/>
              </w:rPr>
              <w:t xml:space="preserve">Public transport </w:t>
            </w:r>
          </w:p>
        </w:tc>
        <w:tc>
          <w:tcPr>
            <w:tcW w:w="5245" w:type="dxa"/>
            <w:shd w:val="clear" w:color="auto" w:fill="E5E5E5" w:themeFill="background1" w:themeFillTint="33"/>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Own transport</w:t>
            </w:r>
          </w:p>
        </w:tc>
        <w:tc>
          <w:tcPr>
            <w:tcW w:w="1417" w:type="dxa"/>
            <w:shd w:val="clear" w:color="auto" w:fill="E5E5E5" w:themeFill="background1" w:themeFillTint="33"/>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4.1</w:t>
            </w:r>
          </w:p>
        </w:tc>
        <w:tc>
          <w:tcPr>
            <w:tcW w:w="1418" w:type="dxa"/>
            <w:shd w:val="clear" w:color="auto" w:fill="E5E5E5" w:themeFill="background1" w:themeFillTint="33"/>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0.001</w:t>
            </w:r>
          </w:p>
        </w:tc>
      </w:tr>
      <w:tr w:rsidR="003B33C3" w:rsidRPr="00EF5549" w:rsidTr="00D25EC9">
        <w:trPr>
          <w:trHeight w:val="397"/>
        </w:trPr>
        <w:tc>
          <w:tcPr>
            <w:tcW w:w="5969" w:type="dxa"/>
            <w:shd w:val="clear" w:color="auto" w:fill="FFFFFF" w:themeFill="background2"/>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lastRenderedPageBreak/>
              <w:t>Access to tran</w:t>
            </w:r>
            <w:r w:rsidR="00C962FC">
              <w:rPr>
                <w:rFonts w:ascii="Calibri" w:eastAsia="Times New Roman" w:hAnsi="Calibri" w:cs="Calibri"/>
                <w:color w:val="000000"/>
                <w:sz w:val="20"/>
                <w:szCs w:val="20"/>
                <w:lang w:eastAsia="en-AU"/>
              </w:rPr>
              <w:t>sport: No access to transport</w:t>
            </w:r>
          </w:p>
        </w:tc>
        <w:tc>
          <w:tcPr>
            <w:tcW w:w="5245" w:type="dxa"/>
            <w:shd w:val="clear" w:color="auto" w:fill="FFFFFF" w:themeFill="background2"/>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Own transport</w:t>
            </w:r>
          </w:p>
        </w:tc>
        <w:tc>
          <w:tcPr>
            <w:tcW w:w="1417" w:type="dxa"/>
            <w:shd w:val="clear" w:color="auto" w:fill="FFFFFF" w:themeFill="background2"/>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3.2</w:t>
            </w:r>
          </w:p>
        </w:tc>
        <w:tc>
          <w:tcPr>
            <w:tcW w:w="1418" w:type="dxa"/>
            <w:shd w:val="clear" w:color="auto" w:fill="FFFFFF" w:themeFill="background2"/>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0.236</w:t>
            </w:r>
          </w:p>
        </w:tc>
      </w:tr>
      <w:tr w:rsidR="003B33C3" w:rsidRPr="00EF5549" w:rsidTr="00D25EC9">
        <w:trPr>
          <w:trHeight w:val="397"/>
        </w:trPr>
        <w:tc>
          <w:tcPr>
            <w:tcW w:w="5969" w:type="dxa"/>
            <w:shd w:val="clear" w:color="auto" w:fill="E5E5E5" w:themeFill="background1" w:themeFillTint="33"/>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Countr</w:t>
            </w:r>
            <w:r w:rsidR="00C962FC">
              <w:rPr>
                <w:rFonts w:ascii="Calibri" w:eastAsia="Times New Roman" w:hAnsi="Calibri" w:cs="Calibri"/>
                <w:color w:val="000000"/>
                <w:sz w:val="20"/>
                <w:szCs w:val="20"/>
                <w:lang w:eastAsia="en-AU"/>
              </w:rPr>
              <w:t>y of birth: Medium disadvantage</w:t>
            </w:r>
          </w:p>
        </w:tc>
        <w:tc>
          <w:tcPr>
            <w:tcW w:w="5245" w:type="dxa"/>
            <w:shd w:val="clear" w:color="auto" w:fill="E5E5E5" w:themeFill="background1" w:themeFillTint="33"/>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Country of birth</w:t>
            </w:r>
            <w:r w:rsidR="00C962FC">
              <w:rPr>
                <w:rFonts w:ascii="Calibri" w:eastAsia="Times New Roman" w:hAnsi="Calibri" w:cs="Calibri"/>
                <w:color w:val="000000"/>
                <w:sz w:val="20"/>
                <w:szCs w:val="20"/>
                <w:lang w:eastAsia="en-AU"/>
              </w:rPr>
              <w:t>: Very low/low disadvantage</w:t>
            </w:r>
          </w:p>
        </w:tc>
        <w:tc>
          <w:tcPr>
            <w:tcW w:w="1417" w:type="dxa"/>
            <w:shd w:val="clear" w:color="auto" w:fill="E5E5E5" w:themeFill="background1" w:themeFillTint="33"/>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3.8</w:t>
            </w:r>
          </w:p>
        </w:tc>
        <w:tc>
          <w:tcPr>
            <w:tcW w:w="1418" w:type="dxa"/>
            <w:shd w:val="clear" w:color="auto" w:fill="E5E5E5" w:themeFill="background1" w:themeFillTint="33"/>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0.296</w:t>
            </w:r>
          </w:p>
        </w:tc>
      </w:tr>
      <w:tr w:rsidR="003B33C3" w:rsidRPr="00EF5549" w:rsidTr="00D25EC9">
        <w:trPr>
          <w:trHeight w:val="397"/>
        </w:trPr>
        <w:tc>
          <w:tcPr>
            <w:tcW w:w="5969" w:type="dxa"/>
            <w:shd w:val="clear" w:color="auto" w:fill="auto"/>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Coun</w:t>
            </w:r>
            <w:r w:rsidR="00C962FC">
              <w:rPr>
                <w:rFonts w:ascii="Calibri" w:eastAsia="Times New Roman" w:hAnsi="Calibri" w:cs="Calibri"/>
                <w:color w:val="000000"/>
                <w:sz w:val="20"/>
                <w:szCs w:val="20"/>
                <w:lang w:eastAsia="en-AU"/>
              </w:rPr>
              <w:t>try of birth: High disadvantage</w:t>
            </w:r>
          </w:p>
        </w:tc>
        <w:tc>
          <w:tcPr>
            <w:tcW w:w="5245" w:type="dxa"/>
            <w:shd w:val="clear" w:color="auto" w:fill="auto"/>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Country of b</w:t>
            </w:r>
            <w:r w:rsidR="00C962FC">
              <w:rPr>
                <w:rFonts w:ascii="Calibri" w:eastAsia="Times New Roman" w:hAnsi="Calibri" w:cs="Calibri"/>
                <w:color w:val="000000"/>
                <w:sz w:val="20"/>
                <w:szCs w:val="20"/>
                <w:lang w:eastAsia="en-AU"/>
              </w:rPr>
              <w:t>irth: Very low/low disadvantage</w:t>
            </w:r>
          </w:p>
        </w:tc>
        <w:tc>
          <w:tcPr>
            <w:tcW w:w="1417" w:type="dxa"/>
            <w:shd w:val="clear" w:color="auto" w:fill="auto"/>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4.3</w:t>
            </w:r>
          </w:p>
        </w:tc>
        <w:tc>
          <w:tcPr>
            <w:tcW w:w="1418" w:type="dxa"/>
            <w:shd w:val="clear" w:color="auto" w:fill="auto"/>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0.251</w:t>
            </w:r>
          </w:p>
        </w:tc>
      </w:tr>
      <w:tr w:rsidR="003B33C3" w:rsidRPr="00EF5549" w:rsidTr="00D25EC9">
        <w:trPr>
          <w:trHeight w:val="397"/>
        </w:trPr>
        <w:tc>
          <w:tcPr>
            <w:tcW w:w="5969" w:type="dxa"/>
            <w:shd w:val="clear" w:color="auto" w:fill="E5E5E5" w:themeFill="background1" w:themeFillTint="33"/>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Country o</w:t>
            </w:r>
            <w:r w:rsidR="00C962FC">
              <w:rPr>
                <w:rFonts w:ascii="Calibri" w:eastAsia="Times New Roman" w:hAnsi="Calibri" w:cs="Calibri"/>
                <w:color w:val="000000"/>
                <w:sz w:val="20"/>
                <w:szCs w:val="20"/>
                <w:lang w:eastAsia="en-AU"/>
              </w:rPr>
              <w:t>f birth: Very high disadvantage</w:t>
            </w:r>
          </w:p>
        </w:tc>
        <w:tc>
          <w:tcPr>
            <w:tcW w:w="5245" w:type="dxa"/>
            <w:shd w:val="clear" w:color="auto" w:fill="E5E5E5" w:themeFill="background1" w:themeFillTint="33"/>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Country of b</w:t>
            </w:r>
            <w:r w:rsidR="00C962FC">
              <w:rPr>
                <w:rFonts w:ascii="Calibri" w:eastAsia="Times New Roman" w:hAnsi="Calibri" w:cs="Calibri"/>
                <w:color w:val="000000"/>
                <w:sz w:val="20"/>
                <w:szCs w:val="20"/>
                <w:lang w:eastAsia="en-AU"/>
              </w:rPr>
              <w:t>irth: Very low/low disadvantage</w:t>
            </w:r>
          </w:p>
        </w:tc>
        <w:tc>
          <w:tcPr>
            <w:tcW w:w="1417" w:type="dxa"/>
            <w:shd w:val="clear" w:color="auto" w:fill="E5E5E5" w:themeFill="background1" w:themeFillTint="33"/>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10.1</w:t>
            </w:r>
          </w:p>
        </w:tc>
        <w:tc>
          <w:tcPr>
            <w:tcW w:w="1418" w:type="dxa"/>
            <w:shd w:val="clear" w:color="auto" w:fill="E5E5E5" w:themeFill="background1" w:themeFillTint="33"/>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0.069</w:t>
            </w:r>
          </w:p>
        </w:tc>
      </w:tr>
      <w:tr w:rsidR="003B33C3" w:rsidRPr="00EF5549" w:rsidTr="00D25EC9">
        <w:trPr>
          <w:trHeight w:val="397"/>
        </w:trPr>
        <w:tc>
          <w:tcPr>
            <w:tcW w:w="5969" w:type="dxa"/>
            <w:shd w:val="clear" w:color="auto" w:fill="auto"/>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Highest level of educati</w:t>
            </w:r>
            <w:r w:rsidR="00C962FC">
              <w:rPr>
                <w:rFonts w:ascii="Calibri" w:eastAsia="Times New Roman" w:hAnsi="Calibri" w:cs="Calibri"/>
                <w:color w:val="000000"/>
                <w:sz w:val="20"/>
                <w:szCs w:val="20"/>
                <w:lang w:eastAsia="en-AU"/>
              </w:rPr>
              <w:t>on: Less than Year 10</w:t>
            </w:r>
          </w:p>
        </w:tc>
        <w:tc>
          <w:tcPr>
            <w:tcW w:w="5245" w:type="dxa"/>
            <w:shd w:val="clear" w:color="auto" w:fill="auto"/>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Highest level of education: TAFE/Diploma</w:t>
            </w:r>
          </w:p>
        </w:tc>
        <w:tc>
          <w:tcPr>
            <w:tcW w:w="1417" w:type="dxa"/>
            <w:shd w:val="clear" w:color="auto" w:fill="auto"/>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13.4</w:t>
            </w:r>
          </w:p>
        </w:tc>
        <w:tc>
          <w:tcPr>
            <w:tcW w:w="1418" w:type="dxa"/>
            <w:shd w:val="clear" w:color="auto" w:fill="auto"/>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&lt;.0001</w:t>
            </w:r>
          </w:p>
        </w:tc>
      </w:tr>
      <w:tr w:rsidR="003B33C3" w:rsidRPr="00EF5549" w:rsidTr="00D25EC9">
        <w:trPr>
          <w:trHeight w:val="397"/>
        </w:trPr>
        <w:tc>
          <w:tcPr>
            <w:tcW w:w="5969" w:type="dxa"/>
            <w:shd w:val="clear" w:color="auto" w:fill="E5E5E5" w:themeFill="background1" w:themeFillTint="33"/>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Highest level of education: Year 10/11</w:t>
            </w:r>
          </w:p>
        </w:tc>
        <w:tc>
          <w:tcPr>
            <w:tcW w:w="5245" w:type="dxa"/>
            <w:shd w:val="clear" w:color="auto" w:fill="E5E5E5" w:themeFill="background1" w:themeFillTint="33"/>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Highest level of education: TAFE/Diploma</w:t>
            </w:r>
          </w:p>
        </w:tc>
        <w:tc>
          <w:tcPr>
            <w:tcW w:w="1417" w:type="dxa"/>
            <w:shd w:val="clear" w:color="auto" w:fill="E5E5E5" w:themeFill="background1" w:themeFillTint="33"/>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7.7</w:t>
            </w:r>
          </w:p>
        </w:tc>
        <w:tc>
          <w:tcPr>
            <w:tcW w:w="1418" w:type="dxa"/>
            <w:shd w:val="clear" w:color="auto" w:fill="E5E5E5" w:themeFill="background1" w:themeFillTint="33"/>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&lt;.0001</w:t>
            </w:r>
          </w:p>
        </w:tc>
      </w:tr>
      <w:tr w:rsidR="003B33C3" w:rsidRPr="00EF5549" w:rsidTr="00D25EC9">
        <w:trPr>
          <w:trHeight w:val="397"/>
        </w:trPr>
        <w:tc>
          <w:tcPr>
            <w:tcW w:w="5969" w:type="dxa"/>
            <w:shd w:val="clear" w:color="auto" w:fill="auto"/>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Highest level of education: Year 12</w:t>
            </w:r>
          </w:p>
        </w:tc>
        <w:tc>
          <w:tcPr>
            <w:tcW w:w="5245" w:type="dxa"/>
            <w:shd w:val="clear" w:color="auto" w:fill="auto"/>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Highest level of education: TAFE/Diploma</w:t>
            </w:r>
          </w:p>
        </w:tc>
        <w:tc>
          <w:tcPr>
            <w:tcW w:w="1417" w:type="dxa"/>
            <w:shd w:val="clear" w:color="auto" w:fill="auto"/>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4.3</w:t>
            </w:r>
          </w:p>
        </w:tc>
        <w:tc>
          <w:tcPr>
            <w:tcW w:w="1418" w:type="dxa"/>
            <w:shd w:val="clear" w:color="auto" w:fill="auto"/>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0.041</w:t>
            </w:r>
          </w:p>
        </w:tc>
      </w:tr>
      <w:tr w:rsidR="003B33C3" w:rsidRPr="00EF5549" w:rsidTr="00D25EC9">
        <w:trPr>
          <w:trHeight w:val="397"/>
        </w:trPr>
        <w:tc>
          <w:tcPr>
            <w:tcW w:w="5969" w:type="dxa"/>
            <w:shd w:val="clear" w:color="auto" w:fill="E5E5E5" w:themeFill="background1" w:themeFillTint="33"/>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Highest level of education: degree / Post graduate</w:t>
            </w:r>
          </w:p>
        </w:tc>
        <w:tc>
          <w:tcPr>
            <w:tcW w:w="5245" w:type="dxa"/>
            <w:shd w:val="clear" w:color="auto" w:fill="E5E5E5" w:themeFill="background1" w:themeFillTint="33"/>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Highest level of education: TAFE/Diploma</w:t>
            </w:r>
          </w:p>
        </w:tc>
        <w:tc>
          <w:tcPr>
            <w:tcW w:w="1417" w:type="dxa"/>
            <w:shd w:val="clear" w:color="auto" w:fill="E5E5E5" w:themeFill="background1" w:themeFillTint="33"/>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-10.6</w:t>
            </w:r>
          </w:p>
        </w:tc>
        <w:tc>
          <w:tcPr>
            <w:tcW w:w="1418" w:type="dxa"/>
            <w:shd w:val="clear" w:color="auto" w:fill="E5E5E5" w:themeFill="background1" w:themeFillTint="33"/>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&lt;.0001</w:t>
            </w:r>
          </w:p>
        </w:tc>
      </w:tr>
      <w:tr w:rsidR="003B33C3" w:rsidRPr="00EF5549" w:rsidTr="00D25EC9">
        <w:trPr>
          <w:trHeight w:val="397"/>
        </w:trPr>
        <w:tc>
          <w:tcPr>
            <w:tcW w:w="5969" w:type="dxa"/>
            <w:shd w:val="clear" w:color="auto" w:fill="auto"/>
            <w:noWrap/>
            <w:vAlign w:val="center"/>
            <w:hideMark/>
          </w:tcPr>
          <w:p w:rsidR="003B33C3" w:rsidRPr="00EF5549" w:rsidRDefault="00FA14FE" w:rsidP="00EF554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Geographic area:</w:t>
            </w:r>
            <w:r w:rsidR="003B33C3" w:rsidRPr="00EF5549">
              <w:rPr>
                <w:rFonts w:ascii="Calibri" w:eastAsia="Times New Roman" w:hAnsi="Calibri" w:cs="Calibri"/>
                <w:color w:val="000000"/>
                <w:sz w:val="20"/>
                <w:szCs w:val="20"/>
                <w:lang w:eastAsia="en-AU"/>
              </w:rPr>
              <w:t xml:space="preserve"> Low</w:t>
            </w:r>
            <w:r w:rsidR="008477D2">
              <w:rPr>
                <w:rFonts w:ascii="Calibri" w:eastAsia="Times New Roman" w:hAnsi="Calibri" w:cs="Calibri"/>
                <w:color w:val="000000"/>
                <w:sz w:val="20"/>
                <w:szCs w:val="20"/>
                <w:lang w:eastAsia="en-AU"/>
              </w:rPr>
              <w:t xml:space="preserve"> to moderate disadvantage ESA</w:t>
            </w:r>
          </w:p>
        </w:tc>
        <w:tc>
          <w:tcPr>
            <w:tcW w:w="5245" w:type="dxa"/>
            <w:shd w:val="clear" w:color="auto" w:fill="auto"/>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Geographic are</w:t>
            </w:r>
            <w:r w:rsidR="00FA14FE">
              <w:rPr>
                <w:rFonts w:ascii="Calibri" w:eastAsia="Times New Roman" w:hAnsi="Calibri" w:cs="Calibri"/>
                <w:color w:val="000000"/>
                <w:sz w:val="20"/>
                <w:szCs w:val="20"/>
                <w:lang w:eastAsia="en-AU"/>
              </w:rPr>
              <w:t xml:space="preserve">a: </w:t>
            </w:r>
            <w:r w:rsidR="008477D2">
              <w:rPr>
                <w:rFonts w:ascii="Calibri" w:eastAsia="Times New Roman" w:hAnsi="Calibri" w:cs="Calibri"/>
                <w:color w:val="000000"/>
                <w:sz w:val="20"/>
                <w:szCs w:val="20"/>
                <w:lang w:eastAsia="en-AU"/>
              </w:rPr>
              <w:t>Very low disadvantage ESA</w:t>
            </w:r>
          </w:p>
        </w:tc>
        <w:tc>
          <w:tcPr>
            <w:tcW w:w="1417" w:type="dxa"/>
            <w:shd w:val="clear" w:color="auto" w:fill="auto"/>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-4.9</w:t>
            </w:r>
          </w:p>
        </w:tc>
        <w:tc>
          <w:tcPr>
            <w:tcW w:w="1418" w:type="dxa"/>
            <w:shd w:val="clear" w:color="auto" w:fill="auto"/>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0.050</w:t>
            </w:r>
          </w:p>
        </w:tc>
      </w:tr>
      <w:tr w:rsidR="003B33C3" w:rsidRPr="00EF5549" w:rsidTr="00D25EC9">
        <w:trPr>
          <w:trHeight w:val="397"/>
        </w:trPr>
        <w:tc>
          <w:tcPr>
            <w:tcW w:w="5969" w:type="dxa"/>
            <w:shd w:val="clear" w:color="auto" w:fill="E5E5E5" w:themeFill="background1" w:themeFillTint="33"/>
            <w:noWrap/>
            <w:vAlign w:val="center"/>
            <w:hideMark/>
          </w:tcPr>
          <w:p w:rsidR="003B33C3" w:rsidRPr="00EF5549" w:rsidRDefault="00FA14FE" w:rsidP="00EF554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Geographic area:</w:t>
            </w:r>
            <w:r w:rsidR="003B33C3" w:rsidRPr="00EF5549">
              <w:rPr>
                <w:rFonts w:ascii="Calibri" w:eastAsia="Times New Roman" w:hAnsi="Calibri" w:cs="Calibri"/>
                <w:color w:val="000000"/>
                <w:sz w:val="20"/>
                <w:szCs w:val="20"/>
                <w:lang w:eastAsia="en-AU"/>
              </w:rPr>
              <w:t xml:space="preserve"> Moderate to high d</w:t>
            </w:r>
            <w:r w:rsidR="008477D2">
              <w:rPr>
                <w:rFonts w:ascii="Calibri" w:eastAsia="Times New Roman" w:hAnsi="Calibri" w:cs="Calibri"/>
                <w:color w:val="000000"/>
                <w:sz w:val="20"/>
                <w:szCs w:val="20"/>
                <w:lang w:eastAsia="en-AU"/>
              </w:rPr>
              <w:t>isadvantage ESA</w:t>
            </w:r>
          </w:p>
        </w:tc>
        <w:tc>
          <w:tcPr>
            <w:tcW w:w="5245" w:type="dxa"/>
            <w:shd w:val="clear" w:color="auto" w:fill="E5E5E5" w:themeFill="background1" w:themeFillTint="33"/>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Geographic are</w:t>
            </w:r>
            <w:r w:rsidR="00FA14FE">
              <w:rPr>
                <w:rFonts w:ascii="Calibri" w:eastAsia="Times New Roman" w:hAnsi="Calibri" w:cs="Calibri"/>
                <w:color w:val="000000"/>
                <w:sz w:val="20"/>
                <w:szCs w:val="20"/>
                <w:lang w:eastAsia="en-AU"/>
              </w:rPr>
              <w:t xml:space="preserve">a: </w:t>
            </w:r>
            <w:r w:rsidR="008477D2">
              <w:rPr>
                <w:rFonts w:ascii="Calibri" w:eastAsia="Times New Roman" w:hAnsi="Calibri" w:cs="Calibri"/>
                <w:color w:val="000000"/>
                <w:sz w:val="20"/>
                <w:szCs w:val="20"/>
                <w:lang w:eastAsia="en-AU"/>
              </w:rPr>
              <w:t>Very low disadvantage ESA</w:t>
            </w:r>
          </w:p>
        </w:tc>
        <w:tc>
          <w:tcPr>
            <w:tcW w:w="1417" w:type="dxa"/>
            <w:shd w:val="clear" w:color="auto" w:fill="E5E5E5" w:themeFill="background1" w:themeFillTint="33"/>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-6.4</w:t>
            </w:r>
          </w:p>
        </w:tc>
        <w:tc>
          <w:tcPr>
            <w:tcW w:w="1418" w:type="dxa"/>
            <w:shd w:val="clear" w:color="auto" w:fill="E5E5E5" w:themeFill="background1" w:themeFillTint="33"/>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0.017</w:t>
            </w:r>
          </w:p>
        </w:tc>
      </w:tr>
      <w:tr w:rsidR="003B33C3" w:rsidRPr="00EF5549" w:rsidTr="00D25EC9">
        <w:trPr>
          <w:trHeight w:val="397"/>
        </w:trPr>
        <w:tc>
          <w:tcPr>
            <w:tcW w:w="5969" w:type="dxa"/>
            <w:shd w:val="clear" w:color="auto" w:fill="FFFFFF" w:themeFill="background2"/>
            <w:noWrap/>
            <w:vAlign w:val="center"/>
            <w:hideMark/>
          </w:tcPr>
          <w:p w:rsidR="003B33C3" w:rsidRPr="00EF5549" w:rsidRDefault="003B33C3" w:rsidP="008477D2">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Vocat</w:t>
            </w:r>
            <w:r w:rsidR="008477D2">
              <w:rPr>
                <w:rFonts w:ascii="Calibri" w:eastAsia="Times New Roman" w:hAnsi="Calibri" w:cs="Calibri"/>
                <w:color w:val="000000"/>
                <w:sz w:val="20"/>
                <w:szCs w:val="20"/>
                <w:lang w:eastAsia="en-AU"/>
              </w:rPr>
              <w:t>ional qualifications not useful</w:t>
            </w:r>
          </w:p>
        </w:tc>
        <w:tc>
          <w:tcPr>
            <w:tcW w:w="5245" w:type="dxa"/>
            <w:shd w:val="clear" w:color="auto" w:fill="FFFFFF" w:themeFill="background2"/>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Has useful vocational qualifications</w:t>
            </w:r>
          </w:p>
        </w:tc>
        <w:tc>
          <w:tcPr>
            <w:tcW w:w="1417" w:type="dxa"/>
            <w:shd w:val="clear" w:color="auto" w:fill="FFFFFF" w:themeFill="background2"/>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0.3</w:t>
            </w:r>
          </w:p>
        </w:tc>
        <w:tc>
          <w:tcPr>
            <w:tcW w:w="1418" w:type="dxa"/>
            <w:shd w:val="clear" w:color="auto" w:fill="FFFFFF" w:themeFill="background2"/>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0.920</w:t>
            </w:r>
          </w:p>
        </w:tc>
      </w:tr>
      <w:tr w:rsidR="003B33C3" w:rsidRPr="00EF5549" w:rsidTr="00D25EC9">
        <w:trPr>
          <w:trHeight w:val="397"/>
        </w:trPr>
        <w:tc>
          <w:tcPr>
            <w:tcW w:w="5969" w:type="dxa"/>
            <w:shd w:val="clear" w:color="auto" w:fill="E5E5E5" w:themeFill="background1" w:themeFillTint="33"/>
            <w:noWrap/>
            <w:vAlign w:val="center"/>
            <w:hideMark/>
          </w:tcPr>
          <w:p w:rsidR="003B33C3" w:rsidRPr="00EF5549" w:rsidRDefault="00C962FC" w:rsidP="00EF554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No vocational qualifications</w:t>
            </w:r>
          </w:p>
        </w:tc>
        <w:tc>
          <w:tcPr>
            <w:tcW w:w="5245" w:type="dxa"/>
            <w:shd w:val="clear" w:color="auto" w:fill="E5E5E5" w:themeFill="background1" w:themeFillTint="33"/>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Has useful vocational qualifications</w:t>
            </w:r>
          </w:p>
        </w:tc>
        <w:tc>
          <w:tcPr>
            <w:tcW w:w="1417" w:type="dxa"/>
            <w:shd w:val="clear" w:color="auto" w:fill="E5E5E5" w:themeFill="background1" w:themeFillTint="33"/>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-6.0</w:t>
            </w:r>
          </w:p>
        </w:tc>
        <w:tc>
          <w:tcPr>
            <w:tcW w:w="1418" w:type="dxa"/>
            <w:shd w:val="clear" w:color="auto" w:fill="E5E5E5" w:themeFill="background1" w:themeFillTint="33"/>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0.001</w:t>
            </w:r>
          </w:p>
        </w:tc>
      </w:tr>
      <w:tr w:rsidR="003B33C3" w:rsidRPr="00EF5549" w:rsidTr="00D25EC9">
        <w:trPr>
          <w:trHeight w:val="397"/>
        </w:trPr>
        <w:tc>
          <w:tcPr>
            <w:tcW w:w="5969" w:type="dxa"/>
            <w:shd w:val="clear" w:color="auto" w:fill="FFFFFF" w:themeFill="background2"/>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 xml:space="preserve">Recent work </w:t>
            </w:r>
            <w:r w:rsidR="00FA14FE">
              <w:rPr>
                <w:rFonts w:ascii="Calibri" w:eastAsia="Times New Roman" w:hAnsi="Calibri" w:cs="Calibri"/>
                <w:color w:val="000000"/>
                <w:sz w:val="20"/>
                <w:szCs w:val="20"/>
                <w:lang w:eastAsia="en-AU"/>
              </w:rPr>
              <w:t>experience:</w:t>
            </w:r>
            <w:r w:rsidRPr="00EF5549">
              <w:rPr>
                <w:rFonts w:ascii="Calibri" w:eastAsia="Times New Roman" w:hAnsi="Calibri" w:cs="Calibri"/>
                <w:color w:val="000000"/>
                <w:sz w:val="20"/>
                <w:szCs w:val="20"/>
                <w:lang w:eastAsia="en-AU"/>
              </w:rPr>
              <w:t xml:space="preserve"> Part-time</w:t>
            </w:r>
            <w:r w:rsidR="00427FA0">
              <w:rPr>
                <w:rFonts w:ascii="Calibri" w:eastAsia="Times New Roman" w:hAnsi="Calibri" w:cs="Calibri"/>
                <w:color w:val="000000"/>
                <w:sz w:val="20"/>
                <w:szCs w:val="20"/>
                <w:lang w:eastAsia="en-AU"/>
              </w:rPr>
              <w:t xml:space="preserve"> </w:t>
            </w:r>
            <w:r w:rsidRPr="00EF5549">
              <w:rPr>
                <w:rFonts w:ascii="Calibri" w:eastAsia="Times New Roman" w:hAnsi="Calibri" w:cs="Calibri"/>
                <w:color w:val="000000"/>
                <w:sz w:val="20"/>
                <w:szCs w:val="20"/>
                <w:lang w:eastAsia="en-AU"/>
              </w:rPr>
              <w:t>(&lt;8</w:t>
            </w:r>
            <w:r>
              <w:rPr>
                <w:rFonts w:ascii="Calibri" w:eastAsia="Times New Roman" w:hAnsi="Calibri" w:cs="Calibri"/>
                <w:color w:val="000000"/>
                <w:sz w:val="20"/>
                <w:szCs w:val="20"/>
                <w:lang w:eastAsia="en-AU"/>
              </w:rPr>
              <w:t xml:space="preserve"> </w:t>
            </w:r>
            <w:r w:rsidR="008477D2">
              <w:rPr>
                <w:rFonts w:ascii="Calibri" w:eastAsia="Times New Roman" w:hAnsi="Calibri" w:cs="Calibri"/>
                <w:color w:val="000000"/>
                <w:sz w:val="20"/>
                <w:szCs w:val="20"/>
                <w:lang w:eastAsia="en-AU"/>
              </w:rPr>
              <w:t>hours/week)/Seasonal work</w:t>
            </w:r>
          </w:p>
        </w:tc>
        <w:tc>
          <w:tcPr>
            <w:tcW w:w="5245" w:type="dxa"/>
            <w:shd w:val="clear" w:color="auto" w:fill="FFFFFF" w:themeFill="background2"/>
            <w:noWrap/>
            <w:vAlign w:val="center"/>
            <w:hideMark/>
          </w:tcPr>
          <w:p w:rsidR="003B33C3" w:rsidRPr="00EF5549" w:rsidRDefault="00FA14FE" w:rsidP="00EF554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 xml:space="preserve">Recent work experience: </w:t>
            </w:r>
            <w:r w:rsidR="003B33C3" w:rsidRPr="00EF5549">
              <w:rPr>
                <w:rFonts w:ascii="Calibri" w:eastAsia="Times New Roman" w:hAnsi="Calibri" w:cs="Calibri"/>
                <w:color w:val="000000"/>
                <w:sz w:val="20"/>
                <w:szCs w:val="20"/>
                <w:lang w:eastAsia="en-AU"/>
              </w:rPr>
              <w:t>Full-time/Part-time (8</w:t>
            </w:r>
            <w:r w:rsidR="00427FA0">
              <w:rPr>
                <w:rFonts w:ascii="Calibri" w:eastAsia="Times New Roman" w:hAnsi="Calibri" w:cs="Calibri"/>
                <w:bCs/>
                <w:color w:val="000000" w:themeColor="text1"/>
                <w:lang w:eastAsia="en-AU"/>
              </w:rPr>
              <w:t>─</w:t>
            </w:r>
            <w:r w:rsidR="00427FA0" w:rsidRPr="003405ED">
              <w:rPr>
                <w:rFonts w:ascii="Calibri" w:eastAsia="Times New Roman" w:hAnsi="Calibri" w:cs="Calibri"/>
                <w:bCs/>
                <w:color w:val="000000" w:themeColor="text1"/>
                <w:lang w:eastAsia="en-AU"/>
              </w:rPr>
              <w:t>3</w:t>
            </w:r>
            <w:r w:rsidR="003B33C3" w:rsidRPr="00EF5549">
              <w:rPr>
                <w:rFonts w:ascii="Calibri" w:eastAsia="Times New Roman" w:hAnsi="Calibri" w:cs="Calibri"/>
                <w:color w:val="000000"/>
                <w:sz w:val="20"/>
                <w:szCs w:val="20"/>
                <w:lang w:eastAsia="en-AU"/>
              </w:rPr>
              <w:t>0</w:t>
            </w:r>
            <w:r w:rsidR="00427FA0">
              <w:rPr>
                <w:rFonts w:ascii="Calibri" w:eastAsia="Times New Roman" w:hAnsi="Calibri" w:cs="Calibri"/>
                <w:color w:val="000000"/>
                <w:sz w:val="20"/>
                <w:szCs w:val="20"/>
                <w:lang w:eastAsia="en-AU"/>
              </w:rPr>
              <w:t> </w:t>
            </w:r>
            <w:r w:rsidR="003B33C3" w:rsidRPr="00EF5549">
              <w:rPr>
                <w:rFonts w:ascii="Calibri" w:eastAsia="Times New Roman" w:hAnsi="Calibri" w:cs="Calibri"/>
                <w:color w:val="000000"/>
                <w:sz w:val="20"/>
                <w:szCs w:val="20"/>
                <w:lang w:eastAsia="en-AU"/>
              </w:rPr>
              <w:t>hours/week)</w:t>
            </w:r>
          </w:p>
        </w:tc>
        <w:tc>
          <w:tcPr>
            <w:tcW w:w="1417" w:type="dxa"/>
            <w:shd w:val="clear" w:color="auto" w:fill="FFFFFF" w:themeFill="background2"/>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-4.2</w:t>
            </w:r>
          </w:p>
        </w:tc>
        <w:tc>
          <w:tcPr>
            <w:tcW w:w="1418" w:type="dxa"/>
            <w:shd w:val="clear" w:color="auto" w:fill="FFFFFF" w:themeFill="background2"/>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0.234</w:t>
            </w:r>
          </w:p>
        </w:tc>
      </w:tr>
      <w:tr w:rsidR="003B33C3" w:rsidRPr="00EF5549" w:rsidTr="00D25EC9">
        <w:trPr>
          <w:trHeight w:val="397"/>
        </w:trPr>
        <w:tc>
          <w:tcPr>
            <w:tcW w:w="5969" w:type="dxa"/>
            <w:shd w:val="clear" w:color="auto" w:fill="E5E5E5" w:themeFill="background1" w:themeFillTint="33"/>
            <w:noWrap/>
            <w:vAlign w:val="center"/>
            <w:hideMark/>
          </w:tcPr>
          <w:p w:rsidR="003B33C3" w:rsidRPr="00EF5549" w:rsidRDefault="00FA14FE" w:rsidP="00EF554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 xml:space="preserve">Recent work experience: </w:t>
            </w:r>
            <w:r w:rsidR="003B33C3" w:rsidRPr="00EF5549">
              <w:rPr>
                <w:rFonts w:ascii="Calibri" w:eastAsia="Times New Roman" w:hAnsi="Calibri" w:cs="Calibri"/>
                <w:color w:val="000000"/>
                <w:sz w:val="20"/>
                <w:szCs w:val="20"/>
                <w:lang w:eastAsia="en-AU"/>
              </w:rPr>
              <w:t>Ou</w:t>
            </w:r>
            <w:r w:rsidR="008477D2">
              <w:rPr>
                <w:rFonts w:ascii="Calibri" w:eastAsia="Times New Roman" w:hAnsi="Calibri" w:cs="Calibri"/>
                <w:color w:val="000000"/>
                <w:sz w:val="20"/>
                <w:szCs w:val="20"/>
                <w:lang w:eastAsia="en-AU"/>
              </w:rPr>
              <w:t>tside the labour force/unpaid</w:t>
            </w:r>
          </w:p>
        </w:tc>
        <w:tc>
          <w:tcPr>
            <w:tcW w:w="5245" w:type="dxa"/>
            <w:shd w:val="clear" w:color="auto" w:fill="E5E5E5" w:themeFill="background1" w:themeFillTint="33"/>
            <w:noWrap/>
            <w:vAlign w:val="center"/>
            <w:hideMark/>
          </w:tcPr>
          <w:p w:rsidR="003B33C3" w:rsidRPr="00EF5549" w:rsidRDefault="00FA14FE" w:rsidP="00427FA0">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 xml:space="preserve">Recent work experience: </w:t>
            </w:r>
            <w:r w:rsidR="003B33C3" w:rsidRPr="00EF5549">
              <w:rPr>
                <w:rFonts w:ascii="Calibri" w:eastAsia="Times New Roman" w:hAnsi="Calibri" w:cs="Calibri"/>
                <w:color w:val="000000"/>
                <w:sz w:val="20"/>
                <w:szCs w:val="20"/>
                <w:lang w:eastAsia="en-AU"/>
              </w:rPr>
              <w:t>Full-time/Part-time (8</w:t>
            </w:r>
            <w:r w:rsidR="00427FA0">
              <w:rPr>
                <w:rFonts w:ascii="Calibri" w:eastAsia="Times New Roman" w:hAnsi="Calibri" w:cs="Calibri"/>
                <w:bCs/>
                <w:color w:val="000000" w:themeColor="text1"/>
                <w:lang w:eastAsia="en-AU"/>
              </w:rPr>
              <w:t>─</w:t>
            </w:r>
            <w:r w:rsidR="00427FA0" w:rsidRPr="003405ED">
              <w:rPr>
                <w:rFonts w:ascii="Calibri" w:eastAsia="Times New Roman" w:hAnsi="Calibri" w:cs="Calibri"/>
                <w:bCs/>
                <w:color w:val="000000" w:themeColor="text1"/>
                <w:lang w:eastAsia="en-AU"/>
              </w:rPr>
              <w:t>3</w:t>
            </w:r>
            <w:r w:rsidR="003B33C3" w:rsidRPr="00EF5549">
              <w:rPr>
                <w:rFonts w:ascii="Calibri" w:eastAsia="Times New Roman" w:hAnsi="Calibri" w:cs="Calibri"/>
                <w:color w:val="000000"/>
                <w:sz w:val="20"/>
                <w:szCs w:val="20"/>
                <w:lang w:eastAsia="en-AU"/>
              </w:rPr>
              <w:t>0</w:t>
            </w:r>
            <w:r w:rsidR="00427FA0">
              <w:rPr>
                <w:rFonts w:ascii="Calibri" w:eastAsia="Times New Roman" w:hAnsi="Calibri" w:cs="Calibri"/>
                <w:color w:val="000000"/>
                <w:sz w:val="20"/>
                <w:szCs w:val="20"/>
                <w:lang w:eastAsia="en-AU"/>
              </w:rPr>
              <w:t> </w:t>
            </w:r>
            <w:r w:rsidR="003B33C3" w:rsidRPr="00EF5549">
              <w:rPr>
                <w:rFonts w:ascii="Calibri" w:eastAsia="Times New Roman" w:hAnsi="Calibri" w:cs="Calibri"/>
                <w:color w:val="000000"/>
                <w:sz w:val="20"/>
                <w:szCs w:val="20"/>
                <w:lang w:eastAsia="en-AU"/>
              </w:rPr>
              <w:t>hours/week)</w:t>
            </w:r>
          </w:p>
        </w:tc>
        <w:tc>
          <w:tcPr>
            <w:tcW w:w="1417" w:type="dxa"/>
            <w:shd w:val="clear" w:color="auto" w:fill="E5E5E5" w:themeFill="background1" w:themeFillTint="33"/>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0.1</w:t>
            </w:r>
          </w:p>
        </w:tc>
        <w:tc>
          <w:tcPr>
            <w:tcW w:w="1418" w:type="dxa"/>
            <w:shd w:val="clear" w:color="auto" w:fill="E5E5E5" w:themeFill="background1" w:themeFillTint="33"/>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0.949</w:t>
            </w:r>
          </w:p>
        </w:tc>
      </w:tr>
      <w:tr w:rsidR="003B33C3" w:rsidRPr="00EF5549" w:rsidTr="00D25EC9">
        <w:trPr>
          <w:trHeight w:val="397"/>
        </w:trPr>
        <w:tc>
          <w:tcPr>
            <w:tcW w:w="5969" w:type="dxa"/>
            <w:tcBorders>
              <w:bottom w:val="single" w:sz="4" w:space="0" w:color="auto"/>
            </w:tcBorders>
            <w:shd w:val="clear" w:color="auto" w:fill="FFFFFF" w:themeFill="background2"/>
            <w:noWrap/>
            <w:vAlign w:val="center"/>
            <w:hideMark/>
          </w:tcPr>
          <w:p w:rsidR="003B33C3" w:rsidRPr="00EF5549" w:rsidRDefault="003B33C3" w:rsidP="00EF5549">
            <w:pPr>
              <w:spacing w:after="0" w:line="240" w:lineRule="auto"/>
              <w:rPr>
                <w:rFonts w:ascii="Calibri" w:eastAsia="Times New Roman" w:hAnsi="Calibri" w:cs="Calibri"/>
                <w:color w:val="000000"/>
                <w:sz w:val="20"/>
                <w:szCs w:val="20"/>
                <w:lang w:eastAsia="en-AU"/>
              </w:rPr>
            </w:pPr>
            <w:r w:rsidRPr="00EF5549">
              <w:rPr>
                <w:rFonts w:ascii="Calibri" w:eastAsia="Times New Roman" w:hAnsi="Calibri" w:cs="Calibri"/>
                <w:color w:val="000000"/>
                <w:sz w:val="20"/>
                <w:szCs w:val="20"/>
                <w:lang w:eastAsia="en-AU"/>
              </w:rPr>
              <w:t>Recent</w:t>
            </w:r>
            <w:r w:rsidR="008477D2">
              <w:rPr>
                <w:rFonts w:ascii="Calibri" w:eastAsia="Times New Roman" w:hAnsi="Calibri" w:cs="Calibri"/>
                <w:color w:val="000000"/>
                <w:sz w:val="20"/>
                <w:szCs w:val="20"/>
                <w:lang w:eastAsia="en-AU"/>
              </w:rPr>
              <w:t xml:space="preserve"> w</w:t>
            </w:r>
            <w:r w:rsidR="00FA14FE">
              <w:rPr>
                <w:rFonts w:ascii="Calibri" w:eastAsia="Times New Roman" w:hAnsi="Calibri" w:cs="Calibri"/>
                <w:color w:val="000000"/>
                <w:sz w:val="20"/>
                <w:szCs w:val="20"/>
                <w:lang w:eastAsia="en-AU"/>
              </w:rPr>
              <w:t xml:space="preserve">ork experience: </w:t>
            </w:r>
            <w:r w:rsidR="008477D2">
              <w:rPr>
                <w:rFonts w:ascii="Calibri" w:eastAsia="Times New Roman" w:hAnsi="Calibri" w:cs="Calibri"/>
                <w:color w:val="000000"/>
                <w:sz w:val="20"/>
                <w:szCs w:val="20"/>
                <w:lang w:eastAsia="en-AU"/>
              </w:rPr>
              <w:t>Unemployed</w:t>
            </w:r>
          </w:p>
        </w:tc>
        <w:tc>
          <w:tcPr>
            <w:tcW w:w="5245" w:type="dxa"/>
            <w:tcBorders>
              <w:bottom w:val="single" w:sz="4" w:space="0" w:color="auto"/>
            </w:tcBorders>
            <w:shd w:val="clear" w:color="auto" w:fill="FFFFFF" w:themeFill="background2"/>
            <w:noWrap/>
            <w:vAlign w:val="center"/>
            <w:hideMark/>
          </w:tcPr>
          <w:p w:rsidR="003B33C3" w:rsidRPr="00EF5549" w:rsidRDefault="00FA14FE" w:rsidP="00427FA0">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 xml:space="preserve">Recent work experience: </w:t>
            </w:r>
            <w:r w:rsidR="003B33C3" w:rsidRPr="00EF5549">
              <w:rPr>
                <w:rFonts w:ascii="Calibri" w:eastAsia="Times New Roman" w:hAnsi="Calibri" w:cs="Calibri"/>
                <w:color w:val="000000"/>
                <w:sz w:val="20"/>
                <w:szCs w:val="20"/>
                <w:lang w:eastAsia="en-AU"/>
              </w:rPr>
              <w:t>Full-time/Part-time (8</w:t>
            </w:r>
            <w:r w:rsidR="00427FA0">
              <w:rPr>
                <w:rFonts w:ascii="Calibri" w:eastAsia="Times New Roman" w:hAnsi="Calibri" w:cs="Calibri"/>
                <w:bCs/>
                <w:color w:val="000000" w:themeColor="text1"/>
                <w:lang w:eastAsia="en-AU"/>
              </w:rPr>
              <w:t>─</w:t>
            </w:r>
            <w:r w:rsidR="00427FA0" w:rsidRPr="003405ED">
              <w:rPr>
                <w:rFonts w:ascii="Calibri" w:eastAsia="Times New Roman" w:hAnsi="Calibri" w:cs="Calibri"/>
                <w:bCs/>
                <w:color w:val="000000" w:themeColor="text1"/>
                <w:lang w:eastAsia="en-AU"/>
              </w:rPr>
              <w:t>3</w:t>
            </w:r>
            <w:r w:rsidR="003B33C3" w:rsidRPr="00EF5549">
              <w:rPr>
                <w:rFonts w:ascii="Calibri" w:eastAsia="Times New Roman" w:hAnsi="Calibri" w:cs="Calibri"/>
                <w:color w:val="000000"/>
                <w:sz w:val="20"/>
                <w:szCs w:val="20"/>
                <w:lang w:eastAsia="en-AU"/>
              </w:rPr>
              <w:t>0</w:t>
            </w:r>
            <w:r w:rsidR="00427FA0">
              <w:rPr>
                <w:rFonts w:ascii="Calibri" w:eastAsia="Times New Roman" w:hAnsi="Calibri" w:cs="Calibri"/>
                <w:color w:val="000000"/>
                <w:sz w:val="20"/>
                <w:szCs w:val="20"/>
                <w:lang w:eastAsia="en-AU"/>
              </w:rPr>
              <w:t> </w:t>
            </w:r>
            <w:r w:rsidR="003B33C3" w:rsidRPr="00EF5549">
              <w:rPr>
                <w:rFonts w:ascii="Calibri" w:eastAsia="Times New Roman" w:hAnsi="Calibri" w:cs="Calibri"/>
                <w:color w:val="000000"/>
                <w:sz w:val="20"/>
                <w:szCs w:val="20"/>
                <w:lang w:eastAsia="en-AU"/>
              </w:rPr>
              <w:t>hours/week)</w:t>
            </w:r>
          </w:p>
        </w:tc>
        <w:tc>
          <w:tcPr>
            <w:tcW w:w="1417" w:type="dxa"/>
            <w:tcBorders>
              <w:bottom w:val="single" w:sz="4" w:space="0" w:color="auto"/>
            </w:tcBorders>
            <w:shd w:val="clear" w:color="auto" w:fill="FFFFFF" w:themeFill="background2"/>
            <w:noWrap/>
            <w:vAlign w:val="center"/>
            <w:hideMark/>
          </w:tcPr>
          <w:p w:rsidR="003B33C3" w:rsidRPr="00EF5549" w:rsidRDefault="003B33C3" w:rsidP="00EF5549">
            <w:pPr>
              <w:tabs>
                <w:tab w:val="left" w:pos="317"/>
              </w:tabs>
              <w:spacing w:after="0" w:line="240" w:lineRule="auto"/>
              <w:ind w:left="-250" w:right="459"/>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1.5</w:t>
            </w:r>
          </w:p>
        </w:tc>
        <w:tc>
          <w:tcPr>
            <w:tcW w:w="1418" w:type="dxa"/>
            <w:tcBorders>
              <w:bottom w:val="single" w:sz="4" w:space="0" w:color="auto"/>
            </w:tcBorders>
            <w:shd w:val="clear" w:color="auto" w:fill="FFFFFF" w:themeFill="background2"/>
            <w:noWrap/>
            <w:vAlign w:val="center"/>
            <w:hideMark/>
          </w:tcPr>
          <w:p w:rsidR="003B33C3" w:rsidRPr="00EF5549" w:rsidRDefault="003B33C3" w:rsidP="00EF5549">
            <w:pPr>
              <w:spacing w:after="0" w:line="240" w:lineRule="auto"/>
              <w:ind w:right="318"/>
              <w:jc w:val="right"/>
              <w:rPr>
                <w:rFonts w:ascii="Calibri" w:eastAsia="Times New Roman" w:hAnsi="Calibri" w:cs="Calibri"/>
                <w:color w:val="000000"/>
                <w:lang w:eastAsia="en-AU"/>
              </w:rPr>
            </w:pPr>
            <w:r w:rsidRPr="00EF5549">
              <w:rPr>
                <w:rFonts w:ascii="Calibri" w:eastAsia="Times New Roman" w:hAnsi="Calibri" w:cs="Calibri"/>
                <w:color w:val="000000"/>
                <w:lang w:eastAsia="en-AU"/>
              </w:rPr>
              <w:t>0.299</w:t>
            </w:r>
          </w:p>
        </w:tc>
      </w:tr>
    </w:tbl>
    <w:p w:rsidR="00F40CF4" w:rsidRDefault="00F40CF4">
      <w:pPr>
        <w:rPr>
          <w:b/>
        </w:rPr>
      </w:pPr>
      <w:r>
        <w:rPr>
          <w:b/>
        </w:rPr>
        <w:br w:type="page"/>
      </w:r>
    </w:p>
    <w:p w:rsidR="006E1C2B" w:rsidRDefault="006E1C2B" w:rsidP="006E1C2B">
      <w:pPr>
        <w:pStyle w:val="Source"/>
        <w:rPr>
          <w:b w:val="0"/>
        </w:rPr>
      </w:pPr>
      <w:r>
        <w:lastRenderedPageBreak/>
        <w:t>Notes</w:t>
      </w:r>
      <w:r w:rsidR="008477D2">
        <w:rPr>
          <w:b w:val="0"/>
        </w:rPr>
        <w:t>:</w:t>
      </w:r>
    </w:p>
    <w:p w:rsidR="006E1C2B" w:rsidRPr="006E1C2B" w:rsidRDefault="006E1C2B" w:rsidP="00E3205B">
      <w:pPr>
        <w:pStyle w:val="Source"/>
        <w:numPr>
          <w:ilvl w:val="0"/>
          <w:numId w:val="83"/>
        </w:numPr>
        <w:rPr>
          <w:b w:val="0"/>
        </w:rPr>
      </w:pPr>
      <w:r w:rsidRPr="006E1C2B">
        <w:rPr>
          <w:b w:val="0"/>
        </w:rPr>
        <w:t xml:space="preserve">MEM </w:t>
      </w:r>
      <w:r w:rsidRPr="006E1C2B">
        <w:rPr>
          <w:b w:val="0"/>
          <w:color w:val="000000" w:themeColor="text1"/>
        </w:rPr>
        <w:t xml:space="preserve">stands for </w:t>
      </w:r>
      <w:r w:rsidRPr="006E1C2B">
        <w:rPr>
          <w:b w:val="0"/>
        </w:rPr>
        <w:t>Marginal effect on the mean.</w:t>
      </w:r>
      <w:r w:rsidRPr="006E1C2B">
        <w:rPr>
          <w:rFonts w:ascii="Arial" w:eastAsia="Times New Roman" w:hAnsi="Arial" w:cs="Arial"/>
          <w:b w:val="0"/>
          <w:bCs/>
          <w:color w:val="000000" w:themeColor="text1"/>
          <w:sz w:val="18"/>
          <w:szCs w:val="18"/>
          <w:lang w:eastAsia="en-AU"/>
        </w:rPr>
        <w:t xml:space="preserve"> </w:t>
      </w:r>
      <w:r w:rsidRPr="006E1C2B">
        <w:rPr>
          <w:b w:val="0"/>
        </w:rPr>
        <w:t xml:space="preserve">MEM are sorted in descending order. For example: single parents (after controlling for all other job seeker characteristics) were </w:t>
      </w:r>
      <w:r w:rsidR="009F13D5">
        <w:rPr>
          <w:b w:val="0"/>
        </w:rPr>
        <w:t>0</w:t>
      </w:r>
      <w:r w:rsidRPr="006E1C2B">
        <w:rPr>
          <w:b w:val="0"/>
        </w:rPr>
        <w:t xml:space="preserve">.4 percentage points more likely to have </w:t>
      </w:r>
      <w:r w:rsidR="009F13D5">
        <w:rPr>
          <w:b w:val="0"/>
        </w:rPr>
        <w:t>sustained their exit from income support</w:t>
      </w:r>
      <w:r w:rsidRPr="006E1C2B">
        <w:rPr>
          <w:b w:val="0"/>
        </w:rPr>
        <w:t xml:space="preserve"> than those who were not single parents.</w:t>
      </w:r>
    </w:p>
    <w:p w:rsidR="006E1C2B" w:rsidRPr="006E1C2B" w:rsidRDefault="006E1C2B" w:rsidP="00E3205B">
      <w:pPr>
        <w:pStyle w:val="Source"/>
        <w:numPr>
          <w:ilvl w:val="0"/>
          <w:numId w:val="83"/>
        </w:numPr>
        <w:rPr>
          <w:b w:val="0"/>
        </w:rPr>
      </w:pPr>
      <w:r w:rsidRPr="006E1C2B">
        <w:rPr>
          <w:b w:val="0"/>
        </w:rPr>
        <w:t>Demographic characteristics controlled for in the regression analysis are mostly obtained from the JSCI:</w:t>
      </w:r>
    </w:p>
    <w:p w:rsidR="00066793" w:rsidRPr="007F06E6" w:rsidRDefault="00066793" w:rsidP="00E3205B">
      <w:pPr>
        <w:pStyle w:val="ListParagraph"/>
        <w:numPr>
          <w:ilvl w:val="1"/>
          <w:numId w:val="83"/>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a</w:t>
      </w:r>
      <w:r w:rsidRPr="007F06E6">
        <w:rPr>
          <w:rFonts w:ascii="Calibri" w:eastAsia="Times New Roman" w:hAnsi="Calibri" w:cs="Calibri"/>
          <w:color w:val="000000"/>
          <w:sz w:val="20"/>
          <w:szCs w:val="20"/>
          <w:lang w:eastAsia="en-AU"/>
        </w:rPr>
        <w:t>ccess to transport</w:t>
      </w:r>
    </w:p>
    <w:p w:rsidR="00066793" w:rsidRPr="007F06E6" w:rsidRDefault="00066793" w:rsidP="00E3205B">
      <w:pPr>
        <w:pStyle w:val="ListParagraph"/>
        <w:numPr>
          <w:ilvl w:val="1"/>
          <w:numId w:val="83"/>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a</w:t>
      </w:r>
      <w:r w:rsidRPr="007F06E6">
        <w:rPr>
          <w:rFonts w:ascii="Calibri" w:eastAsia="Times New Roman" w:hAnsi="Calibri" w:cs="Calibri"/>
          <w:color w:val="000000"/>
          <w:sz w:val="20"/>
          <w:szCs w:val="20"/>
          <w:lang w:eastAsia="en-AU"/>
        </w:rPr>
        <w:t>ge</w:t>
      </w:r>
    </w:p>
    <w:p w:rsidR="00066793" w:rsidRPr="007F06E6" w:rsidRDefault="00066793" w:rsidP="00E3205B">
      <w:pPr>
        <w:pStyle w:val="ListParagraph"/>
        <w:numPr>
          <w:ilvl w:val="1"/>
          <w:numId w:val="83"/>
        </w:numPr>
        <w:spacing w:after="0" w:line="240" w:lineRule="auto"/>
        <w:rPr>
          <w:rFonts w:ascii="Calibri" w:eastAsia="Times New Roman" w:hAnsi="Calibri" w:cs="Calibri"/>
          <w:color w:val="000000"/>
          <w:sz w:val="20"/>
          <w:szCs w:val="20"/>
          <w:lang w:eastAsia="en-AU"/>
        </w:rPr>
      </w:pPr>
      <w:r w:rsidRPr="007F06E6">
        <w:rPr>
          <w:rFonts w:ascii="Calibri" w:eastAsia="Times New Roman" w:hAnsi="Calibri" w:cs="Calibri"/>
          <w:color w:val="000000"/>
          <w:sz w:val="20"/>
          <w:szCs w:val="20"/>
          <w:lang w:eastAsia="en-AU"/>
        </w:rPr>
        <w:t>CALD</w:t>
      </w:r>
      <w:r>
        <w:rPr>
          <w:rFonts w:ascii="Calibri" w:eastAsia="Times New Roman" w:hAnsi="Calibri" w:cs="Calibri"/>
          <w:color w:val="000000"/>
          <w:sz w:val="20"/>
          <w:szCs w:val="20"/>
          <w:lang w:eastAsia="en-AU"/>
        </w:rPr>
        <w:t xml:space="preserve"> status</w:t>
      </w:r>
    </w:p>
    <w:p w:rsidR="00066793" w:rsidRPr="007F06E6" w:rsidRDefault="00066793" w:rsidP="00E3205B">
      <w:pPr>
        <w:pStyle w:val="ListParagraph"/>
        <w:numPr>
          <w:ilvl w:val="1"/>
          <w:numId w:val="83"/>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c</w:t>
      </w:r>
      <w:r w:rsidRPr="007F06E6">
        <w:rPr>
          <w:rFonts w:ascii="Calibri" w:eastAsia="Times New Roman" w:hAnsi="Calibri" w:cs="Calibri"/>
          <w:color w:val="000000"/>
          <w:sz w:val="20"/>
          <w:szCs w:val="20"/>
          <w:lang w:eastAsia="en-AU"/>
        </w:rPr>
        <w:t>ountry of birth</w:t>
      </w:r>
    </w:p>
    <w:p w:rsidR="00066793" w:rsidRPr="007F06E6" w:rsidRDefault="00066793" w:rsidP="00E3205B">
      <w:pPr>
        <w:pStyle w:val="ListParagraph"/>
        <w:numPr>
          <w:ilvl w:val="1"/>
          <w:numId w:val="83"/>
        </w:numPr>
        <w:spacing w:after="0" w:line="240" w:lineRule="auto"/>
        <w:rPr>
          <w:rFonts w:ascii="Calibri" w:eastAsia="Times New Roman" w:hAnsi="Calibri" w:cs="Calibri"/>
          <w:color w:val="000000"/>
          <w:sz w:val="20"/>
          <w:szCs w:val="20"/>
          <w:lang w:eastAsia="en-AU"/>
        </w:rPr>
      </w:pPr>
      <w:r w:rsidRPr="007F06E6">
        <w:rPr>
          <w:rFonts w:ascii="Calibri" w:eastAsia="Times New Roman" w:hAnsi="Calibri" w:cs="Calibri"/>
          <w:color w:val="000000"/>
          <w:sz w:val="20"/>
          <w:szCs w:val="20"/>
          <w:lang w:eastAsia="en-AU"/>
        </w:rPr>
        <w:t>English proficiency</w:t>
      </w:r>
    </w:p>
    <w:p w:rsidR="00066793" w:rsidRPr="007F06E6" w:rsidRDefault="00066793" w:rsidP="00E3205B">
      <w:pPr>
        <w:pStyle w:val="ListParagraph"/>
        <w:numPr>
          <w:ilvl w:val="1"/>
          <w:numId w:val="83"/>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g</w:t>
      </w:r>
      <w:r w:rsidRPr="007F06E6">
        <w:rPr>
          <w:rFonts w:ascii="Calibri" w:eastAsia="Times New Roman" w:hAnsi="Calibri" w:cs="Calibri"/>
          <w:color w:val="000000"/>
          <w:sz w:val="20"/>
          <w:szCs w:val="20"/>
          <w:lang w:eastAsia="en-AU"/>
        </w:rPr>
        <w:t>ender</w:t>
      </w:r>
    </w:p>
    <w:p w:rsidR="00066793" w:rsidRPr="007F06E6" w:rsidRDefault="00066793" w:rsidP="00E3205B">
      <w:pPr>
        <w:pStyle w:val="ListParagraph"/>
        <w:numPr>
          <w:ilvl w:val="1"/>
          <w:numId w:val="83"/>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g</w:t>
      </w:r>
      <w:r w:rsidRPr="007F06E6">
        <w:rPr>
          <w:rFonts w:ascii="Calibri" w:eastAsia="Times New Roman" w:hAnsi="Calibri" w:cs="Calibri"/>
          <w:color w:val="000000"/>
          <w:sz w:val="20"/>
          <w:szCs w:val="20"/>
          <w:lang w:eastAsia="en-AU"/>
        </w:rPr>
        <w:t>eographic level of disadvantage</w:t>
      </w:r>
    </w:p>
    <w:p w:rsidR="00066793" w:rsidRPr="007F06E6" w:rsidRDefault="00066793" w:rsidP="00E3205B">
      <w:pPr>
        <w:pStyle w:val="ListParagraph"/>
        <w:numPr>
          <w:ilvl w:val="1"/>
          <w:numId w:val="83"/>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h</w:t>
      </w:r>
      <w:r w:rsidRPr="007F06E6">
        <w:rPr>
          <w:rFonts w:ascii="Calibri" w:eastAsia="Times New Roman" w:hAnsi="Calibri" w:cs="Calibri"/>
          <w:color w:val="000000"/>
          <w:sz w:val="20"/>
          <w:szCs w:val="20"/>
          <w:lang w:eastAsia="en-AU"/>
        </w:rPr>
        <w:t>ighest level of education</w:t>
      </w:r>
    </w:p>
    <w:p w:rsidR="00066793" w:rsidRPr="007F06E6" w:rsidRDefault="00066793" w:rsidP="00E3205B">
      <w:pPr>
        <w:pStyle w:val="ListParagraph"/>
        <w:numPr>
          <w:ilvl w:val="1"/>
          <w:numId w:val="83"/>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a single parent</w:t>
      </w:r>
    </w:p>
    <w:p w:rsidR="00066793" w:rsidRPr="007F06E6" w:rsidRDefault="00066793" w:rsidP="00E3205B">
      <w:pPr>
        <w:pStyle w:val="ListParagraph"/>
        <w:numPr>
          <w:ilvl w:val="1"/>
          <w:numId w:val="83"/>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an ex-offender</w:t>
      </w:r>
    </w:p>
    <w:p w:rsidR="00066793" w:rsidRPr="007F06E6" w:rsidRDefault="00066793" w:rsidP="00E3205B">
      <w:pPr>
        <w:pStyle w:val="ListParagraph"/>
        <w:numPr>
          <w:ilvl w:val="1"/>
          <w:numId w:val="83"/>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contactable by telephone</w:t>
      </w:r>
    </w:p>
    <w:p w:rsidR="00066793" w:rsidRPr="007F06E6" w:rsidRDefault="00066793" w:rsidP="00E3205B">
      <w:pPr>
        <w:pStyle w:val="ListParagraph"/>
        <w:numPr>
          <w:ilvl w:val="1"/>
          <w:numId w:val="83"/>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Indigenous</w:t>
      </w:r>
    </w:p>
    <w:p w:rsidR="00066793" w:rsidRPr="007F06E6" w:rsidRDefault="00066793" w:rsidP="00E3205B">
      <w:pPr>
        <w:pStyle w:val="ListParagraph"/>
        <w:numPr>
          <w:ilvl w:val="1"/>
          <w:numId w:val="83"/>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with disability</w:t>
      </w:r>
    </w:p>
    <w:p w:rsidR="00066793" w:rsidRPr="007F06E6" w:rsidRDefault="00066793" w:rsidP="00E3205B">
      <w:pPr>
        <w:pStyle w:val="ListParagraph"/>
        <w:numPr>
          <w:ilvl w:val="1"/>
          <w:numId w:val="83"/>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j</w:t>
      </w:r>
      <w:r w:rsidRPr="007F06E6">
        <w:rPr>
          <w:rFonts w:ascii="Calibri" w:eastAsia="Times New Roman" w:hAnsi="Calibri" w:cs="Calibri"/>
          <w:color w:val="000000"/>
          <w:sz w:val="20"/>
          <w:szCs w:val="20"/>
          <w:lang w:eastAsia="en-AU"/>
        </w:rPr>
        <w:t>ob</w:t>
      </w:r>
      <w:r w:rsidR="008477D2">
        <w:rPr>
          <w:rFonts w:ascii="Calibri" w:eastAsia="Times New Roman" w:hAnsi="Calibri" w:cs="Calibri"/>
          <w:color w:val="000000"/>
          <w:sz w:val="20"/>
          <w:szCs w:val="20"/>
          <w:lang w:eastAsia="en-AU"/>
        </w:rPr>
        <w:t xml:space="preserve"> </w:t>
      </w:r>
      <w:r w:rsidRPr="007F06E6">
        <w:rPr>
          <w:rFonts w:ascii="Calibri" w:eastAsia="Times New Roman" w:hAnsi="Calibri" w:cs="Calibri"/>
          <w:color w:val="000000"/>
          <w:sz w:val="20"/>
          <w:szCs w:val="20"/>
          <w:lang w:eastAsia="en-AU"/>
        </w:rPr>
        <w:t>seeker history</w:t>
      </w:r>
    </w:p>
    <w:p w:rsidR="00066793" w:rsidRPr="007F06E6" w:rsidRDefault="00066793" w:rsidP="00E3205B">
      <w:pPr>
        <w:pStyle w:val="ListParagraph"/>
        <w:numPr>
          <w:ilvl w:val="1"/>
          <w:numId w:val="83"/>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 xml:space="preserve">personal </w:t>
      </w:r>
      <w:r w:rsidRPr="007F06E6">
        <w:rPr>
          <w:rFonts w:ascii="Calibri" w:eastAsia="Times New Roman" w:hAnsi="Calibri" w:cs="Calibri"/>
          <w:color w:val="000000"/>
          <w:sz w:val="20"/>
          <w:szCs w:val="20"/>
          <w:lang w:eastAsia="en-AU"/>
        </w:rPr>
        <w:t>factors</w:t>
      </w:r>
      <w:r>
        <w:rPr>
          <w:rFonts w:ascii="Calibri" w:eastAsia="Times New Roman" w:hAnsi="Calibri" w:cs="Calibri"/>
          <w:color w:val="000000"/>
          <w:sz w:val="20"/>
          <w:szCs w:val="20"/>
          <w:lang w:eastAsia="en-AU"/>
        </w:rPr>
        <w:t xml:space="preserve"> </w:t>
      </w:r>
    </w:p>
    <w:p w:rsidR="00066793" w:rsidRPr="007F06E6" w:rsidRDefault="00066793" w:rsidP="00E3205B">
      <w:pPr>
        <w:pStyle w:val="ListParagraph"/>
        <w:numPr>
          <w:ilvl w:val="1"/>
          <w:numId w:val="83"/>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p</w:t>
      </w:r>
      <w:r w:rsidRPr="007F06E6">
        <w:rPr>
          <w:rFonts w:ascii="Calibri" w:eastAsia="Times New Roman" w:hAnsi="Calibri" w:cs="Calibri"/>
          <w:color w:val="000000"/>
          <w:sz w:val="20"/>
          <w:szCs w:val="20"/>
          <w:lang w:eastAsia="en-AU"/>
        </w:rPr>
        <w:t>roximity to the labour market</w:t>
      </w:r>
    </w:p>
    <w:p w:rsidR="00066793" w:rsidRPr="007F06E6" w:rsidRDefault="00066793" w:rsidP="00E3205B">
      <w:pPr>
        <w:pStyle w:val="ListParagraph"/>
        <w:numPr>
          <w:ilvl w:val="1"/>
          <w:numId w:val="83"/>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r</w:t>
      </w:r>
      <w:r w:rsidRPr="007F06E6">
        <w:rPr>
          <w:rFonts w:ascii="Calibri" w:eastAsia="Times New Roman" w:hAnsi="Calibri" w:cs="Calibri"/>
          <w:color w:val="000000"/>
          <w:sz w:val="20"/>
          <w:szCs w:val="20"/>
          <w:lang w:eastAsia="en-AU"/>
        </w:rPr>
        <w:t>ecent work experience</w:t>
      </w:r>
    </w:p>
    <w:p w:rsidR="00066793" w:rsidRPr="007F06E6" w:rsidRDefault="00066793" w:rsidP="00E3205B">
      <w:pPr>
        <w:pStyle w:val="ListParagraph"/>
        <w:numPr>
          <w:ilvl w:val="1"/>
          <w:numId w:val="83"/>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s</w:t>
      </w:r>
      <w:r w:rsidRPr="007F06E6">
        <w:rPr>
          <w:rFonts w:ascii="Calibri" w:eastAsia="Times New Roman" w:hAnsi="Calibri" w:cs="Calibri"/>
          <w:color w:val="000000"/>
          <w:sz w:val="20"/>
          <w:szCs w:val="20"/>
          <w:lang w:eastAsia="en-AU"/>
        </w:rPr>
        <w:t>tability of residence</w:t>
      </w:r>
    </w:p>
    <w:p w:rsidR="00066793" w:rsidRPr="007F06E6" w:rsidRDefault="00066793" w:rsidP="00E3205B">
      <w:pPr>
        <w:pStyle w:val="ListParagraph"/>
        <w:numPr>
          <w:ilvl w:val="1"/>
          <w:numId w:val="83"/>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t</w:t>
      </w:r>
      <w:r w:rsidRPr="007F06E6">
        <w:rPr>
          <w:rFonts w:ascii="Calibri" w:eastAsia="Times New Roman" w:hAnsi="Calibri" w:cs="Calibri"/>
          <w:color w:val="000000"/>
          <w:sz w:val="20"/>
          <w:szCs w:val="20"/>
          <w:lang w:eastAsia="en-AU"/>
        </w:rPr>
        <w:t>ime on income support</w:t>
      </w:r>
    </w:p>
    <w:p w:rsidR="00066793" w:rsidRPr="00F44FBD" w:rsidRDefault="00066793" w:rsidP="00E3205B">
      <w:pPr>
        <w:pStyle w:val="ListParagraph"/>
        <w:numPr>
          <w:ilvl w:val="1"/>
          <w:numId w:val="83"/>
        </w:numPr>
        <w:spacing w:after="0" w:line="240" w:lineRule="auto"/>
      </w:pPr>
      <w:r>
        <w:rPr>
          <w:rFonts w:ascii="Calibri" w:eastAsia="Times New Roman" w:hAnsi="Calibri" w:cs="Calibri"/>
          <w:color w:val="000000"/>
          <w:sz w:val="20"/>
          <w:szCs w:val="20"/>
          <w:lang w:eastAsia="en-AU"/>
        </w:rPr>
        <w:t>v</w:t>
      </w:r>
      <w:r w:rsidRPr="00F44FBD">
        <w:rPr>
          <w:rFonts w:ascii="Calibri" w:eastAsia="Times New Roman" w:hAnsi="Calibri" w:cs="Calibri"/>
          <w:color w:val="000000"/>
          <w:sz w:val="20"/>
          <w:szCs w:val="20"/>
          <w:lang w:eastAsia="en-AU"/>
        </w:rPr>
        <w:t>ocational qualifications.</w:t>
      </w:r>
    </w:p>
    <w:p w:rsidR="00114E45" w:rsidRDefault="00D25EC9" w:rsidP="00CF3F9B">
      <w:pPr>
        <w:pStyle w:val="Source"/>
        <w:rPr>
          <w:b w:val="0"/>
        </w:rPr>
      </w:pPr>
      <w:r w:rsidRPr="00CF3F9B">
        <w:t>Source:</w:t>
      </w:r>
      <w:r w:rsidRPr="00CF3F9B">
        <w:rPr>
          <w:b w:val="0"/>
        </w:rPr>
        <w:t xml:space="preserve"> Department of Employment administrative data and Research and Evaluation dataset (RED).</w:t>
      </w:r>
    </w:p>
    <w:p w:rsidR="006A5B97" w:rsidRPr="00CF3F9B" w:rsidRDefault="006A5B97" w:rsidP="006A5B97">
      <w:pPr>
        <w:pStyle w:val="Source"/>
        <w:spacing w:before="120"/>
        <w:rPr>
          <w:b w:val="0"/>
        </w:rPr>
        <w:sectPr w:rsidR="006A5B97" w:rsidRPr="00CF3F9B" w:rsidSect="00B727CE">
          <w:headerReference w:type="even" r:id="rId71"/>
          <w:headerReference w:type="default" r:id="rId72"/>
          <w:footerReference w:type="default" r:id="rId73"/>
          <w:headerReference w:type="first" r:id="rId74"/>
          <w:pgSz w:w="16838" w:h="11906" w:orient="landscape" w:code="9"/>
          <w:pgMar w:top="1440" w:right="1440" w:bottom="1440" w:left="1440" w:header="709" w:footer="709" w:gutter="0"/>
          <w:cols w:space="708"/>
          <w:docGrid w:linePitch="360"/>
        </w:sectPr>
      </w:pPr>
      <w:r>
        <w:rPr>
          <w:b w:val="0"/>
        </w:rPr>
        <w:t xml:space="preserve">Return to </w:t>
      </w:r>
      <w:hyperlink w:anchor="Place_F21" w:history="1">
        <w:r w:rsidRPr="006A5B97">
          <w:rPr>
            <w:rStyle w:val="Hyperlink"/>
            <w:b w:val="0"/>
          </w:rPr>
          <w:t>Section 4.4.3</w:t>
        </w:r>
      </w:hyperlink>
      <w:r>
        <w:rPr>
          <w:b w:val="0"/>
        </w:rPr>
        <w:t>.</w:t>
      </w:r>
    </w:p>
    <w:p w:rsidR="00114E45" w:rsidRDefault="00603A49" w:rsidP="00114E45">
      <w:pPr>
        <w:pStyle w:val="TableCaption"/>
      </w:pPr>
      <w:bookmarkStart w:id="299" w:name="_Toc507600339"/>
      <w:r>
        <w:lastRenderedPageBreak/>
        <w:t>Table F</w:t>
      </w:r>
      <w:r w:rsidR="00114E45">
        <w:t>.</w:t>
      </w:r>
      <w:r w:rsidR="00E76396">
        <w:t>23</w:t>
      </w:r>
      <w:r w:rsidR="00114E45" w:rsidRPr="00D83A7E">
        <w:t xml:space="preserve">: </w:t>
      </w:r>
      <w:r w:rsidR="00114E45">
        <w:t>Proportion that sustained exit from income support for 104 weeks, before and after JCB introduction</w:t>
      </w:r>
      <w:bookmarkEnd w:id="299"/>
    </w:p>
    <w:tbl>
      <w:tblPr>
        <w:tblW w:w="9087" w:type="dxa"/>
        <w:tblInd w:w="93" w:type="dxa"/>
        <w:tblLook w:val="04A0" w:firstRow="1" w:lastRow="0" w:firstColumn="1" w:lastColumn="0" w:noHBand="0" w:noVBand="1"/>
      </w:tblPr>
      <w:tblGrid>
        <w:gridCol w:w="2992"/>
        <w:gridCol w:w="2268"/>
        <w:gridCol w:w="1985"/>
        <w:gridCol w:w="1842"/>
      </w:tblGrid>
      <w:tr w:rsidR="00114E45" w:rsidRPr="008065DC" w:rsidTr="009D2BAC">
        <w:trPr>
          <w:trHeight w:hRule="exact" w:val="397"/>
          <w:tblHeader/>
        </w:trPr>
        <w:tc>
          <w:tcPr>
            <w:tcW w:w="2992" w:type="dxa"/>
            <w:shd w:val="clear" w:color="000000" w:fill="1E3D6B"/>
            <w:noWrap/>
            <w:vAlign w:val="center"/>
            <w:hideMark/>
          </w:tcPr>
          <w:p w:rsidR="00114E45" w:rsidRPr="00C54A19" w:rsidRDefault="00114E45" w:rsidP="009D2BAC">
            <w:pPr>
              <w:spacing w:after="0" w:line="240" w:lineRule="auto"/>
              <w:rPr>
                <w:rFonts w:ascii="Calibri" w:eastAsia="Times New Roman" w:hAnsi="Calibri" w:cs="Calibri"/>
                <w:b/>
                <w:bCs/>
                <w:color w:val="FFFFFF"/>
                <w:sz w:val="20"/>
                <w:szCs w:val="20"/>
                <w:lang w:eastAsia="en-AU"/>
              </w:rPr>
            </w:pPr>
            <w:bookmarkStart w:id="300" w:name="Title_F22"/>
            <w:bookmarkEnd w:id="300"/>
            <w:r w:rsidRPr="00C54A19">
              <w:rPr>
                <w:rFonts w:ascii="Calibri" w:eastAsia="Times New Roman" w:hAnsi="Calibri" w:cs="Calibri"/>
                <w:b/>
                <w:bCs/>
                <w:color w:val="FFFFFF"/>
                <w:sz w:val="20"/>
                <w:szCs w:val="20"/>
                <w:lang w:eastAsia="en-AU"/>
              </w:rPr>
              <w:t>Age group</w:t>
            </w:r>
          </w:p>
        </w:tc>
        <w:tc>
          <w:tcPr>
            <w:tcW w:w="2268" w:type="dxa"/>
            <w:shd w:val="clear" w:color="000000" w:fill="1E3D6B"/>
            <w:noWrap/>
            <w:vAlign w:val="center"/>
            <w:hideMark/>
          </w:tcPr>
          <w:p w:rsidR="00114E45" w:rsidRPr="00C54A19" w:rsidRDefault="00114E45" w:rsidP="009D2BAC">
            <w:pPr>
              <w:spacing w:after="0" w:line="240" w:lineRule="auto"/>
              <w:ind w:left="176"/>
              <w:rPr>
                <w:rFonts w:ascii="Calibri" w:eastAsia="Times New Roman" w:hAnsi="Calibri" w:cs="Calibri"/>
                <w:b/>
                <w:bCs/>
                <w:color w:val="FFFFFF"/>
                <w:sz w:val="20"/>
                <w:szCs w:val="20"/>
                <w:lang w:eastAsia="en-AU"/>
              </w:rPr>
            </w:pPr>
            <w:r w:rsidRPr="00C54A19">
              <w:rPr>
                <w:rFonts w:ascii="Calibri" w:eastAsia="Times New Roman" w:hAnsi="Calibri" w:cs="Calibri"/>
                <w:b/>
                <w:bCs/>
                <w:color w:val="FFFFFF"/>
                <w:sz w:val="20"/>
                <w:szCs w:val="20"/>
                <w:lang w:eastAsia="en-AU"/>
              </w:rPr>
              <w:t>Before JCB</w:t>
            </w:r>
          </w:p>
        </w:tc>
        <w:tc>
          <w:tcPr>
            <w:tcW w:w="1985" w:type="dxa"/>
            <w:shd w:val="clear" w:color="000000" w:fill="1E3D6B"/>
            <w:noWrap/>
            <w:vAlign w:val="center"/>
            <w:hideMark/>
          </w:tcPr>
          <w:p w:rsidR="00114E45" w:rsidRPr="00C54A19" w:rsidRDefault="00114E45" w:rsidP="009D2BAC">
            <w:pPr>
              <w:spacing w:after="0" w:line="240" w:lineRule="auto"/>
              <w:rPr>
                <w:rFonts w:ascii="Calibri" w:eastAsia="Times New Roman" w:hAnsi="Calibri" w:cs="Calibri"/>
                <w:b/>
                <w:bCs/>
                <w:color w:val="FFFFFF"/>
                <w:sz w:val="20"/>
                <w:szCs w:val="20"/>
                <w:lang w:eastAsia="en-AU"/>
              </w:rPr>
            </w:pPr>
            <w:r w:rsidRPr="00C54A19">
              <w:rPr>
                <w:rFonts w:ascii="Calibri" w:eastAsia="Times New Roman" w:hAnsi="Calibri" w:cs="Calibri"/>
                <w:b/>
                <w:bCs/>
                <w:color w:val="FFFFFF"/>
                <w:sz w:val="20"/>
                <w:szCs w:val="20"/>
                <w:lang w:eastAsia="en-AU"/>
              </w:rPr>
              <w:t>After JCB</w:t>
            </w:r>
          </w:p>
        </w:tc>
        <w:tc>
          <w:tcPr>
            <w:tcW w:w="1842" w:type="dxa"/>
            <w:shd w:val="clear" w:color="000000" w:fill="1E3D6B"/>
            <w:noWrap/>
            <w:vAlign w:val="center"/>
            <w:hideMark/>
          </w:tcPr>
          <w:p w:rsidR="00114E45" w:rsidRPr="00C54A19" w:rsidRDefault="00114E45" w:rsidP="009D2BAC">
            <w:pPr>
              <w:spacing w:after="0" w:line="240" w:lineRule="auto"/>
              <w:rPr>
                <w:rFonts w:ascii="Calibri" w:eastAsia="Times New Roman" w:hAnsi="Calibri" w:cs="Calibri"/>
                <w:b/>
                <w:bCs/>
                <w:color w:val="FFFFFF"/>
                <w:sz w:val="20"/>
                <w:szCs w:val="20"/>
                <w:lang w:eastAsia="en-AU"/>
              </w:rPr>
            </w:pPr>
            <w:r w:rsidRPr="00C54A19">
              <w:rPr>
                <w:rFonts w:ascii="Calibri" w:eastAsia="Times New Roman" w:hAnsi="Calibri" w:cs="Calibri"/>
                <w:b/>
                <w:bCs/>
                <w:color w:val="FFFFFF"/>
                <w:sz w:val="20"/>
                <w:szCs w:val="20"/>
                <w:lang w:eastAsia="en-AU"/>
              </w:rPr>
              <w:t>Difference</w:t>
            </w:r>
          </w:p>
        </w:tc>
      </w:tr>
      <w:tr w:rsidR="00114E45" w:rsidRPr="008065DC" w:rsidTr="009D2BAC">
        <w:trPr>
          <w:trHeight w:hRule="exact" w:val="397"/>
        </w:trPr>
        <w:tc>
          <w:tcPr>
            <w:tcW w:w="2992" w:type="dxa"/>
            <w:shd w:val="clear" w:color="auto" w:fill="auto"/>
            <w:noWrap/>
            <w:vAlign w:val="center"/>
            <w:hideMark/>
          </w:tcPr>
          <w:p w:rsidR="00114E45" w:rsidRPr="00C54A19" w:rsidRDefault="00114E45" w:rsidP="009D2BAC">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Under 19 years</w:t>
            </w:r>
          </w:p>
        </w:tc>
        <w:tc>
          <w:tcPr>
            <w:tcW w:w="2268" w:type="dxa"/>
            <w:shd w:val="clear" w:color="auto" w:fill="auto"/>
            <w:noWrap/>
            <w:vAlign w:val="center"/>
            <w:hideMark/>
          </w:tcPr>
          <w:p w:rsidR="00114E45" w:rsidRPr="00C54A19" w:rsidRDefault="00114E45" w:rsidP="009D2BAC">
            <w:pPr>
              <w:spacing w:after="0" w:line="240" w:lineRule="auto"/>
              <w:ind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68.0</w:t>
            </w:r>
          </w:p>
        </w:tc>
        <w:tc>
          <w:tcPr>
            <w:tcW w:w="1985" w:type="dxa"/>
            <w:shd w:val="clear" w:color="auto" w:fill="auto"/>
            <w:noWrap/>
            <w:vAlign w:val="center"/>
            <w:hideMark/>
          </w:tcPr>
          <w:p w:rsidR="00114E45" w:rsidRPr="00C54A19" w:rsidRDefault="00114E45" w:rsidP="009D2BAC">
            <w:pPr>
              <w:spacing w:after="0" w:line="240" w:lineRule="auto"/>
              <w:ind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62.4</w:t>
            </w:r>
          </w:p>
        </w:tc>
        <w:tc>
          <w:tcPr>
            <w:tcW w:w="1842" w:type="dxa"/>
            <w:shd w:val="clear" w:color="auto" w:fill="auto"/>
            <w:noWrap/>
            <w:vAlign w:val="center"/>
            <w:hideMark/>
          </w:tcPr>
          <w:p w:rsidR="00114E45" w:rsidRPr="00C54A19" w:rsidRDefault="00114E45" w:rsidP="009D2BAC">
            <w:pPr>
              <w:spacing w:after="0" w:line="240" w:lineRule="auto"/>
              <w:ind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5.6</w:t>
            </w:r>
          </w:p>
        </w:tc>
      </w:tr>
      <w:tr w:rsidR="00114E45" w:rsidRPr="008065DC" w:rsidTr="009D2BAC">
        <w:trPr>
          <w:trHeight w:hRule="exact" w:val="397"/>
        </w:trPr>
        <w:tc>
          <w:tcPr>
            <w:tcW w:w="2992" w:type="dxa"/>
            <w:shd w:val="clear" w:color="auto" w:fill="E5E5E5" w:themeFill="background1" w:themeFillTint="33"/>
            <w:noWrap/>
            <w:vAlign w:val="center"/>
            <w:hideMark/>
          </w:tcPr>
          <w:p w:rsidR="00114E45" w:rsidRPr="00C54A19" w:rsidRDefault="00114E45" w:rsidP="009D2BAC">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19 years - under 22</w:t>
            </w:r>
          </w:p>
        </w:tc>
        <w:tc>
          <w:tcPr>
            <w:tcW w:w="2268" w:type="dxa"/>
            <w:shd w:val="clear" w:color="auto" w:fill="E5E5E5" w:themeFill="background1" w:themeFillTint="33"/>
            <w:noWrap/>
            <w:vAlign w:val="center"/>
            <w:hideMark/>
          </w:tcPr>
          <w:p w:rsidR="00114E45" w:rsidRPr="00C54A19" w:rsidRDefault="00114E45" w:rsidP="009D2BAC">
            <w:pPr>
              <w:spacing w:after="0" w:line="240" w:lineRule="auto"/>
              <w:ind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55.0</w:t>
            </w:r>
          </w:p>
        </w:tc>
        <w:tc>
          <w:tcPr>
            <w:tcW w:w="1985" w:type="dxa"/>
            <w:shd w:val="clear" w:color="auto" w:fill="E5E5E5" w:themeFill="background1" w:themeFillTint="33"/>
            <w:noWrap/>
            <w:vAlign w:val="center"/>
            <w:hideMark/>
          </w:tcPr>
          <w:p w:rsidR="00114E45" w:rsidRPr="00C54A19" w:rsidRDefault="00114E45" w:rsidP="009D2BAC">
            <w:pPr>
              <w:spacing w:after="0" w:line="240" w:lineRule="auto"/>
              <w:ind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53.4</w:t>
            </w:r>
          </w:p>
        </w:tc>
        <w:tc>
          <w:tcPr>
            <w:tcW w:w="1842" w:type="dxa"/>
            <w:shd w:val="clear" w:color="auto" w:fill="E5E5E5" w:themeFill="background1" w:themeFillTint="33"/>
            <w:noWrap/>
            <w:vAlign w:val="center"/>
            <w:hideMark/>
          </w:tcPr>
          <w:p w:rsidR="00114E45" w:rsidRPr="00C54A19" w:rsidRDefault="00114E45" w:rsidP="009D2BAC">
            <w:pPr>
              <w:spacing w:after="0" w:line="240" w:lineRule="auto"/>
              <w:ind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1.7</w:t>
            </w:r>
          </w:p>
        </w:tc>
      </w:tr>
      <w:tr w:rsidR="00114E45" w:rsidRPr="008065DC" w:rsidTr="009D2BAC">
        <w:trPr>
          <w:trHeight w:hRule="exact" w:val="397"/>
        </w:trPr>
        <w:tc>
          <w:tcPr>
            <w:tcW w:w="2992" w:type="dxa"/>
            <w:shd w:val="clear" w:color="auto" w:fill="auto"/>
            <w:noWrap/>
            <w:vAlign w:val="center"/>
            <w:hideMark/>
          </w:tcPr>
          <w:p w:rsidR="00114E45" w:rsidRPr="00C54A19" w:rsidRDefault="00114E45" w:rsidP="009D2BAC">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22 years - under 25</w:t>
            </w:r>
          </w:p>
        </w:tc>
        <w:tc>
          <w:tcPr>
            <w:tcW w:w="2268" w:type="dxa"/>
            <w:shd w:val="clear" w:color="auto" w:fill="auto"/>
            <w:noWrap/>
            <w:vAlign w:val="center"/>
            <w:hideMark/>
          </w:tcPr>
          <w:p w:rsidR="00114E45" w:rsidRPr="00C54A19" w:rsidRDefault="00114E45" w:rsidP="009D2BAC">
            <w:pPr>
              <w:spacing w:after="0" w:line="240" w:lineRule="auto"/>
              <w:ind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54.0</w:t>
            </w:r>
          </w:p>
        </w:tc>
        <w:tc>
          <w:tcPr>
            <w:tcW w:w="1985" w:type="dxa"/>
            <w:shd w:val="clear" w:color="auto" w:fill="auto"/>
            <w:noWrap/>
            <w:vAlign w:val="center"/>
            <w:hideMark/>
          </w:tcPr>
          <w:p w:rsidR="00114E45" w:rsidRPr="00C54A19" w:rsidRDefault="00114E45" w:rsidP="009D2BAC">
            <w:pPr>
              <w:spacing w:after="0" w:line="240" w:lineRule="auto"/>
              <w:ind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47.1</w:t>
            </w:r>
          </w:p>
        </w:tc>
        <w:tc>
          <w:tcPr>
            <w:tcW w:w="1842" w:type="dxa"/>
            <w:shd w:val="clear" w:color="auto" w:fill="auto"/>
            <w:noWrap/>
            <w:vAlign w:val="center"/>
            <w:hideMark/>
          </w:tcPr>
          <w:p w:rsidR="00114E45" w:rsidRPr="00C54A19" w:rsidRDefault="00114E45" w:rsidP="009D2BAC">
            <w:pPr>
              <w:spacing w:after="0" w:line="240" w:lineRule="auto"/>
              <w:ind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6.9</w:t>
            </w:r>
          </w:p>
        </w:tc>
      </w:tr>
      <w:tr w:rsidR="00114E45" w:rsidRPr="008065DC" w:rsidTr="009D2BAC">
        <w:trPr>
          <w:trHeight w:hRule="exact" w:val="397"/>
        </w:trPr>
        <w:tc>
          <w:tcPr>
            <w:tcW w:w="2992" w:type="dxa"/>
            <w:shd w:val="clear" w:color="auto" w:fill="E5E5E5" w:themeFill="background1" w:themeFillTint="33"/>
            <w:noWrap/>
            <w:vAlign w:val="center"/>
            <w:hideMark/>
          </w:tcPr>
          <w:p w:rsidR="00114E45" w:rsidRPr="00C54A19" w:rsidRDefault="00114E45" w:rsidP="009D2BAC">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25 years - under 31</w:t>
            </w:r>
          </w:p>
        </w:tc>
        <w:tc>
          <w:tcPr>
            <w:tcW w:w="2268" w:type="dxa"/>
            <w:shd w:val="clear" w:color="auto" w:fill="E5E5E5" w:themeFill="background1" w:themeFillTint="33"/>
            <w:noWrap/>
            <w:vAlign w:val="center"/>
            <w:hideMark/>
          </w:tcPr>
          <w:p w:rsidR="00114E45" w:rsidRPr="00C54A19" w:rsidRDefault="00114E45" w:rsidP="009D2BAC">
            <w:pPr>
              <w:spacing w:after="0" w:line="240" w:lineRule="auto"/>
              <w:ind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47.8</w:t>
            </w:r>
          </w:p>
        </w:tc>
        <w:tc>
          <w:tcPr>
            <w:tcW w:w="1985" w:type="dxa"/>
            <w:shd w:val="clear" w:color="auto" w:fill="E5E5E5" w:themeFill="background1" w:themeFillTint="33"/>
            <w:noWrap/>
            <w:vAlign w:val="center"/>
            <w:hideMark/>
          </w:tcPr>
          <w:p w:rsidR="00114E45" w:rsidRPr="00C54A19" w:rsidRDefault="00114E45" w:rsidP="009D2BAC">
            <w:pPr>
              <w:spacing w:after="0" w:line="240" w:lineRule="auto"/>
              <w:ind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46.3</w:t>
            </w:r>
          </w:p>
        </w:tc>
        <w:tc>
          <w:tcPr>
            <w:tcW w:w="1842" w:type="dxa"/>
            <w:shd w:val="clear" w:color="auto" w:fill="E5E5E5" w:themeFill="background1" w:themeFillTint="33"/>
            <w:noWrap/>
            <w:vAlign w:val="center"/>
            <w:hideMark/>
          </w:tcPr>
          <w:p w:rsidR="00114E45" w:rsidRPr="00C54A19" w:rsidRDefault="00114E45" w:rsidP="009D2BAC">
            <w:pPr>
              <w:spacing w:after="0" w:line="240" w:lineRule="auto"/>
              <w:ind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1.5</w:t>
            </w:r>
          </w:p>
        </w:tc>
      </w:tr>
      <w:tr w:rsidR="00114E45" w:rsidRPr="008065DC" w:rsidTr="009D2BAC">
        <w:trPr>
          <w:trHeight w:hRule="exact" w:val="397"/>
        </w:trPr>
        <w:tc>
          <w:tcPr>
            <w:tcW w:w="2992" w:type="dxa"/>
            <w:shd w:val="clear" w:color="auto" w:fill="auto"/>
            <w:noWrap/>
            <w:vAlign w:val="center"/>
            <w:hideMark/>
          </w:tcPr>
          <w:p w:rsidR="00114E45" w:rsidRPr="00C54A19" w:rsidRDefault="00114E45" w:rsidP="009D2BAC">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Total JCB cohort</w:t>
            </w:r>
          </w:p>
        </w:tc>
        <w:tc>
          <w:tcPr>
            <w:tcW w:w="2268" w:type="dxa"/>
            <w:shd w:val="clear" w:color="auto" w:fill="auto"/>
            <w:noWrap/>
            <w:vAlign w:val="center"/>
            <w:hideMark/>
          </w:tcPr>
          <w:p w:rsidR="00114E45" w:rsidRPr="00C54A19" w:rsidRDefault="00114E45" w:rsidP="009D2BAC">
            <w:pPr>
              <w:spacing w:after="0" w:line="240" w:lineRule="auto"/>
              <w:ind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51.2</w:t>
            </w:r>
          </w:p>
        </w:tc>
        <w:tc>
          <w:tcPr>
            <w:tcW w:w="1985" w:type="dxa"/>
            <w:shd w:val="clear" w:color="auto" w:fill="auto"/>
            <w:noWrap/>
            <w:vAlign w:val="center"/>
            <w:hideMark/>
          </w:tcPr>
          <w:p w:rsidR="00114E45" w:rsidRPr="00C54A19" w:rsidRDefault="00114E45" w:rsidP="009D2BAC">
            <w:pPr>
              <w:spacing w:after="0" w:line="240" w:lineRule="auto"/>
              <w:ind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48.3</w:t>
            </w:r>
          </w:p>
        </w:tc>
        <w:tc>
          <w:tcPr>
            <w:tcW w:w="1842" w:type="dxa"/>
            <w:shd w:val="clear" w:color="auto" w:fill="auto"/>
            <w:noWrap/>
            <w:vAlign w:val="center"/>
            <w:hideMark/>
          </w:tcPr>
          <w:p w:rsidR="00114E45" w:rsidRPr="00C54A19" w:rsidRDefault="00114E45" w:rsidP="009D2BAC">
            <w:pPr>
              <w:spacing w:after="0" w:line="240" w:lineRule="auto"/>
              <w:ind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3.0</w:t>
            </w:r>
          </w:p>
        </w:tc>
      </w:tr>
      <w:tr w:rsidR="00114E45" w:rsidRPr="008065DC" w:rsidTr="009D2BAC">
        <w:trPr>
          <w:trHeight w:hRule="exact" w:val="397"/>
        </w:trPr>
        <w:tc>
          <w:tcPr>
            <w:tcW w:w="2992" w:type="dxa"/>
            <w:shd w:val="clear" w:color="auto" w:fill="E5E5E5" w:themeFill="background1" w:themeFillTint="33"/>
            <w:noWrap/>
            <w:vAlign w:val="center"/>
            <w:hideMark/>
          </w:tcPr>
          <w:p w:rsidR="00114E45" w:rsidRPr="00C54A19" w:rsidRDefault="00114E45" w:rsidP="009D2BAC">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31 years - under 35</w:t>
            </w:r>
          </w:p>
        </w:tc>
        <w:tc>
          <w:tcPr>
            <w:tcW w:w="2268" w:type="dxa"/>
            <w:shd w:val="clear" w:color="auto" w:fill="E5E5E5" w:themeFill="background1" w:themeFillTint="33"/>
            <w:noWrap/>
            <w:vAlign w:val="center"/>
            <w:hideMark/>
          </w:tcPr>
          <w:p w:rsidR="00114E45" w:rsidRPr="00C54A19" w:rsidRDefault="00114E45" w:rsidP="009D2BAC">
            <w:pPr>
              <w:spacing w:after="0" w:line="240" w:lineRule="auto"/>
              <w:ind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50.6</w:t>
            </w:r>
          </w:p>
        </w:tc>
        <w:tc>
          <w:tcPr>
            <w:tcW w:w="1985" w:type="dxa"/>
            <w:shd w:val="clear" w:color="auto" w:fill="E5E5E5" w:themeFill="background1" w:themeFillTint="33"/>
            <w:noWrap/>
            <w:vAlign w:val="center"/>
            <w:hideMark/>
          </w:tcPr>
          <w:p w:rsidR="00114E45" w:rsidRPr="00C54A19" w:rsidRDefault="00114E45" w:rsidP="009D2BAC">
            <w:pPr>
              <w:spacing w:after="0" w:line="240" w:lineRule="auto"/>
              <w:ind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48.8</w:t>
            </w:r>
          </w:p>
        </w:tc>
        <w:tc>
          <w:tcPr>
            <w:tcW w:w="1842" w:type="dxa"/>
            <w:shd w:val="clear" w:color="auto" w:fill="E5E5E5" w:themeFill="background1" w:themeFillTint="33"/>
            <w:noWrap/>
            <w:vAlign w:val="center"/>
            <w:hideMark/>
          </w:tcPr>
          <w:p w:rsidR="00114E45" w:rsidRPr="00C54A19" w:rsidRDefault="00114E45" w:rsidP="009D2BAC">
            <w:pPr>
              <w:spacing w:after="0" w:line="240" w:lineRule="auto"/>
              <w:ind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1.8</w:t>
            </w:r>
          </w:p>
        </w:tc>
      </w:tr>
      <w:tr w:rsidR="00114E45" w:rsidRPr="008065DC" w:rsidTr="009D2BAC">
        <w:trPr>
          <w:trHeight w:hRule="exact" w:val="397"/>
        </w:trPr>
        <w:tc>
          <w:tcPr>
            <w:tcW w:w="2992" w:type="dxa"/>
            <w:shd w:val="clear" w:color="auto" w:fill="auto"/>
            <w:noWrap/>
            <w:vAlign w:val="center"/>
            <w:hideMark/>
          </w:tcPr>
          <w:p w:rsidR="00114E45" w:rsidRPr="00C54A19" w:rsidRDefault="00114E45" w:rsidP="009D2BAC">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35+ years</w:t>
            </w:r>
          </w:p>
        </w:tc>
        <w:tc>
          <w:tcPr>
            <w:tcW w:w="2268" w:type="dxa"/>
            <w:shd w:val="clear" w:color="auto" w:fill="auto"/>
            <w:noWrap/>
            <w:vAlign w:val="center"/>
            <w:hideMark/>
          </w:tcPr>
          <w:p w:rsidR="00114E45" w:rsidRPr="00C54A19" w:rsidRDefault="00114E45" w:rsidP="009D2BAC">
            <w:pPr>
              <w:spacing w:after="0" w:line="240" w:lineRule="auto"/>
              <w:ind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46.3</w:t>
            </w:r>
          </w:p>
        </w:tc>
        <w:tc>
          <w:tcPr>
            <w:tcW w:w="1985" w:type="dxa"/>
            <w:shd w:val="clear" w:color="auto" w:fill="auto"/>
            <w:noWrap/>
            <w:vAlign w:val="center"/>
            <w:hideMark/>
          </w:tcPr>
          <w:p w:rsidR="00114E45" w:rsidRPr="00C54A19" w:rsidRDefault="00114E45" w:rsidP="009D2BAC">
            <w:pPr>
              <w:spacing w:after="0" w:line="240" w:lineRule="auto"/>
              <w:ind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43.8</w:t>
            </w:r>
          </w:p>
        </w:tc>
        <w:tc>
          <w:tcPr>
            <w:tcW w:w="1842" w:type="dxa"/>
            <w:shd w:val="clear" w:color="auto" w:fill="auto"/>
            <w:noWrap/>
            <w:vAlign w:val="center"/>
            <w:hideMark/>
          </w:tcPr>
          <w:p w:rsidR="00114E45" w:rsidRPr="00C54A19" w:rsidRDefault="00114E45" w:rsidP="009D2BAC">
            <w:pPr>
              <w:spacing w:after="0" w:line="240" w:lineRule="auto"/>
              <w:ind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2.6</w:t>
            </w:r>
          </w:p>
        </w:tc>
      </w:tr>
      <w:tr w:rsidR="00114E45" w:rsidRPr="008065DC" w:rsidTr="009D2BAC">
        <w:trPr>
          <w:trHeight w:hRule="exact" w:val="397"/>
        </w:trPr>
        <w:tc>
          <w:tcPr>
            <w:tcW w:w="2992" w:type="dxa"/>
            <w:shd w:val="clear" w:color="auto" w:fill="8EAEDE"/>
            <w:noWrap/>
            <w:vAlign w:val="center"/>
            <w:hideMark/>
          </w:tcPr>
          <w:p w:rsidR="00114E45" w:rsidRPr="00C54A19" w:rsidRDefault="00114E45" w:rsidP="009D2BAC">
            <w:pPr>
              <w:spacing w:after="0" w:line="240" w:lineRule="auto"/>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Overall</w:t>
            </w:r>
          </w:p>
        </w:tc>
        <w:tc>
          <w:tcPr>
            <w:tcW w:w="2268" w:type="dxa"/>
            <w:shd w:val="clear" w:color="auto" w:fill="8EAEDE"/>
            <w:noWrap/>
            <w:vAlign w:val="center"/>
            <w:hideMark/>
          </w:tcPr>
          <w:p w:rsidR="00114E45" w:rsidRPr="00C54A19" w:rsidRDefault="00114E45" w:rsidP="009D2BAC">
            <w:pPr>
              <w:spacing w:after="0" w:line="240" w:lineRule="auto"/>
              <w:ind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49.5</w:t>
            </w:r>
          </w:p>
        </w:tc>
        <w:tc>
          <w:tcPr>
            <w:tcW w:w="1985" w:type="dxa"/>
            <w:shd w:val="clear" w:color="auto" w:fill="8EAEDE"/>
            <w:noWrap/>
            <w:vAlign w:val="center"/>
            <w:hideMark/>
          </w:tcPr>
          <w:p w:rsidR="00114E45" w:rsidRPr="00C54A19" w:rsidRDefault="00114E45" w:rsidP="009D2BAC">
            <w:pPr>
              <w:spacing w:after="0" w:line="240" w:lineRule="auto"/>
              <w:ind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46.6</w:t>
            </w:r>
          </w:p>
        </w:tc>
        <w:tc>
          <w:tcPr>
            <w:tcW w:w="1842" w:type="dxa"/>
            <w:shd w:val="clear" w:color="auto" w:fill="8EAEDE"/>
            <w:noWrap/>
            <w:vAlign w:val="center"/>
            <w:hideMark/>
          </w:tcPr>
          <w:p w:rsidR="00114E45" w:rsidRPr="00C54A19" w:rsidRDefault="00114E45" w:rsidP="009D2BAC">
            <w:pPr>
              <w:spacing w:after="0" w:line="240" w:lineRule="auto"/>
              <w:ind w:right="1026"/>
              <w:jc w:val="right"/>
              <w:rPr>
                <w:rFonts w:ascii="Calibri" w:eastAsia="Times New Roman" w:hAnsi="Calibri" w:cs="Calibri"/>
                <w:color w:val="000000"/>
                <w:sz w:val="20"/>
                <w:szCs w:val="20"/>
                <w:lang w:eastAsia="en-AU"/>
              </w:rPr>
            </w:pPr>
            <w:r w:rsidRPr="00C54A19">
              <w:rPr>
                <w:rFonts w:ascii="Calibri" w:eastAsia="Times New Roman" w:hAnsi="Calibri" w:cs="Calibri"/>
                <w:color w:val="000000"/>
                <w:sz w:val="20"/>
                <w:szCs w:val="20"/>
                <w:lang w:eastAsia="en-AU"/>
              </w:rPr>
              <w:t>2.9</w:t>
            </w:r>
          </w:p>
        </w:tc>
      </w:tr>
    </w:tbl>
    <w:p w:rsidR="00114E45" w:rsidRPr="00CF3F9B" w:rsidRDefault="00114E45" w:rsidP="00CF3F9B">
      <w:pPr>
        <w:pStyle w:val="Source"/>
        <w:rPr>
          <w:b w:val="0"/>
        </w:rPr>
      </w:pPr>
      <w:r w:rsidRPr="00CF3F9B">
        <w:t>Source:</w:t>
      </w:r>
      <w:r w:rsidRPr="00CF3F9B">
        <w:rPr>
          <w:b w:val="0"/>
        </w:rPr>
        <w:t xml:space="preserve"> Department of Employment administrative data and Research and Evaluation Database (RED).</w:t>
      </w:r>
    </w:p>
    <w:p w:rsidR="006A5B97" w:rsidRPr="006A5B97" w:rsidRDefault="006A5B97" w:rsidP="006A5B97">
      <w:pPr>
        <w:spacing w:before="120"/>
        <w:rPr>
          <w:sz w:val="20"/>
          <w:szCs w:val="20"/>
        </w:rPr>
        <w:sectPr w:rsidR="006A5B97" w:rsidRPr="006A5B97" w:rsidSect="00114E45">
          <w:pgSz w:w="11906" w:h="16838" w:code="9"/>
          <w:pgMar w:top="1440" w:right="1440" w:bottom="1440" w:left="1440" w:header="709" w:footer="709" w:gutter="0"/>
          <w:cols w:space="708"/>
          <w:docGrid w:linePitch="360"/>
        </w:sectPr>
      </w:pPr>
      <w:r w:rsidRPr="006A5B97">
        <w:rPr>
          <w:sz w:val="20"/>
          <w:szCs w:val="20"/>
        </w:rPr>
        <w:t>Return to</w:t>
      </w:r>
      <w:r w:rsidRPr="006A5B97">
        <w:rPr>
          <w:b/>
          <w:sz w:val="20"/>
          <w:szCs w:val="20"/>
        </w:rPr>
        <w:t xml:space="preserve"> </w:t>
      </w:r>
      <w:hyperlink w:anchor="Place_F22" w:history="1">
        <w:r w:rsidRPr="006A5B97">
          <w:rPr>
            <w:rStyle w:val="Hyperlink"/>
            <w:sz w:val="20"/>
            <w:szCs w:val="20"/>
          </w:rPr>
          <w:t>Figure 4.</w:t>
        </w:r>
        <w:r w:rsidR="000C30B2">
          <w:rPr>
            <w:rStyle w:val="Hyperlink"/>
            <w:sz w:val="20"/>
            <w:szCs w:val="20"/>
          </w:rPr>
          <w:t>13</w:t>
        </w:r>
        <w:r w:rsidRPr="006A5B97">
          <w:rPr>
            <w:rStyle w:val="Hyperlink"/>
            <w:sz w:val="20"/>
            <w:szCs w:val="20"/>
          </w:rPr>
          <w:t>.</w:t>
        </w:r>
      </w:hyperlink>
    </w:p>
    <w:p w:rsidR="00325628" w:rsidRPr="001A4F81" w:rsidRDefault="00603A49" w:rsidP="0069351E">
      <w:pPr>
        <w:pStyle w:val="TableCaption"/>
      </w:pPr>
      <w:bookmarkStart w:id="301" w:name="_Toc507600340"/>
      <w:r>
        <w:lastRenderedPageBreak/>
        <w:t>Table F</w:t>
      </w:r>
      <w:r w:rsidR="00D25EC9">
        <w:t>.</w:t>
      </w:r>
      <w:r w:rsidR="00E76396">
        <w:t>24</w:t>
      </w:r>
      <w:r w:rsidR="00D25EC9" w:rsidRPr="00D83A7E">
        <w:t xml:space="preserve">: </w:t>
      </w:r>
      <w:r w:rsidR="00D25EC9">
        <w:t xml:space="preserve">Difference in difference analysis for probability of sustaining exit from income support for 104 </w:t>
      </w:r>
      <w:r w:rsidR="00E85955">
        <w:t>weeks, h</w:t>
      </w:r>
      <w:r w:rsidR="00D25EC9">
        <w:t>igh</w:t>
      </w:r>
      <w:r w:rsidR="00D25EC9" w:rsidRPr="00EF5549">
        <w:t xml:space="preserve">er </w:t>
      </w:r>
      <w:r w:rsidR="00325628">
        <w:t>end of the JCB age</w:t>
      </w:r>
      <w:r w:rsidR="00325628" w:rsidRPr="007C05BC">
        <w:t xml:space="preserve"> range</w:t>
      </w:r>
      <w:bookmarkEnd w:id="301"/>
    </w:p>
    <w:tbl>
      <w:tblPr>
        <w:tblW w:w="14049" w:type="dxa"/>
        <w:tblInd w:w="93" w:type="dxa"/>
        <w:tblLook w:val="04A0" w:firstRow="1" w:lastRow="0" w:firstColumn="1" w:lastColumn="0" w:noHBand="0" w:noVBand="1"/>
      </w:tblPr>
      <w:tblGrid>
        <w:gridCol w:w="5969"/>
        <w:gridCol w:w="5245"/>
        <w:gridCol w:w="1417"/>
        <w:gridCol w:w="1418"/>
      </w:tblGrid>
      <w:tr w:rsidR="00D25EC9" w:rsidRPr="00D25EC9" w:rsidTr="00CC5B6A">
        <w:trPr>
          <w:trHeight w:val="578"/>
          <w:tblHeader/>
        </w:trPr>
        <w:tc>
          <w:tcPr>
            <w:tcW w:w="5969" w:type="dxa"/>
            <w:shd w:val="clear" w:color="000000" w:fill="1E3D6B"/>
            <w:noWrap/>
            <w:vAlign w:val="center"/>
            <w:hideMark/>
          </w:tcPr>
          <w:p w:rsidR="00D25EC9" w:rsidRPr="00D25EC9" w:rsidRDefault="003F5B67" w:rsidP="00D25EC9">
            <w:pPr>
              <w:spacing w:after="0" w:line="240" w:lineRule="auto"/>
              <w:rPr>
                <w:rFonts w:ascii="Calibri" w:eastAsia="Times New Roman" w:hAnsi="Calibri" w:cs="Calibri"/>
                <w:b/>
                <w:bCs/>
                <w:color w:val="FFFFFF"/>
                <w:lang w:eastAsia="en-AU"/>
              </w:rPr>
            </w:pPr>
            <w:bookmarkStart w:id="302" w:name="Title_F23"/>
            <w:bookmarkEnd w:id="302"/>
            <w:r>
              <w:rPr>
                <w:rFonts w:ascii="Calibri" w:eastAsia="Times New Roman" w:hAnsi="Calibri" w:cs="Calibri"/>
                <w:b/>
                <w:bCs/>
                <w:color w:val="FFFFFF"/>
                <w:lang w:eastAsia="en-AU"/>
              </w:rPr>
              <w:t xml:space="preserve">Demographic </w:t>
            </w:r>
            <w:r w:rsidR="001B7433">
              <w:rPr>
                <w:rFonts w:ascii="Calibri" w:eastAsia="Times New Roman" w:hAnsi="Calibri" w:cs="Calibri"/>
                <w:b/>
                <w:bCs/>
                <w:color w:val="FFFFFF"/>
                <w:lang w:eastAsia="en-AU"/>
              </w:rPr>
              <w:t>characteristic</w:t>
            </w:r>
          </w:p>
        </w:tc>
        <w:tc>
          <w:tcPr>
            <w:tcW w:w="5245" w:type="dxa"/>
            <w:shd w:val="clear" w:color="000000" w:fill="1E3D6B"/>
            <w:noWrap/>
            <w:vAlign w:val="center"/>
            <w:hideMark/>
          </w:tcPr>
          <w:p w:rsidR="00D25EC9" w:rsidRPr="00D25EC9" w:rsidRDefault="003B33C3" w:rsidP="003F5B67">
            <w:pPr>
              <w:spacing w:after="0" w:line="240" w:lineRule="auto"/>
              <w:rPr>
                <w:rFonts w:ascii="Calibri" w:eastAsia="Times New Roman" w:hAnsi="Calibri" w:cs="Calibri"/>
                <w:b/>
                <w:bCs/>
                <w:color w:val="FFFFFF"/>
                <w:lang w:eastAsia="en-AU"/>
              </w:rPr>
            </w:pPr>
            <w:r>
              <w:rPr>
                <w:rFonts w:ascii="Calibri" w:eastAsia="Times New Roman" w:hAnsi="Calibri" w:cs="Calibri"/>
                <w:b/>
                <w:bCs/>
                <w:color w:val="FFFFFF"/>
                <w:lang w:eastAsia="en-AU"/>
              </w:rPr>
              <w:t>C</w:t>
            </w:r>
            <w:r w:rsidR="003F5B67">
              <w:rPr>
                <w:rFonts w:ascii="Calibri" w:eastAsia="Times New Roman" w:hAnsi="Calibri" w:cs="Calibri"/>
                <w:b/>
                <w:bCs/>
                <w:color w:val="FFFFFF"/>
                <w:lang w:eastAsia="en-AU"/>
              </w:rPr>
              <w:t>ompared with</w:t>
            </w:r>
          </w:p>
        </w:tc>
        <w:tc>
          <w:tcPr>
            <w:tcW w:w="1417" w:type="dxa"/>
            <w:shd w:val="clear" w:color="000000" w:fill="1E3D6B"/>
            <w:noWrap/>
            <w:vAlign w:val="center"/>
            <w:hideMark/>
          </w:tcPr>
          <w:p w:rsidR="00D25EC9" w:rsidRPr="00D25EC9" w:rsidRDefault="006E1C2B" w:rsidP="00D25EC9">
            <w:pPr>
              <w:spacing w:after="0" w:line="240" w:lineRule="auto"/>
              <w:ind w:left="317"/>
              <w:rPr>
                <w:rFonts w:ascii="Calibri" w:eastAsia="Times New Roman" w:hAnsi="Calibri" w:cs="Calibri"/>
                <w:b/>
                <w:bCs/>
                <w:color w:val="FFFFFF"/>
                <w:lang w:eastAsia="en-AU"/>
              </w:rPr>
            </w:pPr>
            <w:r>
              <w:rPr>
                <w:rFonts w:ascii="Calibri" w:eastAsia="Times New Roman" w:hAnsi="Calibri" w:cs="Calibri"/>
                <w:b/>
                <w:bCs/>
                <w:color w:val="FFFFFF"/>
                <w:lang w:eastAsia="en-AU"/>
              </w:rPr>
              <w:t>MEM</w:t>
            </w:r>
            <w:r>
              <w:rPr>
                <w:rFonts w:ascii="Calibri" w:eastAsia="Times New Roman" w:hAnsi="Calibri" w:cs="Calibri"/>
                <w:b/>
                <w:bCs/>
                <w:color w:val="FFFFFF"/>
                <w:lang w:eastAsia="en-AU"/>
              </w:rPr>
              <w:br/>
              <w:t>(ppt)</w:t>
            </w:r>
          </w:p>
        </w:tc>
        <w:tc>
          <w:tcPr>
            <w:tcW w:w="1418" w:type="dxa"/>
            <w:shd w:val="clear" w:color="000000" w:fill="1E3D6B"/>
            <w:vAlign w:val="center"/>
            <w:hideMark/>
          </w:tcPr>
          <w:p w:rsidR="00D25EC9" w:rsidRPr="00D25EC9" w:rsidRDefault="00D25EC9" w:rsidP="00D25EC9">
            <w:pPr>
              <w:spacing w:after="0" w:line="240" w:lineRule="auto"/>
              <w:rPr>
                <w:rFonts w:ascii="Calibri" w:eastAsia="Times New Roman" w:hAnsi="Calibri" w:cs="Calibri"/>
                <w:b/>
                <w:bCs/>
                <w:color w:val="FFFFFF"/>
                <w:lang w:eastAsia="en-AU"/>
              </w:rPr>
            </w:pPr>
            <w:r w:rsidRPr="00D25EC9">
              <w:rPr>
                <w:rFonts w:ascii="Calibri" w:eastAsia="Times New Roman" w:hAnsi="Calibri" w:cs="Calibri"/>
                <w:b/>
                <w:bCs/>
                <w:color w:val="FFFFFF"/>
                <w:lang w:eastAsia="en-AU"/>
              </w:rPr>
              <w:t xml:space="preserve">Statistical </w:t>
            </w:r>
            <w:r w:rsidRPr="00D25EC9">
              <w:rPr>
                <w:rFonts w:ascii="Calibri" w:eastAsia="Times New Roman" w:hAnsi="Calibri" w:cs="Calibri"/>
                <w:b/>
                <w:bCs/>
                <w:color w:val="FFFFFF"/>
                <w:lang w:eastAsia="en-AU"/>
              </w:rPr>
              <w:br/>
              <w:t>significance</w:t>
            </w:r>
          </w:p>
        </w:tc>
      </w:tr>
      <w:tr w:rsidR="00D25EC9" w:rsidRPr="00D25EC9" w:rsidTr="00D25EC9">
        <w:trPr>
          <w:trHeight w:val="397"/>
        </w:trPr>
        <w:tc>
          <w:tcPr>
            <w:tcW w:w="5969" w:type="dxa"/>
            <w:shd w:val="clear" w:color="auto" w:fill="auto"/>
            <w:noWrap/>
            <w:vAlign w:val="center"/>
            <w:hideMark/>
          </w:tcPr>
          <w:p w:rsidR="00D25EC9" w:rsidRPr="00D25EC9" w:rsidRDefault="00C962FC" w:rsidP="00F40CF4">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After JCB introduction</w:t>
            </w:r>
            <w:r w:rsidR="00D25EC9" w:rsidRPr="00D25EC9">
              <w:rPr>
                <w:rFonts w:ascii="Calibri" w:eastAsia="Times New Roman" w:hAnsi="Calibri" w:cs="Calibri"/>
                <w:color w:val="000000"/>
                <w:sz w:val="20"/>
                <w:szCs w:val="20"/>
                <w:lang w:eastAsia="en-AU"/>
              </w:rPr>
              <w:t xml:space="preserve"> (X)</w:t>
            </w:r>
          </w:p>
        </w:tc>
        <w:tc>
          <w:tcPr>
            <w:tcW w:w="5245" w:type="dxa"/>
            <w:shd w:val="clear" w:color="auto" w:fill="auto"/>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Before JCB introduction</w:t>
            </w:r>
          </w:p>
        </w:tc>
        <w:tc>
          <w:tcPr>
            <w:tcW w:w="1417" w:type="dxa"/>
            <w:shd w:val="clear" w:color="auto" w:fill="auto"/>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-1.0</w:t>
            </w:r>
          </w:p>
        </w:tc>
        <w:tc>
          <w:tcPr>
            <w:tcW w:w="1418" w:type="dxa"/>
            <w:shd w:val="clear" w:color="auto" w:fill="auto"/>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0.715</w:t>
            </w:r>
          </w:p>
        </w:tc>
      </w:tr>
      <w:tr w:rsidR="00D25EC9" w:rsidRPr="00D25EC9" w:rsidTr="00D25EC9">
        <w:trPr>
          <w:trHeight w:val="397"/>
        </w:trPr>
        <w:tc>
          <w:tcPr>
            <w:tcW w:w="5969" w:type="dxa"/>
            <w:shd w:val="clear" w:color="auto" w:fill="E5E5E5" w:themeFill="background1" w:themeFillTint="33"/>
            <w:noWrap/>
            <w:vAlign w:val="center"/>
            <w:hideMark/>
          </w:tcPr>
          <w:p w:rsidR="00D25EC9" w:rsidRPr="00D25EC9" w:rsidRDefault="003B33C3" w:rsidP="00F40CF4">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31 to under 35 years</w:t>
            </w:r>
            <w:r w:rsidR="00D25EC9" w:rsidRPr="00D25EC9">
              <w:rPr>
                <w:rFonts w:ascii="Calibri" w:eastAsia="Times New Roman" w:hAnsi="Calibri" w:cs="Calibri"/>
                <w:color w:val="000000"/>
                <w:sz w:val="20"/>
                <w:szCs w:val="20"/>
                <w:lang w:eastAsia="en-AU"/>
              </w:rPr>
              <w:t xml:space="preserve"> (Y)</w:t>
            </w:r>
          </w:p>
        </w:tc>
        <w:tc>
          <w:tcPr>
            <w:tcW w:w="5245" w:type="dxa"/>
            <w:shd w:val="clear" w:color="auto" w:fill="E5E5E5" w:themeFill="background1" w:themeFillTint="33"/>
            <w:noWrap/>
            <w:vAlign w:val="center"/>
            <w:hideMark/>
          </w:tcPr>
          <w:p w:rsidR="00D25EC9" w:rsidRPr="00D25EC9" w:rsidRDefault="003B33C3" w:rsidP="00D25EC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25 to under 31 years (in JCB target)</w:t>
            </w:r>
          </w:p>
        </w:tc>
        <w:tc>
          <w:tcPr>
            <w:tcW w:w="1417" w:type="dxa"/>
            <w:shd w:val="clear" w:color="auto" w:fill="E5E5E5" w:themeFill="background1" w:themeFillTint="33"/>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0.0</w:t>
            </w:r>
          </w:p>
        </w:tc>
        <w:tc>
          <w:tcPr>
            <w:tcW w:w="1418" w:type="dxa"/>
            <w:shd w:val="clear" w:color="auto" w:fill="E5E5E5" w:themeFill="background1" w:themeFillTint="33"/>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0.996</w:t>
            </w:r>
          </w:p>
        </w:tc>
      </w:tr>
      <w:tr w:rsidR="00D25EC9" w:rsidRPr="00D25EC9" w:rsidTr="00D25EC9">
        <w:trPr>
          <w:trHeight w:val="397"/>
        </w:trPr>
        <w:tc>
          <w:tcPr>
            <w:tcW w:w="5969" w:type="dxa"/>
            <w:shd w:val="clear" w:color="auto" w:fill="FFFFFF" w:themeFill="background2"/>
            <w:noWrap/>
            <w:vAlign w:val="center"/>
            <w:hideMark/>
          </w:tcPr>
          <w:p w:rsidR="00D25EC9" w:rsidRPr="00D25EC9" w:rsidRDefault="00D25EC9" w:rsidP="00F40CF4">
            <w:pPr>
              <w:spacing w:after="0" w:line="240" w:lineRule="auto"/>
              <w:rPr>
                <w:rFonts w:ascii="Calibri" w:eastAsia="Times New Roman" w:hAnsi="Calibri" w:cs="Calibri"/>
                <w:bCs/>
                <w:color w:val="000000"/>
                <w:sz w:val="20"/>
                <w:szCs w:val="20"/>
                <w:lang w:eastAsia="en-AU"/>
              </w:rPr>
            </w:pPr>
            <w:r w:rsidRPr="00D25EC9">
              <w:rPr>
                <w:rFonts w:ascii="Calibri" w:eastAsia="Times New Roman" w:hAnsi="Calibri" w:cs="Calibri"/>
                <w:bCs/>
                <w:color w:val="000000"/>
                <w:sz w:val="20"/>
                <w:szCs w:val="20"/>
                <w:lang w:eastAsia="en-AU"/>
              </w:rPr>
              <w:t>Interaction variable (X</w:t>
            </w:r>
            <w:r w:rsidR="00F40CF4">
              <w:rPr>
                <w:rFonts w:ascii="Calibri" w:eastAsia="Times New Roman" w:hAnsi="Calibri" w:cs="Calibri"/>
                <w:bCs/>
                <w:color w:val="000000"/>
                <w:sz w:val="20"/>
                <w:szCs w:val="20"/>
                <w:lang w:eastAsia="en-AU"/>
              </w:rPr>
              <w:t>*</w:t>
            </w:r>
            <w:r w:rsidR="00C962FC">
              <w:rPr>
                <w:rFonts w:ascii="Calibri" w:eastAsia="Times New Roman" w:hAnsi="Calibri" w:cs="Calibri"/>
                <w:bCs/>
                <w:color w:val="000000"/>
                <w:sz w:val="20"/>
                <w:szCs w:val="20"/>
                <w:lang w:eastAsia="en-AU"/>
              </w:rPr>
              <w:t>Y)</w:t>
            </w:r>
          </w:p>
        </w:tc>
        <w:tc>
          <w:tcPr>
            <w:tcW w:w="5245" w:type="dxa"/>
            <w:shd w:val="clear" w:color="auto" w:fill="FFFFFF" w:themeFill="background2"/>
            <w:noWrap/>
            <w:vAlign w:val="center"/>
            <w:hideMark/>
          </w:tcPr>
          <w:p w:rsidR="00D25EC9" w:rsidRPr="00D25EC9" w:rsidRDefault="00D25EC9" w:rsidP="00D25EC9">
            <w:pPr>
              <w:spacing w:after="0" w:line="240" w:lineRule="auto"/>
              <w:rPr>
                <w:rFonts w:ascii="Calibri" w:eastAsia="Times New Roman" w:hAnsi="Calibri" w:cs="Calibri"/>
                <w:bCs/>
                <w:color w:val="000000"/>
                <w:sz w:val="20"/>
                <w:szCs w:val="20"/>
                <w:lang w:eastAsia="en-AU"/>
              </w:rPr>
            </w:pPr>
            <w:r w:rsidRPr="00D25EC9">
              <w:rPr>
                <w:rFonts w:ascii="Calibri" w:eastAsia="Times New Roman" w:hAnsi="Calibri" w:cs="Calibri"/>
                <w:bCs/>
                <w:color w:val="000000"/>
                <w:sz w:val="20"/>
                <w:szCs w:val="20"/>
                <w:lang w:eastAsia="en-AU"/>
              </w:rPr>
              <w:t>No interaction</w:t>
            </w:r>
          </w:p>
        </w:tc>
        <w:tc>
          <w:tcPr>
            <w:tcW w:w="1417" w:type="dxa"/>
            <w:shd w:val="clear" w:color="auto" w:fill="FFFFFF" w:themeFill="background2"/>
            <w:noWrap/>
            <w:vAlign w:val="center"/>
            <w:hideMark/>
          </w:tcPr>
          <w:p w:rsidR="00D25EC9" w:rsidRPr="00D25EC9" w:rsidRDefault="00D25EC9" w:rsidP="00D25EC9">
            <w:pPr>
              <w:spacing w:after="0" w:line="240" w:lineRule="auto"/>
              <w:ind w:left="-250" w:right="317"/>
              <w:jc w:val="right"/>
              <w:rPr>
                <w:rFonts w:ascii="Calibri" w:eastAsia="Times New Roman" w:hAnsi="Calibri" w:cs="Calibri"/>
                <w:bCs/>
                <w:color w:val="000000"/>
                <w:lang w:eastAsia="en-AU"/>
              </w:rPr>
            </w:pPr>
            <w:r w:rsidRPr="00D25EC9">
              <w:rPr>
                <w:rFonts w:ascii="Calibri" w:eastAsia="Times New Roman" w:hAnsi="Calibri" w:cs="Calibri"/>
                <w:bCs/>
                <w:color w:val="000000"/>
                <w:lang w:eastAsia="en-AU"/>
              </w:rPr>
              <w:t>2.1</w:t>
            </w:r>
          </w:p>
        </w:tc>
        <w:tc>
          <w:tcPr>
            <w:tcW w:w="1418" w:type="dxa"/>
            <w:shd w:val="clear" w:color="auto" w:fill="FFFFFF" w:themeFill="background2"/>
            <w:noWrap/>
            <w:vAlign w:val="center"/>
            <w:hideMark/>
          </w:tcPr>
          <w:p w:rsidR="00D25EC9" w:rsidRPr="00D25EC9" w:rsidRDefault="00D25EC9" w:rsidP="00D25EC9">
            <w:pPr>
              <w:spacing w:after="0" w:line="240" w:lineRule="auto"/>
              <w:ind w:right="318"/>
              <w:jc w:val="right"/>
              <w:rPr>
                <w:rFonts w:ascii="Calibri" w:eastAsia="Times New Roman" w:hAnsi="Calibri" w:cs="Calibri"/>
                <w:bCs/>
                <w:color w:val="000000"/>
                <w:lang w:eastAsia="en-AU"/>
              </w:rPr>
            </w:pPr>
            <w:r w:rsidRPr="00D25EC9">
              <w:rPr>
                <w:rFonts w:ascii="Calibri" w:eastAsia="Times New Roman" w:hAnsi="Calibri" w:cs="Calibri"/>
                <w:bCs/>
                <w:color w:val="000000"/>
                <w:lang w:eastAsia="en-AU"/>
              </w:rPr>
              <w:t>0.640</w:t>
            </w:r>
          </w:p>
        </w:tc>
      </w:tr>
      <w:tr w:rsidR="00D25EC9" w:rsidRPr="00D25EC9" w:rsidTr="00D25EC9">
        <w:trPr>
          <w:trHeight w:val="397"/>
        </w:trPr>
        <w:tc>
          <w:tcPr>
            <w:tcW w:w="5969" w:type="dxa"/>
            <w:shd w:val="clear" w:color="auto" w:fill="E5E5E5" w:themeFill="background1" w:themeFillTint="33"/>
            <w:noWrap/>
            <w:vAlign w:val="center"/>
            <w:hideMark/>
          </w:tcPr>
          <w:p w:rsidR="00D25EC9" w:rsidRPr="00D25EC9" w:rsidRDefault="00BB27F4" w:rsidP="00D25EC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Female</w:t>
            </w:r>
            <w:r w:rsidR="00D25EC9" w:rsidRPr="00D25EC9">
              <w:rPr>
                <w:rFonts w:ascii="Calibri" w:eastAsia="Times New Roman" w:hAnsi="Calibri" w:cs="Calibri"/>
                <w:color w:val="000000"/>
                <w:sz w:val="20"/>
                <w:szCs w:val="20"/>
                <w:lang w:eastAsia="en-AU"/>
              </w:rPr>
              <w:t xml:space="preserve"> </w:t>
            </w:r>
          </w:p>
        </w:tc>
        <w:tc>
          <w:tcPr>
            <w:tcW w:w="5245" w:type="dxa"/>
            <w:shd w:val="clear" w:color="auto" w:fill="E5E5E5" w:themeFill="background1" w:themeFillTint="33"/>
            <w:noWrap/>
            <w:vAlign w:val="center"/>
            <w:hideMark/>
          </w:tcPr>
          <w:p w:rsidR="00D25EC9" w:rsidRPr="00D25EC9" w:rsidRDefault="00BB27F4" w:rsidP="00D25EC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Male</w:t>
            </w:r>
          </w:p>
        </w:tc>
        <w:tc>
          <w:tcPr>
            <w:tcW w:w="1417" w:type="dxa"/>
            <w:shd w:val="clear" w:color="auto" w:fill="E5E5E5" w:themeFill="background1" w:themeFillTint="33"/>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-4.8</w:t>
            </w:r>
          </w:p>
        </w:tc>
        <w:tc>
          <w:tcPr>
            <w:tcW w:w="1418" w:type="dxa"/>
            <w:shd w:val="clear" w:color="auto" w:fill="E5E5E5" w:themeFill="background1" w:themeFillTint="33"/>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0.072</w:t>
            </w:r>
          </w:p>
        </w:tc>
      </w:tr>
      <w:tr w:rsidR="00D25EC9" w:rsidRPr="00D25EC9" w:rsidTr="00D25EC9">
        <w:trPr>
          <w:trHeight w:val="397"/>
        </w:trPr>
        <w:tc>
          <w:tcPr>
            <w:tcW w:w="5969" w:type="dxa"/>
            <w:shd w:val="clear" w:color="auto" w:fill="auto"/>
            <w:noWrap/>
            <w:vAlign w:val="center"/>
            <w:hideMark/>
          </w:tcPr>
          <w:p w:rsidR="00D25EC9" w:rsidRPr="00D25EC9" w:rsidRDefault="00C962FC" w:rsidP="00D25EC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Poor/Mixed English Proficiency</w:t>
            </w:r>
          </w:p>
        </w:tc>
        <w:tc>
          <w:tcPr>
            <w:tcW w:w="5245" w:type="dxa"/>
            <w:shd w:val="clear" w:color="auto" w:fill="auto"/>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Good English Proficiency</w:t>
            </w:r>
          </w:p>
        </w:tc>
        <w:tc>
          <w:tcPr>
            <w:tcW w:w="1417" w:type="dxa"/>
            <w:shd w:val="clear" w:color="auto" w:fill="auto"/>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-4.3</w:t>
            </w:r>
          </w:p>
        </w:tc>
        <w:tc>
          <w:tcPr>
            <w:tcW w:w="1418" w:type="dxa"/>
            <w:shd w:val="clear" w:color="auto" w:fill="auto"/>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0.305</w:t>
            </w:r>
          </w:p>
        </w:tc>
      </w:tr>
      <w:tr w:rsidR="00D25EC9" w:rsidRPr="00D25EC9" w:rsidTr="00D25EC9">
        <w:trPr>
          <w:trHeight w:val="397"/>
        </w:trPr>
        <w:tc>
          <w:tcPr>
            <w:tcW w:w="5969" w:type="dxa"/>
            <w:shd w:val="clear" w:color="auto" w:fill="E5E5E5" w:themeFill="background1" w:themeFillTint="33"/>
            <w:noWrap/>
            <w:vAlign w:val="center"/>
            <w:hideMark/>
          </w:tcPr>
          <w:p w:rsidR="00D25EC9" w:rsidRPr="00D25EC9" w:rsidRDefault="00C962FC" w:rsidP="00D25EC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With disability</w:t>
            </w:r>
          </w:p>
        </w:tc>
        <w:tc>
          <w:tcPr>
            <w:tcW w:w="5245" w:type="dxa"/>
            <w:shd w:val="clear" w:color="auto" w:fill="E5E5E5" w:themeFill="background1" w:themeFillTint="33"/>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No disability</w:t>
            </w:r>
          </w:p>
        </w:tc>
        <w:tc>
          <w:tcPr>
            <w:tcW w:w="1417" w:type="dxa"/>
            <w:shd w:val="clear" w:color="auto" w:fill="E5E5E5" w:themeFill="background1" w:themeFillTint="33"/>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3.3</w:t>
            </w:r>
          </w:p>
        </w:tc>
        <w:tc>
          <w:tcPr>
            <w:tcW w:w="1418" w:type="dxa"/>
            <w:shd w:val="clear" w:color="auto" w:fill="E5E5E5" w:themeFill="background1" w:themeFillTint="33"/>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0.264</w:t>
            </w:r>
          </w:p>
        </w:tc>
      </w:tr>
      <w:tr w:rsidR="00D25EC9" w:rsidRPr="00D25EC9" w:rsidTr="00D25EC9">
        <w:trPr>
          <w:trHeight w:val="397"/>
        </w:trPr>
        <w:tc>
          <w:tcPr>
            <w:tcW w:w="5969" w:type="dxa"/>
            <w:shd w:val="clear" w:color="auto" w:fill="auto"/>
            <w:noWrap/>
            <w:vAlign w:val="center"/>
            <w:hideMark/>
          </w:tcPr>
          <w:p w:rsidR="00D25EC9" w:rsidRPr="00D25EC9" w:rsidRDefault="00C962FC" w:rsidP="00D25EC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Unstable residence</w:t>
            </w:r>
          </w:p>
        </w:tc>
        <w:tc>
          <w:tcPr>
            <w:tcW w:w="5245" w:type="dxa"/>
            <w:shd w:val="clear" w:color="auto" w:fill="auto"/>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Stable residence</w:t>
            </w:r>
          </w:p>
        </w:tc>
        <w:tc>
          <w:tcPr>
            <w:tcW w:w="1417" w:type="dxa"/>
            <w:shd w:val="clear" w:color="auto" w:fill="auto"/>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11.3</w:t>
            </w:r>
          </w:p>
        </w:tc>
        <w:tc>
          <w:tcPr>
            <w:tcW w:w="1418" w:type="dxa"/>
            <w:shd w:val="clear" w:color="auto" w:fill="auto"/>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0.001</w:t>
            </w:r>
          </w:p>
        </w:tc>
      </w:tr>
      <w:tr w:rsidR="00D25EC9" w:rsidRPr="00D25EC9" w:rsidTr="00D25EC9">
        <w:trPr>
          <w:trHeight w:val="397"/>
        </w:trPr>
        <w:tc>
          <w:tcPr>
            <w:tcW w:w="5969" w:type="dxa"/>
            <w:shd w:val="clear" w:color="auto" w:fill="E5E5E5" w:themeFill="background1" w:themeFillTint="33"/>
            <w:noWrap/>
            <w:vAlign w:val="center"/>
            <w:hideMark/>
          </w:tcPr>
          <w:p w:rsidR="00D25EC9" w:rsidRPr="00D25EC9" w:rsidRDefault="00C962FC" w:rsidP="00D25EC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Indigenous</w:t>
            </w:r>
          </w:p>
        </w:tc>
        <w:tc>
          <w:tcPr>
            <w:tcW w:w="5245" w:type="dxa"/>
            <w:shd w:val="clear" w:color="auto" w:fill="E5E5E5" w:themeFill="background1" w:themeFillTint="33"/>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Not Indigenous</w:t>
            </w:r>
          </w:p>
        </w:tc>
        <w:tc>
          <w:tcPr>
            <w:tcW w:w="1417" w:type="dxa"/>
            <w:shd w:val="clear" w:color="auto" w:fill="E5E5E5" w:themeFill="background1" w:themeFillTint="33"/>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7.1</w:t>
            </w:r>
          </w:p>
        </w:tc>
        <w:tc>
          <w:tcPr>
            <w:tcW w:w="1418" w:type="dxa"/>
            <w:shd w:val="clear" w:color="auto" w:fill="E5E5E5" w:themeFill="background1" w:themeFillTint="33"/>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0.169</w:t>
            </w:r>
          </w:p>
        </w:tc>
      </w:tr>
      <w:tr w:rsidR="00D25EC9" w:rsidRPr="00D25EC9" w:rsidTr="00D25EC9">
        <w:trPr>
          <w:trHeight w:val="397"/>
        </w:trPr>
        <w:tc>
          <w:tcPr>
            <w:tcW w:w="5969" w:type="dxa"/>
            <w:shd w:val="clear" w:color="auto" w:fill="auto"/>
            <w:noWrap/>
            <w:vAlign w:val="center"/>
            <w:hideMark/>
          </w:tcPr>
          <w:p w:rsidR="00D25EC9" w:rsidRPr="00D25EC9" w:rsidRDefault="00C962FC" w:rsidP="00D25EC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Ex-offender</w:t>
            </w:r>
          </w:p>
        </w:tc>
        <w:tc>
          <w:tcPr>
            <w:tcW w:w="5245" w:type="dxa"/>
            <w:shd w:val="clear" w:color="auto" w:fill="auto"/>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Not ex-offender</w:t>
            </w:r>
          </w:p>
        </w:tc>
        <w:tc>
          <w:tcPr>
            <w:tcW w:w="1417" w:type="dxa"/>
            <w:shd w:val="clear" w:color="auto" w:fill="auto"/>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3.3</w:t>
            </w:r>
          </w:p>
        </w:tc>
        <w:tc>
          <w:tcPr>
            <w:tcW w:w="1418" w:type="dxa"/>
            <w:shd w:val="clear" w:color="auto" w:fill="auto"/>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0.313</w:t>
            </w:r>
          </w:p>
        </w:tc>
      </w:tr>
      <w:tr w:rsidR="00D25EC9" w:rsidRPr="00D25EC9" w:rsidTr="00D25EC9">
        <w:trPr>
          <w:trHeight w:val="397"/>
        </w:trPr>
        <w:tc>
          <w:tcPr>
            <w:tcW w:w="5969" w:type="dxa"/>
            <w:shd w:val="clear" w:color="auto" w:fill="E5E5E5" w:themeFill="background1" w:themeFillTint="33"/>
            <w:noWrap/>
            <w:vAlign w:val="center"/>
            <w:hideMark/>
          </w:tcPr>
          <w:p w:rsidR="00D25EC9" w:rsidRPr="00D25EC9" w:rsidRDefault="00C962FC" w:rsidP="00D25EC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Single parent</w:t>
            </w:r>
          </w:p>
        </w:tc>
        <w:tc>
          <w:tcPr>
            <w:tcW w:w="5245" w:type="dxa"/>
            <w:shd w:val="clear" w:color="auto" w:fill="E5E5E5" w:themeFill="background1" w:themeFillTint="33"/>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Not a single parent</w:t>
            </w:r>
          </w:p>
        </w:tc>
        <w:tc>
          <w:tcPr>
            <w:tcW w:w="1417" w:type="dxa"/>
            <w:shd w:val="clear" w:color="auto" w:fill="E5E5E5" w:themeFill="background1" w:themeFillTint="33"/>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-0.9</w:t>
            </w:r>
          </w:p>
        </w:tc>
        <w:tc>
          <w:tcPr>
            <w:tcW w:w="1418" w:type="dxa"/>
            <w:shd w:val="clear" w:color="auto" w:fill="E5E5E5" w:themeFill="background1" w:themeFillTint="33"/>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0.912</w:t>
            </w:r>
          </w:p>
        </w:tc>
      </w:tr>
      <w:tr w:rsidR="00D25EC9" w:rsidRPr="00D25EC9" w:rsidTr="00D25EC9">
        <w:trPr>
          <w:trHeight w:val="397"/>
        </w:trPr>
        <w:tc>
          <w:tcPr>
            <w:tcW w:w="5969" w:type="dxa"/>
            <w:shd w:val="clear" w:color="auto" w:fill="auto"/>
            <w:noWrap/>
            <w:vAlign w:val="center"/>
            <w:hideMark/>
          </w:tcPr>
          <w:p w:rsidR="00D25EC9" w:rsidRPr="00D25EC9" w:rsidRDefault="00C962FC" w:rsidP="00D25EC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Not contactable by phone</w:t>
            </w:r>
          </w:p>
        </w:tc>
        <w:tc>
          <w:tcPr>
            <w:tcW w:w="5245" w:type="dxa"/>
            <w:shd w:val="clear" w:color="auto" w:fill="auto"/>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Contactable by phone</w:t>
            </w:r>
          </w:p>
        </w:tc>
        <w:tc>
          <w:tcPr>
            <w:tcW w:w="1417" w:type="dxa"/>
            <w:shd w:val="clear" w:color="auto" w:fill="auto"/>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-6.9</w:t>
            </w:r>
          </w:p>
        </w:tc>
        <w:tc>
          <w:tcPr>
            <w:tcW w:w="1418" w:type="dxa"/>
            <w:shd w:val="clear" w:color="auto" w:fill="auto"/>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0.289</w:t>
            </w:r>
          </w:p>
        </w:tc>
      </w:tr>
      <w:tr w:rsidR="00D25EC9" w:rsidRPr="00D25EC9" w:rsidTr="00D25EC9">
        <w:trPr>
          <w:trHeight w:val="397"/>
        </w:trPr>
        <w:tc>
          <w:tcPr>
            <w:tcW w:w="5969" w:type="dxa"/>
            <w:shd w:val="clear" w:color="auto" w:fill="E5E5E5" w:themeFill="background1" w:themeFillTint="33"/>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CAL</w:t>
            </w:r>
            <w:r w:rsidR="00C962FC">
              <w:rPr>
                <w:rFonts w:ascii="Calibri" w:eastAsia="Times New Roman" w:hAnsi="Calibri" w:cs="Calibri"/>
                <w:color w:val="000000"/>
                <w:sz w:val="20"/>
                <w:szCs w:val="20"/>
                <w:lang w:eastAsia="en-AU"/>
              </w:rPr>
              <w:t>D</w:t>
            </w:r>
          </w:p>
        </w:tc>
        <w:tc>
          <w:tcPr>
            <w:tcW w:w="5245" w:type="dxa"/>
            <w:shd w:val="clear" w:color="auto" w:fill="E5E5E5" w:themeFill="background1" w:themeFillTint="33"/>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Not CALD</w:t>
            </w:r>
          </w:p>
        </w:tc>
        <w:tc>
          <w:tcPr>
            <w:tcW w:w="1417" w:type="dxa"/>
            <w:shd w:val="clear" w:color="auto" w:fill="E5E5E5" w:themeFill="background1" w:themeFillTint="33"/>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-6.8</w:t>
            </w:r>
          </w:p>
        </w:tc>
        <w:tc>
          <w:tcPr>
            <w:tcW w:w="1418" w:type="dxa"/>
            <w:shd w:val="clear" w:color="auto" w:fill="E5E5E5" w:themeFill="background1" w:themeFillTint="33"/>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0.050</w:t>
            </w:r>
          </w:p>
        </w:tc>
      </w:tr>
      <w:tr w:rsidR="00D25EC9" w:rsidRPr="00D25EC9" w:rsidTr="00D25EC9">
        <w:trPr>
          <w:trHeight w:val="397"/>
        </w:trPr>
        <w:tc>
          <w:tcPr>
            <w:tcW w:w="5969" w:type="dxa"/>
            <w:shd w:val="clear" w:color="auto" w:fill="auto"/>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Other</w:t>
            </w:r>
          </w:p>
        </w:tc>
        <w:tc>
          <w:tcPr>
            <w:tcW w:w="5245" w:type="dxa"/>
            <w:shd w:val="clear" w:color="auto" w:fill="auto"/>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Major city or Inner regional</w:t>
            </w:r>
          </w:p>
        </w:tc>
        <w:tc>
          <w:tcPr>
            <w:tcW w:w="1417" w:type="dxa"/>
            <w:shd w:val="clear" w:color="auto" w:fill="auto"/>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6.2</w:t>
            </w:r>
          </w:p>
        </w:tc>
        <w:tc>
          <w:tcPr>
            <w:tcW w:w="1418" w:type="dxa"/>
            <w:shd w:val="clear" w:color="auto" w:fill="auto"/>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0.142</w:t>
            </w:r>
          </w:p>
        </w:tc>
      </w:tr>
      <w:tr w:rsidR="00D25EC9" w:rsidRPr="00D25EC9" w:rsidTr="00D25EC9">
        <w:trPr>
          <w:trHeight w:val="397"/>
        </w:trPr>
        <w:tc>
          <w:tcPr>
            <w:tcW w:w="5969" w:type="dxa"/>
            <w:shd w:val="clear" w:color="auto" w:fill="E5E5E5" w:themeFill="background1" w:themeFillTint="33"/>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Has job</w:t>
            </w:r>
            <w:r w:rsidR="008477D2">
              <w:rPr>
                <w:rFonts w:ascii="Calibri" w:eastAsia="Times New Roman" w:hAnsi="Calibri" w:cs="Calibri"/>
                <w:color w:val="000000"/>
                <w:sz w:val="20"/>
                <w:szCs w:val="20"/>
                <w:lang w:eastAsia="en-AU"/>
              </w:rPr>
              <w:t xml:space="preserve"> </w:t>
            </w:r>
            <w:r w:rsidR="00C962FC">
              <w:rPr>
                <w:rFonts w:ascii="Calibri" w:eastAsia="Times New Roman" w:hAnsi="Calibri" w:cs="Calibri"/>
                <w:color w:val="000000"/>
                <w:sz w:val="20"/>
                <w:szCs w:val="20"/>
                <w:lang w:eastAsia="en-AU"/>
              </w:rPr>
              <w:t>seeker history</w:t>
            </w:r>
          </w:p>
        </w:tc>
        <w:tc>
          <w:tcPr>
            <w:tcW w:w="5245" w:type="dxa"/>
            <w:shd w:val="clear" w:color="auto" w:fill="E5E5E5" w:themeFill="background1" w:themeFillTint="33"/>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No job</w:t>
            </w:r>
            <w:r w:rsidR="008477D2">
              <w:rPr>
                <w:rFonts w:ascii="Calibri" w:eastAsia="Times New Roman" w:hAnsi="Calibri" w:cs="Calibri"/>
                <w:color w:val="000000"/>
                <w:sz w:val="20"/>
                <w:szCs w:val="20"/>
                <w:lang w:eastAsia="en-AU"/>
              </w:rPr>
              <w:t xml:space="preserve"> </w:t>
            </w:r>
            <w:r w:rsidRPr="00D25EC9">
              <w:rPr>
                <w:rFonts w:ascii="Calibri" w:eastAsia="Times New Roman" w:hAnsi="Calibri" w:cs="Calibri"/>
                <w:color w:val="000000"/>
                <w:sz w:val="20"/>
                <w:szCs w:val="20"/>
                <w:lang w:eastAsia="en-AU"/>
              </w:rPr>
              <w:t>seeker history</w:t>
            </w:r>
          </w:p>
        </w:tc>
        <w:tc>
          <w:tcPr>
            <w:tcW w:w="1417" w:type="dxa"/>
            <w:shd w:val="clear" w:color="auto" w:fill="E5E5E5" w:themeFill="background1" w:themeFillTint="33"/>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12.4</w:t>
            </w:r>
          </w:p>
        </w:tc>
        <w:tc>
          <w:tcPr>
            <w:tcW w:w="1418" w:type="dxa"/>
            <w:shd w:val="clear" w:color="auto" w:fill="E5E5E5" w:themeFill="background1" w:themeFillTint="33"/>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&lt;.0001</w:t>
            </w:r>
          </w:p>
        </w:tc>
      </w:tr>
      <w:tr w:rsidR="00D25EC9" w:rsidRPr="00D25EC9" w:rsidTr="00D25EC9">
        <w:trPr>
          <w:trHeight w:val="397"/>
        </w:trPr>
        <w:tc>
          <w:tcPr>
            <w:tcW w:w="5969" w:type="dxa"/>
            <w:shd w:val="clear" w:color="auto" w:fill="auto"/>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Unemployment rate</w:t>
            </w:r>
          </w:p>
        </w:tc>
        <w:tc>
          <w:tcPr>
            <w:tcW w:w="5245" w:type="dxa"/>
            <w:shd w:val="clear" w:color="auto" w:fill="auto"/>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Continuous variable</w:t>
            </w:r>
          </w:p>
        </w:tc>
        <w:tc>
          <w:tcPr>
            <w:tcW w:w="1417" w:type="dxa"/>
            <w:shd w:val="clear" w:color="auto" w:fill="auto"/>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-0.8</w:t>
            </w:r>
          </w:p>
        </w:tc>
        <w:tc>
          <w:tcPr>
            <w:tcW w:w="1418" w:type="dxa"/>
            <w:shd w:val="clear" w:color="auto" w:fill="auto"/>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0.437</w:t>
            </w:r>
          </w:p>
        </w:tc>
      </w:tr>
      <w:tr w:rsidR="00D25EC9" w:rsidRPr="00D25EC9" w:rsidTr="00D25EC9">
        <w:trPr>
          <w:trHeight w:val="397"/>
        </w:trPr>
        <w:tc>
          <w:tcPr>
            <w:tcW w:w="5969" w:type="dxa"/>
            <w:shd w:val="clear" w:color="auto" w:fill="E5E5E5" w:themeFill="background1" w:themeFillTint="33"/>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Personal factors: High impact</w:t>
            </w:r>
          </w:p>
        </w:tc>
        <w:tc>
          <w:tcPr>
            <w:tcW w:w="5245" w:type="dxa"/>
            <w:shd w:val="clear" w:color="auto" w:fill="E5E5E5" w:themeFill="background1" w:themeFillTint="33"/>
            <w:noWrap/>
            <w:vAlign w:val="center"/>
            <w:hideMark/>
          </w:tcPr>
          <w:p w:rsidR="00D25EC9" w:rsidRPr="00D25EC9" w:rsidRDefault="00FA14FE" w:rsidP="00D25EC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 xml:space="preserve">Personal factors: </w:t>
            </w:r>
            <w:r w:rsidR="00D25EC9" w:rsidRPr="00D25EC9">
              <w:rPr>
                <w:rFonts w:ascii="Calibri" w:eastAsia="Times New Roman" w:hAnsi="Calibri" w:cs="Calibri"/>
                <w:color w:val="000000"/>
                <w:sz w:val="20"/>
                <w:szCs w:val="20"/>
                <w:lang w:eastAsia="en-AU"/>
              </w:rPr>
              <w:t>No impact</w:t>
            </w:r>
          </w:p>
        </w:tc>
        <w:tc>
          <w:tcPr>
            <w:tcW w:w="1417" w:type="dxa"/>
            <w:shd w:val="clear" w:color="auto" w:fill="E5E5E5" w:themeFill="background1" w:themeFillTint="33"/>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9.1</w:t>
            </w:r>
          </w:p>
        </w:tc>
        <w:tc>
          <w:tcPr>
            <w:tcW w:w="1418" w:type="dxa"/>
            <w:shd w:val="clear" w:color="auto" w:fill="E5E5E5" w:themeFill="background1" w:themeFillTint="33"/>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0.028</w:t>
            </w:r>
          </w:p>
        </w:tc>
      </w:tr>
      <w:tr w:rsidR="00D25EC9" w:rsidRPr="00D25EC9" w:rsidTr="00D25EC9">
        <w:trPr>
          <w:trHeight w:val="397"/>
        </w:trPr>
        <w:tc>
          <w:tcPr>
            <w:tcW w:w="5969" w:type="dxa"/>
            <w:shd w:val="clear" w:color="auto" w:fill="auto"/>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Personal factors: Low impact</w:t>
            </w:r>
          </w:p>
        </w:tc>
        <w:tc>
          <w:tcPr>
            <w:tcW w:w="5245" w:type="dxa"/>
            <w:shd w:val="clear" w:color="auto" w:fill="auto"/>
            <w:noWrap/>
            <w:vAlign w:val="center"/>
            <w:hideMark/>
          </w:tcPr>
          <w:p w:rsidR="00D25EC9" w:rsidRPr="00D25EC9" w:rsidRDefault="00FA14FE" w:rsidP="00D25EC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 xml:space="preserve">Personal factors: </w:t>
            </w:r>
            <w:r w:rsidR="00D25EC9" w:rsidRPr="00D25EC9">
              <w:rPr>
                <w:rFonts w:ascii="Calibri" w:eastAsia="Times New Roman" w:hAnsi="Calibri" w:cs="Calibri"/>
                <w:color w:val="000000"/>
                <w:sz w:val="20"/>
                <w:szCs w:val="20"/>
                <w:lang w:eastAsia="en-AU"/>
              </w:rPr>
              <w:t>No impact</w:t>
            </w:r>
          </w:p>
        </w:tc>
        <w:tc>
          <w:tcPr>
            <w:tcW w:w="1417" w:type="dxa"/>
            <w:shd w:val="clear" w:color="auto" w:fill="auto"/>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-1.1</w:t>
            </w:r>
          </w:p>
        </w:tc>
        <w:tc>
          <w:tcPr>
            <w:tcW w:w="1418" w:type="dxa"/>
            <w:shd w:val="clear" w:color="auto" w:fill="auto"/>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0.815</w:t>
            </w:r>
          </w:p>
        </w:tc>
      </w:tr>
      <w:tr w:rsidR="00D25EC9" w:rsidRPr="00D25EC9" w:rsidTr="00D25EC9">
        <w:trPr>
          <w:trHeight w:val="397"/>
        </w:trPr>
        <w:tc>
          <w:tcPr>
            <w:tcW w:w="5969" w:type="dxa"/>
            <w:shd w:val="clear" w:color="auto" w:fill="E5E5E5" w:themeFill="background1" w:themeFillTint="33"/>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Personal factors: Medium impact</w:t>
            </w:r>
          </w:p>
        </w:tc>
        <w:tc>
          <w:tcPr>
            <w:tcW w:w="5245" w:type="dxa"/>
            <w:shd w:val="clear" w:color="auto" w:fill="E5E5E5" w:themeFill="background1" w:themeFillTint="33"/>
            <w:noWrap/>
            <w:vAlign w:val="center"/>
            <w:hideMark/>
          </w:tcPr>
          <w:p w:rsidR="00D25EC9" w:rsidRPr="00D25EC9" w:rsidRDefault="00FA14FE" w:rsidP="00D25EC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 xml:space="preserve">Personal factors: </w:t>
            </w:r>
            <w:r w:rsidR="00D25EC9" w:rsidRPr="00D25EC9">
              <w:rPr>
                <w:rFonts w:ascii="Calibri" w:eastAsia="Times New Roman" w:hAnsi="Calibri" w:cs="Calibri"/>
                <w:color w:val="000000"/>
                <w:sz w:val="20"/>
                <w:szCs w:val="20"/>
                <w:lang w:eastAsia="en-AU"/>
              </w:rPr>
              <w:t>No impact</w:t>
            </w:r>
          </w:p>
        </w:tc>
        <w:tc>
          <w:tcPr>
            <w:tcW w:w="1417" w:type="dxa"/>
            <w:shd w:val="clear" w:color="auto" w:fill="E5E5E5" w:themeFill="background1" w:themeFillTint="33"/>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-1.5</w:t>
            </w:r>
          </w:p>
        </w:tc>
        <w:tc>
          <w:tcPr>
            <w:tcW w:w="1418" w:type="dxa"/>
            <w:shd w:val="clear" w:color="auto" w:fill="E5E5E5" w:themeFill="background1" w:themeFillTint="33"/>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0.836</w:t>
            </w:r>
          </w:p>
        </w:tc>
      </w:tr>
      <w:tr w:rsidR="00D25EC9" w:rsidRPr="00D25EC9" w:rsidTr="00D25EC9">
        <w:trPr>
          <w:trHeight w:val="397"/>
        </w:trPr>
        <w:tc>
          <w:tcPr>
            <w:tcW w:w="5969" w:type="dxa"/>
            <w:shd w:val="clear" w:color="auto" w:fill="auto"/>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 xml:space="preserve">Access to transport: Other private transport </w:t>
            </w:r>
          </w:p>
        </w:tc>
        <w:tc>
          <w:tcPr>
            <w:tcW w:w="5245" w:type="dxa"/>
            <w:shd w:val="clear" w:color="auto" w:fill="auto"/>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Own transport</w:t>
            </w:r>
          </w:p>
        </w:tc>
        <w:tc>
          <w:tcPr>
            <w:tcW w:w="1417" w:type="dxa"/>
            <w:shd w:val="clear" w:color="auto" w:fill="auto"/>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0.4</w:t>
            </w:r>
          </w:p>
        </w:tc>
        <w:tc>
          <w:tcPr>
            <w:tcW w:w="1418" w:type="dxa"/>
            <w:shd w:val="clear" w:color="auto" w:fill="auto"/>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0.926</w:t>
            </w:r>
          </w:p>
        </w:tc>
      </w:tr>
      <w:tr w:rsidR="00D25EC9" w:rsidRPr="00D25EC9" w:rsidTr="00D25EC9">
        <w:trPr>
          <w:trHeight w:val="397"/>
        </w:trPr>
        <w:tc>
          <w:tcPr>
            <w:tcW w:w="5969" w:type="dxa"/>
            <w:shd w:val="clear" w:color="auto" w:fill="E5E5E5" w:themeFill="background1" w:themeFillTint="33"/>
            <w:noWrap/>
            <w:vAlign w:val="center"/>
            <w:hideMark/>
          </w:tcPr>
          <w:p w:rsidR="00D25EC9" w:rsidRPr="00D25EC9" w:rsidRDefault="00FA14FE" w:rsidP="00D25EC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 xml:space="preserve">Access to transport: </w:t>
            </w:r>
            <w:r w:rsidR="00D25EC9" w:rsidRPr="00D25EC9">
              <w:rPr>
                <w:rFonts w:ascii="Calibri" w:eastAsia="Times New Roman" w:hAnsi="Calibri" w:cs="Calibri"/>
                <w:color w:val="000000"/>
                <w:sz w:val="20"/>
                <w:szCs w:val="20"/>
                <w:lang w:eastAsia="en-AU"/>
              </w:rPr>
              <w:t xml:space="preserve">Public transport </w:t>
            </w:r>
          </w:p>
        </w:tc>
        <w:tc>
          <w:tcPr>
            <w:tcW w:w="5245" w:type="dxa"/>
            <w:shd w:val="clear" w:color="auto" w:fill="E5E5E5" w:themeFill="background1" w:themeFillTint="33"/>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Own transport</w:t>
            </w:r>
          </w:p>
        </w:tc>
        <w:tc>
          <w:tcPr>
            <w:tcW w:w="1417" w:type="dxa"/>
            <w:shd w:val="clear" w:color="auto" w:fill="E5E5E5" w:themeFill="background1" w:themeFillTint="33"/>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4.5</w:t>
            </w:r>
          </w:p>
        </w:tc>
        <w:tc>
          <w:tcPr>
            <w:tcW w:w="1418" w:type="dxa"/>
            <w:shd w:val="clear" w:color="auto" w:fill="E5E5E5" w:themeFill="background1" w:themeFillTint="33"/>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0.070</w:t>
            </w:r>
          </w:p>
        </w:tc>
      </w:tr>
      <w:tr w:rsidR="00D25EC9" w:rsidRPr="00D25EC9" w:rsidTr="00D25EC9">
        <w:trPr>
          <w:trHeight w:val="397"/>
        </w:trPr>
        <w:tc>
          <w:tcPr>
            <w:tcW w:w="5969" w:type="dxa"/>
            <w:shd w:val="clear" w:color="auto" w:fill="auto"/>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lastRenderedPageBreak/>
              <w:t>Access to tran</w:t>
            </w:r>
            <w:r w:rsidR="00C962FC">
              <w:rPr>
                <w:rFonts w:ascii="Calibri" w:eastAsia="Times New Roman" w:hAnsi="Calibri" w:cs="Calibri"/>
                <w:color w:val="000000"/>
                <w:sz w:val="20"/>
                <w:szCs w:val="20"/>
                <w:lang w:eastAsia="en-AU"/>
              </w:rPr>
              <w:t>sport: No access to transport</w:t>
            </w:r>
          </w:p>
        </w:tc>
        <w:tc>
          <w:tcPr>
            <w:tcW w:w="5245" w:type="dxa"/>
            <w:shd w:val="clear" w:color="auto" w:fill="auto"/>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Own transport</w:t>
            </w:r>
          </w:p>
        </w:tc>
        <w:tc>
          <w:tcPr>
            <w:tcW w:w="1417" w:type="dxa"/>
            <w:shd w:val="clear" w:color="auto" w:fill="auto"/>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8.1</w:t>
            </w:r>
          </w:p>
        </w:tc>
        <w:tc>
          <w:tcPr>
            <w:tcW w:w="1418" w:type="dxa"/>
            <w:shd w:val="clear" w:color="auto" w:fill="auto"/>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0.129</w:t>
            </w:r>
          </w:p>
        </w:tc>
      </w:tr>
      <w:tr w:rsidR="00D25EC9" w:rsidRPr="00D25EC9" w:rsidTr="00D25EC9">
        <w:trPr>
          <w:trHeight w:val="397"/>
        </w:trPr>
        <w:tc>
          <w:tcPr>
            <w:tcW w:w="5969" w:type="dxa"/>
            <w:shd w:val="clear" w:color="auto" w:fill="E5E5E5" w:themeFill="background1" w:themeFillTint="33"/>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Countr</w:t>
            </w:r>
            <w:r w:rsidR="00C962FC">
              <w:rPr>
                <w:rFonts w:ascii="Calibri" w:eastAsia="Times New Roman" w:hAnsi="Calibri" w:cs="Calibri"/>
                <w:color w:val="000000"/>
                <w:sz w:val="20"/>
                <w:szCs w:val="20"/>
                <w:lang w:eastAsia="en-AU"/>
              </w:rPr>
              <w:t>y of birth: Medium disadvantage</w:t>
            </w:r>
          </w:p>
        </w:tc>
        <w:tc>
          <w:tcPr>
            <w:tcW w:w="5245" w:type="dxa"/>
            <w:shd w:val="clear" w:color="auto" w:fill="E5E5E5" w:themeFill="background1" w:themeFillTint="33"/>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Country of b</w:t>
            </w:r>
            <w:r w:rsidR="00C962FC">
              <w:rPr>
                <w:rFonts w:ascii="Calibri" w:eastAsia="Times New Roman" w:hAnsi="Calibri" w:cs="Calibri"/>
                <w:color w:val="000000"/>
                <w:sz w:val="20"/>
                <w:szCs w:val="20"/>
                <w:lang w:eastAsia="en-AU"/>
              </w:rPr>
              <w:t>irth: Very low/low disadvantage</w:t>
            </w:r>
          </w:p>
        </w:tc>
        <w:tc>
          <w:tcPr>
            <w:tcW w:w="1417" w:type="dxa"/>
            <w:shd w:val="clear" w:color="auto" w:fill="E5E5E5" w:themeFill="background1" w:themeFillTint="33"/>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1.5</w:t>
            </w:r>
          </w:p>
        </w:tc>
        <w:tc>
          <w:tcPr>
            <w:tcW w:w="1418" w:type="dxa"/>
            <w:shd w:val="clear" w:color="auto" w:fill="E5E5E5" w:themeFill="background1" w:themeFillTint="33"/>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0.811</w:t>
            </w:r>
          </w:p>
        </w:tc>
      </w:tr>
      <w:tr w:rsidR="00D25EC9" w:rsidRPr="00D25EC9" w:rsidTr="00D25EC9">
        <w:trPr>
          <w:trHeight w:val="397"/>
        </w:trPr>
        <w:tc>
          <w:tcPr>
            <w:tcW w:w="5969" w:type="dxa"/>
            <w:shd w:val="clear" w:color="auto" w:fill="auto"/>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Coun</w:t>
            </w:r>
            <w:r w:rsidR="00C962FC">
              <w:rPr>
                <w:rFonts w:ascii="Calibri" w:eastAsia="Times New Roman" w:hAnsi="Calibri" w:cs="Calibri"/>
                <w:color w:val="000000"/>
                <w:sz w:val="20"/>
                <w:szCs w:val="20"/>
                <w:lang w:eastAsia="en-AU"/>
              </w:rPr>
              <w:t>try of birth: High disadvantage</w:t>
            </w:r>
          </w:p>
        </w:tc>
        <w:tc>
          <w:tcPr>
            <w:tcW w:w="5245" w:type="dxa"/>
            <w:shd w:val="clear" w:color="auto" w:fill="auto"/>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Country of birth: Very low/low disadva</w:t>
            </w:r>
            <w:r w:rsidR="00C962FC">
              <w:rPr>
                <w:rFonts w:ascii="Calibri" w:eastAsia="Times New Roman" w:hAnsi="Calibri" w:cs="Calibri"/>
                <w:color w:val="000000"/>
                <w:sz w:val="20"/>
                <w:szCs w:val="20"/>
                <w:lang w:eastAsia="en-AU"/>
              </w:rPr>
              <w:t>ntage</w:t>
            </w:r>
          </w:p>
        </w:tc>
        <w:tc>
          <w:tcPr>
            <w:tcW w:w="1417" w:type="dxa"/>
            <w:shd w:val="clear" w:color="auto" w:fill="auto"/>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11.7</w:t>
            </w:r>
          </w:p>
        </w:tc>
        <w:tc>
          <w:tcPr>
            <w:tcW w:w="1418" w:type="dxa"/>
            <w:shd w:val="clear" w:color="auto" w:fill="auto"/>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0.077</w:t>
            </w:r>
          </w:p>
        </w:tc>
      </w:tr>
      <w:tr w:rsidR="00D25EC9" w:rsidRPr="00D25EC9" w:rsidTr="00D25EC9">
        <w:trPr>
          <w:trHeight w:val="397"/>
        </w:trPr>
        <w:tc>
          <w:tcPr>
            <w:tcW w:w="5969" w:type="dxa"/>
            <w:shd w:val="clear" w:color="auto" w:fill="E5E5E5" w:themeFill="background1" w:themeFillTint="33"/>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Country o</w:t>
            </w:r>
            <w:r w:rsidR="00C962FC">
              <w:rPr>
                <w:rFonts w:ascii="Calibri" w:eastAsia="Times New Roman" w:hAnsi="Calibri" w:cs="Calibri"/>
                <w:color w:val="000000"/>
                <w:sz w:val="20"/>
                <w:szCs w:val="20"/>
                <w:lang w:eastAsia="en-AU"/>
              </w:rPr>
              <w:t>f birth: Very high disadvantage</w:t>
            </w:r>
          </w:p>
        </w:tc>
        <w:tc>
          <w:tcPr>
            <w:tcW w:w="5245" w:type="dxa"/>
            <w:shd w:val="clear" w:color="auto" w:fill="E5E5E5" w:themeFill="background1" w:themeFillTint="33"/>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Country of b</w:t>
            </w:r>
            <w:r w:rsidR="00C962FC">
              <w:rPr>
                <w:rFonts w:ascii="Calibri" w:eastAsia="Times New Roman" w:hAnsi="Calibri" w:cs="Calibri"/>
                <w:color w:val="000000"/>
                <w:sz w:val="20"/>
                <w:szCs w:val="20"/>
                <w:lang w:eastAsia="en-AU"/>
              </w:rPr>
              <w:t>irth: Very low/low disadvantage</w:t>
            </w:r>
          </w:p>
        </w:tc>
        <w:tc>
          <w:tcPr>
            <w:tcW w:w="1417" w:type="dxa"/>
            <w:shd w:val="clear" w:color="auto" w:fill="E5E5E5" w:themeFill="background1" w:themeFillTint="33"/>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10.1</w:t>
            </w:r>
          </w:p>
        </w:tc>
        <w:tc>
          <w:tcPr>
            <w:tcW w:w="1418" w:type="dxa"/>
            <w:shd w:val="clear" w:color="auto" w:fill="E5E5E5" w:themeFill="background1" w:themeFillTint="33"/>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0.290</w:t>
            </w:r>
          </w:p>
        </w:tc>
      </w:tr>
      <w:tr w:rsidR="00D25EC9" w:rsidRPr="00D25EC9" w:rsidTr="00D25EC9">
        <w:trPr>
          <w:trHeight w:val="397"/>
        </w:trPr>
        <w:tc>
          <w:tcPr>
            <w:tcW w:w="5969" w:type="dxa"/>
            <w:shd w:val="clear" w:color="auto" w:fill="auto"/>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 xml:space="preserve">Highest level </w:t>
            </w:r>
            <w:r w:rsidR="00C962FC">
              <w:rPr>
                <w:rFonts w:ascii="Calibri" w:eastAsia="Times New Roman" w:hAnsi="Calibri" w:cs="Calibri"/>
                <w:color w:val="000000"/>
                <w:sz w:val="20"/>
                <w:szCs w:val="20"/>
                <w:lang w:eastAsia="en-AU"/>
              </w:rPr>
              <w:t>of education: Less than Year 10</w:t>
            </w:r>
          </w:p>
        </w:tc>
        <w:tc>
          <w:tcPr>
            <w:tcW w:w="5245" w:type="dxa"/>
            <w:shd w:val="clear" w:color="auto" w:fill="auto"/>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Highest level of education: TAFE/Diploma</w:t>
            </w:r>
          </w:p>
        </w:tc>
        <w:tc>
          <w:tcPr>
            <w:tcW w:w="1417" w:type="dxa"/>
            <w:shd w:val="clear" w:color="auto" w:fill="auto"/>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12.0</w:t>
            </w:r>
          </w:p>
        </w:tc>
        <w:tc>
          <w:tcPr>
            <w:tcW w:w="1418" w:type="dxa"/>
            <w:shd w:val="clear" w:color="auto" w:fill="auto"/>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0.039</w:t>
            </w:r>
          </w:p>
        </w:tc>
      </w:tr>
      <w:tr w:rsidR="00D25EC9" w:rsidRPr="00D25EC9" w:rsidTr="00D25EC9">
        <w:trPr>
          <w:trHeight w:val="397"/>
        </w:trPr>
        <w:tc>
          <w:tcPr>
            <w:tcW w:w="5969" w:type="dxa"/>
            <w:shd w:val="clear" w:color="auto" w:fill="E5E5E5" w:themeFill="background1" w:themeFillTint="33"/>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Highest level of education: Year 10/11</w:t>
            </w:r>
          </w:p>
        </w:tc>
        <w:tc>
          <w:tcPr>
            <w:tcW w:w="5245" w:type="dxa"/>
            <w:shd w:val="clear" w:color="auto" w:fill="E5E5E5" w:themeFill="background1" w:themeFillTint="33"/>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Highest level of education: TAFE/Diploma</w:t>
            </w:r>
          </w:p>
        </w:tc>
        <w:tc>
          <w:tcPr>
            <w:tcW w:w="1417" w:type="dxa"/>
            <w:shd w:val="clear" w:color="auto" w:fill="E5E5E5" w:themeFill="background1" w:themeFillTint="33"/>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11.0</w:t>
            </w:r>
          </w:p>
        </w:tc>
        <w:tc>
          <w:tcPr>
            <w:tcW w:w="1418" w:type="dxa"/>
            <w:shd w:val="clear" w:color="auto" w:fill="E5E5E5" w:themeFill="background1" w:themeFillTint="33"/>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0.003</w:t>
            </w:r>
          </w:p>
        </w:tc>
      </w:tr>
      <w:tr w:rsidR="00D25EC9" w:rsidRPr="00D25EC9" w:rsidTr="00D25EC9">
        <w:trPr>
          <w:trHeight w:val="397"/>
        </w:trPr>
        <w:tc>
          <w:tcPr>
            <w:tcW w:w="5969" w:type="dxa"/>
            <w:shd w:val="clear" w:color="auto" w:fill="auto"/>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Highest level of education: Year 12</w:t>
            </w:r>
          </w:p>
        </w:tc>
        <w:tc>
          <w:tcPr>
            <w:tcW w:w="5245" w:type="dxa"/>
            <w:shd w:val="clear" w:color="auto" w:fill="auto"/>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Highest level of education: TAFE/Diploma</w:t>
            </w:r>
          </w:p>
        </w:tc>
        <w:tc>
          <w:tcPr>
            <w:tcW w:w="1417" w:type="dxa"/>
            <w:shd w:val="clear" w:color="auto" w:fill="auto"/>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2.8</w:t>
            </w:r>
          </w:p>
        </w:tc>
        <w:tc>
          <w:tcPr>
            <w:tcW w:w="1418" w:type="dxa"/>
            <w:shd w:val="clear" w:color="auto" w:fill="auto"/>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0.496</w:t>
            </w:r>
          </w:p>
        </w:tc>
      </w:tr>
      <w:tr w:rsidR="00D25EC9" w:rsidRPr="00D25EC9" w:rsidTr="00D25EC9">
        <w:trPr>
          <w:trHeight w:val="397"/>
        </w:trPr>
        <w:tc>
          <w:tcPr>
            <w:tcW w:w="5969" w:type="dxa"/>
            <w:shd w:val="clear" w:color="auto" w:fill="E5E5E5" w:themeFill="background1" w:themeFillTint="33"/>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Highest level of education: degree / Post graduate</w:t>
            </w:r>
          </w:p>
        </w:tc>
        <w:tc>
          <w:tcPr>
            <w:tcW w:w="5245" w:type="dxa"/>
            <w:shd w:val="clear" w:color="auto" w:fill="E5E5E5" w:themeFill="background1" w:themeFillTint="33"/>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Highest level of education: TAFE/Diploma</w:t>
            </w:r>
          </w:p>
        </w:tc>
        <w:tc>
          <w:tcPr>
            <w:tcW w:w="1417" w:type="dxa"/>
            <w:shd w:val="clear" w:color="auto" w:fill="E5E5E5" w:themeFill="background1" w:themeFillTint="33"/>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-14.1</w:t>
            </w:r>
          </w:p>
        </w:tc>
        <w:tc>
          <w:tcPr>
            <w:tcW w:w="1418" w:type="dxa"/>
            <w:shd w:val="clear" w:color="auto" w:fill="E5E5E5" w:themeFill="background1" w:themeFillTint="33"/>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&lt;.0001</w:t>
            </w:r>
          </w:p>
        </w:tc>
      </w:tr>
      <w:tr w:rsidR="00D25EC9" w:rsidRPr="00D25EC9" w:rsidTr="00D25EC9">
        <w:trPr>
          <w:trHeight w:val="397"/>
        </w:trPr>
        <w:tc>
          <w:tcPr>
            <w:tcW w:w="5969" w:type="dxa"/>
            <w:shd w:val="clear" w:color="auto" w:fill="auto"/>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Geograph</w:t>
            </w:r>
            <w:r w:rsidR="00FA14FE">
              <w:rPr>
                <w:rFonts w:ascii="Calibri" w:eastAsia="Times New Roman" w:hAnsi="Calibri" w:cs="Calibri"/>
                <w:color w:val="000000"/>
                <w:sz w:val="20"/>
                <w:szCs w:val="20"/>
                <w:lang w:eastAsia="en-AU"/>
              </w:rPr>
              <w:t xml:space="preserve">ic area: </w:t>
            </w:r>
            <w:r w:rsidRPr="00D25EC9">
              <w:rPr>
                <w:rFonts w:ascii="Calibri" w:eastAsia="Times New Roman" w:hAnsi="Calibri" w:cs="Calibri"/>
                <w:color w:val="000000"/>
                <w:sz w:val="20"/>
                <w:szCs w:val="20"/>
                <w:lang w:eastAsia="en-AU"/>
              </w:rPr>
              <w:t>Low</w:t>
            </w:r>
            <w:r w:rsidR="00C962FC">
              <w:rPr>
                <w:rFonts w:ascii="Calibri" w:eastAsia="Times New Roman" w:hAnsi="Calibri" w:cs="Calibri"/>
                <w:color w:val="000000"/>
                <w:sz w:val="20"/>
                <w:szCs w:val="20"/>
                <w:lang w:eastAsia="en-AU"/>
              </w:rPr>
              <w:t xml:space="preserve"> to moderate disadvantage ESA</w:t>
            </w:r>
          </w:p>
        </w:tc>
        <w:tc>
          <w:tcPr>
            <w:tcW w:w="5245" w:type="dxa"/>
            <w:shd w:val="clear" w:color="auto" w:fill="auto"/>
            <w:noWrap/>
            <w:vAlign w:val="center"/>
            <w:hideMark/>
          </w:tcPr>
          <w:p w:rsidR="00D25EC9" w:rsidRPr="00D25EC9" w:rsidRDefault="00FA14FE" w:rsidP="00D25EC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Geographic area:</w:t>
            </w:r>
            <w:r w:rsidR="00C962FC">
              <w:rPr>
                <w:rFonts w:ascii="Calibri" w:eastAsia="Times New Roman" w:hAnsi="Calibri" w:cs="Calibri"/>
                <w:color w:val="000000"/>
                <w:sz w:val="20"/>
                <w:szCs w:val="20"/>
                <w:lang w:eastAsia="en-AU"/>
              </w:rPr>
              <w:t xml:space="preserve"> Very low disadvantage ESA</w:t>
            </w:r>
          </w:p>
        </w:tc>
        <w:tc>
          <w:tcPr>
            <w:tcW w:w="1417" w:type="dxa"/>
            <w:shd w:val="clear" w:color="auto" w:fill="auto"/>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-8.0</w:t>
            </w:r>
          </w:p>
        </w:tc>
        <w:tc>
          <w:tcPr>
            <w:tcW w:w="1418" w:type="dxa"/>
            <w:shd w:val="clear" w:color="auto" w:fill="auto"/>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0.138</w:t>
            </w:r>
          </w:p>
        </w:tc>
      </w:tr>
      <w:tr w:rsidR="00D25EC9" w:rsidRPr="00D25EC9" w:rsidTr="00D25EC9">
        <w:trPr>
          <w:trHeight w:val="397"/>
        </w:trPr>
        <w:tc>
          <w:tcPr>
            <w:tcW w:w="5969" w:type="dxa"/>
            <w:shd w:val="clear" w:color="auto" w:fill="E5E5E5" w:themeFill="background1" w:themeFillTint="33"/>
            <w:noWrap/>
            <w:vAlign w:val="center"/>
            <w:hideMark/>
          </w:tcPr>
          <w:p w:rsidR="00D25EC9" w:rsidRPr="00D25EC9" w:rsidRDefault="00FA14FE" w:rsidP="00D25EC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 xml:space="preserve">Geographic area: </w:t>
            </w:r>
            <w:r w:rsidR="00D25EC9" w:rsidRPr="00D25EC9">
              <w:rPr>
                <w:rFonts w:ascii="Calibri" w:eastAsia="Times New Roman" w:hAnsi="Calibri" w:cs="Calibri"/>
                <w:color w:val="000000"/>
                <w:sz w:val="20"/>
                <w:szCs w:val="20"/>
                <w:lang w:eastAsia="en-AU"/>
              </w:rPr>
              <w:t>Mode</w:t>
            </w:r>
            <w:r w:rsidR="00C962FC">
              <w:rPr>
                <w:rFonts w:ascii="Calibri" w:eastAsia="Times New Roman" w:hAnsi="Calibri" w:cs="Calibri"/>
                <w:color w:val="000000"/>
                <w:sz w:val="20"/>
                <w:szCs w:val="20"/>
                <w:lang w:eastAsia="en-AU"/>
              </w:rPr>
              <w:t>rate to high disadvantage ESA</w:t>
            </w:r>
          </w:p>
        </w:tc>
        <w:tc>
          <w:tcPr>
            <w:tcW w:w="5245" w:type="dxa"/>
            <w:shd w:val="clear" w:color="auto" w:fill="E5E5E5" w:themeFill="background1" w:themeFillTint="33"/>
            <w:noWrap/>
            <w:vAlign w:val="center"/>
            <w:hideMark/>
          </w:tcPr>
          <w:p w:rsidR="00D25EC9" w:rsidRPr="00D25EC9" w:rsidRDefault="00FA14FE" w:rsidP="00D25EC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 xml:space="preserve">Geographic area: </w:t>
            </w:r>
            <w:r w:rsidR="00C962FC">
              <w:rPr>
                <w:rFonts w:ascii="Calibri" w:eastAsia="Times New Roman" w:hAnsi="Calibri" w:cs="Calibri"/>
                <w:color w:val="000000"/>
                <w:sz w:val="20"/>
                <w:szCs w:val="20"/>
                <w:lang w:eastAsia="en-AU"/>
              </w:rPr>
              <w:t>Very low disadvantage ESA</w:t>
            </w:r>
          </w:p>
        </w:tc>
        <w:tc>
          <w:tcPr>
            <w:tcW w:w="1417" w:type="dxa"/>
            <w:shd w:val="clear" w:color="auto" w:fill="E5E5E5" w:themeFill="background1" w:themeFillTint="33"/>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-7.4</w:t>
            </w:r>
          </w:p>
        </w:tc>
        <w:tc>
          <w:tcPr>
            <w:tcW w:w="1418" w:type="dxa"/>
            <w:shd w:val="clear" w:color="auto" w:fill="E5E5E5" w:themeFill="background1" w:themeFillTint="33"/>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0.201</w:t>
            </w:r>
          </w:p>
        </w:tc>
      </w:tr>
      <w:tr w:rsidR="00D25EC9" w:rsidRPr="00D25EC9" w:rsidTr="00D25EC9">
        <w:trPr>
          <w:trHeight w:val="397"/>
        </w:trPr>
        <w:tc>
          <w:tcPr>
            <w:tcW w:w="5969" w:type="dxa"/>
            <w:shd w:val="clear" w:color="auto" w:fill="auto"/>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Vocat</w:t>
            </w:r>
            <w:r w:rsidR="00C962FC">
              <w:rPr>
                <w:rFonts w:ascii="Calibri" w:eastAsia="Times New Roman" w:hAnsi="Calibri" w:cs="Calibri"/>
                <w:color w:val="000000"/>
                <w:sz w:val="20"/>
                <w:szCs w:val="20"/>
                <w:lang w:eastAsia="en-AU"/>
              </w:rPr>
              <w:t>ional qualifications not useful</w:t>
            </w:r>
          </w:p>
        </w:tc>
        <w:tc>
          <w:tcPr>
            <w:tcW w:w="5245" w:type="dxa"/>
            <w:shd w:val="clear" w:color="auto" w:fill="auto"/>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Has useful vocational qualifications</w:t>
            </w:r>
          </w:p>
        </w:tc>
        <w:tc>
          <w:tcPr>
            <w:tcW w:w="1417" w:type="dxa"/>
            <w:shd w:val="clear" w:color="auto" w:fill="auto"/>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8.1</w:t>
            </w:r>
          </w:p>
        </w:tc>
        <w:tc>
          <w:tcPr>
            <w:tcW w:w="1418" w:type="dxa"/>
            <w:shd w:val="clear" w:color="auto" w:fill="auto"/>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0.157</w:t>
            </w:r>
          </w:p>
        </w:tc>
      </w:tr>
      <w:tr w:rsidR="00D25EC9" w:rsidRPr="00D25EC9" w:rsidTr="00D25EC9">
        <w:trPr>
          <w:trHeight w:val="397"/>
        </w:trPr>
        <w:tc>
          <w:tcPr>
            <w:tcW w:w="5969" w:type="dxa"/>
            <w:shd w:val="clear" w:color="auto" w:fill="E5E5E5" w:themeFill="background1" w:themeFillTint="33"/>
            <w:noWrap/>
            <w:vAlign w:val="center"/>
            <w:hideMark/>
          </w:tcPr>
          <w:p w:rsidR="00D25EC9" w:rsidRPr="00D25EC9" w:rsidRDefault="00C962FC" w:rsidP="00D25EC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No vocational qualifications</w:t>
            </w:r>
          </w:p>
        </w:tc>
        <w:tc>
          <w:tcPr>
            <w:tcW w:w="5245" w:type="dxa"/>
            <w:shd w:val="clear" w:color="auto" w:fill="E5E5E5" w:themeFill="background1" w:themeFillTint="33"/>
            <w:noWrap/>
            <w:vAlign w:val="center"/>
            <w:hideMark/>
          </w:tcPr>
          <w:p w:rsidR="00D25EC9" w:rsidRPr="00D25EC9" w:rsidRDefault="00D25EC9" w:rsidP="00D25EC9">
            <w:pPr>
              <w:spacing w:after="0" w:line="240" w:lineRule="auto"/>
              <w:rPr>
                <w:rFonts w:ascii="Calibri" w:eastAsia="Times New Roman" w:hAnsi="Calibri" w:cs="Calibri"/>
                <w:color w:val="000000"/>
                <w:sz w:val="20"/>
                <w:szCs w:val="20"/>
                <w:lang w:eastAsia="en-AU"/>
              </w:rPr>
            </w:pPr>
            <w:r w:rsidRPr="00D25EC9">
              <w:rPr>
                <w:rFonts w:ascii="Calibri" w:eastAsia="Times New Roman" w:hAnsi="Calibri" w:cs="Calibri"/>
                <w:color w:val="000000"/>
                <w:sz w:val="20"/>
                <w:szCs w:val="20"/>
                <w:lang w:eastAsia="en-AU"/>
              </w:rPr>
              <w:t>Has useful vocational qualifications</w:t>
            </w:r>
          </w:p>
        </w:tc>
        <w:tc>
          <w:tcPr>
            <w:tcW w:w="1417" w:type="dxa"/>
            <w:shd w:val="clear" w:color="auto" w:fill="E5E5E5" w:themeFill="background1" w:themeFillTint="33"/>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-6.1</w:t>
            </w:r>
          </w:p>
        </w:tc>
        <w:tc>
          <w:tcPr>
            <w:tcW w:w="1418" w:type="dxa"/>
            <w:shd w:val="clear" w:color="auto" w:fill="E5E5E5" w:themeFill="background1" w:themeFillTint="33"/>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0.080</w:t>
            </w:r>
          </w:p>
        </w:tc>
      </w:tr>
      <w:tr w:rsidR="00D25EC9" w:rsidRPr="00D25EC9" w:rsidTr="00D25EC9">
        <w:trPr>
          <w:trHeight w:val="397"/>
        </w:trPr>
        <w:tc>
          <w:tcPr>
            <w:tcW w:w="5969" w:type="dxa"/>
            <w:shd w:val="clear" w:color="auto" w:fill="auto"/>
            <w:noWrap/>
            <w:vAlign w:val="center"/>
            <w:hideMark/>
          </w:tcPr>
          <w:p w:rsidR="00D25EC9" w:rsidRPr="00D25EC9" w:rsidRDefault="00FA14FE" w:rsidP="00D25EC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Recent work experience:</w:t>
            </w:r>
            <w:r w:rsidR="00D25EC9" w:rsidRPr="00D25EC9">
              <w:rPr>
                <w:rFonts w:ascii="Calibri" w:eastAsia="Times New Roman" w:hAnsi="Calibri" w:cs="Calibri"/>
                <w:color w:val="000000"/>
                <w:sz w:val="20"/>
                <w:szCs w:val="20"/>
                <w:lang w:eastAsia="en-AU"/>
              </w:rPr>
              <w:t xml:space="preserve"> Part-time</w:t>
            </w:r>
            <w:r w:rsidR="00427FA0">
              <w:rPr>
                <w:rFonts w:ascii="Calibri" w:eastAsia="Times New Roman" w:hAnsi="Calibri" w:cs="Calibri"/>
                <w:color w:val="000000"/>
                <w:sz w:val="20"/>
                <w:szCs w:val="20"/>
                <w:lang w:eastAsia="en-AU"/>
              </w:rPr>
              <w:t xml:space="preserve"> </w:t>
            </w:r>
            <w:r w:rsidR="00D25EC9" w:rsidRPr="00D25EC9">
              <w:rPr>
                <w:rFonts w:ascii="Calibri" w:eastAsia="Times New Roman" w:hAnsi="Calibri" w:cs="Calibri"/>
                <w:color w:val="000000"/>
                <w:sz w:val="20"/>
                <w:szCs w:val="20"/>
                <w:lang w:eastAsia="en-AU"/>
              </w:rPr>
              <w:t>(&lt;8</w:t>
            </w:r>
            <w:r w:rsidR="00D25EC9">
              <w:rPr>
                <w:rFonts w:ascii="Calibri" w:eastAsia="Times New Roman" w:hAnsi="Calibri" w:cs="Calibri"/>
                <w:color w:val="000000"/>
                <w:sz w:val="20"/>
                <w:szCs w:val="20"/>
                <w:lang w:eastAsia="en-AU"/>
              </w:rPr>
              <w:t xml:space="preserve"> </w:t>
            </w:r>
            <w:r w:rsidR="00C962FC">
              <w:rPr>
                <w:rFonts w:ascii="Calibri" w:eastAsia="Times New Roman" w:hAnsi="Calibri" w:cs="Calibri"/>
                <w:color w:val="000000"/>
                <w:sz w:val="20"/>
                <w:szCs w:val="20"/>
                <w:lang w:eastAsia="en-AU"/>
              </w:rPr>
              <w:t>hours/week)/Seasonal work</w:t>
            </w:r>
          </w:p>
        </w:tc>
        <w:tc>
          <w:tcPr>
            <w:tcW w:w="5245" w:type="dxa"/>
            <w:shd w:val="clear" w:color="auto" w:fill="auto"/>
            <w:noWrap/>
            <w:vAlign w:val="center"/>
            <w:hideMark/>
          </w:tcPr>
          <w:p w:rsidR="00D25EC9" w:rsidRPr="00D25EC9" w:rsidRDefault="00FA14FE" w:rsidP="00427FA0">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 xml:space="preserve">Recent work experience: </w:t>
            </w:r>
            <w:r w:rsidR="00D25EC9" w:rsidRPr="00D25EC9">
              <w:rPr>
                <w:rFonts w:ascii="Calibri" w:eastAsia="Times New Roman" w:hAnsi="Calibri" w:cs="Calibri"/>
                <w:color w:val="000000"/>
                <w:sz w:val="20"/>
                <w:szCs w:val="20"/>
                <w:lang w:eastAsia="en-AU"/>
              </w:rPr>
              <w:t>Full-time/Part-time (8</w:t>
            </w:r>
            <w:r w:rsidR="00427FA0">
              <w:rPr>
                <w:rFonts w:ascii="Calibri" w:eastAsia="Times New Roman" w:hAnsi="Calibri" w:cs="Calibri"/>
                <w:bCs/>
                <w:color w:val="000000" w:themeColor="text1"/>
                <w:lang w:eastAsia="en-AU"/>
              </w:rPr>
              <w:t>─</w:t>
            </w:r>
            <w:r w:rsidR="00427FA0" w:rsidRPr="003405ED">
              <w:rPr>
                <w:rFonts w:ascii="Calibri" w:eastAsia="Times New Roman" w:hAnsi="Calibri" w:cs="Calibri"/>
                <w:bCs/>
                <w:color w:val="000000" w:themeColor="text1"/>
                <w:lang w:eastAsia="en-AU"/>
              </w:rPr>
              <w:t>3</w:t>
            </w:r>
            <w:r w:rsidR="00D25EC9" w:rsidRPr="00D25EC9">
              <w:rPr>
                <w:rFonts w:ascii="Calibri" w:eastAsia="Times New Roman" w:hAnsi="Calibri" w:cs="Calibri"/>
                <w:color w:val="000000"/>
                <w:sz w:val="20"/>
                <w:szCs w:val="20"/>
                <w:lang w:eastAsia="en-AU"/>
              </w:rPr>
              <w:t>0</w:t>
            </w:r>
            <w:r w:rsidR="00427FA0">
              <w:rPr>
                <w:rFonts w:ascii="Calibri" w:eastAsia="Times New Roman" w:hAnsi="Calibri" w:cs="Calibri"/>
                <w:color w:val="000000"/>
                <w:sz w:val="20"/>
                <w:szCs w:val="20"/>
                <w:lang w:eastAsia="en-AU"/>
              </w:rPr>
              <w:t> </w:t>
            </w:r>
            <w:r w:rsidR="00D25EC9" w:rsidRPr="00D25EC9">
              <w:rPr>
                <w:rFonts w:ascii="Calibri" w:eastAsia="Times New Roman" w:hAnsi="Calibri" w:cs="Calibri"/>
                <w:color w:val="000000"/>
                <w:sz w:val="20"/>
                <w:szCs w:val="20"/>
                <w:lang w:eastAsia="en-AU"/>
              </w:rPr>
              <w:t>hours/week)</w:t>
            </w:r>
          </w:p>
        </w:tc>
        <w:tc>
          <w:tcPr>
            <w:tcW w:w="1417" w:type="dxa"/>
            <w:shd w:val="clear" w:color="auto" w:fill="auto"/>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-0.3</w:t>
            </w:r>
          </w:p>
        </w:tc>
        <w:tc>
          <w:tcPr>
            <w:tcW w:w="1418" w:type="dxa"/>
            <w:shd w:val="clear" w:color="auto" w:fill="auto"/>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0.961</w:t>
            </w:r>
          </w:p>
        </w:tc>
      </w:tr>
      <w:tr w:rsidR="00D25EC9" w:rsidRPr="00D25EC9" w:rsidTr="00CC5B6A">
        <w:trPr>
          <w:trHeight w:val="397"/>
        </w:trPr>
        <w:tc>
          <w:tcPr>
            <w:tcW w:w="5969" w:type="dxa"/>
            <w:shd w:val="clear" w:color="auto" w:fill="E5E5E5" w:themeFill="background1" w:themeFillTint="33"/>
            <w:noWrap/>
            <w:vAlign w:val="center"/>
            <w:hideMark/>
          </w:tcPr>
          <w:p w:rsidR="00D25EC9" w:rsidRPr="00D25EC9" w:rsidRDefault="00FA14FE" w:rsidP="00D25EC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 xml:space="preserve">Recent work experience: </w:t>
            </w:r>
            <w:r w:rsidR="00D25EC9" w:rsidRPr="00D25EC9">
              <w:rPr>
                <w:rFonts w:ascii="Calibri" w:eastAsia="Times New Roman" w:hAnsi="Calibri" w:cs="Calibri"/>
                <w:color w:val="000000"/>
                <w:sz w:val="20"/>
                <w:szCs w:val="20"/>
                <w:lang w:eastAsia="en-AU"/>
              </w:rPr>
              <w:t>Ou</w:t>
            </w:r>
            <w:r w:rsidR="00C962FC">
              <w:rPr>
                <w:rFonts w:ascii="Calibri" w:eastAsia="Times New Roman" w:hAnsi="Calibri" w:cs="Calibri"/>
                <w:color w:val="000000"/>
                <w:sz w:val="20"/>
                <w:szCs w:val="20"/>
                <w:lang w:eastAsia="en-AU"/>
              </w:rPr>
              <w:t>tside the labour force/unpaid</w:t>
            </w:r>
          </w:p>
        </w:tc>
        <w:tc>
          <w:tcPr>
            <w:tcW w:w="5245" w:type="dxa"/>
            <w:shd w:val="clear" w:color="auto" w:fill="E5E5E5" w:themeFill="background1" w:themeFillTint="33"/>
            <w:noWrap/>
            <w:vAlign w:val="center"/>
            <w:hideMark/>
          </w:tcPr>
          <w:p w:rsidR="00D25EC9" w:rsidRPr="00D25EC9" w:rsidRDefault="00FA14FE" w:rsidP="00427FA0">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Recent work experience:</w:t>
            </w:r>
            <w:r w:rsidR="00D25EC9" w:rsidRPr="00D25EC9">
              <w:rPr>
                <w:rFonts w:ascii="Calibri" w:eastAsia="Times New Roman" w:hAnsi="Calibri" w:cs="Calibri"/>
                <w:color w:val="000000"/>
                <w:sz w:val="20"/>
                <w:szCs w:val="20"/>
                <w:lang w:eastAsia="en-AU"/>
              </w:rPr>
              <w:t xml:space="preserve"> Full-time/Part-time (8</w:t>
            </w:r>
            <w:r w:rsidR="00427FA0">
              <w:rPr>
                <w:rFonts w:ascii="Calibri" w:eastAsia="Times New Roman" w:hAnsi="Calibri" w:cs="Calibri"/>
                <w:bCs/>
                <w:color w:val="000000" w:themeColor="text1"/>
                <w:lang w:eastAsia="en-AU"/>
              </w:rPr>
              <w:t>─</w:t>
            </w:r>
            <w:r w:rsidR="00427FA0" w:rsidRPr="003405ED">
              <w:rPr>
                <w:rFonts w:ascii="Calibri" w:eastAsia="Times New Roman" w:hAnsi="Calibri" w:cs="Calibri"/>
                <w:bCs/>
                <w:color w:val="000000" w:themeColor="text1"/>
                <w:lang w:eastAsia="en-AU"/>
              </w:rPr>
              <w:t>3</w:t>
            </w:r>
            <w:r w:rsidR="00D25EC9" w:rsidRPr="00D25EC9">
              <w:rPr>
                <w:rFonts w:ascii="Calibri" w:eastAsia="Times New Roman" w:hAnsi="Calibri" w:cs="Calibri"/>
                <w:color w:val="000000"/>
                <w:sz w:val="20"/>
                <w:szCs w:val="20"/>
                <w:lang w:eastAsia="en-AU"/>
              </w:rPr>
              <w:t>0</w:t>
            </w:r>
            <w:r w:rsidR="00427FA0">
              <w:rPr>
                <w:rFonts w:ascii="Calibri" w:eastAsia="Times New Roman" w:hAnsi="Calibri" w:cs="Calibri"/>
                <w:color w:val="000000"/>
                <w:sz w:val="20"/>
                <w:szCs w:val="20"/>
                <w:lang w:eastAsia="en-AU"/>
              </w:rPr>
              <w:t> </w:t>
            </w:r>
            <w:r w:rsidR="00D25EC9" w:rsidRPr="00D25EC9">
              <w:rPr>
                <w:rFonts w:ascii="Calibri" w:eastAsia="Times New Roman" w:hAnsi="Calibri" w:cs="Calibri"/>
                <w:color w:val="000000"/>
                <w:sz w:val="20"/>
                <w:szCs w:val="20"/>
                <w:lang w:eastAsia="en-AU"/>
              </w:rPr>
              <w:t>hours/week)</w:t>
            </w:r>
          </w:p>
        </w:tc>
        <w:tc>
          <w:tcPr>
            <w:tcW w:w="1417" w:type="dxa"/>
            <w:shd w:val="clear" w:color="auto" w:fill="E5E5E5" w:themeFill="background1" w:themeFillTint="33"/>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4.3</w:t>
            </w:r>
          </w:p>
        </w:tc>
        <w:tc>
          <w:tcPr>
            <w:tcW w:w="1418" w:type="dxa"/>
            <w:shd w:val="clear" w:color="auto" w:fill="E5E5E5" w:themeFill="background1" w:themeFillTint="33"/>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0.199</w:t>
            </w:r>
          </w:p>
        </w:tc>
      </w:tr>
      <w:tr w:rsidR="00D25EC9" w:rsidRPr="00D25EC9" w:rsidTr="00CC5B6A">
        <w:trPr>
          <w:trHeight w:val="397"/>
        </w:trPr>
        <w:tc>
          <w:tcPr>
            <w:tcW w:w="5969" w:type="dxa"/>
            <w:tcBorders>
              <w:bottom w:val="single" w:sz="4" w:space="0" w:color="auto"/>
            </w:tcBorders>
            <w:shd w:val="clear" w:color="auto" w:fill="auto"/>
            <w:noWrap/>
            <w:vAlign w:val="center"/>
            <w:hideMark/>
          </w:tcPr>
          <w:p w:rsidR="00D25EC9" w:rsidRPr="00D25EC9" w:rsidRDefault="00FA14FE" w:rsidP="00D25EC9">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 xml:space="preserve">Recent work experience: </w:t>
            </w:r>
            <w:r w:rsidR="00C962FC">
              <w:rPr>
                <w:rFonts w:ascii="Calibri" w:eastAsia="Times New Roman" w:hAnsi="Calibri" w:cs="Calibri"/>
                <w:color w:val="000000"/>
                <w:sz w:val="20"/>
                <w:szCs w:val="20"/>
                <w:lang w:eastAsia="en-AU"/>
              </w:rPr>
              <w:t>Unemployed</w:t>
            </w:r>
          </w:p>
        </w:tc>
        <w:tc>
          <w:tcPr>
            <w:tcW w:w="5245" w:type="dxa"/>
            <w:tcBorders>
              <w:bottom w:val="single" w:sz="4" w:space="0" w:color="auto"/>
            </w:tcBorders>
            <w:shd w:val="clear" w:color="auto" w:fill="auto"/>
            <w:noWrap/>
            <w:vAlign w:val="center"/>
            <w:hideMark/>
          </w:tcPr>
          <w:p w:rsidR="00D25EC9" w:rsidRPr="00D25EC9" w:rsidRDefault="00FA14FE" w:rsidP="00427FA0">
            <w:p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 xml:space="preserve">Recent work experience: </w:t>
            </w:r>
            <w:r w:rsidR="00D25EC9" w:rsidRPr="00D25EC9">
              <w:rPr>
                <w:rFonts w:ascii="Calibri" w:eastAsia="Times New Roman" w:hAnsi="Calibri" w:cs="Calibri"/>
                <w:color w:val="000000"/>
                <w:sz w:val="20"/>
                <w:szCs w:val="20"/>
                <w:lang w:eastAsia="en-AU"/>
              </w:rPr>
              <w:t>Full-time/Part-time (8</w:t>
            </w:r>
            <w:r w:rsidR="00427FA0">
              <w:rPr>
                <w:rFonts w:ascii="Calibri" w:eastAsia="Times New Roman" w:hAnsi="Calibri" w:cs="Calibri"/>
                <w:bCs/>
                <w:color w:val="000000" w:themeColor="text1"/>
                <w:lang w:eastAsia="en-AU"/>
              </w:rPr>
              <w:t>─</w:t>
            </w:r>
            <w:r w:rsidR="00427FA0" w:rsidRPr="003405ED">
              <w:rPr>
                <w:rFonts w:ascii="Calibri" w:eastAsia="Times New Roman" w:hAnsi="Calibri" w:cs="Calibri"/>
                <w:bCs/>
                <w:color w:val="000000" w:themeColor="text1"/>
                <w:lang w:eastAsia="en-AU"/>
              </w:rPr>
              <w:t>3</w:t>
            </w:r>
            <w:r w:rsidR="00D25EC9" w:rsidRPr="00D25EC9">
              <w:rPr>
                <w:rFonts w:ascii="Calibri" w:eastAsia="Times New Roman" w:hAnsi="Calibri" w:cs="Calibri"/>
                <w:color w:val="000000"/>
                <w:sz w:val="20"/>
                <w:szCs w:val="20"/>
                <w:lang w:eastAsia="en-AU"/>
              </w:rPr>
              <w:t>0</w:t>
            </w:r>
            <w:r w:rsidR="00427FA0">
              <w:rPr>
                <w:rFonts w:ascii="Calibri" w:eastAsia="Times New Roman" w:hAnsi="Calibri" w:cs="Calibri"/>
                <w:color w:val="000000"/>
                <w:sz w:val="20"/>
                <w:szCs w:val="20"/>
                <w:lang w:eastAsia="en-AU"/>
              </w:rPr>
              <w:t> </w:t>
            </w:r>
            <w:r w:rsidR="00D25EC9" w:rsidRPr="00D25EC9">
              <w:rPr>
                <w:rFonts w:ascii="Calibri" w:eastAsia="Times New Roman" w:hAnsi="Calibri" w:cs="Calibri"/>
                <w:color w:val="000000"/>
                <w:sz w:val="20"/>
                <w:szCs w:val="20"/>
                <w:lang w:eastAsia="en-AU"/>
              </w:rPr>
              <w:t>hours/week)</w:t>
            </w:r>
          </w:p>
        </w:tc>
        <w:tc>
          <w:tcPr>
            <w:tcW w:w="1417" w:type="dxa"/>
            <w:tcBorders>
              <w:bottom w:val="single" w:sz="4" w:space="0" w:color="auto"/>
            </w:tcBorders>
            <w:shd w:val="clear" w:color="auto" w:fill="auto"/>
            <w:noWrap/>
            <w:vAlign w:val="center"/>
            <w:hideMark/>
          </w:tcPr>
          <w:p w:rsidR="00D25EC9" w:rsidRPr="00D25EC9" w:rsidRDefault="00D25EC9" w:rsidP="00D25EC9">
            <w:pPr>
              <w:spacing w:after="0" w:line="240" w:lineRule="auto"/>
              <w:ind w:left="-250" w:right="317"/>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5.1</w:t>
            </w:r>
          </w:p>
        </w:tc>
        <w:tc>
          <w:tcPr>
            <w:tcW w:w="1418" w:type="dxa"/>
            <w:tcBorders>
              <w:bottom w:val="single" w:sz="4" w:space="0" w:color="auto"/>
            </w:tcBorders>
            <w:shd w:val="clear" w:color="auto" w:fill="auto"/>
            <w:noWrap/>
            <w:vAlign w:val="center"/>
            <w:hideMark/>
          </w:tcPr>
          <w:p w:rsidR="00D25EC9" w:rsidRPr="00D25EC9" w:rsidRDefault="00D25EC9" w:rsidP="00D25EC9">
            <w:pPr>
              <w:spacing w:after="0" w:line="240" w:lineRule="auto"/>
              <w:ind w:right="318"/>
              <w:jc w:val="right"/>
              <w:rPr>
                <w:rFonts w:ascii="Calibri" w:eastAsia="Times New Roman" w:hAnsi="Calibri" w:cs="Calibri"/>
                <w:color w:val="000000"/>
                <w:lang w:eastAsia="en-AU"/>
              </w:rPr>
            </w:pPr>
            <w:r w:rsidRPr="00D25EC9">
              <w:rPr>
                <w:rFonts w:ascii="Calibri" w:eastAsia="Times New Roman" w:hAnsi="Calibri" w:cs="Calibri"/>
                <w:color w:val="000000"/>
                <w:lang w:eastAsia="en-AU"/>
              </w:rPr>
              <w:t>0.067</w:t>
            </w:r>
          </w:p>
        </w:tc>
      </w:tr>
    </w:tbl>
    <w:p w:rsidR="00CC5B6A" w:rsidRDefault="00CC5B6A">
      <w:pPr>
        <w:rPr>
          <w:b/>
        </w:rPr>
      </w:pPr>
      <w:r>
        <w:rPr>
          <w:b/>
        </w:rPr>
        <w:br w:type="page"/>
      </w:r>
    </w:p>
    <w:p w:rsidR="006E1C2B" w:rsidRDefault="006E1C2B" w:rsidP="006E1C2B">
      <w:pPr>
        <w:pStyle w:val="Source"/>
        <w:rPr>
          <w:b w:val="0"/>
        </w:rPr>
      </w:pPr>
      <w:r>
        <w:lastRenderedPageBreak/>
        <w:t>Notes</w:t>
      </w:r>
      <w:r w:rsidRPr="003B4D65">
        <w:rPr>
          <w:b w:val="0"/>
        </w:rPr>
        <w:t xml:space="preserve">: </w:t>
      </w:r>
    </w:p>
    <w:p w:rsidR="006E1C2B" w:rsidRPr="006E1C2B" w:rsidRDefault="006E1C2B" w:rsidP="00E3205B">
      <w:pPr>
        <w:pStyle w:val="Source"/>
        <w:numPr>
          <w:ilvl w:val="0"/>
          <w:numId w:val="84"/>
        </w:numPr>
        <w:rPr>
          <w:b w:val="0"/>
        </w:rPr>
      </w:pPr>
      <w:r w:rsidRPr="006E1C2B">
        <w:rPr>
          <w:b w:val="0"/>
        </w:rPr>
        <w:t xml:space="preserve">MEM </w:t>
      </w:r>
      <w:r w:rsidRPr="006E1C2B">
        <w:rPr>
          <w:b w:val="0"/>
          <w:color w:val="000000" w:themeColor="text1"/>
        </w:rPr>
        <w:t xml:space="preserve">stands for </w:t>
      </w:r>
      <w:r w:rsidRPr="006E1C2B">
        <w:rPr>
          <w:b w:val="0"/>
        </w:rPr>
        <w:t>Marginal effect on the mean.</w:t>
      </w:r>
      <w:r w:rsidRPr="006E1C2B">
        <w:rPr>
          <w:rFonts w:ascii="Arial" w:eastAsia="Times New Roman" w:hAnsi="Arial" w:cs="Arial"/>
          <w:b w:val="0"/>
          <w:bCs/>
          <w:color w:val="000000" w:themeColor="text1"/>
          <w:sz w:val="18"/>
          <w:szCs w:val="18"/>
          <w:lang w:eastAsia="en-AU"/>
        </w:rPr>
        <w:t xml:space="preserve"> </w:t>
      </w:r>
      <w:r w:rsidRPr="006E1C2B">
        <w:rPr>
          <w:b w:val="0"/>
        </w:rPr>
        <w:t xml:space="preserve">MEM are sorted in descending order. For example: single parents (after controlling for all other job seeker characteristics) were </w:t>
      </w:r>
      <w:r w:rsidR="009F13D5">
        <w:rPr>
          <w:b w:val="0"/>
        </w:rPr>
        <w:t>0.9</w:t>
      </w:r>
      <w:r w:rsidRPr="006E1C2B">
        <w:rPr>
          <w:b w:val="0"/>
        </w:rPr>
        <w:t xml:space="preserve"> percentage points </w:t>
      </w:r>
      <w:r w:rsidR="009F13D5">
        <w:rPr>
          <w:b w:val="0"/>
        </w:rPr>
        <w:t>less</w:t>
      </w:r>
      <w:r w:rsidR="009F13D5" w:rsidRPr="006E1C2B">
        <w:rPr>
          <w:b w:val="0"/>
        </w:rPr>
        <w:t xml:space="preserve"> </w:t>
      </w:r>
      <w:r w:rsidRPr="006E1C2B">
        <w:rPr>
          <w:b w:val="0"/>
        </w:rPr>
        <w:t xml:space="preserve">likely to have </w:t>
      </w:r>
      <w:r w:rsidR="009F13D5">
        <w:rPr>
          <w:b w:val="0"/>
        </w:rPr>
        <w:t>sustained their exit from income support</w:t>
      </w:r>
      <w:r w:rsidRPr="006E1C2B">
        <w:rPr>
          <w:b w:val="0"/>
        </w:rPr>
        <w:t xml:space="preserve"> than those who were not single parents.</w:t>
      </w:r>
    </w:p>
    <w:p w:rsidR="006E1C2B" w:rsidRPr="006E1C2B" w:rsidRDefault="006E1C2B" w:rsidP="00E3205B">
      <w:pPr>
        <w:pStyle w:val="Source"/>
        <w:numPr>
          <w:ilvl w:val="0"/>
          <w:numId w:val="84"/>
        </w:numPr>
        <w:rPr>
          <w:b w:val="0"/>
        </w:rPr>
      </w:pPr>
      <w:r w:rsidRPr="006E1C2B">
        <w:rPr>
          <w:b w:val="0"/>
        </w:rPr>
        <w:t>Demographic characteristics controlled for in the regression analysis are mostly obtained from the JSCI:</w:t>
      </w:r>
    </w:p>
    <w:p w:rsidR="00066793" w:rsidRPr="007F06E6" w:rsidRDefault="00066793" w:rsidP="00E3205B">
      <w:pPr>
        <w:pStyle w:val="ListParagraph"/>
        <w:numPr>
          <w:ilvl w:val="1"/>
          <w:numId w:val="84"/>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a</w:t>
      </w:r>
      <w:r w:rsidRPr="007F06E6">
        <w:rPr>
          <w:rFonts w:ascii="Calibri" w:eastAsia="Times New Roman" w:hAnsi="Calibri" w:cs="Calibri"/>
          <w:color w:val="000000"/>
          <w:sz w:val="20"/>
          <w:szCs w:val="20"/>
          <w:lang w:eastAsia="en-AU"/>
        </w:rPr>
        <w:t>ccess to transport</w:t>
      </w:r>
    </w:p>
    <w:p w:rsidR="00066793" w:rsidRPr="007F06E6" w:rsidRDefault="00066793" w:rsidP="00E3205B">
      <w:pPr>
        <w:pStyle w:val="ListParagraph"/>
        <w:numPr>
          <w:ilvl w:val="1"/>
          <w:numId w:val="84"/>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a</w:t>
      </w:r>
      <w:r w:rsidRPr="007F06E6">
        <w:rPr>
          <w:rFonts w:ascii="Calibri" w:eastAsia="Times New Roman" w:hAnsi="Calibri" w:cs="Calibri"/>
          <w:color w:val="000000"/>
          <w:sz w:val="20"/>
          <w:szCs w:val="20"/>
          <w:lang w:eastAsia="en-AU"/>
        </w:rPr>
        <w:t>ge</w:t>
      </w:r>
    </w:p>
    <w:p w:rsidR="00066793" w:rsidRPr="007F06E6" w:rsidRDefault="00066793" w:rsidP="00E3205B">
      <w:pPr>
        <w:pStyle w:val="ListParagraph"/>
        <w:numPr>
          <w:ilvl w:val="1"/>
          <w:numId w:val="84"/>
        </w:numPr>
        <w:spacing w:after="0" w:line="240" w:lineRule="auto"/>
        <w:rPr>
          <w:rFonts w:ascii="Calibri" w:eastAsia="Times New Roman" w:hAnsi="Calibri" w:cs="Calibri"/>
          <w:color w:val="000000"/>
          <w:sz w:val="20"/>
          <w:szCs w:val="20"/>
          <w:lang w:eastAsia="en-AU"/>
        </w:rPr>
      </w:pPr>
      <w:r w:rsidRPr="007F06E6">
        <w:rPr>
          <w:rFonts w:ascii="Calibri" w:eastAsia="Times New Roman" w:hAnsi="Calibri" w:cs="Calibri"/>
          <w:color w:val="000000"/>
          <w:sz w:val="20"/>
          <w:szCs w:val="20"/>
          <w:lang w:eastAsia="en-AU"/>
        </w:rPr>
        <w:t>CALD</w:t>
      </w:r>
      <w:r>
        <w:rPr>
          <w:rFonts w:ascii="Calibri" w:eastAsia="Times New Roman" w:hAnsi="Calibri" w:cs="Calibri"/>
          <w:color w:val="000000"/>
          <w:sz w:val="20"/>
          <w:szCs w:val="20"/>
          <w:lang w:eastAsia="en-AU"/>
        </w:rPr>
        <w:t xml:space="preserve"> status</w:t>
      </w:r>
    </w:p>
    <w:p w:rsidR="00066793" w:rsidRPr="007F06E6" w:rsidRDefault="00066793" w:rsidP="00E3205B">
      <w:pPr>
        <w:pStyle w:val="ListParagraph"/>
        <w:numPr>
          <w:ilvl w:val="1"/>
          <w:numId w:val="84"/>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c</w:t>
      </w:r>
      <w:r w:rsidRPr="007F06E6">
        <w:rPr>
          <w:rFonts w:ascii="Calibri" w:eastAsia="Times New Roman" w:hAnsi="Calibri" w:cs="Calibri"/>
          <w:color w:val="000000"/>
          <w:sz w:val="20"/>
          <w:szCs w:val="20"/>
          <w:lang w:eastAsia="en-AU"/>
        </w:rPr>
        <w:t>ountry of birth</w:t>
      </w:r>
    </w:p>
    <w:p w:rsidR="00066793" w:rsidRPr="007F06E6" w:rsidRDefault="00066793" w:rsidP="00E3205B">
      <w:pPr>
        <w:pStyle w:val="ListParagraph"/>
        <w:numPr>
          <w:ilvl w:val="1"/>
          <w:numId w:val="84"/>
        </w:numPr>
        <w:spacing w:after="0" w:line="240" w:lineRule="auto"/>
        <w:rPr>
          <w:rFonts w:ascii="Calibri" w:eastAsia="Times New Roman" w:hAnsi="Calibri" w:cs="Calibri"/>
          <w:color w:val="000000"/>
          <w:sz w:val="20"/>
          <w:szCs w:val="20"/>
          <w:lang w:eastAsia="en-AU"/>
        </w:rPr>
      </w:pPr>
      <w:r w:rsidRPr="007F06E6">
        <w:rPr>
          <w:rFonts w:ascii="Calibri" w:eastAsia="Times New Roman" w:hAnsi="Calibri" w:cs="Calibri"/>
          <w:color w:val="000000"/>
          <w:sz w:val="20"/>
          <w:szCs w:val="20"/>
          <w:lang w:eastAsia="en-AU"/>
        </w:rPr>
        <w:t>English proficiency</w:t>
      </w:r>
    </w:p>
    <w:p w:rsidR="00066793" w:rsidRPr="007F06E6" w:rsidRDefault="00066793" w:rsidP="00E3205B">
      <w:pPr>
        <w:pStyle w:val="ListParagraph"/>
        <w:numPr>
          <w:ilvl w:val="1"/>
          <w:numId w:val="84"/>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g</w:t>
      </w:r>
      <w:r w:rsidRPr="007F06E6">
        <w:rPr>
          <w:rFonts w:ascii="Calibri" w:eastAsia="Times New Roman" w:hAnsi="Calibri" w:cs="Calibri"/>
          <w:color w:val="000000"/>
          <w:sz w:val="20"/>
          <w:szCs w:val="20"/>
          <w:lang w:eastAsia="en-AU"/>
        </w:rPr>
        <w:t>ender</w:t>
      </w:r>
    </w:p>
    <w:p w:rsidR="00066793" w:rsidRPr="007F06E6" w:rsidRDefault="00066793" w:rsidP="00E3205B">
      <w:pPr>
        <w:pStyle w:val="ListParagraph"/>
        <w:numPr>
          <w:ilvl w:val="1"/>
          <w:numId w:val="84"/>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g</w:t>
      </w:r>
      <w:r w:rsidRPr="007F06E6">
        <w:rPr>
          <w:rFonts w:ascii="Calibri" w:eastAsia="Times New Roman" w:hAnsi="Calibri" w:cs="Calibri"/>
          <w:color w:val="000000"/>
          <w:sz w:val="20"/>
          <w:szCs w:val="20"/>
          <w:lang w:eastAsia="en-AU"/>
        </w:rPr>
        <w:t>eographic level of disadvantage</w:t>
      </w:r>
    </w:p>
    <w:p w:rsidR="00066793" w:rsidRPr="007F06E6" w:rsidRDefault="00066793" w:rsidP="00E3205B">
      <w:pPr>
        <w:pStyle w:val="ListParagraph"/>
        <w:numPr>
          <w:ilvl w:val="1"/>
          <w:numId w:val="84"/>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h</w:t>
      </w:r>
      <w:r w:rsidRPr="007F06E6">
        <w:rPr>
          <w:rFonts w:ascii="Calibri" w:eastAsia="Times New Roman" w:hAnsi="Calibri" w:cs="Calibri"/>
          <w:color w:val="000000"/>
          <w:sz w:val="20"/>
          <w:szCs w:val="20"/>
          <w:lang w:eastAsia="en-AU"/>
        </w:rPr>
        <w:t>ighest level of education</w:t>
      </w:r>
    </w:p>
    <w:p w:rsidR="00066793" w:rsidRPr="007F06E6" w:rsidRDefault="00066793" w:rsidP="00E3205B">
      <w:pPr>
        <w:pStyle w:val="ListParagraph"/>
        <w:numPr>
          <w:ilvl w:val="1"/>
          <w:numId w:val="84"/>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a single parent</w:t>
      </w:r>
    </w:p>
    <w:p w:rsidR="00066793" w:rsidRPr="007F06E6" w:rsidRDefault="00066793" w:rsidP="00E3205B">
      <w:pPr>
        <w:pStyle w:val="ListParagraph"/>
        <w:numPr>
          <w:ilvl w:val="1"/>
          <w:numId w:val="84"/>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an ex-offender</w:t>
      </w:r>
    </w:p>
    <w:p w:rsidR="00066793" w:rsidRPr="007F06E6" w:rsidRDefault="00066793" w:rsidP="00E3205B">
      <w:pPr>
        <w:pStyle w:val="ListParagraph"/>
        <w:numPr>
          <w:ilvl w:val="1"/>
          <w:numId w:val="84"/>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contactable by telephone</w:t>
      </w:r>
    </w:p>
    <w:p w:rsidR="00066793" w:rsidRPr="007F06E6" w:rsidRDefault="00066793" w:rsidP="00E3205B">
      <w:pPr>
        <w:pStyle w:val="ListParagraph"/>
        <w:numPr>
          <w:ilvl w:val="1"/>
          <w:numId w:val="84"/>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Indigenous</w:t>
      </w:r>
    </w:p>
    <w:p w:rsidR="00066793" w:rsidRPr="007F06E6" w:rsidRDefault="00066793" w:rsidP="00E3205B">
      <w:pPr>
        <w:pStyle w:val="ListParagraph"/>
        <w:numPr>
          <w:ilvl w:val="1"/>
          <w:numId w:val="84"/>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i</w:t>
      </w:r>
      <w:r w:rsidRPr="007F06E6">
        <w:rPr>
          <w:rFonts w:ascii="Calibri" w:eastAsia="Times New Roman" w:hAnsi="Calibri" w:cs="Calibri"/>
          <w:color w:val="000000"/>
          <w:sz w:val="20"/>
          <w:szCs w:val="20"/>
          <w:lang w:eastAsia="en-AU"/>
        </w:rPr>
        <w:t>f with disability</w:t>
      </w:r>
    </w:p>
    <w:p w:rsidR="00066793" w:rsidRPr="007F06E6" w:rsidRDefault="00066793" w:rsidP="00E3205B">
      <w:pPr>
        <w:pStyle w:val="ListParagraph"/>
        <w:numPr>
          <w:ilvl w:val="1"/>
          <w:numId w:val="84"/>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j</w:t>
      </w:r>
      <w:r w:rsidRPr="007F06E6">
        <w:rPr>
          <w:rFonts w:ascii="Calibri" w:eastAsia="Times New Roman" w:hAnsi="Calibri" w:cs="Calibri"/>
          <w:color w:val="000000"/>
          <w:sz w:val="20"/>
          <w:szCs w:val="20"/>
          <w:lang w:eastAsia="en-AU"/>
        </w:rPr>
        <w:t>ob</w:t>
      </w:r>
      <w:r w:rsidR="008477D2">
        <w:rPr>
          <w:rFonts w:ascii="Calibri" w:eastAsia="Times New Roman" w:hAnsi="Calibri" w:cs="Calibri"/>
          <w:color w:val="000000"/>
          <w:sz w:val="20"/>
          <w:szCs w:val="20"/>
          <w:lang w:eastAsia="en-AU"/>
        </w:rPr>
        <w:t xml:space="preserve"> </w:t>
      </w:r>
      <w:r w:rsidRPr="007F06E6">
        <w:rPr>
          <w:rFonts w:ascii="Calibri" w:eastAsia="Times New Roman" w:hAnsi="Calibri" w:cs="Calibri"/>
          <w:color w:val="000000"/>
          <w:sz w:val="20"/>
          <w:szCs w:val="20"/>
          <w:lang w:eastAsia="en-AU"/>
        </w:rPr>
        <w:t>seeker history</w:t>
      </w:r>
    </w:p>
    <w:p w:rsidR="00066793" w:rsidRPr="007F06E6" w:rsidRDefault="00066793" w:rsidP="00E3205B">
      <w:pPr>
        <w:pStyle w:val="ListParagraph"/>
        <w:numPr>
          <w:ilvl w:val="1"/>
          <w:numId w:val="84"/>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 xml:space="preserve">personal </w:t>
      </w:r>
      <w:r w:rsidRPr="007F06E6">
        <w:rPr>
          <w:rFonts w:ascii="Calibri" w:eastAsia="Times New Roman" w:hAnsi="Calibri" w:cs="Calibri"/>
          <w:color w:val="000000"/>
          <w:sz w:val="20"/>
          <w:szCs w:val="20"/>
          <w:lang w:eastAsia="en-AU"/>
        </w:rPr>
        <w:t>factors</w:t>
      </w:r>
      <w:r>
        <w:rPr>
          <w:rFonts w:ascii="Calibri" w:eastAsia="Times New Roman" w:hAnsi="Calibri" w:cs="Calibri"/>
          <w:color w:val="000000"/>
          <w:sz w:val="20"/>
          <w:szCs w:val="20"/>
          <w:lang w:eastAsia="en-AU"/>
        </w:rPr>
        <w:t xml:space="preserve"> </w:t>
      </w:r>
    </w:p>
    <w:p w:rsidR="00066793" w:rsidRPr="007F06E6" w:rsidRDefault="00066793" w:rsidP="00E3205B">
      <w:pPr>
        <w:pStyle w:val="ListParagraph"/>
        <w:numPr>
          <w:ilvl w:val="1"/>
          <w:numId w:val="84"/>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p</w:t>
      </w:r>
      <w:r w:rsidRPr="007F06E6">
        <w:rPr>
          <w:rFonts w:ascii="Calibri" w:eastAsia="Times New Roman" w:hAnsi="Calibri" w:cs="Calibri"/>
          <w:color w:val="000000"/>
          <w:sz w:val="20"/>
          <w:szCs w:val="20"/>
          <w:lang w:eastAsia="en-AU"/>
        </w:rPr>
        <w:t>roximity to the labour market</w:t>
      </w:r>
    </w:p>
    <w:p w:rsidR="00066793" w:rsidRPr="007F06E6" w:rsidRDefault="00066793" w:rsidP="00E3205B">
      <w:pPr>
        <w:pStyle w:val="ListParagraph"/>
        <w:numPr>
          <w:ilvl w:val="1"/>
          <w:numId w:val="84"/>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r</w:t>
      </w:r>
      <w:r w:rsidRPr="007F06E6">
        <w:rPr>
          <w:rFonts w:ascii="Calibri" w:eastAsia="Times New Roman" w:hAnsi="Calibri" w:cs="Calibri"/>
          <w:color w:val="000000"/>
          <w:sz w:val="20"/>
          <w:szCs w:val="20"/>
          <w:lang w:eastAsia="en-AU"/>
        </w:rPr>
        <w:t>ecent work experience</w:t>
      </w:r>
    </w:p>
    <w:p w:rsidR="00066793" w:rsidRPr="007F06E6" w:rsidRDefault="00066793" w:rsidP="00E3205B">
      <w:pPr>
        <w:pStyle w:val="ListParagraph"/>
        <w:numPr>
          <w:ilvl w:val="1"/>
          <w:numId w:val="84"/>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s</w:t>
      </w:r>
      <w:r w:rsidRPr="007F06E6">
        <w:rPr>
          <w:rFonts w:ascii="Calibri" w:eastAsia="Times New Roman" w:hAnsi="Calibri" w:cs="Calibri"/>
          <w:color w:val="000000"/>
          <w:sz w:val="20"/>
          <w:szCs w:val="20"/>
          <w:lang w:eastAsia="en-AU"/>
        </w:rPr>
        <w:t>tability of residence</w:t>
      </w:r>
    </w:p>
    <w:p w:rsidR="00066793" w:rsidRPr="007F06E6" w:rsidRDefault="00066793" w:rsidP="00E3205B">
      <w:pPr>
        <w:pStyle w:val="ListParagraph"/>
        <w:numPr>
          <w:ilvl w:val="1"/>
          <w:numId w:val="84"/>
        </w:numPr>
        <w:spacing w:after="0" w:line="240" w:lineRule="auto"/>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t</w:t>
      </w:r>
      <w:r w:rsidRPr="007F06E6">
        <w:rPr>
          <w:rFonts w:ascii="Calibri" w:eastAsia="Times New Roman" w:hAnsi="Calibri" w:cs="Calibri"/>
          <w:color w:val="000000"/>
          <w:sz w:val="20"/>
          <w:szCs w:val="20"/>
          <w:lang w:eastAsia="en-AU"/>
        </w:rPr>
        <w:t>ime on income support</w:t>
      </w:r>
    </w:p>
    <w:p w:rsidR="00066793" w:rsidRPr="00F44FBD" w:rsidRDefault="00066793" w:rsidP="00E3205B">
      <w:pPr>
        <w:pStyle w:val="ListParagraph"/>
        <w:numPr>
          <w:ilvl w:val="1"/>
          <w:numId w:val="84"/>
        </w:numPr>
        <w:spacing w:after="0" w:line="240" w:lineRule="auto"/>
      </w:pPr>
      <w:r>
        <w:rPr>
          <w:rFonts w:ascii="Calibri" w:eastAsia="Times New Roman" w:hAnsi="Calibri" w:cs="Calibri"/>
          <w:color w:val="000000"/>
          <w:sz w:val="20"/>
          <w:szCs w:val="20"/>
          <w:lang w:eastAsia="en-AU"/>
        </w:rPr>
        <w:t>v</w:t>
      </w:r>
      <w:r w:rsidRPr="00F44FBD">
        <w:rPr>
          <w:rFonts w:ascii="Calibri" w:eastAsia="Times New Roman" w:hAnsi="Calibri" w:cs="Calibri"/>
          <w:color w:val="000000"/>
          <w:sz w:val="20"/>
          <w:szCs w:val="20"/>
          <w:lang w:eastAsia="en-AU"/>
        </w:rPr>
        <w:t>ocational qualifications.</w:t>
      </w:r>
    </w:p>
    <w:p w:rsidR="006A5B97" w:rsidRDefault="00027F46" w:rsidP="00694C2E">
      <w:pPr>
        <w:pStyle w:val="Source"/>
        <w:rPr>
          <w:b w:val="0"/>
        </w:rPr>
      </w:pPr>
      <w:r w:rsidRPr="00CF3F9B">
        <w:t>Source:</w:t>
      </w:r>
      <w:r w:rsidRPr="00CF3F9B">
        <w:rPr>
          <w:b w:val="0"/>
        </w:rPr>
        <w:t xml:space="preserve"> Department of Employment administrative data and Research and Evaluation dataset (RED).</w:t>
      </w:r>
    </w:p>
    <w:p w:rsidR="00BB1226" w:rsidRPr="00694C2E" w:rsidRDefault="006A5B97" w:rsidP="006A5B97">
      <w:pPr>
        <w:pStyle w:val="Source"/>
        <w:spacing w:before="120"/>
        <w:rPr>
          <w:b w:val="0"/>
        </w:rPr>
      </w:pPr>
      <w:r>
        <w:rPr>
          <w:b w:val="0"/>
        </w:rPr>
        <w:t xml:space="preserve">Return to </w:t>
      </w:r>
      <w:hyperlink w:anchor="Place_F23" w:history="1">
        <w:r w:rsidRPr="006A5B97">
          <w:rPr>
            <w:rStyle w:val="Hyperlink"/>
            <w:b w:val="0"/>
          </w:rPr>
          <w:t>Section 4.4.4</w:t>
        </w:r>
      </w:hyperlink>
      <w:r>
        <w:rPr>
          <w:b w:val="0"/>
        </w:rPr>
        <w:t>.</w:t>
      </w:r>
      <w:r w:rsidR="00BB1226">
        <w:br w:type="page"/>
      </w:r>
    </w:p>
    <w:p w:rsidR="00BB1226" w:rsidRPr="00D83A7E" w:rsidRDefault="00603A49" w:rsidP="00BB1226">
      <w:pPr>
        <w:pStyle w:val="TableCaption"/>
      </w:pPr>
      <w:bookmarkStart w:id="303" w:name="_Toc507600341"/>
      <w:r>
        <w:lastRenderedPageBreak/>
        <w:t>Table F</w:t>
      </w:r>
      <w:r w:rsidR="00BB1226">
        <w:t>.</w:t>
      </w:r>
      <w:r w:rsidR="00E76396">
        <w:t>25</w:t>
      </w:r>
      <w:r w:rsidR="00BB1226" w:rsidRPr="00D83A7E">
        <w:t>: Actual and predicted rates of sustained exit from income support by selected characteristics (per cent and percentage point difference)</w:t>
      </w:r>
      <w:bookmarkEnd w:id="303"/>
    </w:p>
    <w:tbl>
      <w:tblPr>
        <w:tblW w:w="13340" w:type="dxa"/>
        <w:tblLayout w:type="fixed"/>
        <w:tblCellMar>
          <w:left w:w="0" w:type="dxa"/>
          <w:right w:w="0" w:type="dxa"/>
        </w:tblCellMar>
        <w:tblLook w:val="04A0" w:firstRow="1" w:lastRow="0" w:firstColumn="1" w:lastColumn="0" w:noHBand="0" w:noVBand="1"/>
      </w:tblPr>
      <w:tblGrid>
        <w:gridCol w:w="4172"/>
        <w:gridCol w:w="1528"/>
        <w:gridCol w:w="1528"/>
        <w:gridCol w:w="1528"/>
        <w:gridCol w:w="1528"/>
        <w:gridCol w:w="1528"/>
        <w:gridCol w:w="1528"/>
      </w:tblGrid>
      <w:tr w:rsidR="00DF4486" w:rsidRPr="003D5119" w:rsidTr="006A5B97">
        <w:trPr>
          <w:trHeight w:hRule="exact" w:val="1450"/>
          <w:tblHeader/>
        </w:trPr>
        <w:tc>
          <w:tcPr>
            <w:tcW w:w="6237" w:type="dxa"/>
            <w:shd w:val="clear" w:color="000000" w:fill="1E3D6B"/>
            <w:tcMar>
              <w:top w:w="15" w:type="dxa"/>
              <w:left w:w="15" w:type="dxa"/>
              <w:bottom w:w="0" w:type="dxa"/>
              <w:right w:w="15" w:type="dxa"/>
            </w:tcMar>
            <w:vAlign w:val="center"/>
            <w:hideMark/>
          </w:tcPr>
          <w:p w:rsidR="00DF4486" w:rsidRPr="003D5119" w:rsidRDefault="00DF4486" w:rsidP="003B33C3">
            <w:pPr>
              <w:spacing w:after="0"/>
              <w:ind w:left="142"/>
              <w:rPr>
                <w:rFonts w:ascii="Calibri" w:hAnsi="Calibri" w:cs="Calibri"/>
                <w:b/>
                <w:bCs/>
                <w:color w:val="FFFFFF"/>
                <w:sz w:val="20"/>
                <w:szCs w:val="20"/>
              </w:rPr>
            </w:pPr>
            <w:bookmarkStart w:id="304" w:name="Title_F25"/>
            <w:bookmarkEnd w:id="304"/>
            <w:r>
              <w:rPr>
                <w:rFonts w:ascii="Calibri" w:hAnsi="Calibri" w:cs="Calibri"/>
                <w:b/>
                <w:bCs/>
                <w:color w:val="FFFFFF"/>
                <w:sz w:val="20"/>
                <w:szCs w:val="20"/>
              </w:rPr>
              <w:t>Demographic c</w:t>
            </w:r>
            <w:r w:rsidRPr="003D5119">
              <w:rPr>
                <w:rFonts w:ascii="Calibri" w:hAnsi="Calibri" w:cs="Calibri"/>
                <w:b/>
                <w:bCs/>
                <w:color w:val="FFFFFF"/>
                <w:sz w:val="20"/>
                <w:szCs w:val="20"/>
              </w:rPr>
              <w:t>haracteristic</w:t>
            </w:r>
          </w:p>
        </w:tc>
        <w:tc>
          <w:tcPr>
            <w:tcW w:w="2268" w:type="dxa"/>
            <w:shd w:val="clear" w:color="000000" w:fill="1E3D6B"/>
            <w:tcMar>
              <w:top w:w="15" w:type="dxa"/>
              <w:left w:w="15" w:type="dxa"/>
              <w:bottom w:w="0" w:type="dxa"/>
              <w:right w:w="15" w:type="dxa"/>
            </w:tcMar>
            <w:vAlign w:val="center"/>
            <w:hideMark/>
          </w:tcPr>
          <w:p w:rsidR="00DF4486" w:rsidRPr="003D5119" w:rsidRDefault="00DF4486" w:rsidP="004272D4">
            <w:pPr>
              <w:spacing w:after="0"/>
              <w:jc w:val="center"/>
              <w:rPr>
                <w:rFonts w:ascii="Calibri" w:hAnsi="Calibri" w:cs="Calibri"/>
                <w:b/>
                <w:bCs/>
                <w:color w:val="FFFFFF"/>
                <w:sz w:val="20"/>
                <w:szCs w:val="20"/>
              </w:rPr>
            </w:pPr>
            <w:r>
              <w:rPr>
                <w:rFonts w:ascii="Calibri" w:hAnsi="Calibri" w:cs="Calibri"/>
                <w:b/>
                <w:bCs/>
                <w:color w:val="FFFFFF"/>
                <w:sz w:val="20"/>
                <w:szCs w:val="20"/>
              </w:rPr>
              <w:t>Actual rate</w:t>
            </w:r>
            <w:r>
              <w:rPr>
                <w:rFonts w:ascii="Calibri" w:hAnsi="Calibri" w:cs="Calibri"/>
                <w:b/>
                <w:bCs/>
                <w:color w:val="FFFFFF"/>
                <w:sz w:val="20"/>
                <w:szCs w:val="20"/>
              </w:rPr>
              <w:br/>
            </w:r>
            <w:r w:rsidRPr="003D5119">
              <w:rPr>
                <w:rFonts w:ascii="Calibri" w:hAnsi="Calibri" w:cs="Calibri"/>
                <w:b/>
                <w:bCs/>
                <w:color w:val="FFFFFF"/>
                <w:sz w:val="20"/>
                <w:szCs w:val="20"/>
              </w:rPr>
              <w:t xml:space="preserve">sustain to </w:t>
            </w:r>
            <w:r>
              <w:rPr>
                <w:rFonts w:ascii="Calibri" w:hAnsi="Calibri" w:cs="Calibri"/>
                <w:b/>
                <w:bCs/>
                <w:color w:val="FFFFFF"/>
                <w:sz w:val="20"/>
                <w:szCs w:val="20"/>
              </w:rPr>
              <w:br/>
            </w:r>
            <w:r w:rsidRPr="003D5119">
              <w:rPr>
                <w:rFonts w:ascii="Calibri" w:hAnsi="Calibri" w:cs="Calibri"/>
                <w:b/>
                <w:bCs/>
                <w:color w:val="FFFFFF"/>
                <w:sz w:val="20"/>
                <w:szCs w:val="20"/>
              </w:rPr>
              <w:t>12 months</w:t>
            </w:r>
          </w:p>
        </w:tc>
        <w:tc>
          <w:tcPr>
            <w:tcW w:w="2268" w:type="dxa"/>
            <w:shd w:val="clear" w:color="000000" w:fill="1E3D6B"/>
            <w:tcMar>
              <w:top w:w="15" w:type="dxa"/>
              <w:left w:w="15" w:type="dxa"/>
              <w:bottom w:w="0" w:type="dxa"/>
              <w:right w:w="15" w:type="dxa"/>
            </w:tcMar>
            <w:vAlign w:val="center"/>
            <w:hideMark/>
          </w:tcPr>
          <w:p w:rsidR="00DF4486" w:rsidRPr="003D5119" w:rsidRDefault="00DF4486" w:rsidP="004272D4">
            <w:pPr>
              <w:spacing w:after="0"/>
              <w:jc w:val="center"/>
              <w:rPr>
                <w:rFonts w:ascii="Calibri" w:hAnsi="Calibri" w:cs="Calibri"/>
                <w:b/>
                <w:bCs/>
                <w:color w:val="FFFFFF"/>
                <w:sz w:val="20"/>
                <w:szCs w:val="20"/>
              </w:rPr>
            </w:pPr>
            <w:r>
              <w:rPr>
                <w:rFonts w:ascii="Calibri" w:hAnsi="Calibri" w:cs="Calibri"/>
                <w:b/>
                <w:bCs/>
                <w:color w:val="FFFFFF"/>
                <w:sz w:val="20"/>
                <w:szCs w:val="20"/>
              </w:rPr>
              <w:t>Predicted rate</w:t>
            </w:r>
            <w:r>
              <w:rPr>
                <w:rFonts w:ascii="Calibri" w:hAnsi="Calibri" w:cs="Calibri"/>
                <w:b/>
                <w:bCs/>
                <w:color w:val="FFFFFF"/>
                <w:sz w:val="20"/>
                <w:szCs w:val="20"/>
              </w:rPr>
              <w:br/>
            </w:r>
            <w:r w:rsidRPr="003D5119">
              <w:rPr>
                <w:rFonts w:ascii="Calibri" w:hAnsi="Calibri" w:cs="Calibri"/>
                <w:b/>
                <w:bCs/>
                <w:color w:val="FFFFFF"/>
                <w:sz w:val="20"/>
                <w:szCs w:val="20"/>
              </w:rPr>
              <w:t xml:space="preserve">sustain to </w:t>
            </w:r>
            <w:r>
              <w:rPr>
                <w:rFonts w:ascii="Calibri" w:hAnsi="Calibri" w:cs="Calibri"/>
                <w:b/>
                <w:bCs/>
                <w:color w:val="FFFFFF"/>
                <w:sz w:val="20"/>
                <w:szCs w:val="20"/>
              </w:rPr>
              <w:br/>
            </w:r>
            <w:r w:rsidRPr="003D5119">
              <w:rPr>
                <w:rFonts w:ascii="Calibri" w:hAnsi="Calibri" w:cs="Calibri"/>
                <w:b/>
                <w:bCs/>
                <w:color w:val="FFFFFF"/>
                <w:sz w:val="20"/>
                <w:szCs w:val="20"/>
              </w:rPr>
              <w:t>12 months</w:t>
            </w:r>
          </w:p>
        </w:tc>
        <w:tc>
          <w:tcPr>
            <w:tcW w:w="2268" w:type="dxa"/>
            <w:shd w:val="clear" w:color="000000" w:fill="1E3D6B"/>
            <w:tcMar>
              <w:top w:w="15" w:type="dxa"/>
              <w:left w:w="15" w:type="dxa"/>
              <w:bottom w:w="0" w:type="dxa"/>
              <w:right w:w="15" w:type="dxa"/>
            </w:tcMar>
            <w:vAlign w:val="center"/>
            <w:hideMark/>
          </w:tcPr>
          <w:p w:rsidR="00DF4486" w:rsidRPr="003D5119" w:rsidRDefault="00DF4486" w:rsidP="004272D4">
            <w:pPr>
              <w:spacing w:after="0"/>
              <w:jc w:val="center"/>
              <w:rPr>
                <w:rFonts w:ascii="Calibri" w:hAnsi="Calibri" w:cs="Calibri"/>
                <w:b/>
                <w:bCs/>
                <w:color w:val="FFFFFF"/>
                <w:sz w:val="20"/>
                <w:szCs w:val="20"/>
              </w:rPr>
            </w:pPr>
            <w:r>
              <w:rPr>
                <w:rFonts w:ascii="Calibri" w:hAnsi="Calibri" w:cs="Calibri"/>
                <w:b/>
                <w:bCs/>
                <w:color w:val="FFFFFF"/>
                <w:sz w:val="20"/>
                <w:szCs w:val="20"/>
              </w:rPr>
              <w:t>ppt difference</w:t>
            </w:r>
            <w:r>
              <w:rPr>
                <w:rFonts w:ascii="Calibri" w:hAnsi="Calibri" w:cs="Calibri"/>
                <w:b/>
                <w:bCs/>
                <w:color w:val="FFFFFF"/>
                <w:sz w:val="20"/>
                <w:szCs w:val="20"/>
              </w:rPr>
              <w:br/>
            </w:r>
            <w:r w:rsidRPr="003D5119">
              <w:rPr>
                <w:rFonts w:ascii="Calibri" w:hAnsi="Calibri" w:cs="Calibri"/>
                <w:b/>
                <w:bCs/>
                <w:color w:val="FFFFFF"/>
                <w:sz w:val="20"/>
                <w:szCs w:val="20"/>
              </w:rPr>
              <w:t xml:space="preserve">sustain to </w:t>
            </w:r>
            <w:r>
              <w:rPr>
                <w:rFonts w:ascii="Calibri" w:hAnsi="Calibri" w:cs="Calibri"/>
                <w:b/>
                <w:bCs/>
                <w:color w:val="FFFFFF"/>
                <w:sz w:val="20"/>
                <w:szCs w:val="20"/>
              </w:rPr>
              <w:br/>
            </w:r>
            <w:r w:rsidRPr="003D5119">
              <w:rPr>
                <w:rFonts w:ascii="Calibri" w:hAnsi="Calibri" w:cs="Calibri"/>
                <w:b/>
                <w:bCs/>
                <w:color w:val="FFFFFF"/>
                <w:sz w:val="20"/>
                <w:szCs w:val="20"/>
              </w:rPr>
              <w:t>12 months</w:t>
            </w:r>
          </w:p>
        </w:tc>
        <w:tc>
          <w:tcPr>
            <w:tcW w:w="2268" w:type="dxa"/>
            <w:shd w:val="clear" w:color="000000" w:fill="1E3D6B"/>
            <w:tcMar>
              <w:top w:w="15" w:type="dxa"/>
              <w:left w:w="15" w:type="dxa"/>
              <w:bottom w:w="0" w:type="dxa"/>
              <w:right w:w="15" w:type="dxa"/>
            </w:tcMar>
            <w:vAlign w:val="center"/>
            <w:hideMark/>
          </w:tcPr>
          <w:p w:rsidR="00DF4486" w:rsidRPr="003D5119" w:rsidRDefault="00DF4486" w:rsidP="004272D4">
            <w:pPr>
              <w:spacing w:after="0"/>
              <w:jc w:val="center"/>
              <w:rPr>
                <w:rFonts w:ascii="Calibri" w:hAnsi="Calibri" w:cs="Calibri"/>
                <w:b/>
                <w:bCs/>
                <w:color w:val="FFFFFF"/>
                <w:sz w:val="20"/>
                <w:szCs w:val="20"/>
              </w:rPr>
            </w:pPr>
            <w:r w:rsidRPr="003D5119">
              <w:rPr>
                <w:rFonts w:ascii="Calibri" w:hAnsi="Calibri" w:cs="Calibri"/>
                <w:b/>
                <w:bCs/>
                <w:color w:val="FFFFFF"/>
                <w:sz w:val="20"/>
                <w:szCs w:val="20"/>
              </w:rPr>
              <w:t>Actual rate</w:t>
            </w:r>
            <w:r>
              <w:rPr>
                <w:rFonts w:ascii="Calibri" w:hAnsi="Calibri" w:cs="Calibri"/>
                <w:b/>
                <w:bCs/>
                <w:color w:val="FFFFFF"/>
                <w:sz w:val="20"/>
                <w:szCs w:val="20"/>
              </w:rPr>
              <w:br/>
            </w:r>
            <w:r w:rsidRPr="003D5119">
              <w:rPr>
                <w:rFonts w:ascii="Calibri" w:hAnsi="Calibri" w:cs="Calibri"/>
                <w:b/>
                <w:bCs/>
                <w:color w:val="FFFFFF"/>
                <w:sz w:val="20"/>
                <w:szCs w:val="20"/>
              </w:rPr>
              <w:t>sustain to</w:t>
            </w:r>
            <w:r>
              <w:rPr>
                <w:rFonts w:ascii="Calibri" w:hAnsi="Calibri" w:cs="Calibri"/>
                <w:b/>
                <w:bCs/>
                <w:color w:val="FFFFFF"/>
                <w:sz w:val="20"/>
                <w:szCs w:val="20"/>
              </w:rPr>
              <w:br/>
            </w:r>
            <w:r w:rsidRPr="003D5119">
              <w:rPr>
                <w:rFonts w:ascii="Calibri" w:hAnsi="Calibri" w:cs="Calibri"/>
                <w:b/>
                <w:bCs/>
                <w:color w:val="FFFFFF"/>
                <w:sz w:val="20"/>
                <w:szCs w:val="20"/>
              </w:rPr>
              <w:t xml:space="preserve"> 24 months,</w:t>
            </w:r>
            <w:r>
              <w:rPr>
                <w:rFonts w:ascii="Calibri" w:hAnsi="Calibri" w:cs="Calibri"/>
                <w:b/>
                <w:bCs/>
                <w:color w:val="FFFFFF"/>
                <w:sz w:val="20"/>
                <w:szCs w:val="20"/>
              </w:rPr>
              <w:br/>
            </w:r>
            <w:r w:rsidR="00C962FC">
              <w:rPr>
                <w:rFonts w:ascii="Calibri" w:hAnsi="Calibri" w:cs="Calibri"/>
                <w:b/>
                <w:bCs/>
                <w:color w:val="FFFFFF"/>
                <w:sz w:val="20"/>
                <w:szCs w:val="20"/>
              </w:rPr>
              <w:t>given sustained to 12</w:t>
            </w:r>
            <w:r w:rsidRPr="003D5119">
              <w:rPr>
                <w:rFonts w:ascii="Calibri" w:hAnsi="Calibri" w:cs="Calibri"/>
                <w:b/>
                <w:bCs/>
                <w:color w:val="FFFFFF"/>
                <w:sz w:val="20"/>
                <w:szCs w:val="20"/>
              </w:rPr>
              <w:t xml:space="preserve"> months</w:t>
            </w:r>
          </w:p>
        </w:tc>
        <w:tc>
          <w:tcPr>
            <w:tcW w:w="2268" w:type="dxa"/>
            <w:shd w:val="clear" w:color="000000" w:fill="1E3D6B"/>
            <w:tcMar>
              <w:top w:w="15" w:type="dxa"/>
              <w:left w:w="15" w:type="dxa"/>
              <w:bottom w:w="0" w:type="dxa"/>
              <w:right w:w="15" w:type="dxa"/>
            </w:tcMar>
            <w:vAlign w:val="center"/>
            <w:hideMark/>
          </w:tcPr>
          <w:p w:rsidR="00DF4486" w:rsidRPr="003D5119" w:rsidRDefault="00DF4486" w:rsidP="004272D4">
            <w:pPr>
              <w:spacing w:after="0"/>
              <w:jc w:val="center"/>
              <w:rPr>
                <w:rFonts w:ascii="Calibri" w:hAnsi="Calibri" w:cs="Calibri"/>
                <w:b/>
                <w:bCs/>
                <w:color w:val="FFFFFF"/>
                <w:sz w:val="20"/>
                <w:szCs w:val="20"/>
              </w:rPr>
            </w:pPr>
            <w:r w:rsidRPr="003D5119">
              <w:rPr>
                <w:rFonts w:ascii="Calibri" w:hAnsi="Calibri" w:cs="Calibri"/>
                <w:b/>
                <w:bCs/>
                <w:color w:val="FFFFFF"/>
                <w:sz w:val="20"/>
                <w:szCs w:val="20"/>
              </w:rPr>
              <w:t>Predicted rate</w:t>
            </w:r>
            <w:r>
              <w:rPr>
                <w:rFonts w:ascii="Calibri" w:hAnsi="Calibri" w:cs="Calibri"/>
                <w:b/>
                <w:bCs/>
                <w:color w:val="FFFFFF"/>
                <w:sz w:val="20"/>
                <w:szCs w:val="20"/>
              </w:rPr>
              <w:br/>
            </w:r>
            <w:r w:rsidRPr="003D5119">
              <w:rPr>
                <w:rFonts w:ascii="Calibri" w:hAnsi="Calibri" w:cs="Calibri"/>
                <w:b/>
                <w:bCs/>
                <w:color w:val="FFFFFF"/>
                <w:sz w:val="20"/>
                <w:szCs w:val="20"/>
              </w:rPr>
              <w:t xml:space="preserve">sustain to </w:t>
            </w:r>
            <w:r>
              <w:rPr>
                <w:rFonts w:ascii="Calibri" w:hAnsi="Calibri" w:cs="Calibri"/>
                <w:b/>
                <w:bCs/>
                <w:color w:val="FFFFFF"/>
                <w:sz w:val="20"/>
                <w:szCs w:val="20"/>
              </w:rPr>
              <w:br/>
            </w:r>
            <w:r w:rsidRPr="003D5119">
              <w:rPr>
                <w:rFonts w:ascii="Calibri" w:hAnsi="Calibri" w:cs="Calibri"/>
                <w:b/>
                <w:bCs/>
                <w:color w:val="FFFFFF"/>
                <w:sz w:val="20"/>
                <w:szCs w:val="20"/>
              </w:rPr>
              <w:t>24 months,</w:t>
            </w:r>
            <w:r>
              <w:rPr>
                <w:rFonts w:ascii="Calibri" w:hAnsi="Calibri" w:cs="Calibri"/>
                <w:b/>
                <w:bCs/>
                <w:color w:val="FFFFFF"/>
                <w:sz w:val="20"/>
                <w:szCs w:val="20"/>
              </w:rPr>
              <w:br/>
            </w:r>
            <w:r w:rsidRPr="003D5119">
              <w:rPr>
                <w:rFonts w:ascii="Calibri" w:hAnsi="Calibri" w:cs="Calibri"/>
                <w:b/>
                <w:bCs/>
                <w:color w:val="FFFFFF"/>
                <w:sz w:val="20"/>
                <w:szCs w:val="20"/>
              </w:rPr>
              <w:t>g</w:t>
            </w:r>
            <w:r w:rsidR="00C962FC">
              <w:rPr>
                <w:rFonts w:ascii="Calibri" w:hAnsi="Calibri" w:cs="Calibri"/>
                <w:b/>
                <w:bCs/>
                <w:color w:val="FFFFFF"/>
                <w:sz w:val="20"/>
                <w:szCs w:val="20"/>
              </w:rPr>
              <w:t xml:space="preserve">iven sustained to 12 </w:t>
            </w:r>
            <w:r w:rsidRPr="003D5119">
              <w:rPr>
                <w:rFonts w:ascii="Calibri" w:hAnsi="Calibri" w:cs="Calibri"/>
                <w:b/>
                <w:bCs/>
                <w:color w:val="FFFFFF"/>
                <w:sz w:val="20"/>
                <w:szCs w:val="20"/>
              </w:rPr>
              <w:t>months</w:t>
            </w:r>
          </w:p>
        </w:tc>
        <w:tc>
          <w:tcPr>
            <w:tcW w:w="2268" w:type="dxa"/>
            <w:shd w:val="clear" w:color="000000" w:fill="1E3D6B"/>
            <w:tcMar>
              <w:top w:w="15" w:type="dxa"/>
              <w:left w:w="15" w:type="dxa"/>
              <w:bottom w:w="0" w:type="dxa"/>
              <w:right w:w="15" w:type="dxa"/>
            </w:tcMar>
            <w:vAlign w:val="center"/>
            <w:hideMark/>
          </w:tcPr>
          <w:p w:rsidR="00DF4486" w:rsidRPr="003D5119" w:rsidRDefault="00DF4486" w:rsidP="004272D4">
            <w:pPr>
              <w:spacing w:after="0"/>
              <w:jc w:val="center"/>
              <w:rPr>
                <w:rFonts w:ascii="Calibri" w:hAnsi="Calibri" w:cs="Calibri"/>
                <w:b/>
                <w:bCs/>
                <w:color w:val="FFFFFF"/>
                <w:sz w:val="20"/>
                <w:szCs w:val="20"/>
              </w:rPr>
            </w:pPr>
            <w:r w:rsidRPr="003D5119">
              <w:rPr>
                <w:rFonts w:ascii="Calibri" w:hAnsi="Calibri" w:cs="Calibri"/>
                <w:b/>
                <w:bCs/>
                <w:color w:val="FFFFFF"/>
                <w:sz w:val="20"/>
                <w:szCs w:val="20"/>
              </w:rPr>
              <w:t>ppt difference</w:t>
            </w:r>
            <w:r>
              <w:rPr>
                <w:rFonts w:ascii="Calibri" w:hAnsi="Calibri" w:cs="Calibri"/>
                <w:b/>
                <w:bCs/>
                <w:color w:val="FFFFFF"/>
                <w:sz w:val="20"/>
                <w:szCs w:val="20"/>
              </w:rPr>
              <w:br/>
            </w:r>
            <w:r w:rsidRPr="003D5119">
              <w:rPr>
                <w:rFonts w:ascii="Calibri" w:hAnsi="Calibri" w:cs="Calibri"/>
                <w:b/>
                <w:bCs/>
                <w:color w:val="FFFFFF"/>
                <w:sz w:val="20"/>
                <w:szCs w:val="20"/>
              </w:rPr>
              <w:t xml:space="preserve">sustain to </w:t>
            </w:r>
            <w:r>
              <w:rPr>
                <w:rFonts w:ascii="Calibri" w:hAnsi="Calibri" w:cs="Calibri"/>
                <w:b/>
                <w:bCs/>
                <w:color w:val="FFFFFF"/>
                <w:sz w:val="20"/>
                <w:szCs w:val="20"/>
              </w:rPr>
              <w:br/>
            </w:r>
            <w:r w:rsidRPr="003D5119">
              <w:rPr>
                <w:rFonts w:ascii="Calibri" w:hAnsi="Calibri" w:cs="Calibri"/>
                <w:b/>
                <w:bCs/>
                <w:color w:val="FFFFFF"/>
                <w:sz w:val="20"/>
                <w:szCs w:val="20"/>
              </w:rPr>
              <w:t>24 months,</w:t>
            </w:r>
            <w:r>
              <w:rPr>
                <w:rFonts w:ascii="Calibri" w:hAnsi="Calibri" w:cs="Calibri"/>
                <w:b/>
                <w:bCs/>
                <w:color w:val="FFFFFF"/>
                <w:sz w:val="20"/>
                <w:szCs w:val="20"/>
              </w:rPr>
              <w:br/>
            </w:r>
            <w:r w:rsidR="00C962FC">
              <w:rPr>
                <w:rFonts w:ascii="Calibri" w:hAnsi="Calibri" w:cs="Calibri"/>
                <w:b/>
                <w:bCs/>
                <w:color w:val="FFFFFF"/>
                <w:sz w:val="20"/>
                <w:szCs w:val="20"/>
              </w:rPr>
              <w:t xml:space="preserve">given sustained to 12 </w:t>
            </w:r>
            <w:r w:rsidRPr="003D5119">
              <w:rPr>
                <w:rFonts w:ascii="Calibri" w:hAnsi="Calibri" w:cs="Calibri"/>
                <w:b/>
                <w:bCs/>
                <w:color w:val="FFFFFF"/>
                <w:sz w:val="20"/>
                <w:szCs w:val="20"/>
              </w:rPr>
              <w:t>months</w:t>
            </w:r>
          </w:p>
        </w:tc>
      </w:tr>
      <w:tr w:rsidR="00DF4486" w:rsidRPr="003D5119" w:rsidTr="00E85955">
        <w:trPr>
          <w:trHeight w:hRule="exact" w:val="369"/>
        </w:trPr>
        <w:tc>
          <w:tcPr>
            <w:tcW w:w="6237"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rPr>
                <w:rFonts w:ascii="Calibri" w:hAnsi="Calibri" w:cs="Calibri"/>
                <w:color w:val="000000"/>
                <w:sz w:val="20"/>
                <w:szCs w:val="20"/>
              </w:rPr>
            </w:pPr>
            <w:r>
              <w:rPr>
                <w:rFonts w:ascii="Calibri" w:eastAsia="Times New Roman" w:hAnsi="Calibri" w:cs="Calibri"/>
                <w:color w:val="000000"/>
                <w:sz w:val="20"/>
                <w:szCs w:val="20"/>
                <w:lang w:eastAsia="en-AU"/>
              </w:rPr>
              <w:t xml:space="preserve">Age at exit from income support: </w:t>
            </w:r>
            <w:r w:rsidR="00C962FC">
              <w:rPr>
                <w:rFonts w:ascii="Calibri" w:eastAsia="Times New Roman" w:hAnsi="Calibri" w:cs="Calibri"/>
                <w:color w:val="000000"/>
                <w:sz w:val="20"/>
                <w:szCs w:val="20"/>
                <w:lang w:eastAsia="en-AU"/>
              </w:rPr>
              <w:t>19-24 years</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64.1</w:t>
            </w:r>
          </w:p>
        </w:tc>
        <w:tc>
          <w:tcPr>
            <w:tcW w:w="2268" w:type="dxa"/>
            <w:shd w:val="clear" w:color="auto" w:fill="auto"/>
            <w:noWrap/>
            <w:tcMar>
              <w:top w:w="15" w:type="dxa"/>
              <w:left w:w="15" w:type="dxa"/>
              <w:bottom w:w="0" w:type="dxa"/>
              <w:right w:w="15" w:type="dxa"/>
            </w:tcMar>
            <w:vAlign w:val="center"/>
            <w:hideMark/>
          </w:tcPr>
          <w:p w:rsidR="00DF4486" w:rsidRPr="003D5119" w:rsidRDefault="007B342E" w:rsidP="004272D4">
            <w:pPr>
              <w:spacing w:after="0" w:line="240" w:lineRule="auto"/>
              <w:ind w:left="-93" w:right="268"/>
              <w:jc w:val="right"/>
              <w:rPr>
                <w:rFonts w:ascii="Calibri" w:hAnsi="Calibri" w:cs="Calibri"/>
                <w:color w:val="000000"/>
                <w:sz w:val="20"/>
                <w:szCs w:val="20"/>
              </w:rPr>
            </w:pPr>
            <w:r>
              <w:rPr>
                <w:rFonts w:ascii="Calibri" w:hAnsi="Calibri" w:cs="Calibri"/>
                <w:color w:val="000000"/>
                <w:sz w:val="20"/>
                <w:szCs w:val="20"/>
              </w:rPr>
              <w:t>64.5</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BB2E75">
            <w:pPr>
              <w:spacing w:after="0" w:line="240" w:lineRule="auto"/>
              <w:ind w:left="-93" w:right="221"/>
              <w:jc w:val="right"/>
              <w:rPr>
                <w:rFonts w:ascii="Calibri" w:hAnsi="Calibri" w:cs="Calibri"/>
                <w:color w:val="000000"/>
                <w:sz w:val="20"/>
                <w:szCs w:val="20"/>
              </w:rPr>
            </w:pPr>
            <w:r>
              <w:rPr>
                <w:rFonts w:ascii="Calibri" w:hAnsi="Calibri" w:cs="Calibri"/>
                <w:color w:val="000000"/>
                <w:sz w:val="20"/>
                <w:szCs w:val="20"/>
              </w:rPr>
              <w:t>-0.</w:t>
            </w:r>
            <w:r w:rsidR="007B342E">
              <w:rPr>
                <w:rFonts w:ascii="Calibri" w:hAnsi="Calibri" w:cs="Calibri"/>
                <w:color w:val="000000"/>
                <w:sz w:val="20"/>
                <w:szCs w:val="20"/>
              </w:rPr>
              <w:t xml:space="preserve">3 </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77.1</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73.3</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3.7</w:t>
            </w:r>
            <w:r>
              <w:rPr>
                <w:rFonts w:ascii="Calibri" w:hAnsi="Calibri" w:cs="Calibri"/>
                <w:color w:val="000000"/>
                <w:sz w:val="20"/>
                <w:szCs w:val="20"/>
              </w:rPr>
              <w:t>*</w:t>
            </w:r>
          </w:p>
        </w:tc>
      </w:tr>
      <w:tr w:rsidR="00DF4486" w:rsidRPr="003D5119" w:rsidTr="00E85955">
        <w:trPr>
          <w:trHeight w:hRule="exact" w:val="369"/>
        </w:trPr>
        <w:tc>
          <w:tcPr>
            <w:tcW w:w="6237"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rPr>
                <w:rFonts w:ascii="Calibri" w:hAnsi="Calibri" w:cs="Calibri"/>
                <w:color w:val="000000"/>
                <w:sz w:val="20"/>
                <w:szCs w:val="20"/>
              </w:rPr>
            </w:pPr>
            <w:r>
              <w:rPr>
                <w:rFonts w:ascii="Calibri" w:eastAsia="Times New Roman" w:hAnsi="Calibri" w:cs="Calibri"/>
                <w:color w:val="000000"/>
                <w:sz w:val="20"/>
                <w:szCs w:val="20"/>
                <w:lang w:eastAsia="en-AU"/>
              </w:rPr>
              <w:t>Age at exit from income support: 25-30 years</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65.1</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7B342E" w:rsidP="004272D4">
            <w:pPr>
              <w:spacing w:after="0" w:line="240" w:lineRule="auto"/>
              <w:ind w:left="-93" w:right="268"/>
              <w:jc w:val="right"/>
              <w:rPr>
                <w:rFonts w:ascii="Calibri" w:hAnsi="Calibri" w:cs="Calibri"/>
                <w:color w:val="000000"/>
                <w:sz w:val="20"/>
                <w:szCs w:val="20"/>
              </w:rPr>
            </w:pPr>
            <w:r>
              <w:rPr>
                <w:rFonts w:ascii="Calibri" w:hAnsi="Calibri" w:cs="Calibri"/>
                <w:color w:val="000000"/>
                <w:sz w:val="20"/>
                <w:szCs w:val="20"/>
              </w:rPr>
              <w:t>65.3</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7B342E" w:rsidP="00BB2E75">
            <w:pPr>
              <w:spacing w:after="0" w:line="240" w:lineRule="auto"/>
              <w:ind w:left="-93" w:right="221"/>
              <w:jc w:val="right"/>
              <w:rPr>
                <w:rFonts w:ascii="Calibri" w:hAnsi="Calibri" w:cs="Calibri"/>
                <w:color w:val="000000"/>
                <w:sz w:val="20"/>
                <w:szCs w:val="20"/>
              </w:rPr>
            </w:pPr>
            <w:r>
              <w:rPr>
                <w:rFonts w:ascii="Calibri" w:hAnsi="Calibri" w:cs="Calibri"/>
                <w:color w:val="000000"/>
                <w:sz w:val="20"/>
                <w:szCs w:val="20"/>
              </w:rPr>
              <w:t>-</w:t>
            </w:r>
            <w:r w:rsidR="00DF4486" w:rsidRPr="003D5119">
              <w:rPr>
                <w:rFonts w:ascii="Calibri" w:hAnsi="Calibri" w:cs="Calibri"/>
                <w:color w:val="000000"/>
                <w:sz w:val="20"/>
                <w:szCs w:val="20"/>
              </w:rPr>
              <w:t>0.</w:t>
            </w:r>
            <w:r>
              <w:rPr>
                <w:rFonts w:ascii="Calibri" w:hAnsi="Calibri" w:cs="Calibri"/>
                <w:color w:val="000000"/>
                <w:sz w:val="20"/>
                <w:szCs w:val="20"/>
              </w:rPr>
              <w:t>2</w:t>
            </w:r>
            <w:r w:rsidR="00DF4486">
              <w:rPr>
                <w:rFonts w:ascii="Calibri" w:hAnsi="Calibri" w:cs="Calibri"/>
                <w:color w:val="000000"/>
                <w:sz w:val="20"/>
                <w:szCs w:val="20"/>
              </w:rPr>
              <w:t xml:space="preserve"> </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78.4</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73.1</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5.</w:t>
            </w:r>
            <w:r>
              <w:rPr>
                <w:rFonts w:ascii="Calibri" w:hAnsi="Calibri" w:cs="Calibri"/>
                <w:color w:val="000000"/>
                <w:sz w:val="20"/>
                <w:szCs w:val="20"/>
              </w:rPr>
              <w:t>3*</w:t>
            </w:r>
          </w:p>
        </w:tc>
      </w:tr>
      <w:tr w:rsidR="00DF4486" w:rsidRPr="003D5119" w:rsidTr="00E85955">
        <w:trPr>
          <w:trHeight w:hRule="exact" w:val="369"/>
        </w:trPr>
        <w:tc>
          <w:tcPr>
            <w:tcW w:w="6237"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rPr>
                <w:rFonts w:ascii="Calibri" w:hAnsi="Calibri" w:cs="Calibri"/>
                <w:color w:val="000000"/>
                <w:sz w:val="20"/>
                <w:szCs w:val="20"/>
              </w:rPr>
            </w:pPr>
            <w:r>
              <w:rPr>
                <w:rFonts w:ascii="Calibri" w:eastAsia="Times New Roman" w:hAnsi="Calibri" w:cs="Calibri"/>
                <w:color w:val="000000"/>
                <w:sz w:val="20"/>
                <w:szCs w:val="20"/>
                <w:lang w:eastAsia="en-AU"/>
              </w:rPr>
              <w:t xml:space="preserve">Gender: </w:t>
            </w:r>
            <w:r w:rsidRPr="00FD56B5">
              <w:rPr>
                <w:rFonts w:ascii="Calibri" w:eastAsia="Times New Roman" w:hAnsi="Calibri" w:cs="Calibri"/>
                <w:color w:val="000000"/>
                <w:sz w:val="20"/>
                <w:szCs w:val="20"/>
                <w:lang w:eastAsia="en-AU"/>
              </w:rPr>
              <w:t>Male</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62.0</w:t>
            </w:r>
          </w:p>
        </w:tc>
        <w:tc>
          <w:tcPr>
            <w:tcW w:w="2268" w:type="dxa"/>
            <w:shd w:val="clear" w:color="auto" w:fill="auto"/>
            <w:noWrap/>
            <w:tcMar>
              <w:top w:w="15" w:type="dxa"/>
              <w:left w:w="15" w:type="dxa"/>
              <w:bottom w:w="0" w:type="dxa"/>
              <w:right w:w="15" w:type="dxa"/>
            </w:tcMar>
            <w:vAlign w:val="center"/>
            <w:hideMark/>
          </w:tcPr>
          <w:p w:rsidR="00DF4486" w:rsidRPr="003D5119" w:rsidRDefault="007B342E" w:rsidP="004272D4">
            <w:pPr>
              <w:spacing w:after="0" w:line="240" w:lineRule="auto"/>
              <w:ind w:left="-93" w:right="268"/>
              <w:jc w:val="right"/>
              <w:rPr>
                <w:rFonts w:ascii="Calibri" w:hAnsi="Calibri" w:cs="Calibri"/>
                <w:color w:val="000000"/>
                <w:sz w:val="20"/>
                <w:szCs w:val="20"/>
              </w:rPr>
            </w:pPr>
            <w:r>
              <w:rPr>
                <w:rFonts w:ascii="Calibri" w:hAnsi="Calibri" w:cs="Calibri"/>
                <w:color w:val="000000"/>
                <w:sz w:val="20"/>
                <w:szCs w:val="20"/>
              </w:rPr>
              <w:t>62.0</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BB2E75">
            <w:pPr>
              <w:spacing w:after="0" w:line="240" w:lineRule="auto"/>
              <w:ind w:left="-93" w:right="221"/>
              <w:jc w:val="right"/>
              <w:rPr>
                <w:rFonts w:ascii="Calibri" w:hAnsi="Calibri" w:cs="Calibri"/>
                <w:color w:val="000000"/>
                <w:sz w:val="20"/>
                <w:szCs w:val="20"/>
              </w:rPr>
            </w:pPr>
            <w:r>
              <w:rPr>
                <w:rFonts w:ascii="Calibri" w:hAnsi="Calibri" w:cs="Calibri"/>
                <w:color w:val="000000"/>
                <w:sz w:val="20"/>
                <w:szCs w:val="20"/>
              </w:rPr>
              <w:t>0.</w:t>
            </w:r>
            <w:r w:rsidR="007B342E">
              <w:rPr>
                <w:rFonts w:ascii="Calibri" w:hAnsi="Calibri" w:cs="Calibri"/>
                <w:color w:val="000000"/>
                <w:sz w:val="20"/>
                <w:szCs w:val="20"/>
              </w:rPr>
              <w:t>0</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76.4</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72.5</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3.</w:t>
            </w:r>
            <w:r>
              <w:rPr>
                <w:rFonts w:ascii="Calibri" w:hAnsi="Calibri" w:cs="Calibri"/>
                <w:color w:val="000000"/>
                <w:sz w:val="20"/>
                <w:szCs w:val="20"/>
              </w:rPr>
              <w:t>9*</w:t>
            </w:r>
          </w:p>
        </w:tc>
      </w:tr>
      <w:tr w:rsidR="00DF4486" w:rsidRPr="003D5119" w:rsidTr="00E85955">
        <w:trPr>
          <w:trHeight w:hRule="exact" w:val="369"/>
        </w:trPr>
        <w:tc>
          <w:tcPr>
            <w:tcW w:w="6237"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rPr>
                <w:rFonts w:ascii="Calibri" w:hAnsi="Calibri" w:cs="Calibri"/>
                <w:color w:val="000000"/>
                <w:sz w:val="20"/>
                <w:szCs w:val="20"/>
              </w:rPr>
            </w:pPr>
            <w:r>
              <w:rPr>
                <w:rFonts w:ascii="Calibri" w:eastAsia="Times New Roman" w:hAnsi="Calibri" w:cs="Calibri"/>
                <w:color w:val="000000"/>
                <w:sz w:val="20"/>
                <w:szCs w:val="20"/>
                <w:lang w:eastAsia="en-AU"/>
              </w:rPr>
              <w:t xml:space="preserve">Gender: </w:t>
            </w:r>
            <w:r w:rsidRPr="00FD56B5">
              <w:rPr>
                <w:rFonts w:ascii="Calibri" w:eastAsia="Times New Roman" w:hAnsi="Calibri" w:cs="Calibri"/>
                <w:color w:val="000000"/>
                <w:sz w:val="20"/>
                <w:szCs w:val="20"/>
                <w:lang w:eastAsia="en-AU"/>
              </w:rPr>
              <w:t>Female</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69.7</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7B342E" w:rsidP="004272D4">
            <w:pPr>
              <w:spacing w:after="0" w:line="240" w:lineRule="auto"/>
              <w:ind w:left="-93" w:right="268"/>
              <w:jc w:val="right"/>
              <w:rPr>
                <w:rFonts w:ascii="Calibri" w:hAnsi="Calibri" w:cs="Calibri"/>
                <w:color w:val="000000"/>
                <w:sz w:val="20"/>
                <w:szCs w:val="20"/>
              </w:rPr>
            </w:pPr>
            <w:r>
              <w:rPr>
                <w:rFonts w:ascii="Calibri" w:hAnsi="Calibri" w:cs="Calibri"/>
                <w:color w:val="000000"/>
                <w:sz w:val="20"/>
                <w:szCs w:val="20"/>
              </w:rPr>
              <w:t>70.4</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BB2E75">
            <w:pPr>
              <w:spacing w:after="0" w:line="240" w:lineRule="auto"/>
              <w:ind w:left="-93" w:right="221"/>
              <w:jc w:val="right"/>
              <w:rPr>
                <w:rFonts w:ascii="Calibri" w:hAnsi="Calibri" w:cs="Calibri"/>
                <w:color w:val="000000"/>
                <w:sz w:val="20"/>
                <w:szCs w:val="20"/>
              </w:rPr>
            </w:pPr>
            <w:r w:rsidRPr="003D5119">
              <w:rPr>
                <w:rFonts w:ascii="Calibri" w:hAnsi="Calibri" w:cs="Calibri"/>
                <w:color w:val="000000"/>
                <w:sz w:val="20"/>
                <w:szCs w:val="20"/>
              </w:rPr>
              <w:t>-0</w:t>
            </w:r>
            <w:r>
              <w:rPr>
                <w:rFonts w:ascii="Calibri" w:hAnsi="Calibri" w:cs="Calibri"/>
                <w:color w:val="000000"/>
                <w:sz w:val="20"/>
                <w:szCs w:val="20"/>
              </w:rPr>
              <w:t>.</w:t>
            </w:r>
            <w:r w:rsidR="007B342E">
              <w:rPr>
                <w:rFonts w:ascii="Calibri" w:hAnsi="Calibri" w:cs="Calibri"/>
                <w:color w:val="000000"/>
                <w:sz w:val="20"/>
                <w:szCs w:val="20"/>
              </w:rPr>
              <w:t>7</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80.0</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74.7</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5.3</w:t>
            </w:r>
            <w:r>
              <w:rPr>
                <w:rFonts w:ascii="Calibri" w:hAnsi="Calibri" w:cs="Calibri"/>
                <w:color w:val="000000"/>
                <w:sz w:val="20"/>
                <w:szCs w:val="20"/>
              </w:rPr>
              <w:t>*</w:t>
            </w:r>
          </w:p>
        </w:tc>
      </w:tr>
      <w:tr w:rsidR="00DF4486" w:rsidRPr="003D5119" w:rsidTr="00E85955">
        <w:trPr>
          <w:trHeight w:hRule="exact" w:val="369"/>
        </w:trPr>
        <w:tc>
          <w:tcPr>
            <w:tcW w:w="6237"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rPr>
                <w:rFonts w:ascii="Calibri" w:hAnsi="Calibri" w:cs="Calibri"/>
                <w:color w:val="000000"/>
                <w:sz w:val="20"/>
                <w:szCs w:val="20"/>
              </w:rPr>
            </w:pPr>
            <w:r>
              <w:rPr>
                <w:rFonts w:ascii="Calibri" w:eastAsia="Times New Roman" w:hAnsi="Calibri" w:cs="Calibri"/>
                <w:color w:val="000000"/>
                <w:sz w:val="20"/>
                <w:szCs w:val="20"/>
                <w:lang w:eastAsia="en-AU"/>
              </w:rPr>
              <w:t xml:space="preserve">Highest level of education: </w:t>
            </w:r>
            <w:r w:rsidRPr="00FD56B5">
              <w:rPr>
                <w:rFonts w:ascii="Calibri" w:eastAsia="Times New Roman" w:hAnsi="Calibri" w:cs="Calibri"/>
                <w:color w:val="000000"/>
                <w:sz w:val="20"/>
                <w:szCs w:val="20"/>
                <w:lang w:eastAsia="en-AU"/>
              </w:rPr>
              <w:t>&lt;Year 10</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51.6</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BB2E75">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50.</w:t>
            </w:r>
            <w:r w:rsidR="007B342E">
              <w:rPr>
                <w:rFonts w:ascii="Calibri" w:hAnsi="Calibri" w:cs="Calibri"/>
                <w:color w:val="000000"/>
                <w:sz w:val="20"/>
                <w:szCs w:val="20"/>
              </w:rPr>
              <w:t>4</w:t>
            </w:r>
          </w:p>
        </w:tc>
        <w:tc>
          <w:tcPr>
            <w:tcW w:w="2268" w:type="dxa"/>
            <w:shd w:val="clear" w:color="auto" w:fill="auto"/>
            <w:noWrap/>
            <w:tcMar>
              <w:top w:w="15" w:type="dxa"/>
              <w:left w:w="15" w:type="dxa"/>
              <w:bottom w:w="0" w:type="dxa"/>
              <w:right w:w="15" w:type="dxa"/>
            </w:tcMar>
            <w:vAlign w:val="center"/>
            <w:hideMark/>
          </w:tcPr>
          <w:p w:rsidR="00DF4486" w:rsidRPr="003D5119" w:rsidRDefault="007B342E" w:rsidP="00BB2E75">
            <w:pPr>
              <w:spacing w:after="0" w:line="240" w:lineRule="auto"/>
              <w:ind w:left="-93" w:right="221"/>
              <w:jc w:val="right"/>
              <w:rPr>
                <w:rFonts w:ascii="Calibri" w:hAnsi="Calibri" w:cs="Calibri"/>
                <w:color w:val="000000"/>
                <w:sz w:val="20"/>
                <w:szCs w:val="20"/>
              </w:rPr>
            </w:pPr>
            <w:r>
              <w:rPr>
                <w:rFonts w:ascii="Calibri" w:hAnsi="Calibri" w:cs="Calibri"/>
                <w:color w:val="000000"/>
                <w:sz w:val="20"/>
                <w:szCs w:val="20"/>
              </w:rPr>
              <w:t>1.2</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68.2</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66.0</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205" w:right="324"/>
              <w:jc w:val="right"/>
              <w:rPr>
                <w:rFonts w:ascii="Calibri" w:hAnsi="Calibri" w:cs="Calibri"/>
                <w:color w:val="000000"/>
                <w:sz w:val="20"/>
                <w:szCs w:val="20"/>
              </w:rPr>
            </w:pPr>
            <w:r w:rsidRPr="003D5119">
              <w:rPr>
                <w:rFonts w:ascii="Calibri" w:hAnsi="Calibri" w:cs="Calibri"/>
                <w:color w:val="000000"/>
                <w:sz w:val="20"/>
                <w:szCs w:val="20"/>
              </w:rPr>
              <w:t>2.</w:t>
            </w:r>
            <w:r>
              <w:rPr>
                <w:rFonts w:ascii="Calibri" w:hAnsi="Calibri" w:cs="Calibri"/>
                <w:color w:val="000000"/>
                <w:sz w:val="20"/>
                <w:szCs w:val="20"/>
              </w:rPr>
              <w:t xml:space="preserve">2 </w:t>
            </w:r>
          </w:p>
        </w:tc>
      </w:tr>
      <w:tr w:rsidR="00DF4486" w:rsidRPr="003D5119" w:rsidTr="00E85955">
        <w:trPr>
          <w:trHeight w:hRule="exact" w:val="369"/>
        </w:trPr>
        <w:tc>
          <w:tcPr>
            <w:tcW w:w="6237"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rPr>
                <w:rFonts w:ascii="Calibri" w:hAnsi="Calibri" w:cs="Calibri"/>
                <w:color w:val="000000"/>
                <w:sz w:val="20"/>
                <w:szCs w:val="20"/>
              </w:rPr>
            </w:pPr>
            <w:r>
              <w:rPr>
                <w:rFonts w:ascii="Calibri" w:eastAsia="Times New Roman" w:hAnsi="Calibri" w:cs="Calibri"/>
                <w:color w:val="000000"/>
                <w:sz w:val="20"/>
                <w:szCs w:val="20"/>
                <w:lang w:eastAsia="en-AU"/>
              </w:rPr>
              <w:t xml:space="preserve">Highest level of education: </w:t>
            </w:r>
            <w:r w:rsidRPr="00FD56B5">
              <w:rPr>
                <w:rFonts w:ascii="Calibri" w:eastAsia="Times New Roman" w:hAnsi="Calibri" w:cs="Calibri"/>
                <w:color w:val="000000"/>
                <w:sz w:val="20"/>
                <w:szCs w:val="20"/>
                <w:lang w:eastAsia="en-AU"/>
              </w:rPr>
              <w:t>Year 10/11</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56.7</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BB2E75">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57.</w:t>
            </w:r>
            <w:r w:rsidR="007B342E">
              <w:rPr>
                <w:rFonts w:ascii="Calibri" w:hAnsi="Calibri" w:cs="Calibri"/>
                <w:color w:val="000000"/>
                <w:sz w:val="20"/>
                <w:szCs w:val="20"/>
              </w:rPr>
              <w:t>2</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BB2E75">
            <w:pPr>
              <w:spacing w:after="0" w:line="240" w:lineRule="auto"/>
              <w:ind w:left="-93" w:right="221"/>
              <w:jc w:val="right"/>
              <w:rPr>
                <w:rFonts w:ascii="Calibri" w:hAnsi="Calibri" w:cs="Calibri"/>
                <w:color w:val="000000"/>
                <w:sz w:val="20"/>
                <w:szCs w:val="20"/>
              </w:rPr>
            </w:pPr>
            <w:r w:rsidRPr="003D5119">
              <w:rPr>
                <w:rFonts w:ascii="Calibri" w:hAnsi="Calibri" w:cs="Calibri"/>
                <w:color w:val="000000"/>
                <w:sz w:val="20"/>
                <w:szCs w:val="20"/>
              </w:rPr>
              <w:t>-0.</w:t>
            </w:r>
            <w:r w:rsidR="007B342E">
              <w:rPr>
                <w:rFonts w:ascii="Calibri" w:hAnsi="Calibri" w:cs="Calibri"/>
                <w:color w:val="000000"/>
                <w:sz w:val="20"/>
                <w:szCs w:val="20"/>
              </w:rPr>
              <w:t>5</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72.2</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66.8</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5.</w:t>
            </w:r>
            <w:r>
              <w:rPr>
                <w:rFonts w:ascii="Calibri" w:hAnsi="Calibri" w:cs="Calibri"/>
                <w:color w:val="000000"/>
                <w:sz w:val="20"/>
                <w:szCs w:val="20"/>
              </w:rPr>
              <w:t>4*</w:t>
            </w:r>
          </w:p>
        </w:tc>
      </w:tr>
      <w:tr w:rsidR="00DF4486" w:rsidRPr="003D5119" w:rsidTr="00E85955">
        <w:trPr>
          <w:trHeight w:hRule="exact" w:val="369"/>
        </w:trPr>
        <w:tc>
          <w:tcPr>
            <w:tcW w:w="6237"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rPr>
                <w:rFonts w:ascii="Calibri" w:hAnsi="Calibri" w:cs="Calibri"/>
                <w:color w:val="000000"/>
                <w:sz w:val="20"/>
                <w:szCs w:val="20"/>
              </w:rPr>
            </w:pPr>
            <w:r>
              <w:rPr>
                <w:rFonts w:ascii="Calibri" w:eastAsia="Times New Roman" w:hAnsi="Calibri" w:cs="Calibri"/>
                <w:color w:val="000000"/>
                <w:sz w:val="20"/>
                <w:szCs w:val="20"/>
                <w:lang w:eastAsia="en-AU"/>
              </w:rPr>
              <w:t xml:space="preserve">Highest level of education: </w:t>
            </w:r>
            <w:r w:rsidRPr="00FD56B5">
              <w:rPr>
                <w:rFonts w:ascii="Calibri" w:eastAsia="Times New Roman" w:hAnsi="Calibri" w:cs="Calibri"/>
                <w:color w:val="000000"/>
                <w:sz w:val="20"/>
                <w:szCs w:val="20"/>
                <w:lang w:eastAsia="en-AU"/>
              </w:rPr>
              <w:t>Year 12</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69.5</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69.3</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BB2E75">
            <w:pPr>
              <w:spacing w:after="0" w:line="240" w:lineRule="auto"/>
              <w:ind w:left="-93" w:right="221"/>
              <w:jc w:val="right"/>
              <w:rPr>
                <w:rFonts w:ascii="Calibri" w:hAnsi="Calibri" w:cs="Calibri"/>
                <w:color w:val="000000"/>
                <w:sz w:val="20"/>
                <w:szCs w:val="20"/>
              </w:rPr>
            </w:pPr>
            <w:r w:rsidRPr="003D5119">
              <w:rPr>
                <w:rFonts w:ascii="Calibri" w:hAnsi="Calibri" w:cs="Calibri"/>
                <w:color w:val="000000"/>
                <w:sz w:val="20"/>
                <w:szCs w:val="20"/>
              </w:rPr>
              <w:t>0.</w:t>
            </w:r>
            <w:r>
              <w:rPr>
                <w:rFonts w:ascii="Calibri" w:hAnsi="Calibri" w:cs="Calibri"/>
                <w:color w:val="000000"/>
                <w:sz w:val="20"/>
                <w:szCs w:val="20"/>
              </w:rPr>
              <w:t>2</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80.9</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77.1</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3.8</w:t>
            </w:r>
            <w:r>
              <w:rPr>
                <w:rFonts w:ascii="Calibri" w:hAnsi="Calibri" w:cs="Calibri"/>
                <w:color w:val="000000"/>
                <w:sz w:val="20"/>
                <w:szCs w:val="20"/>
              </w:rPr>
              <w:t>*</w:t>
            </w:r>
          </w:p>
        </w:tc>
      </w:tr>
      <w:tr w:rsidR="00DF4486" w:rsidRPr="003D5119" w:rsidTr="00E85955">
        <w:trPr>
          <w:trHeight w:hRule="exact" w:val="369"/>
        </w:trPr>
        <w:tc>
          <w:tcPr>
            <w:tcW w:w="6237"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rPr>
                <w:rFonts w:ascii="Calibri" w:hAnsi="Calibri" w:cs="Calibri"/>
                <w:color w:val="000000"/>
                <w:sz w:val="20"/>
                <w:szCs w:val="20"/>
              </w:rPr>
            </w:pPr>
            <w:r>
              <w:rPr>
                <w:rFonts w:ascii="Calibri" w:eastAsia="Times New Roman" w:hAnsi="Calibri" w:cs="Calibri"/>
                <w:color w:val="000000"/>
                <w:sz w:val="20"/>
                <w:szCs w:val="20"/>
                <w:lang w:eastAsia="en-AU"/>
              </w:rPr>
              <w:t xml:space="preserve">Highest level of education: </w:t>
            </w:r>
            <w:r w:rsidRPr="00FD56B5">
              <w:rPr>
                <w:rFonts w:ascii="Calibri" w:eastAsia="Times New Roman" w:hAnsi="Calibri" w:cs="Calibri"/>
                <w:color w:val="000000"/>
                <w:sz w:val="20"/>
                <w:szCs w:val="20"/>
                <w:lang w:eastAsia="en-AU"/>
              </w:rPr>
              <w:t>TAFE/Diploma</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65.8</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BB2E75">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66.</w:t>
            </w:r>
            <w:r w:rsidR="007B342E">
              <w:rPr>
                <w:rFonts w:ascii="Calibri" w:hAnsi="Calibri" w:cs="Calibri"/>
                <w:color w:val="000000"/>
                <w:sz w:val="20"/>
                <w:szCs w:val="20"/>
              </w:rPr>
              <w:t>7</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BB2E75">
            <w:pPr>
              <w:spacing w:after="0" w:line="240" w:lineRule="auto"/>
              <w:ind w:left="-93" w:right="221"/>
              <w:jc w:val="right"/>
              <w:rPr>
                <w:rFonts w:ascii="Calibri" w:hAnsi="Calibri" w:cs="Calibri"/>
                <w:color w:val="000000"/>
                <w:sz w:val="20"/>
                <w:szCs w:val="20"/>
              </w:rPr>
            </w:pPr>
            <w:r w:rsidRPr="003D5119">
              <w:rPr>
                <w:rFonts w:ascii="Calibri" w:hAnsi="Calibri" w:cs="Calibri"/>
                <w:color w:val="000000"/>
                <w:sz w:val="20"/>
                <w:szCs w:val="20"/>
              </w:rPr>
              <w:t>-</w:t>
            </w:r>
            <w:r w:rsidR="007B342E">
              <w:rPr>
                <w:rFonts w:ascii="Calibri" w:hAnsi="Calibri" w:cs="Calibri"/>
                <w:color w:val="000000"/>
                <w:sz w:val="20"/>
                <w:szCs w:val="20"/>
              </w:rPr>
              <w:t>0.9</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78.1</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73.3</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4.7</w:t>
            </w:r>
            <w:r>
              <w:rPr>
                <w:rFonts w:ascii="Calibri" w:hAnsi="Calibri" w:cs="Calibri"/>
                <w:color w:val="000000"/>
                <w:sz w:val="20"/>
                <w:szCs w:val="20"/>
              </w:rPr>
              <w:t>*</w:t>
            </w:r>
          </w:p>
        </w:tc>
      </w:tr>
      <w:tr w:rsidR="00DF4486" w:rsidRPr="003D5119" w:rsidTr="00E85955">
        <w:trPr>
          <w:trHeight w:hRule="exact" w:val="369"/>
        </w:trPr>
        <w:tc>
          <w:tcPr>
            <w:tcW w:w="6237"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rPr>
                <w:rFonts w:ascii="Calibri" w:hAnsi="Calibri" w:cs="Calibri"/>
                <w:color w:val="000000"/>
                <w:sz w:val="20"/>
                <w:szCs w:val="20"/>
              </w:rPr>
            </w:pPr>
            <w:r>
              <w:rPr>
                <w:rFonts w:ascii="Calibri" w:eastAsia="Times New Roman" w:hAnsi="Calibri" w:cs="Calibri"/>
                <w:color w:val="000000"/>
                <w:sz w:val="20"/>
                <w:szCs w:val="20"/>
                <w:lang w:eastAsia="en-AU"/>
              </w:rPr>
              <w:t xml:space="preserve">Highest level of education: </w:t>
            </w:r>
            <w:r w:rsidRPr="00FD56B5">
              <w:rPr>
                <w:rFonts w:ascii="Calibri" w:eastAsia="Times New Roman" w:hAnsi="Calibri" w:cs="Calibri"/>
                <w:color w:val="000000"/>
                <w:sz w:val="20"/>
                <w:szCs w:val="20"/>
                <w:lang w:eastAsia="en-AU"/>
              </w:rPr>
              <w:t>Degree/Post graduate</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81.6</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BB2E75">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80.</w:t>
            </w:r>
            <w:r w:rsidR="007B342E">
              <w:rPr>
                <w:rFonts w:ascii="Calibri" w:hAnsi="Calibri" w:cs="Calibri"/>
                <w:color w:val="000000"/>
                <w:sz w:val="20"/>
                <w:szCs w:val="20"/>
              </w:rPr>
              <w:t>9</w:t>
            </w:r>
          </w:p>
        </w:tc>
        <w:tc>
          <w:tcPr>
            <w:tcW w:w="2268" w:type="dxa"/>
            <w:shd w:val="clear" w:color="auto" w:fill="auto"/>
            <w:noWrap/>
            <w:tcMar>
              <w:top w:w="15" w:type="dxa"/>
              <w:left w:w="15" w:type="dxa"/>
              <w:bottom w:w="0" w:type="dxa"/>
              <w:right w:w="15" w:type="dxa"/>
            </w:tcMar>
            <w:vAlign w:val="center"/>
            <w:hideMark/>
          </w:tcPr>
          <w:p w:rsidR="00DF4486" w:rsidRPr="003D5119" w:rsidRDefault="007B342E" w:rsidP="00BB2E75">
            <w:pPr>
              <w:spacing w:after="0" w:line="240" w:lineRule="auto"/>
              <w:ind w:left="-93" w:right="221"/>
              <w:jc w:val="right"/>
              <w:rPr>
                <w:rFonts w:ascii="Calibri" w:hAnsi="Calibri" w:cs="Calibri"/>
                <w:color w:val="000000"/>
                <w:sz w:val="20"/>
                <w:szCs w:val="20"/>
              </w:rPr>
            </w:pPr>
            <w:r>
              <w:rPr>
                <w:rFonts w:ascii="Calibri" w:hAnsi="Calibri" w:cs="Calibri"/>
                <w:color w:val="000000"/>
                <w:sz w:val="20"/>
                <w:szCs w:val="20"/>
              </w:rPr>
              <w:t>0.8</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88.4</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84.8</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3.6</w:t>
            </w:r>
            <w:r>
              <w:rPr>
                <w:rFonts w:ascii="Calibri" w:hAnsi="Calibri" w:cs="Calibri"/>
                <w:color w:val="000000"/>
                <w:sz w:val="20"/>
                <w:szCs w:val="20"/>
              </w:rPr>
              <w:t>*</w:t>
            </w:r>
          </w:p>
        </w:tc>
      </w:tr>
      <w:tr w:rsidR="00DF4486" w:rsidRPr="003D5119" w:rsidTr="00E85955">
        <w:trPr>
          <w:trHeight w:hRule="exact" w:val="369"/>
        </w:trPr>
        <w:tc>
          <w:tcPr>
            <w:tcW w:w="6237" w:type="dxa"/>
            <w:shd w:val="clear" w:color="auto" w:fill="E5E5E5" w:themeFill="background1" w:themeFillTint="33"/>
            <w:tcMar>
              <w:top w:w="15" w:type="dxa"/>
              <w:left w:w="15" w:type="dxa"/>
              <w:bottom w:w="0" w:type="dxa"/>
              <w:right w:w="15" w:type="dxa"/>
            </w:tcMar>
            <w:vAlign w:val="center"/>
            <w:hideMark/>
          </w:tcPr>
          <w:p w:rsidR="00DF4486" w:rsidRPr="003D5119" w:rsidRDefault="00DF4486" w:rsidP="004272D4">
            <w:pPr>
              <w:spacing w:after="0" w:line="240" w:lineRule="auto"/>
              <w:rPr>
                <w:rFonts w:ascii="Calibri" w:hAnsi="Calibri" w:cs="Calibri"/>
                <w:color w:val="000000"/>
                <w:sz w:val="20"/>
                <w:szCs w:val="20"/>
              </w:rPr>
            </w:pPr>
            <w:r w:rsidRPr="003D5119">
              <w:rPr>
                <w:rFonts w:ascii="Calibri" w:hAnsi="Calibri" w:cs="Calibri"/>
                <w:color w:val="000000"/>
                <w:sz w:val="20"/>
                <w:szCs w:val="20"/>
              </w:rPr>
              <w:t>Single parent</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70.1</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BB2E75">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71.</w:t>
            </w:r>
            <w:r w:rsidR="007B342E">
              <w:rPr>
                <w:rFonts w:ascii="Calibri" w:hAnsi="Calibri" w:cs="Calibri"/>
                <w:color w:val="000000"/>
                <w:sz w:val="20"/>
                <w:szCs w:val="20"/>
              </w:rPr>
              <w:t>1</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BB2E75">
            <w:pPr>
              <w:spacing w:after="0" w:line="240" w:lineRule="auto"/>
              <w:ind w:left="-93" w:right="221"/>
              <w:jc w:val="right"/>
              <w:rPr>
                <w:rFonts w:ascii="Calibri" w:hAnsi="Calibri" w:cs="Calibri"/>
                <w:color w:val="000000"/>
                <w:sz w:val="20"/>
                <w:szCs w:val="20"/>
              </w:rPr>
            </w:pPr>
            <w:r>
              <w:rPr>
                <w:rFonts w:ascii="Calibri" w:hAnsi="Calibri" w:cs="Calibri"/>
                <w:color w:val="000000"/>
                <w:sz w:val="20"/>
                <w:szCs w:val="20"/>
              </w:rPr>
              <w:t>-1.</w:t>
            </w:r>
            <w:r w:rsidR="007B342E">
              <w:rPr>
                <w:rFonts w:ascii="Calibri" w:hAnsi="Calibri" w:cs="Calibri"/>
                <w:color w:val="000000"/>
                <w:sz w:val="20"/>
                <w:szCs w:val="20"/>
              </w:rPr>
              <w:t>0</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82.7</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70.0</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Pr>
                <w:rFonts w:ascii="Calibri" w:hAnsi="Calibri" w:cs="Calibri"/>
                <w:color w:val="000000"/>
                <w:sz w:val="20"/>
                <w:szCs w:val="20"/>
              </w:rPr>
              <w:t>12.8*</w:t>
            </w:r>
          </w:p>
        </w:tc>
      </w:tr>
      <w:tr w:rsidR="00DF4486" w:rsidRPr="003D5119" w:rsidTr="00E85955">
        <w:trPr>
          <w:trHeight w:hRule="exact" w:val="369"/>
        </w:trPr>
        <w:tc>
          <w:tcPr>
            <w:tcW w:w="6237" w:type="dxa"/>
            <w:shd w:val="clear" w:color="auto" w:fill="auto"/>
            <w:tcMar>
              <w:top w:w="15" w:type="dxa"/>
              <w:left w:w="15" w:type="dxa"/>
              <w:bottom w:w="0" w:type="dxa"/>
              <w:right w:w="15" w:type="dxa"/>
            </w:tcMar>
            <w:vAlign w:val="center"/>
            <w:hideMark/>
          </w:tcPr>
          <w:p w:rsidR="00DF4486" w:rsidRPr="003D5119" w:rsidRDefault="00DF4486" w:rsidP="004272D4">
            <w:pPr>
              <w:spacing w:after="0" w:line="240" w:lineRule="auto"/>
              <w:rPr>
                <w:rFonts w:ascii="Calibri" w:hAnsi="Calibri" w:cs="Calibri"/>
                <w:color w:val="000000"/>
                <w:sz w:val="20"/>
                <w:szCs w:val="20"/>
              </w:rPr>
            </w:pPr>
            <w:r w:rsidRPr="003D5119">
              <w:rPr>
                <w:rFonts w:ascii="Calibri" w:hAnsi="Calibri" w:cs="Calibri"/>
                <w:color w:val="000000"/>
                <w:sz w:val="20"/>
                <w:szCs w:val="20"/>
              </w:rPr>
              <w:t>With disability</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61.3</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61.7</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BB2E75">
            <w:pPr>
              <w:spacing w:after="0" w:line="240" w:lineRule="auto"/>
              <w:ind w:left="-93" w:right="221"/>
              <w:jc w:val="right"/>
              <w:rPr>
                <w:rFonts w:ascii="Calibri" w:hAnsi="Calibri" w:cs="Calibri"/>
                <w:color w:val="000000"/>
                <w:sz w:val="20"/>
                <w:szCs w:val="20"/>
              </w:rPr>
            </w:pPr>
            <w:r w:rsidRPr="003D5119">
              <w:rPr>
                <w:rFonts w:ascii="Calibri" w:hAnsi="Calibri" w:cs="Calibri"/>
                <w:color w:val="000000"/>
                <w:sz w:val="20"/>
                <w:szCs w:val="20"/>
              </w:rPr>
              <w:t>-0.</w:t>
            </w:r>
            <w:r>
              <w:rPr>
                <w:rFonts w:ascii="Calibri" w:hAnsi="Calibri" w:cs="Calibri"/>
                <w:color w:val="000000"/>
                <w:sz w:val="20"/>
                <w:szCs w:val="20"/>
              </w:rPr>
              <w:t>4</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75.2</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69.9</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5.3</w:t>
            </w:r>
            <w:r>
              <w:rPr>
                <w:rFonts w:ascii="Calibri" w:hAnsi="Calibri" w:cs="Calibri"/>
                <w:color w:val="000000"/>
                <w:sz w:val="20"/>
                <w:szCs w:val="20"/>
              </w:rPr>
              <w:t>*</w:t>
            </w:r>
          </w:p>
        </w:tc>
      </w:tr>
      <w:tr w:rsidR="00DF4486" w:rsidRPr="003D5119" w:rsidTr="00E85955">
        <w:trPr>
          <w:trHeight w:hRule="exact" w:val="369"/>
        </w:trPr>
        <w:tc>
          <w:tcPr>
            <w:tcW w:w="6237" w:type="dxa"/>
            <w:shd w:val="clear" w:color="auto" w:fill="E5E5E5" w:themeFill="background1" w:themeFillTint="33"/>
            <w:tcMar>
              <w:top w:w="15" w:type="dxa"/>
              <w:left w:w="15" w:type="dxa"/>
              <w:bottom w:w="0" w:type="dxa"/>
              <w:right w:w="15" w:type="dxa"/>
            </w:tcMar>
            <w:vAlign w:val="center"/>
            <w:hideMark/>
          </w:tcPr>
          <w:p w:rsidR="00DF4486" w:rsidRPr="003D5119" w:rsidRDefault="00DF4486" w:rsidP="004272D4">
            <w:pPr>
              <w:spacing w:after="0" w:line="240" w:lineRule="auto"/>
              <w:rPr>
                <w:rFonts w:ascii="Calibri" w:hAnsi="Calibri" w:cs="Calibri"/>
                <w:color w:val="000000"/>
                <w:sz w:val="20"/>
                <w:szCs w:val="20"/>
              </w:rPr>
            </w:pPr>
            <w:r w:rsidRPr="003D5119">
              <w:rPr>
                <w:rFonts w:ascii="Calibri" w:hAnsi="Calibri" w:cs="Calibri"/>
                <w:color w:val="000000"/>
                <w:sz w:val="20"/>
                <w:szCs w:val="20"/>
              </w:rPr>
              <w:t>Unstable residence</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52.4</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BB2E75">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53.</w:t>
            </w:r>
            <w:r w:rsidR="007B342E">
              <w:rPr>
                <w:rFonts w:ascii="Calibri" w:hAnsi="Calibri" w:cs="Calibri"/>
                <w:color w:val="000000"/>
                <w:sz w:val="20"/>
                <w:szCs w:val="20"/>
              </w:rPr>
              <w:t>3</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BB2E75">
            <w:pPr>
              <w:spacing w:after="0" w:line="240" w:lineRule="auto"/>
              <w:ind w:left="-93" w:right="221"/>
              <w:jc w:val="right"/>
              <w:rPr>
                <w:rFonts w:ascii="Calibri" w:hAnsi="Calibri" w:cs="Calibri"/>
                <w:color w:val="000000"/>
                <w:sz w:val="20"/>
                <w:szCs w:val="20"/>
              </w:rPr>
            </w:pPr>
            <w:r w:rsidRPr="003D5119">
              <w:rPr>
                <w:rFonts w:ascii="Calibri" w:hAnsi="Calibri" w:cs="Calibri"/>
                <w:color w:val="000000"/>
                <w:sz w:val="20"/>
                <w:szCs w:val="20"/>
              </w:rPr>
              <w:t>-</w:t>
            </w:r>
            <w:r w:rsidR="007B342E">
              <w:rPr>
                <w:rFonts w:ascii="Calibri" w:hAnsi="Calibri" w:cs="Calibri"/>
                <w:color w:val="000000"/>
                <w:sz w:val="20"/>
                <w:szCs w:val="20"/>
              </w:rPr>
              <w:t>0.9</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69.7</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64.5</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5.</w:t>
            </w:r>
            <w:r>
              <w:rPr>
                <w:rFonts w:ascii="Calibri" w:hAnsi="Calibri" w:cs="Calibri"/>
                <w:color w:val="000000"/>
                <w:sz w:val="20"/>
                <w:szCs w:val="20"/>
              </w:rPr>
              <w:t>2*</w:t>
            </w:r>
          </w:p>
        </w:tc>
      </w:tr>
      <w:tr w:rsidR="00DF4486" w:rsidRPr="003D5119" w:rsidTr="00E85955">
        <w:trPr>
          <w:trHeight w:hRule="exact" w:val="369"/>
        </w:trPr>
        <w:tc>
          <w:tcPr>
            <w:tcW w:w="6237"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rPr>
                <w:rFonts w:ascii="Calibri" w:hAnsi="Calibri" w:cs="Calibri"/>
                <w:color w:val="000000"/>
                <w:sz w:val="20"/>
                <w:szCs w:val="20"/>
              </w:rPr>
            </w:pPr>
            <w:r w:rsidRPr="003D5119">
              <w:rPr>
                <w:rFonts w:ascii="Calibri" w:hAnsi="Calibri" w:cs="Calibri"/>
                <w:color w:val="000000"/>
                <w:sz w:val="20"/>
                <w:szCs w:val="20"/>
              </w:rPr>
              <w:t>Indigenous</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47.8</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48.</w:t>
            </w:r>
            <w:r w:rsidR="007B342E">
              <w:rPr>
                <w:rFonts w:ascii="Calibri" w:hAnsi="Calibri" w:cs="Calibri"/>
                <w:color w:val="000000"/>
                <w:sz w:val="20"/>
                <w:szCs w:val="20"/>
              </w:rPr>
              <w:t>4</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BB2E75">
            <w:pPr>
              <w:spacing w:after="0" w:line="240" w:lineRule="auto"/>
              <w:ind w:left="-93" w:right="221"/>
              <w:jc w:val="right"/>
              <w:rPr>
                <w:rFonts w:ascii="Calibri" w:hAnsi="Calibri" w:cs="Calibri"/>
                <w:color w:val="000000"/>
                <w:sz w:val="20"/>
                <w:szCs w:val="20"/>
              </w:rPr>
            </w:pPr>
            <w:r w:rsidRPr="003D5119">
              <w:rPr>
                <w:rFonts w:ascii="Calibri" w:hAnsi="Calibri" w:cs="Calibri"/>
                <w:color w:val="000000"/>
                <w:sz w:val="20"/>
                <w:szCs w:val="20"/>
              </w:rPr>
              <w:t>-</w:t>
            </w:r>
            <w:r w:rsidR="007B342E">
              <w:rPr>
                <w:rFonts w:ascii="Calibri" w:hAnsi="Calibri" w:cs="Calibri"/>
                <w:color w:val="000000"/>
                <w:sz w:val="20"/>
                <w:szCs w:val="20"/>
              </w:rPr>
              <w:t>0.6</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67.8</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60.2</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7.6</w:t>
            </w:r>
            <w:r>
              <w:rPr>
                <w:rFonts w:ascii="Calibri" w:hAnsi="Calibri" w:cs="Calibri"/>
                <w:color w:val="000000"/>
                <w:sz w:val="20"/>
                <w:szCs w:val="20"/>
              </w:rPr>
              <w:t>*</w:t>
            </w:r>
          </w:p>
        </w:tc>
      </w:tr>
      <w:tr w:rsidR="00DF4486" w:rsidRPr="003D5119" w:rsidTr="00E85955">
        <w:trPr>
          <w:trHeight w:hRule="exact" w:val="369"/>
        </w:trPr>
        <w:tc>
          <w:tcPr>
            <w:tcW w:w="6237"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rPr>
                <w:rFonts w:ascii="Calibri" w:hAnsi="Calibri" w:cs="Calibri"/>
                <w:color w:val="000000"/>
                <w:sz w:val="20"/>
                <w:szCs w:val="20"/>
              </w:rPr>
            </w:pPr>
            <w:r w:rsidRPr="003D5119">
              <w:rPr>
                <w:rFonts w:ascii="Calibri" w:hAnsi="Calibri" w:cs="Calibri"/>
                <w:color w:val="000000"/>
                <w:sz w:val="20"/>
                <w:szCs w:val="20"/>
              </w:rPr>
              <w:t>Ex-offender</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48.0</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49.4</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BB2E75">
            <w:pPr>
              <w:spacing w:after="0" w:line="240" w:lineRule="auto"/>
              <w:ind w:left="-93" w:right="221"/>
              <w:jc w:val="right"/>
              <w:rPr>
                <w:rFonts w:ascii="Calibri" w:hAnsi="Calibri" w:cs="Calibri"/>
                <w:color w:val="000000"/>
                <w:sz w:val="20"/>
                <w:szCs w:val="20"/>
              </w:rPr>
            </w:pPr>
            <w:r w:rsidRPr="003D5119">
              <w:rPr>
                <w:rFonts w:ascii="Calibri" w:hAnsi="Calibri" w:cs="Calibri"/>
                <w:color w:val="000000"/>
                <w:sz w:val="20"/>
                <w:szCs w:val="20"/>
              </w:rPr>
              <w:t>-1.4</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66.3</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60.1</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6.2</w:t>
            </w:r>
            <w:r>
              <w:rPr>
                <w:rFonts w:ascii="Calibri" w:hAnsi="Calibri" w:cs="Calibri"/>
                <w:color w:val="000000"/>
                <w:sz w:val="20"/>
                <w:szCs w:val="20"/>
              </w:rPr>
              <w:t>*</w:t>
            </w:r>
          </w:p>
        </w:tc>
      </w:tr>
      <w:tr w:rsidR="00DF4486" w:rsidRPr="003D5119" w:rsidTr="00E85955">
        <w:trPr>
          <w:trHeight w:hRule="exact" w:val="369"/>
        </w:trPr>
        <w:tc>
          <w:tcPr>
            <w:tcW w:w="6237"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rPr>
                <w:rFonts w:ascii="Calibri" w:hAnsi="Calibri" w:cs="Calibri"/>
                <w:color w:val="000000"/>
                <w:sz w:val="20"/>
                <w:szCs w:val="20"/>
              </w:rPr>
            </w:pPr>
            <w:r w:rsidRPr="003D5119">
              <w:rPr>
                <w:rFonts w:ascii="Calibri" w:hAnsi="Calibri" w:cs="Calibri"/>
                <w:color w:val="000000"/>
                <w:sz w:val="20"/>
                <w:szCs w:val="20"/>
              </w:rPr>
              <w:t>CALD</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68.3</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BB2E75">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66.</w:t>
            </w:r>
            <w:r w:rsidR="007B342E">
              <w:rPr>
                <w:rFonts w:ascii="Calibri" w:hAnsi="Calibri" w:cs="Calibri"/>
                <w:color w:val="000000"/>
                <w:sz w:val="20"/>
                <w:szCs w:val="20"/>
              </w:rPr>
              <w:t>5</w:t>
            </w:r>
          </w:p>
        </w:tc>
        <w:tc>
          <w:tcPr>
            <w:tcW w:w="2268" w:type="dxa"/>
            <w:shd w:val="clear" w:color="auto" w:fill="auto"/>
            <w:noWrap/>
            <w:tcMar>
              <w:top w:w="15" w:type="dxa"/>
              <w:left w:w="15" w:type="dxa"/>
              <w:bottom w:w="0" w:type="dxa"/>
              <w:right w:w="15" w:type="dxa"/>
            </w:tcMar>
            <w:vAlign w:val="center"/>
            <w:hideMark/>
          </w:tcPr>
          <w:p w:rsidR="00DF4486" w:rsidRPr="003D5119" w:rsidRDefault="007B342E" w:rsidP="004272D4">
            <w:pPr>
              <w:spacing w:after="0" w:line="240" w:lineRule="auto"/>
              <w:ind w:left="-93" w:right="140"/>
              <w:jc w:val="right"/>
              <w:rPr>
                <w:rFonts w:ascii="Calibri" w:hAnsi="Calibri" w:cs="Calibri"/>
                <w:color w:val="000000"/>
                <w:sz w:val="20"/>
                <w:szCs w:val="20"/>
              </w:rPr>
            </w:pPr>
            <w:r>
              <w:rPr>
                <w:rFonts w:ascii="Calibri" w:hAnsi="Calibri" w:cs="Calibri"/>
                <w:color w:val="000000"/>
                <w:sz w:val="20"/>
                <w:szCs w:val="20"/>
              </w:rPr>
              <w:t>1.8</w:t>
            </w:r>
            <w:r w:rsidR="00DF4486">
              <w:rPr>
                <w:rFonts w:ascii="Calibri" w:hAnsi="Calibri" w:cs="Calibri"/>
                <w:color w:val="000000"/>
                <w:sz w:val="20"/>
                <w:szCs w:val="20"/>
              </w:rPr>
              <w:t>*</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80.9</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79.6</w:t>
            </w:r>
          </w:p>
        </w:tc>
        <w:tc>
          <w:tcPr>
            <w:tcW w:w="2268" w:type="dxa"/>
            <w:shd w:val="clear" w:color="auto" w:fill="auto"/>
            <w:noWrap/>
            <w:tcMar>
              <w:top w:w="15" w:type="dxa"/>
              <w:left w:w="15" w:type="dxa"/>
              <w:bottom w:w="0" w:type="dxa"/>
              <w:right w:w="15" w:type="dxa"/>
            </w:tcMar>
            <w:vAlign w:val="center"/>
            <w:hideMark/>
          </w:tcPr>
          <w:p w:rsidR="00DF4486" w:rsidRPr="003D5119" w:rsidRDefault="00DF4486" w:rsidP="004272D4">
            <w:pPr>
              <w:spacing w:after="0" w:line="240" w:lineRule="auto"/>
              <w:ind w:left="-93" w:right="384"/>
              <w:jc w:val="right"/>
              <w:rPr>
                <w:rFonts w:ascii="Calibri" w:hAnsi="Calibri" w:cs="Calibri"/>
                <w:color w:val="000000"/>
                <w:sz w:val="20"/>
                <w:szCs w:val="20"/>
              </w:rPr>
            </w:pPr>
            <w:r>
              <w:rPr>
                <w:rFonts w:ascii="Calibri" w:hAnsi="Calibri" w:cs="Calibri"/>
                <w:color w:val="000000"/>
                <w:sz w:val="20"/>
                <w:szCs w:val="20"/>
              </w:rPr>
              <w:t xml:space="preserve">1.3 </w:t>
            </w:r>
          </w:p>
        </w:tc>
      </w:tr>
      <w:tr w:rsidR="00DF4486" w:rsidRPr="003D5119" w:rsidTr="00E85955">
        <w:trPr>
          <w:trHeight w:hRule="exact" w:val="369"/>
        </w:trPr>
        <w:tc>
          <w:tcPr>
            <w:tcW w:w="6237" w:type="dxa"/>
            <w:shd w:val="clear" w:color="auto" w:fill="E5E5E5" w:themeFill="background1" w:themeFillTint="33"/>
            <w:tcMar>
              <w:top w:w="15" w:type="dxa"/>
              <w:left w:w="15" w:type="dxa"/>
              <w:bottom w:w="0" w:type="dxa"/>
              <w:right w:w="15" w:type="dxa"/>
            </w:tcMar>
            <w:vAlign w:val="center"/>
            <w:hideMark/>
          </w:tcPr>
          <w:p w:rsidR="00DF4486" w:rsidRPr="003D5119" w:rsidRDefault="00DF4486" w:rsidP="004272D4">
            <w:pPr>
              <w:spacing w:after="0" w:line="240" w:lineRule="auto"/>
              <w:rPr>
                <w:rFonts w:ascii="Calibri" w:hAnsi="Calibri" w:cs="Calibri"/>
                <w:color w:val="000000"/>
                <w:sz w:val="20"/>
                <w:szCs w:val="20"/>
              </w:rPr>
            </w:pPr>
            <w:r w:rsidRPr="003D5119">
              <w:rPr>
                <w:rFonts w:ascii="Calibri" w:hAnsi="Calibri" w:cs="Calibri"/>
                <w:color w:val="000000"/>
                <w:sz w:val="20"/>
                <w:szCs w:val="20"/>
              </w:rPr>
              <w:t>Poor/Mixed English Proficiency</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BB2E75">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56.8</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BB2E75">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57.</w:t>
            </w:r>
            <w:r w:rsidR="007B342E">
              <w:rPr>
                <w:rFonts w:ascii="Calibri" w:hAnsi="Calibri" w:cs="Calibri"/>
                <w:color w:val="000000"/>
                <w:sz w:val="20"/>
                <w:szCs w:val="20"/>
              </w:rPr>
              <w:t>0</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BB2E75">
            <w:pPr>
              <w:spacing w:after="0" w:line="240" w:lineRule="auto"/>
              <w:ind w:left="-93" w:right="268"/>
              <w:jc w:val="right"/>
              <w:rPr>
                <w:rFonts w:ascii="Calibri" w:hAnsi="Calibri" w:cs="Calibri"/>
                <w:color w:val="000000"/>
                <w:sz w:val="20"/>
                <w:szCs w:val="20"/>
              </w:rPr>
            </w:pPr>
            <w:r>
              <w:rPr>
                <w:rFonts w:ascii="Calibri" w:hAnsi="Calibri" w:cs="Calibri"/>
                <w:color w:val="000000"/>
                <w:sz w:val="20"/>
                <w:szCs w:val="20"/>
              </w:rPr>
              <w:t>-0.</w:t>
            </w:r>
            <w:r w:rsidR="007B342E">
              <w:rPr>
                <w:rFonts w:ascii="Calibri" w:hAnsi="Calibri" w:cs="Calibri"/>
                <w:color w:val="000000"/>
                <w:sz w:val="20"/>
                <w:szCs w:val="20"/>
              </w:rPr>
              <w:t>1</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BB2E75">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74.2</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BB2E75">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70.7</w:t>
            </w:r>
          </w:p>
        </w:tc>
        <w:tc>
          <w:tcPr>
            <w:tcW w:w="2268" w:type="dxa"/>
            <w:shd w:val="clear" w:color="auto" w:fill="E5E5E5" w:themeFill="background1" w:themeFillTint="33"/>
            <w:noWrap/>
            <w:tcMar>
              <w:top w:w="15" w:type="dxa"/>
              <w:left w:w="15" w:type="dxa"/>
              <w:bottom w:w="0" w:type="dxa"/>
              <w:right w:w="15" w:type="dxa"/>
            </w:tcMar>
            <w:vAlign w:val="center"/>
            <w:hideMark/>
          </w:tcPr>
          <w:p w:rsidR="00DF4486" w:rsidRPr="003D5119" w:rsidRDefault="00DF4486" w:rsidP="00BB2E75">
            <w:pPr>
              <w:spacing w:after="0" w:line="240" w:lineRule="auto"/>
              <w:ind w:left="-93" w:right="268"/>
              <w:jc w:val="right"/>
              <w:rPr>
                <w:rFonts w:ascii="Calibri" w:hAnsi="Calibri" w:cs="Calibri"/>
                <w:color w:val="000000"/>
                <w:sz w:val="20"/>
                <w:szCs w:val="20"/>
              </w:rPr>
            </w:pPr>
            <w:r>
              <w:rPr>
                <w:rFonts w:ascii="Calibri" w:hAnsi="Calibri" w:cs="Calibri"/>
                <w:color w:val="000000"/>
                <w:sz w:val="20"/>
                <w:szCs w:val="20"/>
              </w:rPr>
              <w:t>3.6*</w:t>
            </w:r>
          </w:p>
        </w:tc>
      </w:tr>
      <w:tr w:rsidR="00DF4486" w:rsidRPr="003D5119" w:rsidTr="00E85955">
        <w:trPr>
          <w:trHeight w:hRule="exact" w:val="369"/>
        </w:trPr>
        <w:tc>
          <w:tcPr>
            <w:tcW w:w="6237" w:type="dxa"/>
            <w:shd w:val="clear" w:color="auto" w:fill="8EAEDE"/>
            <w:noWrap/>
            <w:tcMar>
              <w:top w:w="15" w:type="dxa"/>
              <w:left w:w="15" w:type="dxa"/>
              <w:bottom w:w="0" w:type="dxa"/>
              <w:right w:w="15" w:type="dxa"/>
            </w:tcMar>
            <w:vAlign w:val="center"/>
            <w:hideMark/>
          </w:tcPr>
          <w:p w:rsidR="00DF4486" w:rsidRPr="00CC44DA" w:rsidRDefault="00DF4486" w:rsidP="004272D4">
            <w:pPr>
              <w:spacing w:after="0" w:line="240" w:lineRule="auto"/>
              <w:rPr>
                <w:rFonts w:ascii="Calibri" w:hAnsi="Calibri" w:cs="Calibri"/>
                <w:bCs/>
                <w:color w:val="000000"/>
                <w:sz w:val="20"/>
                <w:szCs w:val="20"/>
              </w:rPr>
            </w:pPr>
            <w:r w:rsidRPr="00CC44DA">
              <w:rPr>
                <w:rFonts w:ascii="Calibri" w:hAnsi="Calibri" w:cs="Calibri"/>
                <w:bCs/>
                <w:color w:val="000000"/>
                <w:sz w:val="20"/>
                <w:szCs w:val="20"/>
              </w:rPr>
              <w:t>Overall</w:t>
            </w:r>
          </w:p>
        </w:tc>
        <w:tc>
          <w:tcPr>
            <w:tcW w:w="2268" w:type="dxa"/>
            <w:shd w:val="clear" w:color="auto" w:fill="8EAEDE"/>
            <w:noWrap/>
            <w:tcMar>
              <w:top w:w="15" w:type="dxa"/>
              <w:left w:w="15" w:type="dxa"/>
              <w:bottom w:w="0" w:type="dxa"/>
              <w:right w:w="15" w:type="dxa"/>
            </w:tcMar>
            <w:vAlign w:val="center"/>
            <w:hideMark/>
          </w:tcPr>
          <w:p w:rsidR="00DF4486" w:rsidRPr="003D5119" w:rsidRDefault="00DF4486" w:rsidP="00BB2E75">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64.6</w:t>
            </w:r>
          </w:p>
        </w:tc>
        <w:tc>
          <w:tcPr>
            <w:tcW w:w="2268" w:type="dxa"/>
            <w:shd w:val="clear" w:color="auto" w:fill="8EAEDE"/>
            <w:noWrap/>
            <w:tcMar>
              <w:top w:w="15" w:type="dxa"/>
              <w:left w:w="15" w:type="dxa"/>
              <w:bottom w:w="0" w:type="dxa"/>
              <w:right w:w="15" w:type="dxa"/>
            </w:tcMar>
            <w:vAlign w:val="center"/>
            <w:hideMark/>
          </w:tcPr>
          <w:p w:rsidR="00DF4486" w:rsidRPr="003D5119" w:rsidRDefault="00DF4486" w:rsidP="00BB2E75">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64.</w:t>
            </w:r>
            <w:r w:rsidR="007B342E">
              <w:rPr>
                <w:rFonts w:ascii="Calibri" w:hAnsi="Calibri" w:cs="Calibri"/>
                <w:color w:val="000000"/>
                <w:sz w:val="20"/>
                <w:szCs w:val="20"/>
              </w:rPr>
              <w:t>8</w:t>
            </w:r>
          </w:p>
        </w:tc>
        <w:tc>
          <w:tcPr>
            <w:tcW w:w="2268" w:type="dxa"/>
            <w:shd w:val="clear" w:color="auto" w:fill="8EAEDE"/>
            <w:noWrap/>
            <w:tcMar>
              <w:top w:w="15" w:type="dxa"/>
              <w:left w:w="15" w:type="dxa"/>
              <w:bottom w:w="0" w:type="dxa"/>
              <w:right w:w="15" w:type="dxa"/>
            </w:tcMar>
            <w:vAlign w:val="center"/>
            <w:hideMark/>
          </w:tcPr>
          <w:p w:rsidR="00DF4486" w:rsidRPr="003D5119" w:rsidRDefault="00DF4486" w:rsidP="00BB2E75">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-0.</w:t>
            </w:r>
            <w:r w:rsidR="007B342E">
              <w:rPr>
                <w:rFonts w:ascii="Calibri" w:hAnsi="Calibri" w:cs="Calibri"/>
                <w:color w:val="000000"/>
                <w:sz w:val="20"/>
                <w:szCs w:val="20"/>
              </w:rPr>
              <w:t>2</w:t>
            </w:r>
          </w:p>
        </w:tc>
        <w:tc>
          <w:tcPr>
            <w:tcW w:w="2268" w:type="dxa"/>
            <w:shd w:val="clear" w:color="auto" w:fill="8EAEDE"/>
            <w:noWrap/>
            <w:tcMar>
              <w:top w:w="15" w:type="dxa"/>
              <w:left w:w="15" w:type="dxa"/>
              <w:bottom w:w="0" w:type="dxa"/>
              <w:right w:w="15" w:type="dxa"/>
            </w:tcMar>
            <w:vAlign w:val="center"/>
            <w:hideMark/>
          </w:tcPr>
          <w:p w:rsidR="00DF4486" w:rsidRPr="003D5119" w:rsidRDefault="00DF4486" w:rsidP="00BB2E75">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77.6</w:t>
            </w:r>
          </w:p>
        </w:tc>
        <w:tc>
          <w:tcPr>
            <w:tcW w:w="2268" w:type="dxa"/>
            <w:shd w:val="clear" w:color="auto" w:fill="8EAEDE"/>
            <w:noWrap/>
            <w:tcMar>
              <w:top w:w="15" w:type="dxa"/>
              <w:left w:w="15" w:type="dxa"/>
              <w:bottom w:w="0" w:type="dxa"/>
              <w:right w:w="15" w:type="dxa"/>
            </w:tcMar>
            <w:vAlign w:val="center"/>
            <w:hideMark/>
          </w:tcPr>
          <w:p w:rsidR="00DF4486" w:rsidRPr="003D5119" w:rsidRDefault="00DF4486" w:rsidP="00BB2E75">
            <w:pPr>
              <w:spacing w:after="0" w:line="240" w:lineRule="auto"/>
              <w:ind w:left="-93" w:right="268"/>
              <w:jc w:val="right"/>
              <w:rPr>
                <w:rFonts w:ascii="Calibri" w:hAnsi="Calibri" w:cs="Calibri"/>
                <w:color w:val="000000"/>
                <w:sz w:val="20"/>
                <w:szCs w:val="20"/>
              </w:rPr>
            </w:pPr>
            <w:r w:rsidRPr="003D5119">
              <w:rPr>
                <w:rFonts w:ascii="Calibri" w:hAnsi="Calibri" w:cs="Calibri"/>
                <w:color w:val="000000"/>
                <w:sz w:val="20"/>
                <w:szCs w:val="20"/>
              </w:rPr>
              <w:t>73.2</w:t>
            </w:r>
          </w:p>
        </w:tc>
        <w:tc>
          <w:tcPr>
            <w:tcW w:w="2268" w:type="dxa"/>
            <w:shd w:val="clear" w:color="auto" w:fill="8EAEDE"/>
            <w:noWrap/>
            <w:tcMar>
              <w:top w:w="15" w:type="dxa"/>
              <w:left w:w="15" w:type="dxa"/>
              <w:bottom w:w="0" w:type="dxa"/>
              <w:right w:w="15" w:type="dxa"/>
            </w:tcMar>
            <w:vAlign w:val="center"/>
            <w:hideMark/>
          </w:tcPr>
          <w:p w:rsidR="00DF4486" w:rsidRPr="003D5119" w:rsidRDefault="00DF4486" w:rsidP="00BB2E75">
            <w:pPr>
              <w:spacing w:after="0" w:line="240" w:lineRule="auto"/>
              <w:ind w:left="-93" w:right="268"/>
              <w:jc w:val="right"/>
              <w:rPr>
                <w:rFonts w:ascii="Calibri" w:hAnsi="Calibri" w:cs="Calibri"/>
                <w:color w:val="000000"/>
                <w:sz w:val="20"/>
                <w:szCs w:val="20"/>
              </w:rPr>
            </w:pPr>
            <w:r>
              <w:rPr>
                <w:rFonts w:ascii="Calibri" w:hAnsi="Calibri" w:cs="Calibri"/>
                <w:color w:val="000000"/>
                <w:sz w:val="20"/>
                <w:szCs w:val="20"/>
              </w:rPr>
              <w:t>4.4*</w:t>
            </w:r>
          </w:p>
        </w:tc>
      </w:tr>
    </w:tbl>
    <w:p w:rsidR="00BB1226" w:rsidRPr="00CF3F9B" w:rsidRDefault="00BB1226" w:rsidP="00CF3F9B">
      <w:pPr>
        <w:pStyle w:val="Source"/>
        <w:rPr>
          <w:b w:val="0"/>
        </w:rPr>
      </w:pPr>
      <w:r w:rsidRPr="00CF3F9B">
        <w:t>Note:</w:t>
      </w:r>
      <w:r w:rsidRPr="00CF3F9B">
        <w:rPr>
          <w:b w:val="0"/>
        </w:rPr>
        <w:tab/>
        <w:t>* Statistically significant difference.</w:t>
      </w:r>
    </w:p>
    <w:p w:rsidR="001C281D" w:rsidRDefault="00BB1226" w:rsidP="00CF3F9B">
      <w:pPr>
        <w:pStyle w:val="Source"/>
        <w:rPr>
          <w:b w:val="0"/>
        </w:rPr>
      </w:pPr>
      <w:r w:rsidRPr="00CF3F9B">
        <w:t>Source:</w:t>
      </w:r>
      <w:r w:rsidRPr="00CF3F9B">
        <w:rPr>
          <w:b w:val="0"/>
        </w:rPr>
        <w:t xml:space="preserve"> Department of Employment administrative data and Research and Evaluation dataset (RED).</w:t>
      </w:r>
    </w:p>
    <w:p w:rsidR="000C30B2" w:rsidRPr="00CF3F9B" w:rsidRDefault="006A5B97" w:rsidP="006A5B97">
      <w:pPr>
        <w:pStyle w:val="Source"/>
        <w:spacing w:before="120"/>
        <w:rPr>
          <w:b w:val="0"/>
        </w:rPr>
      </w:pPr>
      <w:r>
        <w:rPr>
          <w:b w:val="0"/>
        </w:rPr>
        <w:t xml:space="preserve">Return to </w:t>
      </w:r>
      <w:hyperlink w:anchor="Place_F25a" w:history="1">
        <w:r w:rsidR="00332C1B" w:rsidRPr="005D44E6">
          <w:rPr>
            <w:rStyle w:val="Hyperlink"/>
            <w:b w:val="0"/>
          </w:rPr>
          <w:t>Figure 4.15</w:t>
        </w:r>
      </w:hyperlink>
      <w:r w:rsidR="000C30B2">
        <w:rPr>
          <w:b w:val="0"/>
        </w:rPr>
        <w:t xml:space="preserve"> or return to </w:t>
      </w:r>
      <w:hyperlink w:anchor="Place_F25b" w:history="1">
        <w:r w:rsidR="00332C1B">
          <w:rPr>
            <w:rStyle w:val="Hyperlink"/>
            <w:b w:val="0"/>
          </w:rPr>
          <w:t>Figure 4.16</w:t>
        </w:r>
      </w:hyperlink>
      <w:r w:rsidR="000C30B2">
        <w:rPr>
          <w:b w:val="0"/>
        </w:rPr>
        <w:t>.</w:t>
      </w:r>
    </w:p>
    <w:sectPr w:rsidR="000C30B2" w:rsidRPr="00CF3F9B" w:rsidSect="00B727CE">
      <w:pgSz w:w="16838" w:h="11906"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08F" w:rsidRDefault="0027008F" w:rsidP="00001A6E">
      <w:r>
        <w:separator/>
      </w:r>
    </w:p>
    <w:p w:rsidR="0027008F" w:rsidRDefault="0027008F" w:rsidP="00001A6E"/>
  </w:endnote>
  <w:endnote w:type="continuationSeparator" w:id="0">
    <w:p w:rsidR="0027008F" w:rsidRDefault="0027008F" w:rsidP="00001A6E">
      <w:r>
        <w:continuationSeparator/>
      </w:r>
    </w:p>
    <w:p w:rsidR="0027008F" w:rsidRDefault="0027008F" w:rsidP="00001A6E"/>
  </w:endnote>
  <w:endnote w:type="continuationNotice" w:id="1">
    <w:p w:rsidR="0027008F" w:rsidRDefault="002700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News Gothic Com">
    <w:altName w:val="News Gothic Com"/>
    <w:panose1 w:val="00000000000000000000"/>
    <w:charset w:val="00"/>
    <w:family w:val="swiss"/>
    <w:notTrueType/>
    <w:pitch w:val="default"/>
    <w:sig w:usb0="00000003" w:usb1="00000000" w:usb2="00000000" w:usb3="00000000" w:csb0="00000001" w:csb1="00000000"/>
  </w:font>
  <w:font w:name="Univers">
    <w:panose1 w:val="00000000000000000000"/>
    <w:charset w:val="00"/>
    <w:family w:val="swiss"/>
    <w:notTrueType/>
    <w:pitch w:val="variable"/>
    <w:sig w:usb0="00000003" w:usb1="00000000" w:usb2="00000000" w:usb3="00000000" w:csb0="00000001" w:csb1="00000000"/>
  </w:font>
  <w:font w:name="Arial Bold">
    <w:panose1 w:val="020B07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1159717"/>
      <w:docPartObj>
        <w:docPartGallery w:val="Page Numbers (Bottom of Page)"/>
        <w:docPartUnique/>
      </w:docPartObj>
    </w:sdtPr>
    <w:sdtEndPr>
      <w:rPr>
        <w:color w:val="3F3F3F" w:themeColor="background1" w:themeShade="80"/>
        <w:spacing w:val="60"/>
      </w:rPr>
    </w:sdtEndPr>
    <w:sdtContent>
      <w:p w:rsidR="0027008F" w:rsidRDefault="0027008F" w:rsidP="00001A6E">
        <w:pPr>
          <w:pStyle w:val="Footer"/>
        </w:pPr>
        <w:r>
          <w:fldChar w:fldCharType="begin"/>
        </w:r>
        <w:r>
          <w:instrText xml:space="preserve"> PAGE   \* MERGEFORMAT </w:instrText>
        </w:r>
        <w:r>
          <w:fldChar w:fldCharType="separate"/>
        </w:r>
        <w:r w:rsidR="006A434D">
          <w:rPr>
            <w:noProof/>
          </w:rPr>
          <w:t>i</w:t>
        </w:r>
        <w:r>
          <w:rPr>
            <w:noProof/>
          </w:rPr>
          <w:fldChar w:fldCharType="end"/>
        </w:r>
        <w:r>
          <w:t xml:space="preserve"> | </w:t>
        </w:r>
        <w:r>
          <w:rPr>
            <w:color w:val="3F3F3F" w:themeColor="background1" w:themeShade="80"/>
            <w:spacing w:val="60"/>
          </w:rPr>
          <w:t>Page</w:t>
        </w:r>
      </w:p>
    </w:sdtContent>
  </w:sdt>
  <w:p w:rsidR="0027008F" w:rsidRDefault="0027008F" w:rsidP="00001A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3109373"/>
      <w:docPartObj>
        <w:docPartGallery w:val="Page Numbers (Bottom of Page)"/>
        <w:docPartUnique/>
      </w:docPartObj>
    </w:sdtPr>
    <w:sdtEndPr>
      <w:rPr>
        <w:color w:val="3F3F3F" w:themeColor="background1" w:themeShade="80"/>
        <w:spacing w:val="60"/>
      </w:rPr>
    </w:sdtEndPr>
    <w:sdtContent>
      <w:p w:rsidR="0027008F" w:rsidRDefault="0027008F" w:rsidP="00B05E53">
        <w:pPr>
          <w:pStyle w:val="Footer"/>
          <w:jc w:val="right"/>
        </w:pPr>
        <w:r>
          <w:fldChar w:fldCharType="begin"/>
        </w:r>
        <w:r>
          <w:instrText xml:space="preserve"> PAGE   \* MERGEFORMAT </w:instrText>
        </w:r>
        <w:r>
          <w:fldChar w:fldCharType="separate"/>
        </w:r>
        <w:r w:rsidR="002B3DE3">
          <w:rPr>
            <w:noProof/>
          </w:rPr>
          <w:t>iii</w:t>
        </w:r>
        <w:r>
          <w:rPr>
            <w:noProof/>
          </w:rPr>
          <w:fldChar w:fldCharType="end"/>
        </w:r>
        <w:r>
          <w:t xml:space="preserve"> | </w:t>
        </w:r>
        <w:r>
          <w:rPr>
            <w:color w:val="3F3F3F" w:themeColor="background1" w:themeShade="80"/>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6461554"/>
      <w:docPartObj>
        <w:docPartGallery w:val="Page Numbers (Bottom of Page)"/>
        <w:docPartUnique/>
      </w:docPartObj>
    </w:sdtPr>
    <w:sdtEndPr>
      <w:rPr>
        <w:noProof/>
      </w:rPr>
    </w:sdtEndPr>
    <w:sdtContent>
      <w:p w:rsidR="0027008F" w:rsidRDefault="0027008F">
        <w:pPr>
          <w:pStyle w:val="Footer"/>
          <w:jc w:val="right"/>
        </w:pPr>
        <w:r>
          <w:fldChar w:fldCharType="begin"/>
        </w:r>
        <w:r>
          <w:instrText xml:space="preserve"> PAGE   \* MERGEFORMAT </w:instrText>
        </w:r>
        <w:r>
          <w:fldChar w:fldCharType="separate"/>
        </w:r>
        <w:r w:rsidR="002B3DE3">
          <w:rPr>
            <w:noProof/>
          </w:rPr>
          <w:t>16</w:t>
        </w:r>
        <w:r>
          <w:rPr>
            <w:noProof/>
          </w:rPr>
          <w:fldChar w:fldCharType="end"/>
        </w:r>
      </w:p>
    </w:sdtContent>
  </w:sdt>
  <w:p w:rsidR="0027008F" w:rsidRDefault="0027008F" w:rsidP="00B05E53">
    <w:pPr>
      <w:pStyle w:val="Footer"/>
      <w:pBdr>
        <w:top w:val="single" w:sz="4" w:space="1" w:color="6C6C6C" w:themeColor="background1" w:themeShade="D9"/>
      </w:pBdr>
      <w:tabs>
        <w:tab w:val="clear" w:pos="4513"/>
      </w:tabs>
      <w:jc w:val="righ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7037364"/>
      <w:docPartObj>
        <w:docPartGallery w:val="Page Numbers (Bottom of Page)"/>
        <w:docPartUnique/>
      </w:docPartObj>
    </w:sdtPr>
    <w:sdtEndPr>
      <w:rPr>
        <w:color w:val="3F3F3F" w:themeColor="background1" w:themeShade="80"/>
        <w:spacing w:val="60"/>
      </w:rPr>
    </w:sdtEndPr>
    <w:sdtContent>
      <w:p w:rsidR="0027008F" w:rsidRDefault="0027008F" w:rsidP="00B05E53">
        <w:pPr>
          <w:pStyle w:val="Footer"/>
          <w:pBdr>
            <w:top w:val="single" w:sz="4" w:space="1" w:color="6C6C6C" w:themeColor="background1" w:themeShade="D9"/>
          </w:pBdr>
          <w:tabs>
            <w:tab w:val="clear" w:pos="4513"/>
          </w:tabs>
          <w:jc w:val="right"/>
        </w:pPr>
        <w:r>
          <w:tab/>
        </w:r>
        <w:r>
          <w:fldChar w:fldCharType="begin"/>
        </w:r>
        <w:r>
          <w:instrText xml:space="preserve"> PAGE   \* MERGEFORMAT </w:instrText>
        </w:r>
        <w:r>
          <w:fldChar w:fldCharType="separate"/>
        </w:r>
        <w:r w:rsidR="006A434D">
          <w:rPr>
            <w:noProof/>
          </w:rPr>
          <w:t>132</w:t>
        </w:r>
        <w:r>
          <w:rPr>
            <w:noProof/>
          </w:rPr>
          <w:fldChar w:fldCharType="end"/>
        </w:r>
        <w:r>
          <w:t xml:space="preserve"> | </w:t>
        </w:r>
        <w:r>
          <w:rPr>
            <w:color w:val="3F3F3F" w:themeColor="background1" w:themeShade="80"/>
            <w:spacing w:val="60"/>
          </w:rPr>
          <w:t>Page</w:t>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087386"/>
      <w:docPartObj>
        <w:docPartGallery w:val="Page Numbers (Bottom of Page)"/>
        <w:docPartUnique/>
      </w:docPartObj>
    </w:sdtPr>
    <w:sdtEndPr>
      <w:rPr>
        <w:color w:val="3F3F3F" w:themeColor="background1" w:themeShade="80"/>
        <w:spacing w:val="60"/>
      </w:rPr>
    </w:sdtEndPr>
    <w:sdtContent>
      <w:p w:rsidR="0027008F" w:rsidRDefault="0027008F" w:rsidP="00B05E53">
        <w:pPr>
          <w:pStyle w:val="Footer"/>
          <w:pBdr>
            <w:top w:val="single" w:sz="4" w:space="1" w:color="6C6C6C" w:themeColor="background1" w:themeShade="D9"/>
          </w:pBdr>
          <w:tabs>
            <w:tab w:val="clear" w:pos="4513"/>
          </w:tabs>
          <w:jc w:val="right"/>
        </w:pPr>
        <w:r>
          <w:tab/>
        </w:r>
        <w:r>
          <w:fldChar w:fldCharType="begin"/>
        </w:r>
        <w:r>
          <w:instrText xml:space="preserve"> PAGE   \* MERGEFORMAT </w:instrText>
        </w:r>
        <w:r>
          <w:fldChar w:fldCharType="separate"/>
        </w:r>
        <w:r w:rsidR="00D846EC">
          <w:rPr>
            <w:noProof/>
          </w:rPr>
          <w:t>135</w:t>
        </w:r>
        <w:r>
          <w:rPr>
            <w:noProof/>
          </w:rPr>
          <w:fldChar w:fldCharType="end"/>
        </w:r>
        <w:r>
          <w:t xml:space="preserve"> | </w:t>
        </w:r>
        <w:r>
          <w:rPr>
            <w:color w:val="3F3F3F" w:themeColor="background1" w:themeShade="80"/>
            <w:spacing w:val="60"/>
          </w:rPr>
          <w:t>Page</w:t>
        </w: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574366"/>
      <w:docPartObj>
        <w:docPartGallery w:val="Page Numbers (Bottom of Page)"/>
        <w:docPartUnique/>
      </w:docPartObj>
    </w:sdtPr>
    <w:sdtEndPr>
      <w:rPr>
        <w:color w:val="3F3F3F" w:themeColor="background1" w:themeShade="80"/>
        <w:spacing w:val="60"/>
      </w:rPr>
    </w:sdtEndPr>
    <w:sdtContent>
      <w:p w:rsidR="0027008F" w:rsidRDefault="0027008F" w:rsidP="00B05E53">
        <w:pPr>
          <w:pStyle w:val="Footer"/>
          <w:pBdr>
            <w:top w:val="single" w:sz="4" w:space="1" w:color="6C6C6C" w:themeColor="background1" w:themeShade="D9"/>
          </w:pBdr>
          <w:tabs>
            <w:tab w:val="clear" w:pos="4513"/>
          </w:tabs>
          <w:jc w:val="right"/>
        </w:pPr>
        <w:r>
          <w:tab/>
        </w:r>
        <w:r>
          <w:fldChar w:fldCharType="begin"/>
        </w:r>
        <w:r>
          <w:instrText xml:space="preserve"> PAGE   \* MERGEFORMAT </w:instrText>
        </w:r>
        <w:r>
          <w:fldChar w:fldCharType="separate"/>
        </w:r>
        <w:r w:rsidR="006A434D">
          <w:rPr>
            <w:noProof/>
          </w:rPr>
          <w:t>138</w:t>
        </w:r>
        <w:r>
          <w:rPr>
            <w:noProof/>
          </w:rPr>
          <w:fldChar w:fldCharType="end"/>
        </w:r>
        <w:r>
          <w:t xml:space="preserve"> | </w:t>
        </w:r>
        <w:r>
          <w:rPr>
            <w:color w:val="3F3F3F" w:themeColor="background1" w:themeShade="80"/>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08F" w:rsidRDefault="0027008F" w:rsidP="00001A6E">
      <w:r>
        <w:separator/>
      </w:r>
    </w:p>
    <w:p w:rsidR="0027008F" w:rsidRDefault="0027008F" w:rsidP="00001A6E"/>
  </w:footnote>
  <w:footnote w:type="continuationSeparator" w:id="0">
    <w:p w:rsidR="0027008F" w:rsidRDefault="0027008F" w:rsidP="00001A6E">
      <w:r>
        <w:continuationSeparator/>
      </w:r>
    </w:p>
    <w:p w:rsidR="0027008F" w:rsidRDefault="0027008F" w:rsidP="00001A6E"/>
  </w:footnote>
  <w:footnote w:type="continuationNotice" w:id="1">
    <w:p w:rsidR="0027008F" w:rsidRDefault="0027008F">
      <w:pPr>
        <w:spacing w:after="0" w:line="240" w:lineRule="auto"/>
      </w:pPr>
    </w:p>
  </w:footnote>
  <w:footnote w:id="2">
    <w:p w:rsidR="0027008F" w:rsidRDefault="0027008F">
      <w:pPr>
        <w:pStyle w:val="FootnoteText"/>
      </w:pPr>
      <w:r w:rsidRPr="00567E5D">
        <w:rPr>
          <w:rStyle w:val="FootnoteReference"/>
          <w:vertAlign w:val="baseline"/>
        </w:rPr>
        <w:footnoteRef/>
      </w:r>
      <w:r w:rsidRPr="00567E5D">
        <w:rPr>
          <w:rStyle w:val="FootnoteReference"/>
          <w:vertAlign w:val="baseline"/>
        </w:rPr>
        <w:t xml:space="preserve"> </w:t>
      </w:r>
      <w:r>
        <w:tab/>
        <w:t>Data as at 30 June 2017.</w:t>
      </w:r>
    </w:p>
  </w:footnote>
  <w:footnote w:id="3">
    <w:p w:rsidR="0027008F" w:rsidRDefault="0027008F" w:rsidP="00656A3A">
      <w:pPr>
        <w:pStyle w:val="FootnoteText"/>
      </w:pPr>
      <w:r w:rsidRPr="00482D1F">
        <w:rPr>
          <w:rStyle w:val="FootnoteReference"/>
          <w:vertAlign w:val="baseline"/>
        </w:rPr>
        <w:footnoteRef/>
      </w:r>
      <w:r>
        <w:t xml:space="preserve"> </w:t>
      </w:r>
      <w:r>
        <w:tab/>
        <w:t>These statistics relate to 18 to 30 year olds unless otherwise stated.</w:t>
      </w:r>
    </w:p>
  </w:footnote>
  <w:footnote w:id="4">
    <w:p w:rsidR="0027008F" w:rsidRDefault="0027008F">
      <w:pPr>
        <w:pStyle w:val="FootnoteText"/>
      </w:pPr>
      <w:r w:rsidRPr="00FB4E31">
        <w:rPr>
          <w:rStyle w:val="FootnoteReference"/>
          <w:vertAlign w:val="baseline"/>
        </w:rPr>
        <w:footnoteRef/>
      </w:r>
      <w:r>
        <w:t xml:space="preserve"> </w:t>
      </w:r>
      <w:r>
        <w:tab/>
        <w:t>‘Potentially eligible’ people</w:t>
      </w:r>
      <w:r w:rsidRPr="002201D7">
        <w:t xml:space="preserve"> </w:t>
      </w:r>
      <w:r>
        <w:t xml:space="preserve">are defined for the purposes of this evaluation as those that </w:t>
      </w:r>
      <w:r w:rsidRPr="002201D7">
        <w:t>left income support during the JCB period</w:t>
      </w:r>
      <w:r>
        <w:t xml:space="preserve"> of operation</w:t>
      </w:r>
      <w:r w:rsidRPr="002201D7">
        <w:t>, their income support history and age met JCB eligibility criteria</w:t>
      </w:r>
      <w:r>
        <w:t>,</w:t>
      </w:r>
      <w:r w:rsidRPr="002201D7">
        <w:t xml:space="preserve"> they remained</w:t>
      </w:r>
      <w:r>
        <w:t xml:space="preserve"> in the labour force and </w:t>
      </w:r>
      <w:r w:rsidRPr="002201D7">
        <w:t>off income support for at least 12 months.</w:t>
      </w:r>
      <w:r>
        <w:t xml:space="preserve"> These individuals are identified for analysis purposes only by the Evaluation Team not by the Department of Human Services JCB operating processes.</w:t>
      </w:r>
    </w:p>
  </w:footnote>
  <w:footnote w:id="5">
    <w:p w:rsidR="0027008F" w:rsidRDefault="0027008F" w:rsidP="002B07CB">
      <w:pPr>
        <w:pStyle w:val="FootnoteText"/>
      </w:pPr>
      <w:r w:rsidRPr="005466FD">
        <w:rPr>
          <w:rStyle w:val="FootnoteReference"/>
          <w:vertAlign w:val="baseline"/>
        </w:rPr>
        <w:footnoteRef/>
      </w:r>
      <w:r w:rsidRPr="005466FD">
        <w:rPr>
          <w:rStyle w:val="FootnoteReference"/>
          <w:vertAlign w:val="baseline"/>
        </w:rPr>
        <w:t xml:space="preserve"> </w:t>
      </w:r>
      <w:r>
        <w:tab/>
        <w:t>See Attachment A for a discussion about hyperbolic discounting.</w:t>
      </w:r>
    </w:p>
  </w:footnote>
  <w:footnote w:id="6">
    <w:p w:rsidR="0027008F" w:rsidRDefault="0027008F" w:rsidP="00B77483">
      <w:pPr>
        <w:pStyle w:val="FootnoteText"/>
      </w:pPr>
      <w:r w:rsidRPr="00466D6B">
        <w:rPr>
          <w:rStyle w:val="FootnoteReference"/>
          <w:vertAlign w:val="baseline"/>
        </w:rPr>
        <w:footnoteRef/>
      </w:r>
      <w:r>
        <w:t xml:space="preserve"> </w:t>
      </w:r>
      <w:r>
        <w:tab/>
        <w:t>See Attachment E for an explanation of Difference in Difference regression analysis (DID).</w:t>
      </w:r>
    </w:p>
  </w:footnote>
  <w:footnote w:id="7">
    <w:p w:rsidR="0027008F" w:rsidRDefault="0027008F" w:rsidP="00B77483">
      <w:pPr>
        <w:pStyle w:val="FootnoteText"/>
      </w:pPr>
      <w:r w:rsidRPr="00B00BFD">
        <w:rPr>
          <w:rStyle w:val="FootnoteReference"/>
          <w:vertAlign w:val="baseline"/>
        </w:rPr>
        <w:footnoteRef/>
      </w:r>
      <w:r w:rsidRPr="0086448C">
        <w:rPr>
          <w:rStyle w:val="FootnoteReference"/>
          <w:vertAlign w:val="baseline"/>
        </w:rPr>
        <w:t xml:space="preserve"> </w:t>
      </w:r>
      <w:r>
        <w:tab/>
        <w:t>See Attachment E for an explanation of Regression Discontinuity Design analysis (RDD).</w:t>
      </w:r>
    </w:p>
  </w:footnote>
  <w:footnote w:id="8">
    <w:p w:rsidR="0027008F" w:rsidRDefault="0027008F">
      <w:pPr>
        <w:pStyle w:val="FootnoteText"/>
      </w:pPr>
      <w:r w:rsidRPr="004B4CAA">
        <w:rPr>
          <w:rStyle w:val="FootnoteReference"/>
          <w:vertAlign w:val="baseline"/>
        </w:rPr>
        <w:footnoteRef/>
      </w:r>
      <w:r w:rsidRPr="00E83551">
        <w:rPr>
          <w:rStyle w:val="FootnoteReference"/>
          <w:vertAlign w:val="baseline"/>
        </w:rPr>
        <w:t xml:space="preserve"> </w:t>
      </w:r>
      <w:r>
        <w:tab/>
        <w:t xml:space="preserve">Deadweight refers to a situation where a person who left income support and remained off income support, would have done so without the </w:t>
      </w:r>
      <w:r>
        <w:rPr>
          <w:color w:val="000000" w:themeColor="text1"/>
        </w:rPr>
        <w:t>JCB incentive.</w:t>
      </w:r>
    </w:p>
  </w:footnote>
  <w:footnote w:id="9">
    <w:p w:rsidR="0027008F" w:rsidRDefault="0027008F" w:rsidP="00A10612">
      <w:pPr>
        <w:pStyle w:val="FootnoteText"/>
      </w:pPr>
      <w:r w:rsidRPr="00101A38">
        <w:rPr>
          <w:rStyle w:val="FootnoteReference"/>
          <w:vertAlign w:val="baseline"/>
        </w:rPr>
        <w:footnoteRef/>
      </w:r>
      <w:r w:rsidRPr="00101A38">
        <w:rPr>
          <w:rStyle w:val="FootnoteReference"/>
          <w:vertAlign w:val="baseline"/>
        </w:rPr>
        <w:t xml:space="preserve"> </w:t>
      </w:r>
      <w:r>
        <w:tab/>
        <w:t>These models control for differences in job seeker characteristics and macro-economic conditions.</w:t>
      </w:r>
    </w:p>
  </w:footnote>
  <w:footnote w:id="10">
    <w:p w:rsidR="0027008F" w:rsidRDefault="0027008F" w:rsidP="001462EC">
      <w:pPr>
        <w:pStyle w:val="FootnoteText"/>
      </w:pPr>
      <w:r w:rsidRPr="00274FE4">
        <w:rPr>
          <w:rStyle w:val="FootnoteReference"/>
          <w:vertAlign w:val="baseline"/>
        </w:rPr>
        <w:footnoteRef/>
      </w:r>
      <w:r w:rsidRPr="00274FE4">
        <w:rPr>
          <w:rStyle w:val="FootnoteReference"/>
          <w:vertAlign w:val="baseline"/>
        </w:rPr>
        <w:t xml:space="preserve"> </w:t>
      </w:r>
      <w:r>
        <w:tab/>
      </w:r>
      <w:r>
        <w:rPr>
          <w:color w:val="000000" w:themeColor="text1"/>
        </w:rPr>
        <w:t>Deadweight in this instance refers to the proportion of people who after sustaining their exit from income support who would have stayed off income support for a further 12 months without the JCB incentive.</w:t>
      </w:r>
    </w:p>
  </w:footnote>
  <w:footnote w:id="11">
    <w:p w:rsidR="0027008F" w:rsidRDefault="0027008F" w:rsidP="001462EC">
      <w:pPr>
        <w:pStyle w:val="FootnoteText"/>
      </w:pPr>
      <w:r w:rsidRPr="002201D7">
        <w:rPr>
          <w:rStyle w:val="FootnoteReference"/>
          <w:vertAlign w:val="baseline"/>
        </w:rPr>
        <w:footnoteRef/>
      </w:r>
      <w:r w:rsidRPr="002201D7">
        <w:t xml:space="preserve"> </w:t>
      </w:r>
      <w:r>
        <w:tab/>
      </w:r>
      <w:r w:rsidRPr="002201D7">
        <w:t>In this report the 12 months bonus is abbreviated as JCB1 and the 24 months bonus as JCB2.</w:t>
      </w:r>
    </w:p>
  </w:footnote>
  <w:footnote w:id="12">
    <w:p w:rsidR="0027008F" w:rsidRDefault="0027008F">
      <w:pPr>
        <w:pStyle w:val="FootnoteText"/>
      </w:pPr>
      <w:r w:rsidRPr="00351E35">
        <w:rPr>
          <w:rStyle w:val="FootnoteReference"/>
          <w:vertAlign w:val="baseline"/>
        </w:rPr>
        <w:footnoteRef/>
      </w:r>
      <w:r w:rsidRPr="0046352D">
        <w:rPr>
          <w:rStyle w:val="FootnoteReference"/>
          <w:vertAlign w:val="baseline"/>
        </w:rPr>
        <w:t xml:space="preserve"> </w:t>
      </w:r>
      <w:r>
        <w:tab/>
        <w:t xml:space="preserve">See Attachment A for a description of the </w:t>
      </w:r>
      <w:r w:rsidRPr="006A1048">
        <w:rPr>
          <w:i/>
        </w:rPr>
        <w:t>Trans-theoretical</w:t>
      </w:r>
      <w:r>
        <w:t xml:space="preserve"> </w:t>
      </w:r>
      <w:r w:rsidRPr="004968D9">
        <w:rPr>
          <w:i/>
        </w:rPr>
        <w:t>Stages of Change</w:t>
      </w:r>
      <w:r>
        <w:t xml:space="preserve"> model.</w:t>
      </w:r>
    </w:p>
  </w:footnote>
  <w:footnote w:id="13">
    <w:p w:rsidR="0027008F" w:rsidRDefault="0027008F" w:rsidP="004E31BA">
      <w:pPr>
        <w:pStyle w:val="FootnoteText"/>
      </w:pPr>
      <w:r w:rsidRPr="004E31BA">
        <w:rPr>
          <w:rStyle w:val="FootnoteReference"/>
          <w:vertAlign w:val="baseline"/>
        </w:rPr>
        <w:footnoteRef/>
      </w:r>
      <w:r>
        <w:t xml:space="preserve"> </w:t>
      </w:r>
      <w:r>
        <w:tab/>
        <w:t>Contacting people close to the date for claiming would only be recommended in situations such as where a financial incentive was one in a series of bonuses (where future preferred behaviour could then be encouraged or potentially influenced by claiming) or where by increasing awareness might improve word-of-mouth promotion of the program among the target cohort. Potential deadweight costs would need to be taken in to consideration.</w:t>
      </w:r>
    </w:p>
  </w:footnote>
  <w:footnote w:id="14">
    <w:p w:rsidR="0027008F" w:rsidRDefault="0027008F">
      <w:pPr>
        <w:pStyle w:val="FootnoteText"/>
      </w:pPr>
      <w:r w:rsidRPr="002219CA">
        <w:footnoteRef/>
      </w:r>
      <w:r>
        <w:t xml:space="preserve"> </w:t>
      </w:r>
      <w:r>
        <w:tab/>
        <w:t>Those on YA(O) are looking for work rather than studying.</w:t>
      </w:r>
    </w:p>
  </w:footnote>
  <w:footnote w:id="15">
    <w:p w:rsidR="0027008F" w:rsidRPr="002F2710" w:rsidRDefault="0027008F" w:rsidP="004968D9">
      <w:pPr>
        <w:pStyle w:val="FootnoteText"/>
        <w:ind w:left="0" w:firstLine="0"/>
      </w:pPr>
      <w:r w:rsidRPr="002F2710">
        <w:footnoteRef/>
      </w:r>
      <w:r w:rsidRPr="002F2710">
        <w:t xml:space="preserve"> </w:t>
      </w:r>
      <w:r w:rsidRPr="002F2710">
        <w:tab/>
        <w:t xml:space="preserve">See Section </w:t>
      </w:r>
      <w:r>
        <w:t>3</w:t>
      </w:r>
      <w:r w:rsidRPr="002F2710">
        <w:t>.1 for details on eligibility criteria.</w:t>
      </w:r>
    </w:p>
  </w:footnote>
  <w:footnote w:id="16">
    <w:p w:rsidR="0027008F" w:rsidRPr="002F2710" w:rsidRDefault="0027008F" w:rsidP="002F2710">
      <w:pPr>
        <w:pStyle w:val="FootnoteText"/>
      </w:pPr>
      <w:r w:rsidRPr="002F2710">
        <w:footnoteRef/>
      </w:r>
      <w:r w:rsidRPr="002F2710">
        <w:t xml:space="preserve"> </w:t>
      </w:r>
      <w:r w:rsidRPr="002F2710">
        <w:tab/>
        <w:t>In this report the 12 months bonus is abbreviated as JCB1 and the 24 months bonus as JCB2.</w:t>
      </w:r>
    </w:p>
  </w:footnote>
  <w:footnote w:id="17">
    <w:p w:rsidR="0027008F" w:rsidRDefault="0027008F">
      <w:pPr>
        <w:pStyle w:val="FootnoteText"/>
      </w:pPr>
      <w:r w:rsidRPr="00234943">
        <w:footnoteRef/>
      </w:r>
      <w:r>
        <w:t xml:space="preserve"> </w:t>
      </w:r>
      <w:r>
        <w:tab/>
        <w:t xml:space="preserve">The deadline was slightly </w:t>
      </w:r>
      <w:r>
        <w:rPr>
          <w:rFonts w:cstheme="minorHAnsi"/>
        </w:rPr>
        <w:t>longer for those with Special Consideration.</w:t>
      </w:r>
    </w:p>
  </w:footnote>
  <w:footnote w:id="18">
    <w:p w:rsidR="0027008F" w:rsidRDefault="0027008F">
      <w:pPr>
        <w:pStyle w:val="FootnoteText"/>
      </w:pPr>
      <w:r w:rsidRPr="004B7208">
        <w:footnoteRef/>
      </w:r>
      <w:r>
        <w:t xml:space="preserve"> </w:t>
      </w:r>
      <w:r>
        <w:tab/>
        <w:t>Now the Department of Jobs and Small Business.</w:t>
      </w:r>
    </w:p>
  </w:footnote>
  <w:footnote w:id="19">
    <w:p w:rsidR="0027008F" w:rsidRPr="002F2710" w:rsidRDefault="0027008F" w:rsidP="002F2710">
      <w:pPr>
        <w:pStyle w:val="FootnoteText"/>
      </w:pPr>
      <w:r w:rsidRPr="002F2710">
        <w:rPr>
          <w:rStyle w:val="FootnoteReference"/>
          <w:vertAlign w:val="baseline"/>
        </w:rPr>
        <w:footnoteRef/>
      </w:r>
      <w:r w:rsidRPr="002F2710">
        <w:t xml:space="preserve"> </w:t>
      </w:r>
      <w:r>
        <w:tab/>
      </w:r>
      <w:r w:rsidRPr="002F2710">
        <w:t xml:space="preserve">The JCB target cohort was </w:t>
      </w:r>
      <w:r>
        <w:t>people</w:t>
      </w:r>
      <w:r w:rsidRPr="002F2710">
        <w:t xml:space="preserve"> aged 18 years to less than 31 years when they exited income support.</w:t>
      </w:r>
    </w:p>
  </w:footnote>
  <w:footnote w:id="20">
    <w:p w:rsidR="0027008F" w:rsidRPr="002F2710" w:rsidRDefault="0027008F" w:rsidP="002F2710">
      <w:pPr>
        <w:pStyle w:val="FootnoteText"/>
      </w:pPr>
      <w:r w:rsidRPr="002F2710">
        <w:rPr>
          <w:rStyle w:val="FootnoteReference"/>
          <w:vertAlign w:val="baseline"/>
        </w:rPr>
        <w:footnoteRef/>
      </w:r>
      <w:r w:rsidRPr="002F2710">
        <w:t xml:space="preserve"> </w:t>
      </w:r>
      <w:r>
        <w:tab/>
      </w:r>
      <w:r w:rsidRPr="002F2710">
        <w:t xml:space="preserve">LTU </w:t>
      </w:r>
      <w:r>
        <w:t xml:space="preserve">are </w:t>
      </w:r>
      <w:r w:rsidRPr="002F2710">
        <w:t>classified as those unemployed for over one year.</w:t>
      </w:r>
    </w:p>
  </w:footnote>
  <w:footnote w:id="21">
    <w:p w:rsidR="0027008F" w:rsidRDefault="0027008F">
      <w:pPr>
        <w:pStyle w:val="FootnoteText"/>
      </w:pPr>
      <w:r w:rsidRPr="00FB76E9">
        <w:rPr>
          <w:rStyle w:val="FootnoteReference"/>
          <w:vertAlign w:val="baseline"/>
        </w:rPr>
        <w:footnoteRef/>
      </w:r>
      <w:r>
        <w:t xml:space="preserve"> </w:t>
      </w:r>
      <w:r>
        <w:tab/>
        <w:t>Labour force participation rates are the percentage of the working age (or other specified population) who are either working or actively seeking work.</w:t>
      </w:r>
    </w:p>
  </w:footnote>
  <w:footnote w:id="22">
    <w:p w:rsidR="0027008F" w:rsidRDefault="0027008F">
      <w:pPr>
        <w:pStyle w:val="FootnoteText"/>
      </w:pPr>
      <w:r w:rsidRPr="00FB76E9">
        <w:rPr>
          <w:rStyle w:val="FootnoteReference"/>
          <w:vertAlign w:val="baseline"/>
        </w:rPr>
        <w:footnoteRef/>
      </w:r>
      <w:r w:rsidRPr="00FB76E9">
        <w:t xml:space="preserve"> </w:t>
      </w:r>
      <w:r>
        <w:tab/>
      </w:r>
      <w:r w:rsidRPr="002F2710">
        <w:t xml:space="preserve">Figure calculated as an average over the course of </w:t>
      </w:r>
      <w:r>
        <w:t xml:space="preserve">the </w:t>
      </w:r>
      <w:r w:rsidRPr="002F2710">
        <w:t>JCB, from July 2014 to December 2016.</w:t>
      </w:r>
    </w:p>
  </w:footnote>
  <w:footnote w:id="23">
    <w:p w:rsidR="0027008F" w:rsidRDefault="0027008F">
      <w:pPr>
        <w:pStyle w:val="FootnoteText"/>
      </w:pPr>
      <w:r w:rsidRPr="00FB76E9">
        <w:rPr>
          <w:rStyle w:val="FootnoteReference"/>
          <w:vertAlign w:val="baseline"/>
        </w:rPr>
        <w:footnoteRef/>
      </w:r>
      <w:r>
        <w:t xml:space="preserve"> </w:t>
      </w:r>
      <w:r>
        <w:tab/>
      </w:r>
      <w:r w:rsidRPr="002F2710">
        <w:t>OECD (2016) Investing in Youth Australia.</w:t>
      </w:r>
    </w:p>
  </w:footnote>
  <w:footnote w:id="24">
    <w:p w:rsidR="0027008F" w:rsidRDefault="0027008F">
      <w:pPr>
        <w:pStyle w:val="FootnoteText"/>
      </w:pPr>
      <w:r w:rsidRPr="00FB76E9">
        <w:rPr>
          <w:rStyle w:val="FootnoteReference"/>
          <w:vertAlign w:val="baseline"/>
        </w:rPr>
        <w:footnoteRef/>
      </w:r>
      <w:r>
        <w:t xml:space="preserve"> </w:t>
      </w:r>
      <w:r>
        <w:tab/>
        <w:t>People aged less than 21 who were receiving YA(O) and who had not yet completed Year 12 or a Certificate II qualification were required to participate in either full-time study or training or in part-time study or training in combination with other activities.</w:t>
      </w:r>
    </w:p>
  </w:footnote>
  <w:footnote w:id="25">
    <w:p w:rsidR="0027008F" w:rsidRPr="002201D7" w:rsidRDefault="0027008F" w:rsidP="002201D7">
      <w:pPr>
        <w:pStyle w:val="FootnoteText"/>
      </w:pPr>
      <w:r w:rsidRPr="002201D7">
        <w:rPr>
          <w:rStyle w:val="FootnoteReference"/>
          <w:vertAlign w:val="baseline"/>
        </w:rPr>
        <w:footnoteRef/>
      </w:r>
      <w:r w:rsidRPr="002201D7">
        <w:t xml:space="preserve"> </w:t>
      </w:r>
      <w:r w:rsidRPr="002201D7">
        <w:tab/>
      </w:r>
      <w:r>
        <w:t>O</w:t>
      </w:r>
      <w:r w:rsidRPr="002201D7">
        <w:t xml:space="preserve">nly people with </w:t>
      </w:r>
      <w:r>
        <w:t>s</w:t>
      </w:r>
      <w:r w:rsidRPr="002201D7">
        <w:t>pecial consideration and final processing of claims received, and decisions on appeals lodged will change these figures.</w:t>
      </w:r>
    </w:p>
  </w:footnote>
  <w:footnote w:id="26">
    <w:p w:rsidR="0027008F" w:rsidRDefault="0027008F" w:rsidP="00B30F5E">
      <w:pPr>
        <w:pStyle w:val="FootnoteText"/>
      </w:pPr>
      <w:r w:rsidRPr="004C5B83">
        <w:rPr>
          <w:rStyle w:val="FootnoteReference"/>
          <w:vertAlign w:val="baseline"/>
        </w:rPr>
        <w:footnoteRef/>
      </w:r>
      <w:r>
        <w:t xml:space="preserve"> </w:t>
      </w:r>
      <w:r>
        <w:tab/>
        <w:t xml:space="preserve">As each round of qualitative research had a different design, the nomenclature for quotations is not the same: </w:t>
      </w:r>
    </w:p>
    <w:p w:rsidR="0027008F" w:rsidRDefault="0027008F" w:rsidP="00E3205B">
      <w:pPr>
        <w:pStyle w:val="FootnoteText"/>
        <w:numPr>
          <w:ilvl w:val="0"/>
          <w:numId w:val="78"/>
        </w:numPr>
      </w:pPr>
      <w:r>
        <w:t>March 2015 fieldwork quotes reference: date, gender, age, location and labour force status</w:t>
      </w:r>
    </w:p>
    <w:p w:rsidR="0027008F" w:rsidRDefault="0027008F" w:rsidP="00E3205B">
      <w:pPr>
        <w:pStyle w:val="FootnoteText"/>
        <w:numPr>
          <w:ilvl w:val="0"/>
          <w:numId w:val="78"/>
        </w:numPr>
      </w:pPr>
      <w:r>
        <w:t>November 2015 fieldwork quotes reference: date, JCB claim status, gender, age and location</w:t>
      </w:r>
    </w:p>
    <w:p w:rsidR="0027008F" w:rsidRDefault="0027008F" w:rsidP="00E3205B">
      <w:pPr>
        <w:pStyle w:val="FootnoteText"/>
        <w:numPr>
          <w:ilvl w:val="0"/>
          <w:numId w:val="78"/>
        </w:numPr>
      </w:pPr>
      <w:r>
        <w:t>October 2016 fieldwork quotes reference: date, JCB claim status, collection method, location</w:t>
      </w:r>
    </w:p>
    <w:p w:rsidR="0027008F" w:rsidRDefault="0027008F" w:rsidP="00E3205B">
      <w:pPr>
        <w:pStyle w:val="FootnoteText"/>
        <w:numPr>
          <w:ilvl w:val="0"/>
          <w:numId w:val="78"/>
        </w:numPr>
      </w:pPr>
      <w:r w:rsidRPr="00B57FD6">
        <w:t>July 2017 fieldwork quotes reference: date</w:t>
      </w:r>
      <w:r>
        <w:t>, category, age group, gender, location.</w:t>
      </w:r>
    </w:p>
  </w:footnote>
  <w:footnote w:id="27">
    <w:p w:rsidR="0027008F" w:rsidRDefault="0027008F">
      <w:pPr>
        <w:pStyle w:val="FootnoteText"/>
      </w:pPr>
      <w:r w:rsidRPr="004968D9">
        <w:footnoteRef/>
      </w:r>
      <w:r>
        <w:t xml:space="preserve"> </w:t>
      </w:r>
      <w:r>
        <w:tab/>
      </w:r>
      <w:r w:rsidRPr="00F505F0">
        <w:rPr>
          <w:i/>
        </w:rPr>
        <w:t>Social Security Legislation Amendment (Increased Employment Participation) Act 2014</w:t>
      </w:r>
      <w:r>
        <w:t xml:space="preserve">. The bill for this Act made amendments to the </w:t>
      </w:r>
      <w:r w:rsidRPr="00F505F0">
        <w:rPr>
          <w:i/>
        </w:rPr>
        <w:t>Social Security Act 1991</w:t>
      </w:r>
      <w:r>
        <w:t xml:space="preserve">, the </w:t>
      </w:r>
      <w:r w:rsidRPr="00F505F0">
        <w:rPr>
          <w:i/>
        </w:rPr>
        <w:t>Social Security (Administration) Act 1999</w:t>
      </w:r>
      <w:r>
        <w:t xml:space="preserve"> and the </w:t>
      </w:r>
      <w:r w:rsidRPr="00F505F0">
        <w:rPr>
          <w:i/>
        </w:rPr>
        <w:t xml:space="preserve">Income Tax Assessment Act 1997 </w:t>
      </w:r>
      <w:r>
        <w:t>(making the JCB exempt from income tax).</w:t>
      </w:r>
    </w:p>
  </w:footnote>
  <w:footnote w:id="28">
    <w:p w:rsidR="0027008F" w:rsidRPr="002201D7" w:rsidRDefault="0027008F" w:rsidP="002201D7">
      <w:pPr>
        <w:pStyle w:val="FootnoteText"/>
      </w:pPr>
      <w:r w:rsidRPr="002201D7">
        <w:rPr>
          <w:rStyle w:val="FootnoteReference"/>
          <w:vertAlign w:val="baseline"/>
        </w:rPr>
        <w:footnoteRef/>
      </w:r>
      <w:r w:rsidRPr="002201D7">
        <w:t xml:space="preserve"> </w:t>
      </w:r>
      <w:r w:rsidRPr="002201D7">
        <w:tab/>
        <w:t>Options included the date of the last income support payment was made and the date that the income support was cancelled by DHS</w:t>
      </w:r>
      <w:r>
        <w:t>.</w:t>
      </w:r>
    </w:p>
  </w:footnote>
  <w:footnote w:id="29">
    <w:p w:rsidR="0027008F" w:rsidRDefault="0027008F">
      <w:pPr>
        <w:pStyle w:val="FootnoteText"/>
      </w:pPr>
      <w:r w:rsidRPr="0051451F">
        <w:rPr>
          <w:rStyle w:val="FootnoteReference"/>
          <w:vertAlign w:val="baseline"/>
        </w:rPr>
        <w:footnoteRef/>
      </w:r>
      <w:r>
        <w:t xml:space="preserve"> </w:t>
      </w:r>
      <w:r>
        <w:tab/>
        <w:t xml:space="preserve">The appearance of this link may have contributed to deadweight, as those previously unaware of the bonus may have applied after seeing the link. See Section 4.5.1 for estimation of deadweight levels for this program. </w:t>
      </w:r>
      <w:r>
        <w:rPr>
          <w:color w:val="000000" w:themeColor="text1"/>
        </w:rPr>
        <w:t>Deadweight refers to the proportion of people who sustained their exit from income support, who would have done so without the JCB incentive.</w:t>
      </w:r>
    </w:p>
  </w:footnote>
  <w:footnote w:id="30">
    <w:p w:rsidR="0027008F" w:rsidRPr="002201D7" w:rsidRDefault="0027008F" w:rsidP="002201D7">
      <w:pPr>
        <w:pStyle w:val="FootnoteText"/>
      </w:pPr>
      <w:r w:rsidRPr="002201D7">
        <w:rPr>
          <w:rStyle w:val="FootnoteReference"/>
          <w:vertAlign w:val="baseline"/>
        </w:rPr>
        <w:footnoteRef/>
      </w:r>
      <w:r w:rsidRPr="002201D7">
        <w:t xml:space="preserve"> </w:t>
      </w:r>
      <w:r w:rsidRPr="002201D7">
        <w:tab/>
        <w:t>An online portal used by DoE to provide information to providers.</w:t>
      </w:r>
    </w:p>
    <w:p w:rsidR="0027008F" w:rsidRDefault="0027008F">
      <w:pPr>
        <w:pStyle w:val="FootnoteText"/>
      </w:pPr>
    </w:p>
  </w:footnote>
  <w:footnote w:id="31">
    <w:p w:rsidR="0027008F" w:rsidRPr="002201D7" w:rsidRDefault="0027008F" w:rsidP="002201D7">
      <w:pPr>
        <w:pStyle w:val="FootnoteText"/>
      </w:pPr>
      <w:r w:rsidRPr="002201D7">
        <w:footnoteRef/>
      </w:r>
      <w:r w:rsidRPr="002201D7">
        <w:t xml:space="preserve"> </w:t>
      </w:r>
      <w:r w:rsidRPr="002201D7">
        <w:tab/>
      </w:r>
      <w:r>
        <w:t>In the round two fieldwork, s</w:t>
      </w:r>
      <w:r w:rsidRPr="002201D7">
        <w:t>even of the participants had received the bonus and three had their claim rejected.</w:t>
      </w:r>
    </w:p>
  </w:footnote>
  <w:footnote w:id="32">
    <w:p w:rsidR="0027008F" w:rsidRPr="002201D7" w:rsidRDefault="0027008F" w:rsidP="002201D7">
      <w:pPr>
        <w:pStyle w:val="FootnoteText"/>
      </w:pPr>
      <w:r w:rsidRPr="002201D7">
        <w:footnoteRef/>
      </w:r>
      <w:r w:rsidRPr="002201D7">
        <w:t xml:space="preserve"> </w:t>
      </w:r>
      <w:r w:rsidRPr="002201D7">
        <w:tab/>
        <w:t>Based on data available as at 3 April 2017</w:t>
      </w:r>
      <w:r>
        <w:t>, which was the latest claims data available at the time the analysis was conducted for this report.</w:t>
      </w:r>
    </w:p>
  </w:footnote>
  <w:footnote w:id="33">
    <w:p w:rsidR="0027008F" w:rsidRPr="002201D7" w:rsidRDefault="0027008F" w:rsidP="002201D7">
      <w:pPr>
        <w:pStyle w:val="FootnoteText"/>
      </w:pPr>
      <w:r w:rsidRPr="002201D7">
        <w:footnoteRef/>
      </w:r>
      <w:r w:rsidRPr="002201D7">
        <w:t xml:space="preserve"> </w:t>
      </w:r>
      <w:r w:rsidRPr="002201D7">
        <w:tab/>
        <w:t>Based on data available as at 3 April 2017</w:t>
      </w:r>
      <w:r>
        <w:t>, which was the latest claims data available at the time the analysis was conducted for this report.</w:t>
      </w:r>
    </w:p>
  </w:footnote>
  <w:footnote w:id="34">
    <w:p w:rsidR="0027008F" w:rsidRPr="002201D7" w:rsidRDefault="0027008F" w:rsidP="002201D7">
      <w:pPr>
        <w:pStyle w:val="FootnoteText"/>
      </w:pPr>
      <w:r w:rsidRPr="002201D7">
        <w:rPr>
          <w:rStyle w:val="FootnoteReference"/>
          <w:vertAlign w:val="baseline"/>
        </w:rPr>
        <w:footnoteRef/>
      </w:r>
      <w:r w:rsidRPr="002201D7">
        <w:t xml:space="preserve"> </w:t>
      </w:r>
      <w:r w:rsidRPr="002201D7">
        <w:tab/>
      </w:r>
      <w:r>
        <w:t>‘Potentially eligible’ people</w:t>
      </w:r>
      <w:r w:rsidRPr="002201D7">
        <w:t xml:space="preserve"> </w:t>
      </w:r>
      <w:r>
        <w:t xml:space="preserve">are defined for the purposes of this evaluation as those that </w:t>
      </w:r>
      <w:r w:rsidRPr="002201D7">
        <w:t>left income support during the JCB period</w:t>
      </w:r>
      <w:r>
        <w:t xml:space="preserve"> of operation</w:t>
      </w:r>
      <w:r w:rsidRPr="002201D7">
        <w:t>, their income support history and age met JCB eligibility criteria</w:t>
      </w:r>
      <w:r>
        <w:t>,</w:t>
      </w:r>
      <w:r w:rsidRPr="002201D7">
        <w:t xml:space="preserve"> they remained</w:t>
      </w:r>
      <w:r>
        <w:t xml:space="preserve"> in the labour force and </w:t>
      </w:r>
      <w:r w:rsidRPr="002201D7">
        <w:t>off income support for at least 12 months.</w:t>
      </w:r>
      <w:r>
        <w:t xml:space="preserve"> These individuals are identified for analysis purposes only by the Evaluation Team not by the Department of Human Services JCB operating processes.</w:t>
      </w:r>
    </w:p>
  </w:footnote>
  <w:footnote w:id="35">
    <w:p w:rsidR="0027008F" w:rsidRPr="000211B0" w:rsidRDefault="0027008F">
      <w:pPr>
        <w:pStyle w:val="FootnoteText"/>
      </w:pPr>
      <w:r w:rsidRPr="000211B0">
        <w:rPr>
          <w:rStyle w:val="FootnoteReference"/>
          <w:vertAlign w:val="baseline"/>
        </w:rPr>
        <w:footnoteRef/>
      </w:r>
      <w:r w:rsidRPr="000211B0">
        <w:t xml:space="preserve"> </w:t>
      </w:r>
      <w:r>
        <w:tab/>
        <w:t>The JCB claim rate is the proportion of ‘potentially eligible’ people who actually lodged a claim</w:t>
      </w:r>
    </w:p>
  </w:footnote>
  <w:footnote w:id="36">
    <w:p w:rsidR="0027008F" w:rsidRDefault="0027008F">
      <w:pPr>
        <w:pStyle w:val="FootnoteText"/>
      </w:pPr>
      <w:r w:rsidRPr="0051451F">
        <w:rPr>
          <w:rStyle w:val="FootnoteReference"/>
          <w:vertAlign w:val="baseline"/>
        </w:rPr>
        <w:footnoteRef/>
      </w:r>
      <w:r w:rsidRPr="0051451F">
        <w:rPr>
          <w:rStyle w:val="FootnoteReference"/>
          <w:vertAlign w:val="baseline"/>
        </w:rPr>
        <w:t xml:space="preserve"> </w:t>
      </w:r>
      <w:r>
        <w:tab/>
        <w:t xml:space="preserve">The situation may have contributed to deadweight. Those who had reached the 12 months off income support milestone may have applied for the bonus yet would not have had they remained unaware of the bonus without this ‘timely’ correspondence. See Section 4.5.1 for estimation of deadweight levels for this program. </w:t>
      </w:r>
    </w:p>
  </w:footnote>
  <w:footnote w:id="37">
    <w:p w:rsidR="0027008F" w:rsidRDefault="0027008F">
      <w:pPr>
        <w:pStyle w:val="FootnoteText"/>
      </w:pPr>
      <w:r w:rsidRPr="004A601B">
        <w:rPr>
          <w:rStyle w:val="FootnoteReference"/>
          <w:vertAlign w:val="baseline"/>
        </w:rPr>
        <w:footnoteRef/>
      </w:r>
      <w:r w:rsidRPr="004A601B">
        <w:rPr>
          <w:rStyle w:val="FootnoteReference"/>
          <w:vertAlign w:val="baseline"/>
        </w:rPr>
        <w:t xml:space="preserve"> </w:t>
      </w:r>
      <w:r>
        <w:tab/>
        <w:t>Those who received electronic reminder messages in early 2016 would have exited income support 12 months earlier, in early 2015.</w:t>
      </w:r>
    </w:p>
  </w:footnote>
  <w:footnote w:id="38">
    <w:p w:rsidR="0027008F" w:rsidRPr="002201D7" w:rsidRDefault="0027008F" w:rsidP="002201D7">
      <w:pPr>
        <w:pStyle w:val="FootnoteText"/>
      </w:pPr>
      <w:r w:rsidRPr="002201D7">
        <w:footnoteRef/>
      </w:r>
      <w:r w:rsidRPr="002201D7">
        <w:t xml:space="preserve"> </w:t>
      </w:r>
      <w:r w:rsidRPr="002201D7">
        <w:tab/>
        <w:t>As the overall average (which included the first six months period that the rate was 47 per cent) to that time was 54 per cent.</w:t>
      </w:r>
    </w:p>
  </w:footnote>
  <w:footnote w:id="39">
    <w:p w:rsidR="0027008F" w:rsidRDefault="0027008F">
      <w:pPr>
        <w:pStyle w:val="FootnoteText"/>
      </w:pPr>
      <w:r w:rsidRPr="002B6511">
        <w:rPr>
          <w:rStyle w:val="FootnoteReference"/>
          <w:vertAlign w:val="baseline"/>
        </w:rPr>
        <w:footnoteRef/>
      </w:r>
      <w:r w:rsidRPr="00622A43">
        <w:rPr>
          <w:sz w:val="28"/>
        </w:rPr>
        <w:t xml:space="preserve"> </w:t>
      </w:r>
      <w:r>
        <w:tab/>
      </w:r>
      <w:r>
        <w:rPr>
          <w:color w:val="000000" w:themeColor="text1"/>
        </w:rPr>
        <w:t>Between 1 July 2014 and 31 December 2014.</w:t>
      </w:r>
    </w:p>
  </w:footnote>
  <w:footnote w:id="40">
    <w:p w:rsidR="0027008F" w:rsidRDefault="0027008F">
      <w:pPr>
        <w:pStyle w:val="FootnoteText"/>
      </w:pPr>
      <w:r w:rsidRPr="002B6511">
        <w:rPr>
          <w:rStyle w:val="FootnoteReference"/>
          <w:vertAlign w:val="baseline"/>
        </w:rPr>
        <w:footnoteRef/>
      </w:r>
      <w:r w:rsidRPr="002B6511">
        <w:t xml:space="preserve"> </w:t>
      </w:r>
      <w:r>
        <w:rPr>
          <w:color w:val="000000" w:themeColor="text1"/>
        </w:rPr>
        <w:tab/>
        <w:t>Allowing for the 90 day claim window.</w:t>
      </w:r>
    </w:p>
  </w:footnote>
  <w:footnote w:id="41">
    <w:p w:rsidR="0027008F" w:rsidRPr="002201D7" w:rsidRDefault="0027008F" w:rsidP="002201D7">
      <w:pPr>
        <w:pStyle w:val="FootnoteText"/>
      </w:pPr>
      <w:r w:rsidRPr="002201D7">
        <w:rPr>
          <w:rStyle w:val="FootnoteReference"/>
          <w:vertAlign w:val="baseline"/>
        </w:rPr>
        <w:footnoteRef/>
      </w:r>
      <w:r w:rsidRPr="002201D7">
        <w:t xml:space="preserve"> </w:t>
      </w:r>
      <w:r w:rsidRPr="002201D7">
        <w:tab/>
        <w:t xml:space="preserve">This deadline could also be extended if </w:t>
      </w:r>
      <w:r>
        <w:t>s</w:t>
      </w:r>
      <w:r w:rsidRPr="002201D7">
        <w:t xml:space="preserve">pecial </w:t>
      </w:r>
      <w:r>
        <w:t>c</w:t>
      </w:r>
      <w:r w:rsidRPr="002201D7">
        <w:t>onsideration was granted.</w:t>
      </w:r>
    </w:p>
  </w:footnote>
  <w:footnote w:id="42">
    <w:p w:rsidR="0027008F" w:rsidRDefault="0027008F">
      <w:pPr>
        <w:pStyle w:val="FootnoteText"/>
      </w:pPr>
      <w:r w:rsidRPr="00EC754C">
        <w:rPr>
          <w:rStyle w:val="FootnoteReference"/>
          <w:vertAlign w:val="baseline"/>
        </w:rPr>
        <w:footnoteRef/>
      </w:r>
      <w:r w:rsidRPr="00EC754C">
        <w:t xml:space="preserve"> </w:t>
      </w:r>
      <w:r>
        <w:tab/>
      </w:r>
      <w:r>
        <w:rPr>
          <w:color w:val="000000" w:themeColor="text1"/>
        </w:rPr>
        <w:t>Excluding those who withdrew claims.</w:t>
      </w:r>
    </w:p>
  </w:footnote>
  <w:footnote w:id="43">
    <w:p w:rsidR="0027008F" w:rsidRPr="002201D7" w:rsidRDefault="0027008F" w:rsidP="002201D7">
      <w:pPr>
        <w:pStyle w:val="FootnoteText"/>
      </w:pPr>
      <w:r w:rsidRPr="002201D7">
        <w:rPr>
          <w:rStyle w:val="FootnoteReference"/>
          <w:vertAlign w:val="baseline"/>
        </w:rPr>
        <w:footnoteRef/>
      </w:r>
      <w:r w:rsidRPr="002201D7">
        <w:t xml:space="preserve"> </w:t>
      </w:r>
      <w:r w:rsidRPr="002201D7">
        <w:tab/>
        <w:t>Continuously on NSA, YA(O) or a combination of both until exit from income support.</w:t>
      </w:r>
    </w:p>
  </w:footnote>
  <w:footnote w:id="44">
    <w:p w:rsidR="0027008F" w:rsidRDefault="0027008F">
      <w:pPr>
        <w:pStyle w:val="FootnoteText"/>
      </w:pPr>
      <w:r w:rsidRPr="00301FD0">
        <w:rPr>
          <w:rStyle w:val="FootnoteReference"/>
          <w:vertAlign w:val="baseline"/>
        </w:rPr>
        <w:footnoteRef/>
      </w:r>
      <w:r>
        <w:t xml:space="preserve"> </w:t>
      </w:r>
      <w:r>
        <w:tab/>
      </w:r>
      <w:r w:rsidRPr="00B92253">
        <w:rPr>
          <w:color w:val="000000" w:themeColor="text1"/>
        </w:rPr>
        <w:t xml:space="preserve">39.8 per cent </w:t>
      </w:r>
      <w:r>
        <w:rPr>
          <w:color w:val="000000" w:themeColor="text1"/>
        </w:rPr>
        <w:t xml:space="preserve">of claimants </w:t>
      </w:r>
      <w:r w:rsidRPr="00B92253">
        <w:rPr>
          <w:color w:val="000000" w:themeColor="text1"/>
        </w:rPr>
        <w:t>had TAFE/Diploma level qualifications and a further 14.7 per cent had a degree or equivalent</w:t>
      </w:r>
      <w:r>
        <w:rPr>
          <w:color w:val="000000" w:themeColor="text1"/>
        </w:rPr>
        <w:t>.</w:t>
      </w:r>
    </w:p>
  </w:footnote>
  <w:footnote w:id="45">
    <w:p w:rsidR="0027008F" w:rsidRPr="002201D7" w:rsidRDefault="0027008F" w:rsidP="00841475">
      <w:pPr>
        <w:pStyle w:val="FootnoteText"/>
      </w:pPr>
      <w:r w:rsidRPr="002201D7">
        <w:rPr>
          <w:rStyle w:val="FootnoteReference"/>
          <w:vertAlign w:val="baseline"/>
        </w:rPr>
        <w:footnoteRef/>
      </w:r>
      <w:r w:rsidRPr="002201D7">
        <w:t xml:space="preserve"> </w:t>
      </w:r>
      <w:r w:rsidRPr="002201D7">
        <w:tab/>
        <w:t xml:space="preserve">Potentially eligible people are those who left income support during the JCB period, their income support history and age met JCB eligibility criteria, who remained off income support for at least 12 months. </w:t>
      </w:r>
      <w:r>
        <w:t>Post Program Monitoring (</w:t>
      </w:r>
      <w:r w:rsidRPr="002201D7">
        <w:t>PPM</w:t>
      </w:r>
      <w:r>
        <w:t>) JCB data</w:t>
      </w:r>
      <w:r w:rsidRPr="002201D7">
        <w:t xml:space="preserve"> estimates of the proportions that remained in the labour force and had continuous employment used in this analysis do not vary by demographic group.</w:t>
      </w:r>
    </w:p>
  </w:footnote>
  <w:footnote w:id="46">
    <w:p w:rsidR="0027008F" w:rsidRDefault="0027008F" w:rsidP="003C341F">
      <w:pPr>
        <w:pStyle w:val="FootnoteText"/>
      </w:pPr>
      <w:r w:rsidRPr="004968D9">
        <w:footnoteRef/>
      </w:r>
      <w:r w:rsidRPr="002D73EE">
        <w:t xml:space="preserve"> </w:t>
      </w:r>
      <w:r>
        <w:tab/>
        <w:t>The Employment Pathway Fund operated under JSA. A similar fund operates under jobactive. It is called the Employment Fund (EF).</w:t>
      </w:r>
    </w:p>
  </w:footnote>
  <w:footnote w:id="47">
    <w:p w:rsidR="0027008F" w:rsidRDefault="0027008F">
      <w:pPr>
        <w:pStyle w:val="FootnoteText"/>
      </w:pPr>
      <w:r w:rsidRPr="006F3667">
        <w:footnoteRef/>
      </w:r>
      <w:r>
        <w:t xml:space="preserve"> </w:t>
      </w:r>
      <w:r>
        <w:tab/>
        <w:t>The study population selected for this analysis was chosen to avoid issues with the change of model to jobactive from 1 July 2015 and consequential changes to the Employment Fund (which differs in operation compared with the EPF fund under JSA).</w:t>
      </w:r>
    </w:p>
  </w:footnote>
  <w:footnote w:id="48">
    <w:p w:rsidR="0027008F" w:rsidRDefault="0027008F">
      <w:pPr>
        <w:pStyle w:val="FootnoteText"/>
      </w:pPr>
      <w:r>
        <w:rPr>
          <w:rStyle w:val="FootnoteReference"/>
        </w:rPr>
        <w:footnoteRef/>
      </w:r>
      <w:r>
        <w:t xml:space="preserve"> </w:t>
      </w:r>
      <w:r>
        <w:tab/>
        <w:t>Results of analysis provided in Attachment F, Table F.5.</w:t>
      </w:r>
    </w:p>
  </w:footnote>
  <w:footnote w:id="49">
    <w:p w:rsidR="0027008F" w:rsidRDefault="0027008F" w:rsidP="00602B02">
      <w:pPr>
        <w:pStyle w:val="FootnoteText"/>
      </w:pPr>
      <w:r w:rsidRPr="002201D7">
        <w:rPr>
          <w:rStyle w:val="FootnoteReference"/>
          <w:vertAlign w:val="baseline"/>
        </w:rPr>
        <w:footnoteRef/>
      </w:r>
      <w:r w:rsidRPr="002201D7">
        <w:t xml:space="preserve"> </w:t>
      </w:r>
      <w:r w:rsidRPr="002201D7">
        <w:tab/>
        <w:t xml:space="preserve">The communication strategy </w:t>
      </w:r>
      <w:r>
        <w:t xml:space="preserve">and other methods of communication of the JCB are </w:t>
      </w:r>
      <w:r w:rsidRPr="002201D7">
        <w:t>discussed in Section 3.3.</w:t>
      </w:r>
    </w:p>
  </w:footnote>
  <w:footnote w:id="50">
    <w:p w:rsidR="0027008F" w:rsidRPr="002201D7" w:rsidRDefault="0027008F" w:rsidP="002201D7">
      <w:pPr>
        <w:pStyle w:val="FootnoteText"/>
      </w:pPr>
      <w:r w:rsidRPr="002201D7">
        <w:footnoteRef/>
      </w:r>
      <w:r w:rsidRPr="002201D7">
        <w:t xml:space="preserve"> </w:t>
      </w:r>
      <w:r w:rsidRPr="002201D7">
        <w:tab/>
        <w:t>Approved, rejected or being processed status at 3 October 2016.</w:t>
      </w:r>
    </w:p>
  </w:footnote>
  <w:footnote w:id="51">
    <w:p w:rsidR="0027008F" w:rsidRDefault="0027008F">
      <w:pPr>
        <w:pStyle w:val="FootnoteText"/>
      </w:pPr>
      <w:r w:rsidRPr="00457608">
        <w:rPr>
          <w:rStyle w:val="FootnoteReference"/>
          <w:vertAlign w:val="baseline"/>
        </w:rPr>
        <w:footnoteRef/>
      </w:r>
      <w:r w:rsidRPr="00457608">
        <w:rPr>
          <w:rStyle w:val="FootnoteReference"/>
          <w:vertAlign w:val="baseline"/>
        </w:rPr>
        <w:t xml:space="preserve"> </w:t>
      </w:r>
      <w:r>
        <w:tab/>
      </w:r>
      <w:r w:rsidRPr="00457608">
        <w:t>Rose, J. and Morstyn, L., 2013</w:t>
      </w:r>
    </w:p>
  </w:footnote>
  <w:footnote w:id="52">
    <w:p w:rsidR="0027008F" w:rsidRDefault="0027008F">
      <w:pPr>
        <w:pStyle w:val="FootnoteText"/>
      </w:pPr>
      <w:r w:rsidRPr="00457608">
        <w:rPr>
          <w:rStyle w:val="FootnoteReference"/>
          <w:vertAlign w:val="baseline"/>
        </w:rPr>
        <w:footnoteRef/>
      </w:r>
      <w:r w:rsidRPr="00457608">
        <w:rPr>
          <w:rStyle w:val="FootnoteReference"/>
          <w:vertAlign w:val="baseline"/>
        </w:rPr>
        <w:t xml:space="preserve"> </w:t>
      </w:r>
      <w:r>
        <w:tab/>
        <w:t>The majority of participants were aged between 18 and 25 years.</w:t>
      </w:r>
    </w:p>
  </w:footnote>
  <w:footnote w:id="53">
    <w:p w:rsidR="0027008F" w:rsidRDefault="0027008F" w:rsidP="002201D7">
      <w:pPr>
        <w:pStyle w:val="FootnoteText"/>
      </w:pPr>
      <w:r w:rsidRPr="002201D7">
        <w:rPr>
          <w:rStyle w:val="FootnoteReference"/>
          <w:vertAlign w:val="baseline"/>
        </w:rPr>
        <w:footnoteRef/>
      </w:r>
      <w:r w:rsidRPr="002201D7">
        <w:tab/>
        <w:t>In regional areas, recruitment of employed persons for focus groups was more problematic and as consequence focus groups were conducted for 18 to 30 year olds rather than split by age as they were in metropolitan areas.</w:t>
      </w:r>
    </w:p>
  </w:footnote>
  <w:footnote w:id="54">
    <w:p w:rsidR="0027008F" w:rsidRPr="002201D7" w:rsidRDefault="0027008F" w:rsidP="002201D7">
      <w:pPr>
        <w:pStyle w:val="FootnoteText"/>
      </w:pPr>
      <w:r w:rsidRPr="002201D7">
        <w:rPr>
          <w:rStyle w:val="FootnoteReference"/>
          <w:vertAlign w:val="baseline"/>
        </w:rPr>
        <w:footnoteRef/>
      </w:r>
      <w:r w:rsidRPr="002201D7">
        <w:t xml:space="preserve"> </w:t>
      </w:r>
      <w:r w:rsidRPr="002201D7">
        <w:tab/>
        <w:t>Based on monitoring information for claims lodged and approved after 1 July 2016. Equivalent information was not available for earlier claims.</w:t>
      </w:r>
    </w:p>
  </w:footnote>
  <w:footnote w:id="55">
    <w:p w:rsidR="0027008F" w:rsidRDefault="0027008F">
      <w:pPr>
        <w:pStyle w:val="FootnoteText"/>
      </w:pPr>
      <w:r w:rsidRPr="00E0013D">
        <w:rPr>
          <w:rStyle w:val="FootnoteReference"/>
          <w:vertAlign w:val="baseline"/>
        </w:rPr>
        <w:footnoteRef/>
      </w:r>
      <w:r w:rsidRPr="00E0013D">
        <w:rPr>
          <w:rStyle w:val="FootnoteReference"/>
          <w:vertAlign w:val="baseline"/>
        </w:rPr>
        <w:t xml:space="preserve"> </w:t>
      </w:r>
      <w:r>
        <w:tab/>
        <w:t>For instance, the maximum of a five day break criterion between jobs.</w:t>
      </w:r>
    </w:p>
  </w:footnote>
  <w:footnote w:id="56">
    <w:p w:rsidR="0027008F" w:rsidRDefault="0027008F" w:rsidP="00E64E71">
      <w:pPr>
        <w:pStyle w:val="FootnoteText"/>
      </w:pPr>
      <w:r w:rsidRPr="00C60FFE">
        <w:rPr>
          <w:rStyle w:val="FootnoteReference"/>
          <w:vertAlign w:val="baseline"/>
        </w:rPr>
        <w:footnoteRef/>
      </w:r>
      <w:r w:rsidRPr="00C60FFE">
        <w:rPr>
          <w:rStyle w:val="FootnoteReference"/>
          <w:vertAlign w:val="baseline"/>
        </w:rPr>
        <w:t xml:space="preserve"> </w:t>
      </w:r>
      <w:r>
        <w:tab/>
        <w:t>This difference is statistically significant.</w:t>
      </w:r>
    </w:p>
  </w:footnote>
  <w:footnote w:id="57">
    <w:p w:rsidR="0027008F" w:rsidRDefault="0027008F" w:rsidP="00E64E71">
      <w:pPr>
        <w:pStyle w:val="FootnoteText"/>
      </w:pPr>
      <w:r w:rsidRPr="00C60FFE">
        <w:rPr>
          <w:rStyle w:val="FootnoteReference"/>
          <w:vertAlign w:val="baseline"/>
        </w:rPr>
        <w:footnoteRef/>
      </w:r>
      <w:r w:rsidRPr="00C60FFE">
        <w:rPr>
          <w:rStyle w:val="FootnoteReference"/>
          <w:vertAlign w:val="baseline"/>
        </w:rPr>
        <w:t xml:space="preserve"> </w:t>
      </w:r>
      <w:r>
        <w:tab/>
        <w:t>This difference is statistically significant.</w:t>
      </w:r>
    </w:p>
  </w:footnote>
  <w:footnote w:id="58">
    <w:p w:rsidR="0027008F" w:rsidRDefault="0027008F" w:rsidP="00A451F1">
      <w:pPr>
        <w:pStyle w:val="FootnoteText"/>
      </w:pPr>
      <w:r w:rsidRPr="00C60FFE">
        <w:rPr>
          <w:rStyle w:val="FootnoteReference"/>
          <w:vertAlign w:val="baseline"/>
        </w:rPr>
        <w:footnoteRef/>
      </w:r>
      <w:r w:rsidRPr="00C60FFE">
        <w:rPr>
          <w:rStyle w:val="FootnoteReference"/>
          <w:vertAlign w:val="baseline"/>
        </w:rPr>
        <w:t xml:space="preserve"> </w:t>
      </w:r>
      <w:r>
        <w:tab/>
        <w:t>This difference is statistically significant.</w:t>
      </w:r>
    </w:p>
  </w:footnote>
  <w:footnote w:id="59">
    <w:p w:rsidR="0027008F" w:rsidRDefault="0027008F">
      <w:pPr>
        <w:pStyle w:val="FootnoteText"/>
      </w:pPr>
      <w:r w:rsidRPr="005466FD">
        <w:rPr>
          <w:rStyle w:val="FootnoteReference"/>
          <w:vertAlign w:val="baseline"/>
        </w:rPr>
        <w:footnoteRef/>
      </w:r>
      <w:r w:rsidRPr="005466FD">
        <w:rPr>
          <w:rStyle w:val="FootnoteReference"/>
          <w:vertAlign w:val="baseline"/>
        </w:rPr>
        <w:t xml:space="preserve"> </w:t>
      </w:r>
      <w:r>
        <w:tab/>
        <w:t>See Attachment A for a discussion about hyperbolic discounting.</w:t>
      </w:r>
    </w:p>
  </w:footnote>
  <w:footnote w:id="60">
    <w:p w:rsidR="0027008F" w:rsidRDefault="0027008F" w:rsidP="004968D9">
      <w:pPr>
        <w:pStyle w:val="FootnoteText"/>
      </w:pPr>
      <w:r w:rsidRPr="004968D9">
        <w:rPr>
          <w:rStyle w:val="FootnoteReference"/>
          <w:vertAlign w:val="baseline"/>
        </w:rPr>
        <w:footnoteRef/>
      </w:r>
      <w:r>
        <w:t xml:space="preserve"> </w:t>
      </w:r>
      <w:r>
        <w:tab/>
        <w:t>The actual relationship may not be linear. A linear discount rate is used to simplify the example. Refer to Attachment A where hyperbolic discounting is discussed. Hyperbolic discounting uses a discount rate that decreases over time.</w:t>
      </w:r>
    </w:p>
  </w:footnote>
  <w:footnote w:id="61">
    <w:p w:rsidR="0027008F" w:rsidRDefault="0027008F">
      <w:pPr>
        <w:pStyle w:val="FootnoteText"/>
      </w:pPr>
      <w:r w:rsidRPr="001E7B45">
        <w:rPr>
          <w:rStyle w:val="FootnoteReference"/>
          <w:vertAlign w:val="baseline"/>
        </w:rPr>
        <w:footnoteRef/>
      </w:r>
      <w:r w:rsidRPr="001E7B45">
        <w:rPr>
          <w:rStyle w:val="FootnoteReference"/>
          <w:vertAlign w:val="baseline"/>
        </w:rPr>
        <w:t xml:space="preserve"> </w:t>
      </w:r>
      <w:r>
        <w:tab/>
        <w:t>These job seekers were in employment services but not necessarily in the demographic cohort that the JCB targeted.</w:t>
      </w:r>
    </w:p>
  </w:footnote>
  <w:footnote w:id="62">
    <w:p w:rsidR="0027008F" w:rsidRDefault="0027008F">
      <w:pPr>
        <w:pStyle w:val="FootnoteText"/>
      </w:pPr>
      <w:r w:rsidRPr="00990EBE">
        <w:rPr>
          <w:rStyle w:val="FootnoteReference"/>
          <w:vertAlign w:val="baseline"/>
        </w:rPr>
        <w:footnoteRef/>
      </w:r>
      <w:r w:rsidRPr="00990EBE">
        <w:rPr>
          <w:rStyle w:val="FootnoteReference"/>
          <w:vertAlign w:val="baseline"/>
        </w:rPr>
        <w:t xml:space="preserve"> </w:t>
      </w:r>
      <w:r>
        <w:tab/>
        <w:t>Refer Section 4.1 for qualitative analysis of this aspect.</w:t>
      </w:r>
    </w:p>
  </w:footnote>
  <w:footnote w:id="63">
    <w:p w:rsidR="0027008F" w:rsidRPr="002201D7" w:rsidRDefault="0027008F" w:rsidP="002201D7">
      <w:pPr>
        <w:pStyle w:val="FootnoteText"/>
      </w:pPr>
      <w:r w:rsidRPr="002201D7">
        <w:rPr>
          <w:rStyle w:val="FootnoteReference"/>
          <w:vertAlign w:val="baseline"/>
        </w:rPr>
        <w:footnoteRef/>
      </w:r>
      <w:r w:rsidRPr="002201D7">
        <w:t xml:space="preserve"> </w:t>
      </w:r>
      <w:r>
        <w:tab/>
      </w:r>
      <w:r w:rsidRPr="002201D7">
        <w:t>Many analyses in this report are conducted on data for people who left income support in the earlier stages of the JCB program, when awareness of the program would most likely have been at its lowest (aside from an initial peak in awareness that may have been created by a bulk mail out letter in June 2014).</w:t>
      </w:r>
    </w:p>
  </w:footnote>
  <w:footnote w:id="64">
    <w:p w:rsidR="0027008F" w:rsidRPr="00C42D45" w:rsidRDefault="0027008F" w:rsidP="000B1BB8">
      <w:pPr>
        <w:pStyle w:val="FootnoteText"/>
        <w:rPr>
          <w:rStyle w:val="FootnoteReference"/>
          <w:vertAlign w:val="baseline"/>
        </w:rPr>
      </w:pPr>
      <w:r w:rsidRPr="00B00BFD">
        <w:rPr>
          <w:rStyle w:val="FootnoteReference"/>
          <w:vertAlign w:val="baseline"/>
        </w:rPr>
        <w:footnoteRef/>
      </w:r>
      <w:r w:rsidRPr="00C42D45">
        <w:rPr>
          <w:rStyle w:val="FootnoteReference"/>
          <w:vertAlign w:val="baseline"/>
        </w:rPr>
        <w:t xml:space="preserve"> </w:t>
      </w:r>
      <w:r w:rsidRPr="00C42D45">
        <w:rPr>
          <w:rStyle w:val="FootnoteReference"/>
          <w:vertAlign w:val="baseline"/>
        </w:rPr>
        <w:tab/>
        <w:t xml:space="preserve">See Attachment </w:t>
      </w:r>
      <w:r>
        <w:t>E</w:t>
      </w:r>
      <w:r w:rsidRPr="00C42D45">
        <w:rPr>
          <w:rStyle w:val="FootnoteReference"/>
          <w:vertAlign w:val="baseline"/>
        </w:rPr>
        <w:t xml:space="preserve"> for a description of this technique.</w:t>
      </w:r>
    </w:p>
  </w:footnote>
  <w:footnote w:id="65">
    <w:p w:rsidR="0027008F" w:rsidRPr="002201D7" w:rsidRDefault="0027008F" w:rsidP="000B1BB8">
      <w:pPr>
        <w:pStyle w:val="FootnoteText"/>
      </w:pPr>
      <w:r w:rsidRPr="002201D7">
        <w:rPr>
          <w:rStyle w:val="FootnoteReference"/>
          <w:vertAlign w:val="baseline"/>
        </w:rPr>
        <w:footnoteRef/>
      </w:r>
      <w:r w:rsidRPr="002201D7">
        <w:t xml:space="preserve"> </w:t>
      </w:r>
      <w:r w:rsidRPr="002201D7">
        <w:tab/>
        <w:t xml:space="preserve">Regression Discontinuity Design analysis (RDD) is used to see if there is any difference in outcome rates. The fact that those aged 31 years and over were ineligible for the JCB provides the opportunity to use this statistical technique to compare outcomes with those aged just below with those just above the JCB age criterion cut-off limit, and similarly at the lower </w:t>
      </w:r>
      <w:r>
        <w:t xml:space="preserve">end of the JCB </w:t>
      </w:r>
      <w:r w:rsidRPr="002201D7">
        <w:t xml:space="preserve">age </w:t>
      </w:r>
      <w:r>
        <w:t xml:space="preserve">range </w:t>
      </w:r>
      <w:r w:rsidRPr="002201D7">
        <w:t>limit. There is no reason to believe there would be any other difference between these two groups other than potential eligibility for the JCB. Regression models are used that control for any differences between people that may impact the outcomes being measured. Therefore, any differences found between the regression models at the age boundaries can be attributed to the effect of the JCB. Four types of models are fit to assess if there was a difference in outcomes between these two groups: linear; linear interaction; square; and square with interaction models, with the model of best fit for each separate analysis chosen</w:t>
      </w:r>
      <w:r>
        <w:t xml:space="preserve"> for interpretation of results.</w:t>
      </w:r>
    </w:p>
  </w:footnote>
  <w:footnote w:id="66">
    <w:p w:rsidR="0027008F" w:rsidRDefault="0027008F" w:rsidP="007A2BCB">
      <w:pPr>
        <w:pStyle w:val="FootnoteText"/>
      </w:pPr>
      <w:r w:rsidRPr="00B00BFD">
        <w:rPr>
          <w:rStyle w:val="FootnoteReference"/>
          <w:vertAlign w:val="baseline"/>
        </w:rPr>
        <w:footnoteRef/>
      </w:r>
      <w:r w:rsidRPr="002D474D">
        <w:rPr>
          <w:rStyle w:val="FootnoteReference"/>
          <w:vertAlign w:val="baseline"/>
        </w:rPr>
        <w:t xml:space="preserve"> </w:t>
      </w:r>
      <w:r>
        <w:tab/>
        <w:t>See Attachment E for a description of this technique.</w:t>
      </w:r>
    </w:p>
  </w:footnote>
  <w:footnote w:id="67">
    <w:p w:rsidR="0027008F" w:rsidRDefault="0027008F" w:rsidP="00FB65C3">
      <w:pPr>
        <w:pStyle w:val="FootnoteText"/>
      </w:pPr>
      <w:r w:rsidRPr="000D0F6C">
        <w:rPr>
          <w:rStyle w:val="FootnoteReference"/>
          <w:vertAlign w:val="baseline"/>
        </w:rPr>
        <w:footnoteRef/>
      </w:r>
      <w:r w:rsidRPr="000D0F6C">
        <w:rPr>
          <w:rStyle w:val="FootnoteReference"/>
          <w:vertAlign w:val="baseline"/>
        </w:rPr>
        <w:t xml:space="preserve"> </w:t>
      </w:r>
      <w:r>
        <w:tab/>
      </w:r>
      <w:r>
        <w:rPr>
          <w:color w:val="000000" w:themeColor="text1"/>
        </w:rPr>
        <w:t>Those who had been unemployed between 12 and less than 24 months, aged 18 to 30 years who were on NSA or YA(O).</w:t>
      </w:r>
    </w:p>
  </w:footnote>
  <w:footnote w:id="68">
    <w:p w:rsidR="0027008F" w:rsidRDefault="0027008F" w:rsidP="00FB65C3">
      <w:pPr>
        <w:pStyle w:val="FootnoteText"/>
      </w:pPr>
      <w:r w:rsidRPr="000D0F6C">
        <w:rPr>
          <w:rStyle w:val="FootnoteReference"/>
          <w:vertAlign w:val="baseline"/>
        </w:rPr>
        <w:footnoteRef/>
      </w:r>
      <w:r w:rsidRPr="000D0F6C">
        <w:rPr>
          <w:rStyle w:val="FootnoteReference"/>
          <w:vertAlign w:val="baseline"/>
        </w:rPr>
        <w:t xml:space="preserve"> </w:t>
      </w:r>
      <w:r>
        <w:tab/>
        <w:t>Those selected for the PPM survey as</w:t>
      </w:r>
      <w:r w:rsidRPr="003503BA">
        <w:t xml:space="preserve"> </w:t>
      </w:r>
      <w:r>
        <w:t>serviced under JSA in the period April 2015 to June 2015 (included in the July 2014 to June 2015 results in Figure 4.7) may have been serviced under jobactive by the time of the survey, as the survey is conducted three months after sample selection.</w:t>
      </w:r>
    </w:p>
  </w:footnote>
  <w:footnote w:id="69">
    <w:p w:rsidR="0027008F" w:rsidRDefault="0027008F">
      <w:pPr>
        <w:pStyle w:val="FootnoteText"/>
      </w:pPr>
      <w:r w:rsidRPr="005A70D6">
        <w:rPr>
          <w:rStyle w:val="FootnoteReference"/>
          <w:vertAlign w:val="baseline"/>
        </w:rPr>
        <w:footnoteRef/>
      </w:r>
      <w:r>
        <w:t xml:space="preserve"> </w:t>
      </w:r>
      <w:r>
        <w:tab/>
        <w:t>Stream 1 job seekers were excluded because the incentive structure in JSA provided little incentive for providers to record job placements for Stream 1 job seekers early in their period of service. LTU for this analysis is defined by time on income support not time in employment service.</w:t>
      </w:r>
    </w:p>
  </w:footnote>
  <w:footnote w:id="70">
    <w:p w:rsidR="0027008F" w:rsidRDefault="0027008F" w:rsidP="00FB0F6C">
      <w:pPr>
        <w:pStyle w:val="FootnoteText"/>
      </w:pPr>
      <w:r w:rsidRPr="00FB0F6C">
        <w:rPr>
          <w:rStyle w:val="FootnoteReference"/>
          <w:vertAlign w:val="baseline"/>
        </w:rPr>
        <w:footnoteRef/>
      </w:r>
      <w:r w:rsidRPr="00095615">
        <w:rPr>
          <w:rStyle w:val="FootnoteReference"/>
          <w:vertAlign w:val="baseline"/>
        </w:rPr>
        <w:t xml:space="preserve"> </w:t>
      </w:r>
      <w:r>
        <w:tab/>
        <w:t>For DID analysis the significance of this interaction variable is the aspect of most interest, as if it is found to be statistically significant this would indicate an effect of the JCB. The interaction variable is the combination of whether the person entered income support (and became LTU) before or after JCB introduction combined with the age group that people belonged to. Further information about DID is provided in Attachment E.</w:t>
      </w:r>
    </w:p>
  </w:footnote>
  <w:footnote w:id="71">
    <w:p w:rsidR="0027008F" w:rsidRPr="00DA77F0" w:rsidRDefault="0027008F" w:rsidP="00B77483">
      <w:pPr>
        <w:pStyle w:val="FootnoteText"/>
      </w:pPr>
      <w:r w:rsidRPr="00DA77F0">
        <w:rPr>
          <w:rStyle w:val="FootnoteReference"/>
          <w:vertAlign w:val="baseline"/>
        </w:rPr>
        <w:footnoteRef/>
      </w:r>
      <w:r w:rsidRPr="00DA77F0">
        <w:t xml:space="preserve"> </w:t>
      </w:r>
      <w:r>
        <w:tab/>
        <w:t>A linear interaction model is found to be the best fit for this outcome measure.</w:t>
      </w:r>
    </w:p>
  </w:footnote>
  <w:footnote w:id="72">
    <w:p w:rsidR="0027008F" w:rsidRDefault="0027008F">
      <w:pPr>
        <w:pStyle w:val="FootnoteText"/>
      </w:pPr>
      <w:r w:rsidRPr="004968D9">
        <w:footnoteRef/>
      </w:r>
      <w:r>
        <w:t xml:space="preserve"> </w:t>
      </w:r>
      <w:r>
        <w:tab/>
        <w:t>JCB PPM survey found t</w:t>
      </w:r>
      <w:r>
        <w:rPr>
          <w:color w:val="000000" w:themeColor="text1"/>
        </w:rPr>
        <w:t>hat 34.1 per cent of people were in casual employment.</w:t>
      </w:r>
    </w:p>
  </w:footnote>
  <w:footnote w:id="73">
    <w:p w:rsidR="0027008F" w:rsidRPr="00A94561" w:rsidRDefault="0027008F" w:rsidP="00A94561">
      <w:pPr>
        <w:spacing w:after="0"/>
        <w:ind w:left="425" w:hanging="425"/>
        <w:rPr>
          <w:rStyle w:val="FootnoteTextChar"/>
        </w:rPr>
      </w:pPr>
      <w:r w:rsidRPr="00A94561">
        <w:rPr>
          <w:rStyle w:val="FootnoteReference"/>
          <w:sz w:val="18"/>
          <w:szCs w:val="20"/>
          <w:vertAlign w:val="baseline"/>
        </w:rPr>
        <w:footnoteRef/>
      </w:r>
      <w:r w:rsidRPr="00A94561">
        <w:rPr>
          <w:rStyle w:val="FootnoteReference"/>
          <w:sz w:val="18"/>
          <w:szCs w:val="20"/>
          <w:vertAlign w:val="baseline"/>
        </w:rPr>
        <w:t xml:space="preserve"> </w:t>
      </w:r>
      <w:r>
        <w:tab/>
      </w:r>
      <w:r w:rsidRPr="00A94561">
        <w:rPr>
          <w:rStyle w:val="FootnoteTextChar"/>
        </w:rPr>
        <w:t xml:space="preserve">‘Agriculture, Forestry and </w:t>
      </w:r>
      <w:r>
        <w:rPr>
          <w:rStyle w:val="FootnoteTextChar"/>
        </w:rPr>
        <w:t>F</w:t>
      </w:r>
      <w:r w:rsidRPr="00A94561">
        <w:rPr>
          <w:rStyle w:val="FootnoteTextChar"/>
        </w:rPr>
        <w:t>ishing’, ‘Manufacturing’, ‘Mining’ and ‘Construction’ are classified as goods-producing industries, with ‘Electricity, Gas, Water and Waste Services’ viewed as both a goods-producing and service industry. All other industries in ANZSIC are service industries.</w:t>
      </w:r>
    </w:p>
  </w:footnote>
  <w:footnote w:id="74">
    <w:p w:rsidR="0027008F" w:rsidRPr="003557C0" w:rsidRDefault="0027008F" w:rsidP="00764799">
      <w:pPr>
        <w:pStyle w:val="FootnoteText"/>
      </w:pPr>
      <w:r w:rsidRPr="003557C0">
        <w:rPr>
          <w:rStyle w:val="FootnoteReference"/>
          <w:vertAlign w:val="baseline"/>
        </w:rPr>
        <w:footnoteRef/>
      </w:r>
      <w:r w:rsidRPr="003557C0">
        <w:t xml:space="preserve"> </w:t>
      </w:r>
      <w:r w:rsidRPr="003557C0">
        <w:tab/>
        <w:t>November quarter 2016 data.</w:t>
      </w:r>
    </w:p>
  </w:footnote>
  <w:footnote w:id="75">
    <w:p w:rsidR="0027008F" w:rsidRPr="003557C0" w:rsidRDefault="0027008F" w:rsidP="00764799">
      <w:pPr>
        <w:pStyle w:val="FootnoteText"/>
      </w:pPr>
      <w:r w:rsidRPr="003557C0">
        <w:rPr>
          <w:rStyle w:val="FootnoteReference"/>
          <w:vertAlign w:val="baseline"/>
        </w:rPr>
        <w:footnoteRef/>
      </w:r>
      <w:r w:rsidRPr="003557C0">
        <w:t xml:space="preserve"> </w:t>
      </w:r>
      <w:r w:rsidRPr="003557C0">
        <w:tab/>
      </w:r>
      <w:r w:rsidRPr="00764799">
        <w:rPr>
          <w:color w:val="000000" w:themeColor="text1"/>
        </w:rPr>
        <w:t>Employer industry information was available in the JCB monitoring data for around half of approved JCB1 claims (52.9 per cent</w:t>
      </w:r>
      <w:r w:rsidRPr="00764799">
        <w:t>).</w:t>
      </w:r>
      <w:r>
        <w:t xml:space="preserve"> </w:t>
      </w:r>
      <w:r w:rsidRPr="003557C0">
        <w:t>These were claims lodged and approved after 1 July 2016.</w:t>
      </w:r>
    </w:p>
  </w:footnote>
  <w:footnote w:id="76">
    <w:p w:rsidR="0027008F" w:rsidRPr="003557C0" w:rsidRDefault="0027008F" w:rsidP="003557C0">
      <w:pPr>
        <w:pStyle w:val="FootnoteText"/>
      </w:pPr>
      <w:r w:rsidRPr="003557C0">
        <w:rPr>
          <w:rStyle w:val="FootnoteReference"/>
          <w:vertAlign w:val="baseline"/>
        </w:rPr>
        <w:footnoteRef/>
      </w:r>
      <w:r w:rsidRPr="003557C0">
        <w:t xml:space="preserve"> </w:t>
      </w:r>
      <w:r w:rsidRPr="003557C0">
        <w:tab/>
        <w:t>These results are statistically significant.</w:t>
      </w:r>
    </w:p>
  </w:footnote>
  <w:footnote w:id="77">
    <w:p w:rsidR="0027008F" w:rsidRDefault="0027008F">
      <w:pPr>
        <w:pStyle w:val="FootnoteText"/>
      </w:pPr>
      <w:r w:rsidRPr="00540555">
        <w:rPr>
          <w:rStyle w:val="FootnoteReference"/>
          <w:vertAlign w:val="baseline"/>
        </w:rPr>
        <w:footnoteRef/>
      </w:r>
      <w:r w:rsidRPr="00540555">
        <w:rPr>
          <w:rStyle w:val="FootnoteReference"/>
          <w:vertAlign w:val="baseline"/>
        </w:rPr>
        <w:t xml:space="preserve"> </w:t>
      </w:r>
      <w:r>
        <w:tab/>
        <w:t>Those aged 15 to 24 years in the labour force in July 2014 expressed as a percentage of those aged 15 to 64 years.</w:t>
      </w:r>
    </w:p>
  </w:footnote>
  <w:footnote w:id="78">
    <w:p w:rsidR="0027008F" w:rsidRDefault="0027008F">
      <w:pPr>
        <w:pStyle w:val="FootnoteText"/>
      </w:pPr>
      <w:r w:rsidRPr="006B010F">
        <w:rPr>
          <w:rStyle w:val="FootnoteReference"/>
          <w:vertAlign w:val="baseline"/>
        </w:rPr>
        <w:footnoteRef/>
      </w:r>
      <w:r w:rsidRPr="006B010F">
        <w:rPr>
          <w:rStyle w:val="FootnoteReference"/>
          <w:vertAlign w:val="baseline"/>
        </w:rPr>
        <w:t xml:space="preserve"> </w:t>
      </w:r>
      <w:r>
        <w:tab/>
        <w:t>See Section 4.5.1 for further analysis that provides some evidence of an impact.</w:t>
      </w:r>
    </w:p>
  </w:footnote>
  <w:footnote w:id="79">
    <w:p w:rsidR="0027008F" w:rsidRDefault="0027008F">
      <w:pPr>
        <w:pStyle w:val="FootnoteText"/>
      </w:pPr>
      <w:r w:rsidRPr="00B47B3A">
        <w:rPr>
          <w:rStyle w:val="FootnoteReference"/>
          <w:vertAlign w:val="baseline"/>
        </w:rPr>
        <w:footnoteRef/>
      </w:r>
      <w:r w:rsidRPr="00B47B3A">
        <w:rPr>
          <w:rStyle w:val="FootnoteReference"/>
          <w:vertAlign w:val="baseline"/>
        </w:rPr>
        <w:t xml:space="preserve"> </w:t>
      </w:r>
      <w:r>
        <w:tab/>
        <w:t>Further information about the study populations is provided in Attachment E.</w:t>
      </w:r>
    </w:p>
  </w:footnote>
  <w:footnote w:id="80">
    <w:p w:rsidR="0027008F" w:rsidRDefault="0027008F">
      <w:pPr>
        <w:pStyle w:val="FootnoteText"/>
      </w:pPr>
      <w:r w:rsidRPr="00904951">
        <w:rPr>
          <w:rStyle w:val="FootnoteReference"/>
          <w:vertAlign w:val="baseline"/>
        </w:rPr>
        <w:footnoteRef/>
      </w:r>
      <w:r w:rsidRPr="00904951">
        <w:t xml:space="preserve"> </w:t>
      </w:r>
      <w:r>
        <w:tab/>
        <w:t>A linear model is found to be the best fit for this outcome measure – off income support rates 52 weeks after LTU job seekers left income support (Figure 4.11).</w:t>
      </w:r>
    </w:p>
  </w:footnote>
  <w:footnote w:id="81">
    <w:p w:rsidR="0027008F" w:rsidRDefault="0027008F">
      <w:pPr>
        <w:pStyle w:val="FootnoteText"/>
      </w:pPr>
      <w:r w:rsidRPr="00115677">
        <w:rPr>
          <w:rStyle w:val="FootnoteReference"/>
          <w:vertAlign w:val="baseline"/>
        </w:rPr>
        <w:footnoteRef/>
      </w:r>
      <w:r>
        <w:t xml:space="preserve"> </w:t>
      </w:r>
      <w:r>
        <w:tab/>
        <w:t>For DID analysis the significance of this interaction variable is the aspect of most interest, as if it is found to be statistically significant this would indicate an effect of the JCB. The interaction variable is the combination of whether the person entered income support (and became LTU) before or after JCB introduction combined with the age group that people belonged to. Further information about DID is in Attachment E.</w:t>
      </w:r>
    </w:p>
  </w:footnote>
  <w:footnote w:id="82">
    <w:p w:rsidR="0027008F" w:rsidRDefault="0027008F">
      <w:pPr>
        <w:pStyle w:val="FootnoteText"/>
      </w:pPr>
      <w:r w:rsidRPr="004968D9">
        <w:footnoteRef/>
      </w:r>
      <w:r w:rsidRPr="004968D9">
        <w:t xml:space="preserve"> </w:t>
      </w:r>
      <w:r w:rsidRPr="009208E3">
        <w:rPr>
          <w:rStyle w:val="FootnoteReference"/>
          <w:sz w:val="22"/>
          <w:szCs w:val="22"/>
        </w:rPr>
        <w:tab/>
      </w:r>
      <w:r>
        <w:t>S</w:t>
      </w:r>
      <w:r w:rsidRPr="009208E3">
        <w:t xml:space="preserve">tudy population numbers were too small to enable conditional analysis of the probability of sustaining an exit to 104 weeks given a person had sustained </w:t>
      </w:r>
      <w:r>
        <w:t>their exit</w:t>
      </w:r>
      <w:r w:rsidRPr="009208E3">
        <w:t xml:space="preserve"> to 52 weeks, as conducted in the following section in relation to deadweight </w:t>
      </w:r>
      <w:r w:rsidRPr="00FC2B2C">
        <w:t>(</w:t>
      </w:r>
      <w:r>
        <w:t>S</w:t>
      </w:r>
      <w:r w:rsidRPr="00FC2B2C">
        <w:t>ection 4.</w:t>
      </w:r>
      <w:r>
        <w:t>5</w:t>
      </w:r>
      <w:r w:rsidRPr="00FC2B2C">
        <w:t>)</w:t>
      </w:r>
      <w:r>
        <w:t>.</w:t>
      </w:r>
    </w:p>
  </w:footnote>
  <w:footnote w:id="83">
    <w:p w:rsidR="0027008F" w:rsidRDefault="0027008F">
      <w:pPr>
        <w:pStyle w:val="FootnoteText"/>
      </w:pPr>
      <w:r w:rsidRPr="004968D9">
        <w:footnoteRef/>
      </w:r>
      <w:r w:rsidRPr="009208E3">
        <w:rPr>
          <w:rStyle w:val="FootnoteReference"/>
          <w:sz w:val="22"/>
          <w:szCs w:val="22"/>
        </w:rPr>
        <w:t xml:space="preserve"> </w:t>
      </w:r>
      <w:r>
        <w:tab/>
        <w:t>As this is a much smaller cohort to those compared in the 52 week analysis above raw rates achieved for these two study populations should not be compared. Those who leave income support within 90 days of becoming LTU would probably be more job ready than those who exit within 180 days and therefore outcome rates would be expected to differ.</w:t>
      </w:r>
    </w:p>
  </w:footnote>
  <w:footnote w:id="84">
    <w:p w:rsidR="0027008F" w:rsidRDefault="0027008F">
      <w:pPr>
        <w:pStyle w:val="FootnoteText"/>
      </w:pPr>
      <w:r w:rsidRPr="00521A17">
        <w:footnoteRef/>
      </w:r>
      <w:r>
        <w:t xml:space="preserve"> </w:t>
      </w:r>
      <w:r>
        <w:tab/>
        <w:t>See Section 4.5.1 for further analysis that provides some evidence of an impact. That analysis is more sensitive to potential impact of the JCB as it is confined to a narrower cohort than the analyses conducted in this section.</w:t>
      </w:r>
    </w:p>
  </w:footnote>
  <w:footnote w:id="85">
    <w:p w:rsidR="0027008F" w:rsidRDefault="0027008F">
      <w:pPr>
        <w:pStyle w:val="FootnoteText"/>
      </w:pPr>
      <w:r w:rsidRPr="001E7B45">
        <w:rPr>
          <w:rStyle w:val="FootnoteReference"/>
          <w:vertAlign w:val="baseline"/>
        </w:rPr>
        <w:footnoteRef/>
      </w:r>
      <w:r w:rsidRPr="001E7B45">
        <w:rPr>
          <w:rStyle w:val="FootnoteReference"/>
          <w:vertAlign w:val="baseline"/>
        </w:rPr>
        <w:t xml:space="preserve"> </w:t>
      </w:r>
      <w:r>
        <w:tab/>
        <w:t>Statistically significant difference.</w:t>
      </w:r>
    </w:p>
  </w:footnote>
  <w:footnote w:id="86">
    <w:p w:rsidR="0027008F" w:rsidRPr="003557C0" w:rsidRDefault="0027008F" w:rsidP="00E34CB3">
      <w:pPr>
        <w:pStyle w:val="FootnoteText"/>
      </w:pPr>
      <w:r w:rsidRPr="003557C0">
        <w:rPr>
          <w:rStyle w:val="FootnoteReference"/>
          <w:vertAlign w:val="baseline"/>
        </w:rPr>
        <w:footnoteRef/>
      </w:r>
      <w:r w:rsidRPr="003557C0">
        <w:t xml:space="preserve"> </w:t>
      </w:r>
      <w:r w:rsidRPr="003557C0">
        <w:tab/>
        <w:t xml:space="preserve">By the time of the October 2016 fieldwork </w:t>
      </w:r>
      <w:r>
        <w:t xml:space="preserve">(Round 3) </w:t>
      </w:r>
      <w:r w:rsidRPr="003557C0">
        <w:t>the fact that the JCB was ceasing in December 2016 was known, and therefore not all participants who had achieved the 12 month</w:t>
      </w:r>
      <w:r>
        <w:t>s</w:t>
      </w:r>
      <w:r w:rsidRPr="003557C0">
        <w:t xml:space="preserve"> bonus would qualify for the 24 month</w:t>
      </w:r>
      <w:r>
        <w:t>s</w:t>
      </w:r>
      <w:r w:rsidRPr="003557C0">
        <w:t xml:space="preserve"> bonus in time. </w:t>
      </w:r>
    </w:p>
  </w:footnote>
  <w:footnote w:id="87">
    <w:p w:rsidR="0027008F" w:rsidRDefault="0027008F">
      <w:pPr>
        <w:pStyle w:val="FootnoteText"/>
      </w:pPr>
      <w:r w:rsidRPr="00101A38">
        <w:rPr>
          <w:rStyle w:val="FootnoteReference"/>
          <w:vertAlign w:val="baseline"/>
        </w:rPr>
        <w:footnoteRef/>
      </w:r>
      <w:r w:rsidRPr="00101A38">
        <w:rPr>
          <w:rStyle w:val="FootnoteReference"/>
          <w:vertAlign w:val="baseline"/>
        </w:rPr>
        <w:t xml:space="preserve"> </w:t>
      </w:r>
      <w:r>
        <w:tab/>
        <w:t>These models control for differences in job seeker characteristics and macro-economic conditions.</w:t>
      </w:r>
    </w:p>
  </w:footnote>
  <w:footnote w:id="88">
    <w:p w:rsidR="0027008F" w:rsidRPr="00090ACA" w:rsidRDefault="0027008F">
      <w:pPr>
        <w:pStyle w:val="FootnoteText"/>
      </w:pPr>
      <w:r w:rsidRPr="00090ACA">
        <w:rPr>
          <w:rStyle w:val="FootnoteReference"/>
          <w:vertAlign w:val="baseline"/>
        </w:rPr>
        <w:footnoteRef/>
      </w:r>
      <w:r w:rsidRPr="00090ACA">
        <w:t xml:space="preserve"> </w:t>
      </w:r>
      <w:r>
        <w:tab/>
        <w:t xml:space="preserve">People </w:t>
      </w:r>
      <w:r>
        <w:rPr>
          <w:color w:val="000000" w:themeColor="text1"/>
        </w:rPr>
        <w:t>aged between 19 and under 31 years, who had been on NSA or YA(O) for at least 12 months continuously and who had exited income support.</w:t>
      </w:r>
    </w:p>
  </w:footnote>
  <w:footnote w:id="89">
    <w:p w:rsidR="0027008F" w:rsidRDefault="0027008F">
      <w:pPr>
        <w:pStyle w:val="FootnoteText"/>
      </w:pPr>
      <w:r w:rsidRPr="004968D9">
        <w:footnoteRef/>
      </w:r>
      <w:r w:rsidRPr="002D73EE">
        <w:t xml:space="preserve"> </w:t>
      </w:r>
      <w:r>
        <w:tab/>
        <w:t>Statistically significant differences – see Attachment F, Table F.25.</w:t>
      </w:r>
    </w:p>
  </w:footnote>
  <w:footnote w:id="90">
    <w:p w:rsidR="0027008F" w:rsidRDefault="0027008F">
      <w:pPr>
        <w:pStyle w:val="FootnoteText"/>
      </w:pPr>
      <w:r>
        <w:rPr>
          <w:rStyle w:val="FootnoteReference"/>
        </w:rPr>
        <w:footnoteRef/>
      </w:r>
      <w:r>
        <w:t xml:space="preserve"> </w:t>
      </w:r>
      <w:r>
        <w:tab/>
        <w:t xml:space="preserve">Some researchers have added a sixth, later stage, </w:t>
      </w:r>
      <w:r w:rsidRPr="000E37AB">
        <w:rPr>
          <w:b/>
          <w:i/>
        </w:rPr>
        <w:t>Termination/Advocacy or Transcedence</w:t>
      </w:r>
      <w:r w:rsidRPr="00BD36C4">
        <w:t>,</w:t>
      </w:r>
      <w:r>
        <w:t xml:space="preserve"> during which people no longer perceive their former behaviours as desirable.</w:t>
      </w:r>
    </w:p>
  </w:footnote>
  <w:footnote w:id="91">
    <w:p w:rsidR="0027008F" w:rsidRDefault="0027008F" w:rsidP="007749E9">
      <w:pPr>
        <w:pStyle w:val="FootnoteText"/>
      </w:pPr>
      <w:r w:rsidRPr="0041700D">
        <w:rPr>
          <w:rStyle w:val="FootnoteReference"/>
          <w:vertAlign w:val="baseline"/>
        </w:rPr>
        <w:footnoteRef/>
      </w:r>
      <w:r w:rsidRPr="0041700D">
        <w:t xml:space="preserve"> </w:t>
      </w:r>
      <w:r>
        <w:tab/>
        <w:t>This fieldwork gathered views from a diverse range of LTU job seekers, that is, those still unemployed, those employed, some who had claimed and received the bonus and others whose claim had been rejected.</w:t>
      </w:r>
    </w:p>
  </w:footnote>
  <w:footnote w:id="92">
    <w:p w:rsidR="0027008F" w:rsidRDefault="0027008F">
      <w:pPr>
        <w:pStyle w:val="FootnoteText"/>
      </w:pPr>
      <w:r w:rsidRPr="004E31BA">
        <w:rPr>
          <w:rStyle w:val="FootnoteReference"/>
          <w:vertAlign w:val="baseline"/>
        </w:rPr>
        <w:footnoteRef/>
      </w:r>
      <w:r>
        <w:t xml:space="preserve"> </w:t>
      </w:r>
      <w:r>
        <w:tab/>
      </w:r>
      <w:r w:rsidRPr="004E31BA">
        <w:rPr>
          <w:rStyle w:val="FootnoteReference"/>
          <w:vertAlign w:val="baseline"/>
        </w:rPr>
        <w:t xml:space="preserve"> </w:t>
      </w:r>
      <w:r>
        <w:t>Contacting people close to the date for claiming would only be recommended in situations such as where a financial incentive was one in a series of bonuses (where future preferred behaviour could then be encouraged or potentially influenced by claiming) or where by increasing awareness might improve word-of-mouth promotion of the program among the target cohort. Potential deadweight costs would need to be taken in to consideration.</w:t>
      </w:r>
    </w:p>
  </w:footnote>
  <w:footnote w:id="93">
    <w:p w:rsidR="0027008F" w:rsidRPr="002201D7" w:rsidRDefault="0027008F" w:rsidP="00965FBD">
      <w:pPr>
        <w:pStyle w:val="FootnoteText"/>
      </w:pPr>
      <w:r w:rsidRPr="002201D7">
        <w:rPr>
          <w:rStyle w:val="FootnoteReference"/>
          <w:vertAlign w:val="baseline"/>
        </w:rPr>
        <w:footnoteRef/>
      </w:r>
      <w:r w:rsidRPr="002201D7">
        <w:t xml:space="preserve"> </w:t>
      </w:r>
      <w:r w:rsidRPr="002201D7">
        <w:tab/>
        <w:t>For the first month (July 2014) only 500 people were selected.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08F" w:rsidRDefault="0027008F" w:rsidP="00001A6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08F" w:rsidRDefault="0027008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08F" w:rsidRDefault="0027008F">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08F" w:rsidRDefault="0027008F">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08F" w:rsidRDefault="0027008F">
    <w:pPr>
      <w:pStyle w:val="Header"/>
    </w:pPr>
    <w:r>
      <w:rPr>
        <w:noProof/>
        <w:lang w:eastAsia="en-AU"/>
      </w:rPr>
      <mc:AlternateContent>
        <mc:Choice Requires="wps">
          <w:drawing>
            <wp:anchor distT="0" distB="0" distL="114300" distR="114300" simplePos="0" relativeHeight="251658242" behindDoc="1" locked="0" layoutInCell="0" allowOverlap="1" wp14:anchorId="5D89F8DE" wp14:editId="111D3DFC">
              <wp:simplePos x="0" y="0"/>
              <wp:positionH relativeFrom="margin">
                <wp:align>center</wp:align>
              </wp:positionH>
              <wp:positionV relativeFrom="margin">
                <wp:align>center</wp:align>
              </wp:positionV>
              <wp:extent cx="5050155" cy="3030220"/>
              <wp:effectExtent l="0" t="1104900" r="0" b="636905"/>
              <wp:wrapNone/>
              <wp:docPr id="17" name="WordArt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050155" cy="30302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27008F" w:rsidRDefault="0027008F" w:rsidP="0045241A">
                          <w:pPr>
                            <w:pStyle w:val="NormalWeb"/>
                            <w:jc w:val="center"/>
                            <w:rPr>
                              <w:szCs w:val="24"/>
                            </w:rPr>
                          </w:pPr>
                          <w:r>
                            <w:rPr>
                              <w:rFonts w:ascii="Calibri" w:hAnsi="Calibri"/>
                              <w:color w:val="532A1A" w:themeColor="accent6" w:themeShade="80"/>
                              <w:sz w:val="2"/>
                              <w:szCs w:val="2"/>
                              <w14:textFill>
                                <w14:solidFill>
                                  <w14:schemeClr w14:val="accent6">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D89F8DE" id="_x0000_t202" coordsize="21600,21600" o:spt="202" path="m,l,21600r21600,l21600,xe">
              <v:stroke joinstyle="miter"/>
              <v:path gradientshapeok="t" o:connecttype="rect"/>
            </v:shapetype>
            <v:shape id="WordArt 26" o:spid="_x0000_s1030" type="#_x0000_t202" style="position:absolute;margin-left:0;margin-top:0;width:397.65pt;height:238.6pt;rotation:-45;z-index:-25165823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" o:allowincell="f" filled="f" stroked="f">
              <v:stroke joinstyle="round"/>
              <o:lock v:ext="edit" shapetype="t"/>
              <v:textbox style="mso-fit-shape-to-text:t">
                <w:txbxContent>
                  <w:p w:rsidR="0027008F" w:rsidRDefault="0027008F" w:rsidP="0045241A">
                    <w:pPr>
                      <w:pStyle w:val="NormalWeb"/>
                      <w:jc w:val="center"/>
                      <w:rPr>
                        <w:szCs w:val="24"/>
                      </w:rPr>
                    </w:pPr>
                    <w:r>
                      <w:rPr>
                        <w:rFonts w:ascii="Calibri" w:hAnsi="Calibri"/>
                        <w:color w:val="532A1A" w:themeColor="accent6" w:themeShade="80"/>
                        <w:sz w:val="2"/>
                        <w:szCs w:val="2"/>
                        <w14:textFill>
                          <w14:solidFill>
                            <w14:schemeClr w14:val="accent6">
                              <w14:alpha w14:val="50000"/>
                              <w14:lumMod w14:val="50000"/>
                            </w14:schemeClr>
                          </w14:solidFill>
                        </w14:textFill>
                      </w:rPr>
                      <w:t>DRAFT</w:t>
                    </w:r>
                  </w:p>
                </w:txbxContent>
              </v:textbox>
              <w10:wrap anchorx="margin" anchory="margin"/>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08F" w:rsidRDefault="0027008F">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08F" w:rsidRDefault="0027008F">
    <w:pPr>
      <w:pStyle w:val="Header"/>
    </w:pPr>
    <w:r>
      <w:rPr>
        <w:noProof/>
        <w:lang w:eastAsia="en-AU"/>
      </w:rPr>
      <mc:AlternateContent>
        <mc:Choice Requires="wps">
          <w:drawing>
            <wp:anchor distT="0" distB="0" distL="114300" distR="114300" simplePos="0" relativeHeight="251658240" behindDoc="1" locked="0" layoutInCell="0" allowOverlap="1" wp14:anchorId="29DF9E27" wp14:editId="02C2FB17">
              <wp:simplePos x="0" y="0"/>
              <wp:positionH relativeFrom="margin">
                <wp:align>center</wp:align>
              </wp:positionH>
              <wp:positionV relativeFrom="margin">
                <wp:align>center</wp:align>
              </wp:positionV>
              <wp:extent cx="5050155" cy="3030220"/>
              <wp:effectExtent l="0" t="1104900" r="0" b="636905"/>
              <wp:wrapNone/>
              <wp:docPr id="13" name="WordArt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050155" cy="30302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27008F" w:rsidRDefault="0027008F" w:rsidP="0045241A">
                          <w:pPr>
                            <w:pStyle w:val="NormalWeb"/>
                            <w:jc w:val="center"/>
                            <w:rPr>
                              <w:szCs w:val="24"/>
                            </w:rPr>
                          </w:pPr>
                          <w:r>
                            <w:rPr>
                              <w:rFonts w:ascii="Calibri" w:hAnsi="Calibri"/>
                              <w:color w:val="532A1A" w:themeColor="accent6" w:themeShade="80"/>
                              <w:sz w:val="2"/>
                              <w:szCs w:val="2"/>
                              <w14:textFill>
                                <w14:solidFill>
                                  <w14:schemeClr w14:val="accent6">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9DF9E27" id="_x0000_t202" coordsize="21600,21600" o:spt="202" path="m,l,21600r21600,l21600,xe">
              <v:stroke joinstyle="miter"/>
              <v:path gradientshapeok="t" o:connecttype="rect"/>
            </v:shapetype>
            <v:shape id="WordArt 25" o:spid="_x0000_s1031" type="#_x0000_t202" style="position:absolute;margin-left:0;margin-top:0;width:397.65pt;height:238.6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" o:allowincell="f" filled="f" stroked="f">
              <v:stroke joinstyle="round"/>
              <o:lock v:ext="edit" shapetype="t"/>
              <v:textbox style="mso-fit-shape-to-text:t">
                <w:txbxContent>
                  <w:p w:rsidR="0027008F" w:rsidRDefault="0027008F" w:rsidP="0045241A">
                    <w:pPr>
                      <w:pStyle w:val="NormalWeb"/>
                      <w:jc w:val="center"/>
                      <w:rPr>
                        <w:szCs w:val="24"/>
                      </w:rPr>
                    </w:pPr>
                    <w:r>
                      <w:rPr>
                        <w:rFonts w:ascii="Calibri" w:hAnsi="Calibri"/>
                        <w:color w:val="532A1A" w:themeColor="accent6" w:themeShade="80"/>
                        <w:sz w:val="2"/>
                        <w:szCs w:val="2"/>
                        <w14:textFill>
                          <w14:solidFill>
                            <w14:schemeClr w14:val="accent6">
                              <w14:alpha w14:val="50000"/>
                              <w14:lumMod w14:val="50000"/>
                            </w14:scheme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08F" w:rsidRPr="00BA6AAB" w:rsidRDefault="0027008F" w:rsidP="00BA6A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08F" w:rsidRDefault="0027008F" w:rsidP="00001A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08F" w:rsidRDefault="0027008F">
    <w:pPr>
      <w:pStyle w:val="Header"/>
    </w:pPr>
    <w:r>
      <w:rPr>
        <w:noProof/>
        <w:lang w:eastAsia="en-AU"/>
      </w:rPr>
      <mc:AlternateContent>
        <mc:Choice Requires="wps">
          <w:drawing>
            <wp:anchor distT="0" distB="0" distL="114300" distR="114300" simplePos="0" relativeHeight="251658243" behindDoc="1" locked="0" layoutInCell="0" allowOverlap="1" wp14:anchorId="235A77ED" wp14:editId="60B77A37">
              <wp:simplePos x="0" y="0"/>
              <wp:positionH relativeFrom="margin">
                <wp:align>center</wp:align>
              </wp:positionH>
              <wp:positionV relativeFrom="margin">
                <wp:align>center</wp:align>
              </wp:positionV>
              <wp:extent cx="5050155" cy="3030220"/>
              <wp:effectExtent l="0" t="1104900" r="0" b="636905"/>
              <wp:wrapNone/>
              <wp:docPr id="33" name="WordArt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050155" cy="30302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27008F" w:rsidRDefault="0027008F" w:rsidP="0045241A">
                          <w:pPr>
                            <w:pStyle w:val="NormalWeb"/>
                            <w:jc w:val="center"/>
                            <w:rPr>
                              <w:szCs w:val="24"/>
                            </w:rPr>
                          </w:pPr>
                          <w:r>
                            <w:rPr>
                              <w:rFonts w:ascii="Calibri" w:hAnsi="Calibri"/>
                              <w:color w:val="532A1A" w:themeColor="accent6" w:themeShade="80"/>
                              <w:sz w:val="2"/>
                              <w:szCs w:val="2"/>
                              <w14:textFill>
                                <w14:solidFill>
                                  <w14:schemeClr w14:val="accent6">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35A77ED" id="_x0000_t202" coordsize="21600,21600" o:spt="202" path="m,l,21600r21600,l21600,xe">
              <v:stroke joinstyle="miter"/>
              <v:path gradientshapeok="t" o:connecttype="rect"/>
            </v:shapetype>
            <v:shape id="WordArt 23" o:spid="_x0000_s1026" type="#_x0000_t202" style="position:absolute;margin-left:0;margin-top:0;width:397.65pt;height:238.6pt;rotation:-45;z-index:-25165823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" o:allowincell="f" filled="f" stroked="f">
              <v:stroke joinstyle="round"/>
              <o:lock v:ext="edit" shapetype="t"/>
              <v:textbox style="mso-fit-shape-to-text:t">
                <w:txbxContent>
                  <w:p w:rsidR="0027008F" w:rsidRDefault="0027008F" w:rsidP="0045241A">
                    <w:pPr>
                      <w:pStyle w:val="NormalWeb"/>
                      <w:jc w:val="center"/>
                      <w:rPr>
                        <w:szCs w:val="24"/>
                      </w:rPr>
                    </w:pPr>
                    <w:r>
                      <w:rPr>
                        <w:rFonts w:ascii="Calibri" w:hAnsi="Calibri"/>
                        <w:color w:val="532A1A" w:themeColor="accent6" w:themeShade="80"/>
                        <w:sz w:val="2"/>
                        <w:szCs w:val="2"/>
                        <w14:textFill>
                          <w14:solidFill>
                            <w14:schemeClr w14:val="accent6">
                              <w14:alpha w14:val="50000"/>
                              <w14:lumMod w14:val="50000"/>
                            </w14:schemeClr>
                          </w14:solidFill>
                        </w14:textFill>
                      </w:rPr>
                      <w:t>DRAFT</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08F" w:rsidRDefault="0027008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08F" w:rsidRDefault="0027008F">
    <w:pPr>
      <w:pStyle w:val="Header"/>
    </w:pPr>
    <w:r>
      <w:rPr>
        <w:noProof/>
        <w:lang w:eastAsia="en-AU"/>
      </w:rPr>
      <mc:AlternateContent>
        <mc:Choice Requires="wps">
          <w:drawing>
            <wp:anchor distT="0" distB="0" distL="114300" distR="114300" simplePos="0" relativeHeight="251658241" behindDoc="1" locked="0" layoutInCell="0" allowOverlap="1" wp14:anchorId="79D875E1" wp14:editId="002F3A25">
              <wp:simplePos x="0" y="0"/>
              <wp:positionH relativeFrom="margin">
                <wp:align>center</wp:align>
              </wp:positionH>
              <wp:positionV relativeFrom="margin">
                <wp:align>center</wp:align>
              </wp:positionV>
              <wp:extent cx="5050155" cy="3030220"/>
              <wp:effectExtent l="0" t="1104900" r="0" b="636905"/>
              <wp:wrapNone/>
              <wp:docPr id="29"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050155" cy="30302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27008F" w:rsidRDefault="0027008F" w:rsidP="0045241A">
                          <w:pPr>
                            <w:pStyle w:val="NormalWeb"/>
                            <w:jc w:val="center"/>
                            <w:rPr>
                              <w:szCs w:val="24"/>
                            </w:rPr>
                          </w:pPr>
                          <w:r>
                            <w:rPr>
                              <w:rFonts w:ascii="Calibri" w:hAnsi="Calibri"/>
                              <w:color w:val="532A1A" w:themeColor="accent6" w:themeShade="80"/>
                              <w:sz w:val="2"/>
                              <w:szCs w:val="2"/>
                              <w14:textFill>
                                <w14:solidFill>
                                  <w14:schemeClr w14:val="accent6">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9D875E1" id="_x0000_t202" coordsize="21600,21600" o:spt="202" path="m,l,21600r21600,l21600,xe">
              <v:stroke joinstyle="miter"/>
              <v:path gradientshapeok="t" o:connecttype="rect"/>
            </v:shapetype>
            <v:shape id="WordArt 22" o:spid="_x0000_s1027" type="#_x0000_t202" style="position:absolute;margin-left:0;margin-top:0;width:397.65pt;height:238.6pt;rotation:-45;z-index:-251658239;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" o:allowincell="f" filled="f" stroked="f">
              <v:stroke joinstyle="round"/>
              <o:lock v:ext="edit" shapetype="t"/>
              <v:textbox style="mso-fit-shape-to-text:t">
                <w:txbxContent>
                  <w:p w:rsidR="0027008F" w:rsidRDefault="0027008F" w:rsidP="0045241A">
                    <w:pPr>
                      <w:pStyle w:val="NormalWeb"/>
                      <w:jc w:val="center"/>
                      <w:rPr>
                        <w:szCs w:val="24"/>
                      </w:rPr>
                    </w:pPr>
                    <w:r>
                      <w:rPr>
                        <w:rFonts w:ascii="Calibri" w:hAnsi="Calibri"/>
                        <w:color w:val="532A1A" w:themeColor="accent6" w:themeShade="80"/>
                        <w:sz w:val="2"/>
                        <w:szCs w:val="2"/>
                        <w14:textFill>
                          <w14:solidFill>
                            <w14:schemeClr w14:val="accent6">
                              <w14:alpha w14:val="50000"/>
                              <w14:lumMod w14:val="50000"/>
                            </w14:schemeClr>
                          </w14:solidFill>
                        </w14:textFill>
                      </w:rPr>
                      <w:t>DRAFT</w:t>
                    </w:r>
                  </w:p>
                </w:txbxContent>
              </v:textbox>
              <w10:wrap anchorx="margin" anchory="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08F" w:rsidRDefault="0027008F">
    <w:pPr>
      <w:pStyle w:val="Header"/>
    </w:pPr>
    <w:r>
      <w:rPr>
        <w:noProof/>
        <w:lang w:eastAsia="en-AU"/>
      </w:rPr>
      <mc:AlternateContent>
        <mc:Choice Requires="wps">
          <w:drawing>
            <wp:anchor distT="0" distB="0" distL="114300" distR="114300" simplePos="0" relativeHeight="251658245" behindDoc="1" locked="0" layoutInCell="0" allowOverlap="1" wp14:anchorId="2ED6453B" wp14:editId="6D2AAD38">
              <wp:simplePos x="0" y="0"/>
              <wp:positionH relativeFrom="margin">
                <wp:align>center</wp:align>
              </wp:positionH>
              <wp:positionV relativeFrom="margin">
                <wp:align>center</wp:align>
              </wp:positionV>
              <wp:extent cx="5050155" cy="3030220"/>
              <wp:effectExtent l="0" t="1104900" r="0" b="636905"/>
              <wp:wrapNone/>
              <wp:docPr id="26" name="WordArt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050155" cy="30302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27008F" w:rsidRDefault="0027008F" w:rsidP="0045241A">
                          <w:pPr>
                            <w:pStyle w:val="NormalWeb"/>
                            <w:jc w:val="center"/>
                            <w:rPr>
                              <w:szCs w:val="24"/>
                            </w:rPr>
                          </w:pPr>
                          <w:r>
                            <w:rPr>
                              <w:rFonts w:ascii="Calibri" w:hAnsi="Calibri"/>
                              <w:color w:val="532A1A" w:themeColor="accent6" w:themeShade="80"/>
                              <w:sz w:val="2"/>
                              <w:szCs w:val="2"/>
                              <w14:textFill>
                                <w14:solidFill>
                                  <w14:schemeClr w14:val="accent6">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ED6453B" id="_x0000_t202" coordsize="21600,21600" o:spt="202" path="m,l,21600r21600,l21600,xe">
              <v:stroke joinstyle="miter"/>
              <v:path gradientshapeok="t" o:connecttype="rect"/>
            </v:shapetype>
            <v:shape id="WordArt 20" o:spid="_x0000_s1028" type="#_x0000_t202" style="position:absolute;margin-left:0;margin-top:0;width:397.65pt;height:238.6pt;rotation:-45;z-index:-251658235;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" o:allowincell="f" filled="f" stroked="f">
              <v:stroke joinstyle="round"/>
              <o:lock v:ext="edit" shapetype="t"/>
              <v:textbox style="mso-fit-shape-to-text:t">
                <w:txbxContent>
                  <w:p w:rsidR="0027008F" w:rsidRDefault="0027008F" w:rsidP="0045241A">
                    <w:pPr>
                      <w:pStyle w:val="NormalWeb"/>
                      <w:jc w:val="center"/>
                      <w:rPr>
                        <w:szCs w:val="24"/>
                      </w:rPr>
                    </w:pPr>
                    <w:r>
                      <w:rPr>
                        <w:rFonts w:ascii="Calibri" w:hAnsi="Calibri"/>
                        <w:color w:val="532A1A" w:themeColor="accent6" w:themeShade="80"/>
                        <w:sz w:val="2"/>
                        <w:szCs w:val="2"/>
                        <w14:textFill>
                          <w14:solidFill>
                            <w14:schemeClr w14:val="accent6">
                              <w14:alpha w14:val="50000"/>
                              <w14:lumMod w14:val="50000"/>
                            </w14:schemeClr>
                          </w14:solidFill>
                        </w14:textFill>
                      </w:rPr>
                      <w:t>DRAFT</w:t>
                    </w:r>
                  </w:p>
                </w:txbxContent>
              </v:textbox>
              <w10:wrap anchorx="margin"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08F" w:rsidRDefault="0027008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08F" w:rsidRDefault="0027008F">
    <w:pPr>
      <w:pStyle w:val="Header"/>
    </w:pPr>
    <w:r>
      <w:rPr>
        <w:noProof/>
        <w:lang w:eastAsia="en-AU"/>
      </w:rPr>
      <mc:AlternateContent>
        <mc:Choice Requires="wps">
          <w:drawing>
            <wp:anchor distT="0" distB="0" distL="114300" distR="114300" simplePos="0" relativeHeight="251658244" behindDoc="1" locked="0" layoutInCell="0" allowOverlap="1" wp14:anchorId="19441BD5" wp14:editId="64EC6FCD">
              <wp:simplePos x="0" y="0"/>
              <wp:positionH relativeFrom="margin">
                <wp:align>center</wp:align>
              </wp:positionH>
              <wp:positionV relativeFrom="margin">
                <wp:align>center</wp:align>
              </wp:positionV>
              <wp:extent cx="5050155" cy="3030220"/>
              <wp:effectExtent l="0" t="1104900" r="0" b="636905"/>
              <wp:wrapNone/>
              <wp:docPr id="21" name="WordArt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050155" cy="30302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27008F" w:rsidRDefault="0027008F" w:rsidP="0045241A">
                          <w:pPr>
                            <w:pStyle w:val="NormalWeb"/>
                            <w:jc w:val="center"/>
                            <w:rPr>
                              <w:szCs w:val="24"/>
                            </w:rPr>
                          </w:pPr>
                          <w:r>
                            <w:rPr>
                              <w:rFonts w:ascii="Calibri" w:hAnsi="Calibri"/>
                              <w:color w:val="532A1A" w:themeColor="accent6" w:themeShade="80"/>
                              <w:sz w:val="2"/>
                              <w:szCs w:val="2"/>
                              <w14:textFill>
                                <w14:solidFill>
                                  <w14:schemeClr w14:val="accent6">
                                    <w14:alpha w14:val="50000"/>
                                    <w14:lumMod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9441BD5" id="_x0000_t202" coordsize="21600,21600" o:spt="202" path="m,l,21600r21600,l21600,xe">
              <v:stroke joinstyle="miter"/>
              <v:path gradientshapeok="t" o:connecttype="rect"/>
            </v:shapetype>
            <v:shape id="WordArt 19" o:spid="_x0000_s1029" type="#_x0000_t202" style="position:absolute;margin-left:0;margin-top:0;width:397.65pt;height:238.6pt;rotation:-45;z-index:-2516582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" o:allowincell="f" filled="f" stroked="f">
              <v:stroke joinstyle="round"/>
              <o:lock v:ext="edit" shapetype="t"/>
              <v:textbox style="mso-fit-shape-to-text:t">
                <w:txbxContent>
                  <w:p w:rsidR="0027008F" w:rsidRDefault="0027008F" w:rsidP="0045241A">
                    <w:pPr>
                      <w:pStyle w:val="NormalWeb"/>
                      <w:jc w:val="center"/>
                      <w:rPr>
                        <w:szCs w:val="24"/>
                      </w:rPr>
                    </w:pPr>
                    <w:r>
                      <w:rPr>
                        <w:rFonts w:ascii="Calibri" w:hAnsi="Calibri"/>
                        <w:color w:val="532A1A" w:themeColor="accent6" w:themeShade="80"/>
                        <w:sz w:val="2"/>
                        <w:szCs w:val="2"/>
                        <w14:textFill>
                          <w14:solidFill>
                            <w14:schemeClr w14:val="accent6">
                              <w14:alpha w14:val="50000"/>
                              <w14:lumMod w14:val="50000"/>
                            </w14:schemeClr>
                          </w14:solidFill>
                        </w14:textFill>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B5E61"/>
    <w:multiLevelType w:val="hybridMultilevel"/>
    <w:tmpl w:val="FDFEC0EC"/>
    <w:lvl w:ilvl="0" w:tplc="D5D2746C">
      <w:start w:val="1"/>
      <w:numFmt w:val="bullet"/>
      <w:lvlText w:val=""/>
      <w:lvlJc w:val="left"/>
      <w:pPr>
        <w:ind w:left="720" w:hanging="360"/>
      </w:pPr>
      <w:rPr>
        <w:rFonts w:ascii="Symbol" w:hAnsi="Symbol" w:hint="default"/>
      </w:rPr>
    </w:lvl>
    <w:lvl w:ilvl="1" w:tplc="B9F20AF0">
      <w:start w:val="1"/>
      <w:numFmt w:val="bullet"/>
      <w:lvlText w:val="o"/>
      <w:lvlJc w:val="left"/>
      <w:pPr>
        <w:ind w:left="1440" w:hanging="360"/>
      </w:pPr>
      <w:rPr>
        <w:rFonts w:ascii="Courier New" w:hAnsi="Courier New" w:cs="Courier New" w:hint="default"/>
      </w:rPr>
    </w:lvl>
    <w:lvl w:ilvl="2" w:tplc="DAF4786E" w:tentative="1">
      <w:start w:val="1"/>
      <w:numFmt w:val="bullet"/>
      <w:lvlText w:val=""/>
      <w:lvlJc w:val="left"/>
      <w:pPr>
        <w:ind w:left="2160" w:hanging="360"/>
      </w:pPr>
      <w:rPr>
        <w:rFonts w:ascii="Wingdings" w:hAnsi="Wingdings" w:hint="default"/>
      </w:rPr>
    </w:lvl>
    <w:lvl w:ilvl="3" w:tplc="B00C2E02" w:tentative="1">
      <w:start w:val="1"/>
      <w:numFmt w:val="bullet"/>
      <w:lvlText w:val=""/>
      <w:lvlJc w:val="left"/>
      <w:pPr>
        <w:ind w:left="2880" w:hanging="360"/>
      </w:pPr>
      <w:rPr>
        <w:rFonts w:ascii="Symbol" w:hAnsi="Symbol" w:hint="default"/>
      </w:rPr>
    </w:lvl>
    <w:lvl w:ilvl="4" w:tplc="5602242E" w:tentative="1">
      <w:start w:val="1"/>
      <w:numFmt w:val="bullet"/>
      <w:lvlText w:val="o"/>
      <w:lvlJc w:val="left"/>
      <w:pPr>
        <w:ind w:left="3600" w:hanging="360"/>
      </w:pPr>
      <w:rPr>
        <w:rFonts w:ascii="Courier New" w:hAnsi="Courier New" w:cs="Courier New" w:hint="default"/>
      </w:rPr>
    </w:lvl>
    <w:lvl w:ilvl="5" w:tplc="6B0E999A" w:tentative="1">
      <w:start w:val="1"/>
      <w:numFmt w:val="bullet"/>
      <w:lvlText w:val=""/>
      <w:lvlJc w:val="left"/>
      <w:pPr>
        <w:ind w:left="4320" w:hanging="360"/>
      </w:pPr>
      <w:rPr>
        <w:rFonts w:ascii="Wingdings" w:hAnsi="Wingdings" w:hint="default"/>
      </w:rPr>
    </w:lvl>
    <w:lvl w:ilvl="6" w:tplc="1C28A5F2" w:tentative="1">
      <w:start w:val="1"/>
      <w:numFmt w:val="bullet"/>
      <w:lvlText w:val=""/>
      <w:lvlJc w:val="left"/>
      <w:pPr>
        <w:ind w:left="5040" w:hanging="360"/>
      </w:pPr>
      <w:rPr>
        <w:rFonts w:ascii="Symbol" w:hAnsi="Symbol" w:hint="default"/>
      </w:rPr>
    </w:lvl>
    <w:lvl w:ilvl="7" w:tplc="A9C8F722" w:tentative="1">
      <w:start w:val="1"/>
      <w:numFmt w:val="bullet"/>
      <w:lvlText w:val="o"/>
      <w:lvlJc w:val="left"/>
      <w:pPr>
        <w:ind w:left="5760" w:hanging="360"/>
      </w:pPr>
      <w:rPr>
        <w:rFonts w:ascii="Courier New" w:hAnsi="Courier New" w:cs="Courier New" w:hint="default"/>
      </w:rPr>
    </w:lvl>
    <w:lvl w:ilvl="8" w:tplc="54B40A88" w:tentative="1">
      <w:start w:val="1"/>
      <w:numFmt w:val="bullet"/>
      <w:lvlText w:val=""/>
      <w:lvlJc w:val="left"/>
      <w:pPr>
        <w:ind w:left="6480" w:hanging="360"/>
      </w:pPr>
      <w:rPr>
        <w:rFonts w:ascii="Wingdings" w:hAnsi="Wingdings" w:hint="default"/>
      </w:rPr>
    </w:lvl>
  </w:abstractNum>
  <w:abstractNum w:abstractNumId="1" w15:restartNumberingAfterBreak="0">
    <w:nsid w:val="028D1C77"/>
    <w:multiLevelType w:val="hybridMultilevel"/>
    <w:tmpl w:val="76C005CA"/>
    <w:lvl w:ilvl="0" w:tplc="0C090001">
      <w:start w:val="1"/>
      <w:numFmt w:val="bullet"/>
      <w:lvlText w:val=""/>
      <w:lvlJc w:val="left"/>
      <w:pPr>
        <w:tabs>
          <w:tab w:val="num" w:pos="284"/>
        </w:tabs>
        <w:ind w:left="227" w:hanging="227"/>
      </w:pPr>
      <w:rPr>
        <w:rFonts w:ascii="Symbol" w:hAnsi="Symbol" w:hint="default"/>
        <w:b w:val="0"/>
        <w:i w:val="0"/>
        <w:color w:val="0D0D0D"/>
        <w:sz w:val="24"/>
        <w:szCs w:val="24"/>
      </w:rPr>
    </w:lvl>
    <w:lvl w:ilvl="1" w:tplc="0C090003">
      <w:start w:val="1"/>
      <w:numFmt w:val="bullet"/>
      <w:pStyle w:val="sub-bullet"/>
      <w:lvlText w:val="o"/>
      <w:lvlJc w:val="left"/>
      <w:pPr>
        <w:tabs>
          <w:tab w:val="num" w:pos="851"/>
        </w:tabs>
        <w:ind w:left="851" w:hanging="284"/>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4274A7"/>
    <w:multiLevelType w:val="hybridMultilevel"/>
    <w:tmpl w:val="169E2228"/>
    <w:lvl w:ilvl="0" w:tplc="F814D39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48C1D61"/>
    <w:multiLevelType w:val="hybridMultilevel"/>
    <w:tmpl w:val="6EA2E058"/>
    <w:lvl w:ilvl="0" w:tplc="D49CF5A2">
      <w:start w:val="1"/>
      <w:numFmt w:val="bullet"/>
      <w:lvlText w:val=""/>
      <w:lvlJc w:val="left"/>
      <w:pPr>
        <w:ind w:left="720" w:hanging="360"/>
      </w:pPr>
      <w:rPr>
        <w:rFonts w:ascii="Symbol" w:hAnsi="Symbol" w:hint="default"/>
      </w:rPr>
    </w:lvl>
    <w:lvl w:ilvl="1" w:tplc="8E1C4772"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B0093B"/>
    <w:multiLevelType w:val="hybridMultilevel"/>
    <w:tmpl w:val="70168DC8"/>
    <w:lvl w:ilvl="0" w:tplc="0C090019">
      <w:start w:val="1"/>
      <w:numFmt w:val="bullet"/>
      <w:lvlText w:val=""/>
      <w:lvlJc w:val="left"/>
      <w:pPr>
        <w:ind w:left="720" w:hanging="360"/>
      </w:pPr>
      <w:rPr>
        <w:rFonts w:ascii="Symbol" w:hAnsi="Symbol" w:hint="default"/>
        <w:b w:val="0"/>
        <w:i w:val="0"/>
        <w:color w:val="0D0D0D"/>
        <w:sz w:val="24"/>
        <w:szCs w:val="24"/>
      </w:rPr>
    </w:lvl>
    <w:lvl w:ilvl="1" w:tplc="0C090019" w:tentative="1">
      <w:start w:val="1"/>
      <w:numFmt w:val="bullet"/>
      <w:lvlText w:val="o"/>
      <w:lvlJc w:val="left"/>
      <w:pPr>
        <w:ind w:left="1440" w:hanging="360"/>
      </w:pPr>
      <w:rPr>
        <w:rFonts w:ascii="Courier New" w:hAnsi="Courier New" w:cs="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cs="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cs="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5" w15:restartNumberingAfterBreak="0">
    <w:nsid w:val="0A0A52B9"/>
    <w:multiLevelType w:val="hybridMultilevel"/>
    <w:tmpl w:val="92FA1512"/>
    <w:lvl w:ilvl="0" w:tplc="9440F8BC">
      <w:start w:val="1"/>
      <w:numFmt w:val="bullet"/>
      <w:lvlText w:val=""/>
      <w:lvlJc w:val="left"/>
      <w:pPr>
        <w:ind w:left="720" w:hanging="360"/>
      </w:pPr>
      <w:rPr>
        <w:rFonts w:ascii="Symbol" w:hAnsi="Symbol" w:hint="default"/>
      </w:rPr>
    </w:lvl>
    <w:lvl w:ilvl="1" w:tplc="D15EBA8A" w:tentative="1">
      <w:start w:val="1"/>
      <w:numFmt w:val="bullet"/>
      <w:lvlText w:val="o"/>
      <w:lvlJc w:val="left"/>
      <w:pPr>
        <w:ind w:left="1440" w:hanging="360"/>
      </w:pPr>
      <w:rPr>
        <w:rFonts w:ascii="Courier New" w:hAnsi="Courier New" w:cs="Courier New" w:hint="default"/>
      </w:rPr>
    </w:lvl>
    <w:lvl w:ilvl="2" w:tplc="D05CCFE0" w:tentative="1">
      <w:start w:val="1"/>
      <w:numFmt w:val="bullet"/>
      <w:lvlText w:val=""/>
      <w:lvlJc w:val="left"/>
      <w:pPr>
        <w:ind w:left="2160" w:hanging="360"/>
      </w:pPr>
      <w:rPr>
        <w:rFonts w:ascii="Wingdings" w:hAnsi="Wingdings" w:hint="default"/>
      </w:rPr>
    </w:lvl>
    <w:lvl w:ilvl="3" w:tplc="6A581406" w:tentative="1">
      <w:start w:val="1"/>
      <w:numFmt w:val="bullet"/>
      <w:lvlText w:val=""/>
      <w:lvlJc w:val="left"/>
      <w:pPr>
        <w:ind w:left="2880" w:hanging="360"/>
      </w:pPr>
      <w:rPr>
        <w:rFonts w:ascii="Symbol" w:hAnsi="Symbol" w:hint="default"/>
      </w:rPr>
    </w:lvl>
    <w:lvl w:ilvl="4" w:tplc="7152DBE4" w:tentative="1">
      <w:start w:val="1"/>
      <w:numFmt w:val="bullet"/>
      <w:lvlText w:val="o"/>
      <w:lvlJc w:val="left"/>
      <w:pPr>
        <w:ind w:left="3600" w:hanging="360"/>
      </w:pPr>
      <w:rPr>
        <w:rFonts w:ascii="Courier New" w:hAnsi="Courier New" w:cs="Courier New" w:hint="default"/>
      </w:rPr>
    </w:lvl>
    <w:lvl w:ilvl="5" w:tplc="54CC9EFE" w:tentative="1">
      <w:start w:val="1"/>
      <w:numFmt w:val="bullet"/>
      <w:lvlText w:val=""/>
      <w:lvlJc w:val="left"/>
      <w:pPr>
        <w:ind w:left="4320" w:hanging="360"/>
      </w:pPr>
      <w:rPr>
        <w:rFonts w:ascii="Wingdings" w:hAnsi="Wingdings" w:hint="default"/>
      </w:rPr>
    </w:lvl>
    <w:lvl w:ilvl="6" w:tplc="FCECB1EE" w:tentative="1">
      <w:start w:val="1"/>
      <w:numFmt w:val="bullet"/>
      <w:lvlText w:val=""/>
      <w:lvlJc w:val="left"/>
      <w:pPr>
        <w:ind w:left="5040" w:hanging="360"/>
      </w:pPr>
      <w:rPr>
        <w:rFonts w:ascii="Symbol" w:hAnsi="Symbol" w:hint="default"/>
      </w:rPr>
    </w:lvl>
    <w:lvl w:ilvl="7" w:tplc="AF2E010A" w:tentative="1">
      <w:start w:val="1"/>
      <w:numFmt w:val="bullet"/>
      <w:lvlText w:val="o"/>
      <w:lvlJc w:val="left"/>
      <w:pPr>
        <w:ind w:left="5760" w:hanging="360"/>
      </w:pPr>
      <w:rPr>
        <w:rFonts w:ascii="Courier New" w:hAnsi="Courier New" w:cs="Courier New" w:hint="default"/>
      </w:rPr>
    </w:lvl>
    <w:lvl w:ilvl="8" w:tplc="4C722D70" w:tentative="1">
      <w:start w:val="1"/>
      <w:numFmt w:val="bullet"/>
      <w:lvlText w:val=""/>
      <w:lvlJc w:val="left"/>
      <w:pPr>
        <w:ind w:left="6480" w:hanging="360"/>
      </w:pPr>
      <w:rPr>
        <w:rFonts w:ascii="Wingdings" w:hAnsi="Wingdings" w:hint="default"/>
      </w:rPr>
    </w:lvl>
  </w:abstractNum>
  <w:abstractNum w:abstractNumId="6" w15:restartNumberingAfterBreak="0">
    <w:nsid w:val="0B043DE1"/>
    <w:multiLevelType w:val="hybridMultilevel"/>
    <w:tmpl w:val="B6846C48"/>
    <w:lvl w:ilvl="0" w:tplc="0C090001">
      <w:start w:val="1"/>
      <w:numFmt w:val="bullet"/>
      <w:lvlText w:val=""/>
      <w:lvlJc w:val="left"/>
      <w:pPr>
        <w:ind w:left="720" w:hanging="360"/>
      </w:pPr>
      <w:rPr>
        <w:rFonts w:ascii="Symbol" w:hAnsi="Symbol" w:hint="default"/>
        <w:b w:val="0"/>
        <w:i w:val="0"/>
        <w:color w:val="0D0D0D"/>
        <w:sz w:val="24"/>
        <w:szCs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C01431D"/>
    <w:multiLevelType w:val="hybridMultilevel"/>
    <w:tmpl w:val="A282E1CA"/>
    <w:lvl w:ilvl="0" w:tplc="7920397E">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C7A47CF"/>
    <w:multiLevelType w:val="hybridMultilevel"/>
    <w:tmpl w:val="2534B0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C7E6E91"/>
    <w:multiLevelType w:val="multilevel"/>
    <w:tmpl w:val="03DC4E0C"/>
    <w:lvl w:ilvl="0">
      <w:start w:val="1"/>
      <w:numFmt w:val="decimal"/>
      <w:pStyle w:val="NumberedHeading1"/>
      <w:lvlText w:val="%1."/>
      <w:lvlJc w:val="left"/>
      <w:pPr>
        <w:tabs>
          <w:tab w:val="num" w:pos="360"/>
        </w:tabs>
        <w:ind w:left="360" w:hanging="360"/>
      </w:pPr>
    </w:lvl>
    <w:lvl w:ilvl="1">
      <w:start w:val="1"/>
      <w:numFmt w:val="decimal"/>
      <w:pStyle w:val="Numberedheading2"/>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110C2C39"/>
    <w:multiLevelType w:val="hybridMultilevel"/>
    <w:tmpl w:val="9590495E"/>
    <w:lvl w:ilvl="0" w:tplc="2FEAADA0">
      <w:start w:val="1"/>
      <w:numFmt w:val="bullet"/>
      <w:lvlText w:val=""/>
      <w:lvlJc w:val="left"/>
      <w:pPr>
        <w:ind w:left="720" w:hanging="360"/>
      </w:pPr>
      <w:rPr>
        <w:rFonts w:ascii="Symbol" w:hAnsi="Symbol" w:hint="default"/>
      </w:rPr>
    </w:lvl>
    <w:lvl w:ilvl="1" w:tplc="72AED7CC" w:tentative="1">
      <w:start w:val="1"/>
      <w:numFmt w:val="bullet"/>
      <w:lvlText w:val="o"/>
      <w:lvlJc w:val="left"/>
      <w:pPr>
        <w:ind w:left="1440" w:hanging="360"/>
      </w:pPr>
      <w:rPr>
        <w:rFonts w:ascii="Courier New" w:hAnsi="Courier New" w:cs="Courier New" w:hint="default"/>
      </w:rPr>
    </w:lvl>
    <w:lvl w:ilvl="2" w:tplc="5AAE1A2A" w:tentative="1">
      <w:start w:val="1"/>
      <w:numFmt w:val="bullet"/>
      <w:lvlText w:val=""/>
      <w:lvlJc w:val="left"/>
      <w:pPr>
        <w:ind w:left="2160" w:hanging="360"/>
      </w:pPr>
      <w:rPr>
        <w:rFonts w:ascii="Wingdings" w:hAnsi="Wingdings" w:hint="default"/>
      </w:rPr>
    </w:lvl>
    <w:lvl w:ilvl="3" w:tplc="3FFAB132" w:tentative="1">
      <w:start w:val="1"/>
      <w:numFmt w:val="bullet"/>
      <w:lvlText w:val=""/>
      <w:lvlJc w:val="left"/>
      <w:pPr>
        <w:ind w:left="2880" w:hanging="360"/>
      </w:pPr>
      <w:rPr>
        <w:rFonts w:ascii="Symbol" w:hAnsi="Symbol" w:hint="default"/>
      </w:rPr>
    </w:lvl>
    <w:lvl w:ilvl="4" w:tplc="59BCF942" w:tentative="1">
      <w:start w:val="1"/>
      <w:numFmt w:val="bullet"/>
      <w:lvlText w:val="o"/>
      <w:lvlJc w:val="left"/>
      <w:pPr>
        <w:ind w:left="3600" w:hanging="360"/>
      </w:pPr>
      <w:rPr>
        <w:rFonts w:ascii="Courier New" w:hAnsi="Courier New" w:cs="Courier New" w:hint="default"/>
      </w:rPr>
    </w:lvl>
    <w:lvl w:ilvl="5" w:tplc="1BE0ADE0" w:tentative="1">
      <w:start w:val="1"/>
      <w:numFmt w:val="bullet"/>
      <w:lvlText w:val=""/>
      <w:lvlJc w:val="left"/>
      <w:pPr>
        <w:ind w:left="4320" w:hanging="360"/>
      </w:pPr>
      <w:rPr>
        <w:rFonts w:ascii="Wingdings" w:hAnsi="Wingdings" w:hint="default"/>
      </w:rPr>
    </w:lvl>
    <w:lvl w:ilvl="6" w:tplc="DFAC7932" w:tentative="1">
      <w:start w:val="1"/>
      <w:numFmt w:val="bullet"/>
      <w:lvlText w:val=""/>
      <w:lvlJc w:val="left"/>
      <w:pPr>
        <w:ind w:left="5040" w:hanging="360"/>
      </w:pPr>
      <w:rPr>
        <w:rFonts w:ascii="Symbol" w:hAnsi="Symbol" w:hint="default"/>
      </w:rPr>
    </w:lvl>
    <w:lvl w:ilvl="7" w:tplc="DD209F5E" w:tentative="1">
      <w:start w:val="1"/>
      <w:numFmt w:val="bullet"/>
      <w:lvlText w:val="o"/>
      <w:lvlJc w:val="left"/>
      <w:pPr>
        <w:ind w:left="5760" w:hanging="360"/>
      </w:pPr>
      <w:rPr>
        <w:rFonts w:ascii="Courier New" w:hAnsi="Courier New" w:cs="Courier New" w:hint="default"/>
      </w:rPr>
    </w:lvl>
    <w:lvl w:ilvl="8" w:tplc="864C9E22" w:tentative="1">
      <w:start w:val="1"/>
      <w:numFmt w:val="bullet"/>
      <w:lvlText w:val=""/>
      <w:lvlJc w:val="left"/>
      <w:pPr>
        <w:ind w:left="6480" w:hanging="360"/>
      </w:pPr>
      <w:rPr>
        <w:rFonts w:ascii="Wingdings" w:hAnsi="Wingdings" w:hint="default"/>
      </w:rPr>
    </w:lvl>
  </w:abstractNum>
  <w:abstractNum w:abstractNumId="11" w15:restartNumberingAfterBreak="0">
    <w:nsid w:val="112A3827"/>
    <w:multiLevelType w:val="hybridMultilevel"/>
    <w:tmpl w:val="EA50C550"/>
    <w:lvl w:ilvl="0" w:tplc="FB187398">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1B916E2"/>
    <w:multiLevelType w:val="hybridMultilevel"/>
    <w:tmpl w:val="0BA29F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4995EC8"/>
    <w:multiLevelType w:val="hybridMultilevel"/>
    <w:tmpl w:val="D936660E"/>
    <w:lvl w:ilvl="0" w:tplc="0C090001">
      <w:start w:val="1"/>
      <w:numFmt w:val="decimal"/>
      <w:lvlText w:val="%1."/>
      <w:lvlJc w:val="left"/>
      <w:pPr>
        <w:ind w:left="720" w:hanging="360"/>
      </w:pPr>
    </w:lvl>
    <w:lvl w:ilvl="1" w:tplc="0C090003">
      <w:start w:val="1"/>
      <w:numFmt w:val="lowerLetter"/>
      <w:lvlText w:val="%2."/>
      <w:lvlJc w:val="left"/>
      <w:pPr>
        <w:ind w:left="1353" w:hanging="360"/>
      </w:pPr>
    </w:lvl>
    <w:lvl w:ilvl="2" w:tplc="0C090005" w:tentative="1">
      <w:start w:val="1"/>
      <w:numFmt w:val="lowerRoman"/>
      <w:lvlText w:val="%3."/>
      <w:lvlJc w:val="right"/>
      <w:pPr>
        <w:ind w:left="2160" w:hanging="180"/>
      </w:pPr>
    </w:lvl>
    <w:lvl w:ilvl="3" w:tplc="0C090001" w:tentative="1">
      <w:start w:val="1"/>
      <w:numFmt w:val="decimal"/>
      <w:lvlText w:val="%4."/>
      <w:lvlJc w:val="left"/>
      <w:pPr>
        <w:ind w:left="2880" w:hanging="360"/>
      </w:pPr>
    </w:lvl>
    <w:lvl w:ilvl="4" w:tplc="0C090003" w:tentative="1">
      <w:start w:val="1"/>
      <w:numFmt w:val="lowerLetter"/>
      <w:lvlText w:val="%5."/>
      <w:lvlJc w:val="left"/>
      <w:pPr>
        <w:ind w:left="3600" w:hanging="360"/>
      </w:pPr>
    </w:lvl>
    <w:lvl w:ilvl="5" w:tplc="0C090005" w:tentative="1">
      <w:start w:val="1"/>
      <w:numFmt w:val="lowerRoman"/>
      <w:lvlText w:val="%6."/>
      <w:lvlJc w:val="right"/>
      <w:pPr>
        <w:ind w:left="4320" w:hanging="180"/>
      </w:pPr>
    </w:lvl>
    <w:lvl w:ilvl="6" w:tplc="0C090001" w:tentative="1">
      <w:start w:val="1"/>
      <w:numFmt w:val="decimal"/>
      <w:lvlText w:val="%7."/>
      <w:lvlJc w:val="left"/>
      <w:pPr>
        <w:ind w:left="5040" w:hanging="360"/>
      </w:pPr>
    </w:lvl>
    <w:lvl w:ilvl="7" w:tplc="0C090003" w:tentative="1">
      <w:start w:val="1"/>
      <w:numFmt w:val="lowerLetter"/>
      <w:lvlText w:val="%8."/>
      <w:lvlJc w:val="left"/>
      <w:pPr>
        <w:ind w:left="5760" w:hanging="360"/>
      </w:pPr>
    </w:lvl>
    <w:lvl w:ilvl="8" w:tplc="0C090005" w:tentative="1">
      <w:start w:val="1"/>
      <w:numFmt w:val="lowerRoman"/>
      <w:lvlText w:val="%9."/>
      <w:lvlJc w:val="right"/>
      <w:pPr>
        <w:ind w:left="6480" w:hanging="180"/>
      </w:pPr>
    </w:lvl>
  </w:abstractNum>
  <w:abstractNum w:abstractNumId="14" w15:restartNumberingAfterBreak="0">
    <w:nsid w:val="14EE2FC8"/>
    <w:multiLevelType w:val="hybridMultilevel"/>
    <w:tmpl w:val="BEF06CB0"/>
    <w:lvl w:ilvl="0" w:tplc="B02AE94C">
      <w:start w:val="1"/>
      <w:numFmt w:val="bullet"/>
      <w:lvlText w:val=""/>
      <w:lvlJc w:val="left"/>
      <w:pPr>
        <w:ind w:left="720" w:hanging="360"/>
      </w:pPr>
      <w:rPr>
        <w:rFonts w:ascii="Symbol" w:hAnsi="Symbol" w:hint="default"/>
      </w:rPr>
    </w:lvl>
    <w:lvl w:ilvl="1" w:tplc="0C090019" w:tentative="1">
      <w:start w:val="1"/>
      <w:numFmt w:val="bullet"/>
      <w:lvlText w:val="o"/>
      <w:lvlJc w:val="left"/>
      <w:pPr>
        <w:ind w:left="1440" w:hanging="360"/>
      </w:pPr>
      <w:rPr>
        <w:rFonts w:ascii="Courier New" w:hAnsi="Courier New" w:cs="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cs="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cs="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15" w15:restartNumberingAfterBreak="0">
    <w:nsid w:val="14FA0117"/>
    <w:multiLevelType w:val="hybridMultilevel"/>
    <w:tmpl w:val="447465A6"/>
    <w:lvl w:ilvl="0" w:tplc="0C090001">
      <w:start w:val="1"/>
      <w:numFmt w:val="decimal"/>
      <w:pStyle w:val="Numberbullet"/>
      <w:lvlText w:val="%1."/>
      <w:lvlJc w:val="left"/>
      <w:pPr>
        <w:ind w:left="720" w:hanging="360"/>
      </w:pPr>
    </w:lvl>
    <w:lvl w:ilvl="1" w:tplc="0C090003" w:tentative="1">
      <w:start w:val="1"/>
      <w:numFmt w:val="lowerLetter"/>
      <w:lvlText w:val="%2."/>
      <w:lvlJc w:val="left"/>
      <w:pPr>
        <w:ind w:left="1440" w:hanging="360"/>
      </w:pPr>
    </w:lvl>
    <w:lvl w:ilvl="2" w:tplc="0C090005" w:tentative="1">
      <w:start w:val="1"/>
      <w:numFmt w:val="lowerRoman"/>
      <w:lvlText w:val="%3."/>
      <w:lvlJc w:val="right"/>
      <w:pPr>
        <w:ind w:left="2160" w:hanging="180"/>
      </w:pPr>
    </w:lvl>
    <w:lvl w:ilvl="3" w:tplc="0C090001" w:tentative="1">
      <w:start w:val="1"/>
      <w:numFmt w:val="decimal"/>
      <w:lvlText w:val="%4."/>
      <w:lvlJc w:val="left"/>
      <w:pPr>
        <w:ind w:left="2880" w:hanging="360"/>
      </w:pPr>
    </w:lvl>
    <w:lvl w:ilvl="4" w:tplc="0C090003" w:tentative="1">
      <w:start w:val="1"/>
      <w:numFmt w:val="lowerLetter"/>
      <w:lvlText w:val="%5."/>
      <w:lvlJc w:val="left"/>
      <w:pPr>
        <w:ind w:left="3600" w:hanging="360"/>
      </w:pPr>
    </w:lvl>
    <w:lvl w:ilvl="5" w:tplc="0C090005" w:tentative="1">
      <w:start w:val="1"/>
      <w:numFmt w:val="lowerRoman"/>
      <w:lvlText w:val="%6."/>
      <w:lvlJc w:val="right"/>
      <w:pPr>
        <w:ind w:left="4320" w:hanging="180"/>
      </w:pPr>
    </w:lvl>
    <w:lvl w:ilvl="6" w:tplc="0C090001" w:tentative="1">
      <w:start w:val="1"/>
      <w:numFmt w:val="decimal"/>
      <w:lvlText w:val="%7."/>
      <w:lvlJc w:val="left"/>
      <w:pPr>
        <w:ind w:left="5040" w:hanging="360"/>
      </w:pPr>
    </w:lvl>
    <w:lvl w:ilvl="7" w:tplc="0C090003" w:tentative="1">
      <w:start w:val="1"/>
      <w:numFmt w:val="lowerLetter"/>
      <w:lvlText w:val="%8."/>
      <w:lvlJc w:val="left"/>
      <w:pPr>
        <w:ind w:left="5760" w:hanging="360"/>
      </w:pPr>
    </w:lvl>
    <w:lvl w:ilvl="8" w:tplc="0C090005" w:tentative="1">
      <w:start w:val="1"/>
      <w:numFmt w:val="lowerRoman"/>
      <w:lvlText w:val="%9."/>
      <w:lvlJc w:val="right"/>
      <w:pPr>
        <w:ind w:left="6480" w:hanging="180"/>
      </w:pPr>
    </w:lvl>
  </w:abstractNum>
  <w:abstractNum w:abstractNumId="16" w15:restartNumberingAfterBreak="0">
    <w:nsid w:val="15FD4BF7"/>
    <w:multiLevelType w:val="hybridMultilevel"/>
    <w:tmpl w:val="5E7C5A24"/>
    <w:lvl w:ilvl="0" w:tplc="78385BC2">
      <w:start w:val="1"/>
      <w:numFmt w:val="decimal"/>
      <w:lvlText w:val="%1."/>
      <w:lvlJc w:val="left"/>
      <w:pPr>
        <w:ind w:left="720" w:hanging="360"/>
      </w:pPr>
    </w:lvl>
    <w:lvl w:ilvl="1" w:tplc="99E8F3AE">
      <w:start w:val="1"/>
      <w:numFmt w:val="lowerLetter"/>
      <w:lvlText w:val="%2."/>
      <w:lvlJc w:val="left"/>
      <w:pPr>
        <w:ind w:left="1440" w:hanging="360"/>
      </w:pPr>
    </w:lvl>
    <w:lvl w:ilvl="2" w:tplc="05CA7DC0" w:tentative="1">
      <w:start w:val="1"/>
      <w:numFmt w:val="lowerRoman"/>
      <w:lvlText w:val="%3."/>
      <w:lvlJc w:val="right"/>
      <w:pPr>
        <w:ind w:left="2160" w:hanging="180"/>
      </w:pPr>
    </w:lvl>
    <w:lvl w:ilvl="3" w:tplc="CB7E1E06" w:tentative="1">
      <w:start w:val="1"/>
      <w:numFmt w:val="decimal"/>
      <w:lvlText w:val="%4."/>
      <w:lvlJc w:val="left"/>
      <w:pPr>
        <w:ind w:left="2880" w:hanging="360"/>
      </w:pPr>
    </w:lvl>
    <w:lvl w:ilvl="4" w:tplc="1D301660" w:tentative="1">
      <w:start w:val="1"/>
      <w:numFmt w:val="lowerLetter"/>
      <w:lvlText w:val="%5."/>
      <w:lvlJc w:val="left"/>
      <w:pPr>
        <w:ind w:left="3600" w:hanging="360"/>
      </w:pPr>
    </w:lvl>
    <w:lvl w:ilvl="5" w:tplc="CB6ED5C0" w:tentative="1">
      <w:start w:val="1"/>
      <w:numFmt w:val="lowerRoman"/>
      <w:lvlText w:val="%6."/>
      <w:lvlJc w:val="right"/>
      <w:pPr>
        <w:ind w:left="4320" w:hanging="180"/>
      </w:pPr>
    </w:lvl>
    <w:lvl w:ilvl="6" w:tplc="AABC663C" w:tentative="1">
      <w:start w:val="1"/>
      <w:numFmt w:val="decimal"/>
      <w:lvlText w:val="%7."/>
      <w:lvlJc w:val="left"/>
      <w:pPr>
        <w:ind w:left="5040" w:hanging="360"/>
      </w:pPr>
    </w:lvl>
    <w:lvl w:ilvl="7" w:tplc="63401C94" w:tentative="1">
      <w:start w:val="1"/>
      <w:numFmt w:val="lowerLetter"/>
      <w:lvlText w:val="%8."/>
      <w:lvlJc w:val="left"/>
      <w:pPr>
        <w:ind w:left="5760" w:hanging="360"/>
      </w:pPr>
    </w:lvl>
    <w:lvl w:ilvl="8" w:tplc="A170F2E0" w:tentative="1">
      <w:start w:val="1"/>
      <w:numFmt w:val="lowerRoman"/>
      <w:lvlText w:val="%9."/>
      <w:lvlJc w:val="right"/>
      <w:pPr>
        <w:ind w:left="6480" w:hanging="180"/>
      </w:pPr>
    </w:lvl>
  </w:abstractNum>
  <w:abstractNum w:abstractNumId="17" w15:restartNumberingAfterBreak="0">
    <w:nsid w:val="16641DF2"/>
    <w:multiLevelType w:val="hybridMultilevel"/>
    <w:tmpl w:val="F7842D62"/>
    <w:lvl w:ilvl="0" w:tplc="0C09000F">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03">
      <w:start w:val="1"/>
      <w:numFmt w:val="lowerLetter"/>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8" w15:restartNumberingAfterBreak="0">
    <w:nsid w:val="176F36A4"/>
    <w:multiLevelType w:val="hybridMultilevel"/>
    <w:tmpl w:val="5A10B27A"/>
    <w:lvl w:ilvl="0" w:tplc="15A02124">
      <w:start w:val="1"/>
      <w:numFmt w:val="decimal"/>
      <w:lvlText w:val="Analysis %1:"/>
      <w:lvlJc w:val="left"/>
      <w:pPr>
        <w:ind w:left="786" w:hanging="360"/>
      </w:pPr>
      <w:rPr>
        <w:rFonts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885506A"/>
    <w:multiLevelType w:val="hybridMultilevel"/>
    <w:tmpl w:val="72CEE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9922810"/>
    <w:multiLevelType w:val="hybridMultilevel"/>
    <w:tmpl w:val="4B6A86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1B9133DB"/>
    <w:multiLevelType w:val="hybridMultilevel"/>
    <w:tmpl w:val="E1B0B32A"/>
    <w:lvl w:ilvl="0" w:tplc="15A02124">
      <w:start w:val="1"/>
      <w:numFmt w:val="decimal"/>
      <w:lvlText w:val="Analysis %1:"/>
      <w:lvlJc w:val="left"/>
      <w:pPr>
        <w:ind w:left="1636" w:hanging="360"/>
      </w:pPr>
      <w:rPr>
        <w:rFonts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1D753C89"/>
    <w:multiLevelType w:val="multilevel"/>
    <w:tmpl w:val="AA646728"/>
    <w:lvl w:ilvl="0">
      <w:start w:val="1"/>
      <w:numFmt w:val="bullet"/>
      <w:lvlText w:val=""/>
      <w:lvlJc w:val="left"/>
      <w:pPr>
        <w:ind w:left="360" w:hanging="360"/>
      </w:pPr>
      <w:rPr>
        <w:rFonts w:ascii="Symbol" w:hAnsi="Symbol" w:hint="default"/>
      </w:rPr>
    </w:lvl>
    <w:lvl w:ilvl="1">
      <w:start w:val="1"/>
      <w:numFmt w:val="bullet"/>
      <w:lvlText w:val=""/>
      <w:lvlJc w:val="left"/>
      <w:pPr>
        <w:ind w:left="737" w:hanging="340"/>
      </w:pPr>
      <w:rPr>
        <w:rFonts w:ascii="Symbol" w:hAnsi="Symbol" w:hint="default"/>
      </w:rPr>
    </w:lvl>
    <w:lvl w:ilvl="2">
      <w:start w:val="1"/>
      <w:numFmt w:val="bullet"/>
      <w:lvlText w:val=""/>
      <w:lvlJc w:val="left"/>
      <w:pPr>
        <w:ind w:left="1134" w:hanging="340"/>
      </w:pPr>
      <w:rPr>
        <w:rFonts w:ascii="Wingdings" w:hAnsi="Wingdings" w:hint="default"/>
      </w:rPr>
    </w:lvl>
    <w:lvl w:ilvl="3">
      <w:start w:val="1"/>
      <w:numFmt w:val="bullet"/>
      <w:lvlText w:val="o"/>
      <w:lvlJc w:val="left"/>
      <w:pPr>
        <w:ind w:left="1531" w:hanging="397"/>
      </w:pPr>
      <w:rPr>
        <w:rFonts w:ascii="Courier New" w:hAnsi="Courier New"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1D877BB8"/>
    <w:multiLevelType w:val="hybridMultilevel"/>
    <w:tmpl w:val="A780804E"/>
    <w:lvl w:ilvl="0" w:tplc="0C09000F">
      <w:start w:val="1"/>
      <w:numFmt w:val="decimal"/>
      <w:lvlText w:val="%1."/>
      <w:lvlJc w:val="left"/>
      <w:pPr>
        <w:ind w:left="720" w:hanging="360"/>
      </w:pPr>
    </w:lvl>
    <w:lvl w:ilvl="1" w:tplc="0C090019">
      <w:start w:val="1"/>
      <w:numFmt w:val="lowerLetter"/>
      <w:lvlText w:val="%2."/>
      <w:lvlJc w:val="left"/>
      <w:pPr>
        <w:ind w:left="1353"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3D31501"/>
    <w:multiLevelType w:val="hybridMultilevel"/>
    <w:tmpl w:val="E6D41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4E64885"/>
    <w:multiLevelType w:val="multilevel"/>
    <w:tmpl w:val="6B006F70"/>
    <w:lvl w:ilvl="0">
      <w:start w:val="1"/>
      <w:numFmt w:val="bullet"/>
      <w:pStyle w:val="L2"/>
      <w:lvlText w:val=""/>
      <w:lvlJc w:val="left"/>
      <w:pPr>
        <w:tabs>
          <w:tab w:val="num" w:pos="1067"/>
        </w:tabs>
        <w:ind w:left="1067" w:hanging="567"/>
      </w:pPr>
      <w:rPr>
        <w:rFonts w:ascii="Symbol" w:hAnsi="Symbol" w:hint="default"/>
        <w:sz w:val="24"/>
      </w:rPr>
    </w:lvl>
    <w:lvl w:ilvl="1">
      <w:start w:val="1"/>
      <w:numFmt w:val="bullet"/>
      <w:pStyle w:val="L2"/>
      <w:lvlText w:val="o"/>
      <w:lvlJc w:val="left"/>
      <w:pPr>
        <w:tabs>
          <w:tab w:val="num" w:pos="1940"/>
        </w:tabs>
        <w:ind w:left="1940" w:hanging="360"/>
      </w:pPr>
      <w:rPr>
        <w:rFonts w:ascii="Courier New" w:hAnsi="Courier New" w:hint="default"/>
      </w:rPr>
    </w:lvl>
    <w:lvl w:ilvl="2">
      <w:start w:val="1"/>
      <w:numFmt w:val="bullet"/>
      <w:lvlText w:val=""/>
      <w:lvlJc w:val="left"/>
      <w:pPr>
        <w:tabs>
          <w:tab w:val="num" w:pos="2660"/>
        </w:tabs>
        <w:ind w:left="2660" w:hanging="360"/>
      </w:pPr>
      <w:rPr>
        <w:rFonts w:ascii="Wingdings" w:hAnsi="Wingdings" w:hint="default"/>
      </w:rPr>
    </w:lvl>
    <w:lvl w:ilvl="3">
      <w:start w:val="1"/>
      <w:numFmt w:val="bullet"/>
      <w:lvlText w:val=""/>
      <w:lvlJc w:val="left"/>
      <w:pPr>
        <w:tabs>
          <w:tab w:val="num" w:pos="3380"/>
        </w:tabs>
        <w:ind w:left="3380" w:hanging="360"/>
      </w:pPr>
      <w:rPr>
        <w:rFonts w:ascii="Symbol" w:hAnsi="Symbol" w:hint="default"/>
      </w:rPr>
    </w:lvl>
    <w:lvl w:ilvl="4">
      <w:start w:val="1"/>
      <w:numFmt w:val="bullet"/>
      <w:lvlText w:val="o"/>
      <w:lvlJc w:val="left"/>
      <w:pPr>
        <w:tabs>
          <w:tab w:val="num" w:pos="4100"/>
        </w:tabs>
        <w:ind w:left="4100" w:hanging="360"/>
      </w:pPr>
      <w:rPr>
        <w:rFonts w:ascii="Courier New" w:hAnsi="Courier New" w:hint="default"/>
      </w:rPr>
    </w:lvl>
    <w:lvl w:ilvl="5">
      <w:start w:val="1"/>
      <w:numFmt w:val="bullet"/>
      <w:lvlText w:val=""/>
      <w:lvlJc w:val="left"/>
      <w:pPr>
        <w:tabs>
          <w:tab w:val="num" w:pos="4820"/>
        </w:tabs>
        <w:ind w:left="4820" w:hanging="360"/>
      </w:pPr>
      <w:rPr>
        <w:rFonts w:ascii="Wingdings" w:hAnsi="Wingdings" w:hint="default"/>
      </w:rPr>
    </w:lvl>
    <w:lvl w:ilvl="6">
      <w:start w:val="1"/>
      <w:numFmt w:val="bullet"/>
      <w:lvlText w:val=""/>
      <w:lvlJc w:val="left"/>
      <w:pPr>
        <w:tabs>
          <w:tab w:val="num" w:pos="5540"/>
        </w:tabs>
        <w:ind w:left="5540" w:hanging="360"/>
      </w:pPr>
      <w:rPr>
        <w:rFonts w:ascii="Symbol" w:hAnsi="Symbol" w:hint="default"/>
      </w:rPr>
    </w:lvl>
    <w:lvl w:ilvl="7">
      <w:start w:val="1"/>
      <w:numFmt w:val="bullet"/>
      <w:lvlText w:val="o"/>
      <w:lvlJc w:val="left"/>
      <w:pPr>
        <w:tabs>
          <w:tab w:val="num" w:pos="6260"/>
        </w:tabs>
        <w:ind w:left="6260" w:hanging="360"/>
      </w:pPr>
      <w:rPr>
        <w:rFonts w:ascii="Courier New" w:hAnsi="Courier New" w:hint="default"/>
      </w:rPr>
    </w:lvl>
    <w:lvl w:ilvl="8">
      <w:start w:val="1"/>
      <w:numFmt w:val="bullet"/>
      <w:lvlText w:val=""/>
      <w:lvlJc w:val="left"/>
      <w:pPr>
        <w:tabs>
          <w:tab w:val="num" w:pos="6980"/>
        </w:tabs>
        <w:ind w:left="6980" w:hanging="360"/>
      </w:pPr>
      <w:rPr>
        <w:rFonts w:ascii="Wingdings" w:hAnsi="Wingdings" w:hint="default"/>
      </w:rPr>
    </w:lvl>
  </w:abstractNum>
  <w:abstractNum w:abstractNumId="26" w15:restartNumberingAfterBreak="0">
    <w:nsid w:val="267E5CA5"/>
    <w:multiLevelType w:val="hybridMultilevel"/>
    <w:tmpl w:val="1F6AA554"/>
    <w:lvl w:ilvl="0" w:tplc="86EA5B00">
      <w:start w:val="1"/>
      <w:numFmt w:val="bullet"/>
      <w:lvlText w:val=""/>
      <w:lvlJc w:val="left"/>
      <w:pPr>
        <w:ind w:left="720" w:hanging="360"/>
      </w:pPr>
      <w:rPr>
        <w:rFonts w:ascii="Symbol" w:hAnsi="Symbol" w:hint="default"/>
      </w:rPr>
    </w:lvl>
    <w:lvl w:ilvl="1" w:tplc="0C090019">
      <w:start w:val="1"/>
      <w:numFmt w:val="bullet"/>
      <w:lvlText w:val="o"/>
      <w:lvlJc w:val="left"/>
      <w:pPr>
        <w:ind w:left="1440" w:hanging="360"/>
      </w:pPr>
      <w:rPr>
        <w:rFonts w:ascii="Courier New" w:hAnsi="Courier New" w:cs="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cs="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cs="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27" w15:restartNumberingAfterBreak="0">
    <w:nsid w:val="26B241CA"/>
    <w:multiLevelType w:val="hybridMultilevel"/>
    <w:tmpl w:val="51F23D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27FD599E"/>
    <w:multiLevelType w:val="hybridMultilevel"/>
    <w:tmpl w:val="8B082516"/>
    <w:lvl w:ilvl="0" w:tplc="0C090001">
      <w:start w:val="1"/>
      <w:numFmt w:val="decimal"/>
      <w:lvlText w:val="%1."/>
      <w:lvlJc w:val="left"/>
      <w:pPr>
        <w:ind w:left="720" w:hanging="360"/>
      </w:pPr>
      <w:rPr>
        <w:rFonts w:hint="default"/>
      </w:rPr>
    </w:lvl>
    <w:lvl w:ilvl="1" w:tplc="0C090003">
      <w:start w:val="1"/>
      <w:numFmt w:val="lowerLetter"/>
      <w:lvlText w:val="%2."/>
      <w:lvlJc w:val="left"/>
      <w:pPr>
        <w:ind w:left="1440" w:hanging="360"/>
      </w:pPr>
    </w:lvl>
    <w:lvl w:ilvl="2" w:tplc="0C090005" w:tentative="1">
      <w:start w:val="1"/>
      <w:numFmt w:val="lowerRoman"/>
      <w:lvlText w:val="%3."/>
      <w:lvlJc w:val="right"/>
      <w:pPr>
        <w:ind w:left="2160" w:hanging="180"/>
      </w:pPr>
    </w:lvl>
    <w:lvl w:ilvl="3" w:tplc="0C090001" w:tentative="1">
      <w:start w:val="1"/>
      <w:numFmt w:val="decimal"/>
      <w:lvlText w:val="%4."/>
      <w:lvlJc w:val="left"/>
      <w:pPr>
        <w:ind w:left="2880" w:hanging="360"/>
      </w:pPr>
    </w:lvl>
    <w:lvl w:ilvl="4" w:tplc="0C090003" w:tentative="1">
      <w:start w:val="1"/>
      <w:numFmt w:val="lowerLetter"/>
      <w:lvlText w:val="%5."/>
      <w:lvlJc w:val="left"/>
      <w:pPr>
        <w:ind w:left="3600" w:hanging="360"/>
      </w:pPr>
    </w:lvl>
    <w:lvl w:ilvl="5" w:tplc="0C090005" w:tentative="1">
      <w:start w:val="1"/>
      <w:numFmt w:val="lowerRoman"/>
      <w:lvlText w:val="%6."/>
      <w:lvlJc w:val="right"/>
      <w:pPr>
        <w:ind w:left="4320" w:hanging="180"/>
      </w:pPr>
    </w:lvl>
    <w:lvl w:ilvl="6" w:tplc="0C090001" w:tentative="1">
      <w:start w:val="1"/>
      <w:numFmt w:val="decimal"/>
      <w:lvlText w:val="%7."/>
      <w:lvlJc w:val="left"/>
      <w:pPr>
        <w:ind w:left="5040" w:hanging="360"/>
      </w:pPr>
    </w:lvl>
    <w:lvl w:ilvl="7" w:tplc="0C090003" w:tentative="1">
      <w:start w:val="1"/>
      <w:numFmt w:val="lowerLetter"/>
      <w:lvlText w:val="%8."/>
      <w:lvlJc w:val="left"/>
      <w:pPr>
        <w:ind w:left="5760" w:hanging="360"/>
      </w:pPr>
    </w:lvl>
    <w:lvl w:ilvl="8" w:tplc="0C090005" w:tentative="1">
      <w:start w:val="1"/>
      <w:numFmt w:val="lowerRoman"/>
      <w:lvlText w:val="%9."/>
      <w:lvlJc w:val="right"/>
      <w:pPr>
        <w:ind w:left="6480" w:hanging="180"/>
      </w:pPr>
    </w:lvl>
  </w:abstractNum>
  <w:abstractNum w:abstractNumId="29" w15:restartNumberingAfterBreak="0">
    <w:nsid w:val="28E92AF3"/>
    <w:multiLevelType w:val="hybridMultilevel"/>
    <w:tmpl w:val="B852AA18"/>
    <w:lvl w:ilvl="0" w:tplc="0C09000F">
      <w:start w:val="1"/>
      <w:numFmt w:val="bullet"/>
      <w:lvlText w:val=""/>
      <w:lvlJc w:val="left"/>
      <w:pPr>
        <w:ind w:left="360" w:hanging="360"/>
      </w:pPr>
      <w:rPr>
        <w:rFonts w:ascii="Symbol" w:hAnsi="Symbol" w:hint="default"/>
      </w:rPr>
    </w:lvl>
    <w:lvl w:ilvl="1" w:tplc="0C090019">
      <w:start w:val="1"/>
      <w:numFmt w:val="bullet"/>
      <w:lvlText w:val="o"/>
      <w:lvlJc w:val="left"/>
      <w:pPr>
        <w:ind w:left="1080" w:hanging="360"/>
      </w:pPr>
      <w:rPr>
        <w:rFonts w:ascii="Courier New" w:hAnsi="Courier New" w:cs="Courier New" w:hint="default"/>
      </w:rPr>
    </w:lvl>
    <w:lvl w:ilvl="2" w:tplc="0C09001B">
      <w:start w:val="1"/>
      <w:numFmt w:val="bullet"/>
      <w:lvlText w:val=""/>
      <w:lvlJc w:val="left"/>
      <w:pPr>
        <w:ind w:left="1800" w:hanging="360"/>
      </w:pPr>
      <w:rPr>
        <w:rFonts w:ascii="Wingdings" w:hAnsi="Wingdings" w:hint="default"/>
      </w:rPr>
    </w:lvl>
    <w:lvl w:ilvl="3" w:tplc="0C09000F" w:tentative="1">
      <w:start w:val="1"/>
      <w:numFmt w:val="bullet"/>
      <w:lvlText w:val=""/>
      <w:lvlJc w:val="left"/>
      <w:pPr>
        <w:ind w:left="2520" w:hanging="360"/>
      </w:pPr>
      <w:rPr>
        <w:rFonts w:ascii="Symbol" w:hAnsi="Symbol" w:hint="default"/>
      </w:rPr>
    </w:lvl>
    <w:lvl w:ilvl="4" w:tplc="0C090019" w:tentative="1">
      <w:start w:val="1"/>
      <w:numFmt w:val="bullet"/>
      <w:lvlText w:val="o"/>
      <w:lvlJc w:val="left"/>
      <w:pPr>
        <w:ind w:left="3240" w:hanging="360"/>
      </w:pPr>
      <w:rPr>
        <w:rFonts w:ascii="Courier New" w:hAnsi="Courier New" w:cs="Courier New" w:hint="default"/>
      </w:rPr>
    </w:lvl>
    <w:lvl w:ilvl="5" w:tplc="0C09001B" w:tentative="1">
      <w:start w:val="1"/>
      <w:numFmt w:val="bullet"/>
      <w:lvlText w:val=""/>
      <w:lvlJc w:val="left"/>
      <w:pPr>
        <w:ind w:left="3960" w:hanging="360"/>
      </w:pPr>
      <w:rPr>
        <w:rFonts w:ascii="Wingdings" w:hAnsi="Wingdings" w:hint="default"/>
      </w:rPr>
    </w:lvl>
    <w:lvl w:ilvl="6" w:tplc="0C09000F" w:tentative="1">
      <w:start w:val="1"/>
      <w:numFmt w:val="bullet"/>
      <w:lvlText w:val=""/>
      <w:lvlJc w:val="left"/>
      <w:pPr>
        <w:ind w:left="4680" w:hanging="360"/>
      </w:pPr>
      <w:rPr>
        <w:rFonts w:ascii="Symbol" w:hAnsi="Symbol" w:hint="default"/>
      </w:rPr>
    </w:lvl>
    <w:lvl w:ilvl="7" w:tplc="0C090019" w:tentative="1">
      <w:start w:val="1"/>
      <w:numFmt w:val="bullet"/>
      <w:lvlText w:val="o"/>
      <w:lvlJc w:val="left"/>
      <w:pPr>
        <w:ind w:left="5400" w:hanging="360"/>
      </w:pPr>
      <w:rPr>
        <w:rFonts w:ascii="Courier New" w:hAnsi="Courier New" w:cs="Courier New" w:hint="default"/>
      </w:rPr>
    </w:lvl>
    <w:lvl w:ilvl="8" w:tplc="0C09001B" w:tentative="1">
      <w:start w:val="1"/>
      <w:numFmt w:val="bullet"/>
      <w:lvlText w:val=""/>
      <w:lvlJc w:val="left"/>
      <w:pPr>
        <w:ind w:left="6120" w:hanging="360"/>
      </w:pPr>
      <w:rPr>
        <w:rFonts w:ascii="Wingdings" w:hAnsi="Wingdings" w:hint="default"/>
      </w:rPr>
    </w:lvl>
  </w:abstractNum>
  <w:abstractNum w:abstractNumId="30" w15:restartNumberingAfterBreak="0">
    <w:nsid w:val="2A622A0C"/>
    <w:multiLevelType w:val="hybridMultilevel"/>
    <w:tmpl w:val="05EA5D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2BF46ABC"/>
    <w:multiLevelType w:val="hybridMultilevel"/>
    <w:tmpl w:val="781EB268"/>
    <w:lvl w:ilvl="0" w:tplc="0C090001">
      <w:start w:val="1"/>
      <w:numFmt w:val="bullet"/>
      <w:lvlText w:val=""/>
      <w:lvlJc w:val="left"/>
      <w:pPr>
        <w:ind w:left="773" w:hanging="360"/>
      </w:pPr>
      <w:rPr>
        <w:rFonts w:ascii="Symbol" w:hAnsi="Symbol" w:hint="default"/>
      </w:rPr>
    </w:lvl>
    <w:lvl w:ilvl="1" w:tplc="0C090003">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32" w15:restartNumberingAfterBreak="0">
    <w:nsid w:val="2D7C1D4C"/>
    <w:multiLevelType w:val="hybridMultilevel"/>
    <w:tmpl w:val="708E82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2FEE0AE4"/>
    <w:multiLevelType w:val="multilevel"/>
    <w:tmpl w:val="01D6F1A6"/>
    <w:styleLink w:val="NumberedList"/>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4" w15:restartNumberingAfterBreak="0">
    <w:nsid w:val="3307435A"/>
    <w:multiLevelType w:val="hybridMultilevel"/>
    <w:tmpl w:val="4DFC1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34CC46D9"/>
    <w:multiLevelType w:val="hybridMultilevel"/>
    <w:tmpl w:val="6E58A312"/>
    <w:lvl w:ilvl="0" w:tplc="0C090001">
      <w:start w:val="1"/>
      <w:numFmt w:val="decimal"/>
      <w:lvlText w:val="%1."/>
      <w:lvlJc w:val="left"/>
      <w:pPr>
        <w:ind w:left="720" w:hanging="360"/>
      </w:pPr>
      <w:rPr>
        <w:rFonts w:hint="default"/>
      </w:rPr>
    </w:lvl>
    <w:lvl w:ilvl="1" w:tplc="0C090003" w:tentative="1">
      <w:start w:val="1"/>
      <w:numFmt w:val="lowerLetter"/>
      <w:lvlText w:val="%2."/>
      <w:lvlJc w:val="left"/>
      <w:pPr>
        <w:ind w:left="1440" w:hanging="360"/>
      </w:pPr>
    </w:lvl>
    <w:lvl w:ilvl="2" w:tplc="0C090005">
      <w:start w:val="1"/>
      <w:numFmt w:val="lowerRoman"/>
      <w:lvlText w:val="%3."/>
      <w:lvlJc w:val="right"/>
      <w:pPr>
        <w:ind w:left="2160" w:hanging="180"/>
      </w:pPr>
    </w:lvl>
    <w:lvl w:ilvl="3" w:tplc="0C090001" w:tentative="1">
      <w:start w:val="1"/>
      <w:numFmt w:val="decimal"/>
      <w:lvlText w:val="%4."/>
      <w:lvlJc w:val="left"/>
      <w:pPr>
        <w:ind w:left="2880" w:hanging="360"/>
      </w:pPr>
    </w:lvl>
    <w:lvl w:ilvl="4" w:tplc="0C090003" w:tentative="1">
      <w:start w:val="1"/>
      <w:numFmt w:val="lowerLetter"/>
      <w:lvlText w:val="%5."/>
      <w:lvlJc w:val="left"/>
      <w:pPr>
        <w:ind w:left="3600" w:hanging="360"/>
      </w:pPr>
    </w:lvl>
    <w:lvl w:ilvl="5" w:tplc="0C090005" w:tentative="1">
      <w:start w:val="1"/>
      <w:numFmt w:val="lowerRoman"/>
      <w:lvlText w:val="%6."/>
      <w:lvlJc w:val="right"/>
      <w:pPr>
        <w:ind w:left="4320" w:hanging="180"/>
      </w:pPr>
    </w:lvl>
    <w:lvl w:ilvl="6" w:tplc="0C090001" w:tentative="1">
      <w:start w:val="1"/>
      <w:numFmt w:val="decimal"/>
      <w:lvlText w:val="%7."/>
      <w:lvlJc w:val="left"/>
      <w:pPr>
        <w:ind w:left="5040" w:hanging="360"/>
      </w:pPr>
    </w:lvl>
    <w:lvl w:ilvl="7" w:tplc="0C090003" w:tentative="1">
      <w:start w:val="1"/>
      <w:numFmt w:val="lowerLetter"/>
      <w:lvlText w:val="%8."/>
      <w:lvlJc w:val="left"/>
      <w:pPr>
        <w:ind w:left="5760" w:hanging="360"/>
      </w:pPr>
    </w:lvl>
    <w:lvl w:ilvl="8" w:tplc="0C090005" w:tentative="1">
      <w:start w:val="1"/>
      <w:numFmt w:val="lowerRoman"/>
      <w:lvlText w:val="%9."/>
      <w:lvlJc w:val="right"/>
      <w:pPr>
        <w:ind w:left="6480" w:hanging="180"/>
      </w:pPr>
    </w:lvl>
  </w:abstractNum>
  <w:abstractNum w:abstractNumId="36" w15:restartNumberingAfterBreak="0">
    <w:nsid w:val="35FB2E35"/>
    <w:multiLevelType w:val="hybridMultilevel"/>
    <w:tmpl w:val="88A494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361D251A"/>
    <w:multiLevelType w:val="hybridMultilevel"/>
    <w:tmpl w:val="098EE3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38C6483E"/>
    <w:multiLevelType w:val="hybridMultilevel"/>
    <w:tmpl w:val="C428D9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3C44468B"/>
    <w:multiLevelType w:val="hybridMultilevel"/>
    <w:tmpl w:val="38D24A6A"/>
    <w:lvl w:ilvl="0" w:tplc="0E6481FE">
      <w:start w:val="1"/>
      <w:numFmt w:val="bullet"/>
      <w:pStyle w:val="Bulletlevel2"/>
      <w:lvlText w:val=""/>
      <w:lvlJc w:val="left"/>
      <w:pPr>
        <w:ind w:left="720" w:hanging="360"/>
      </w:pPr>
      <w:rPr>
        <w:rFonts w:ascii="Symbol" w:hAnsi="Symbol" w:hint="default"/>
      </w:rPr>
    </w:lvl>
    <w:lvl w:ilvl="1" w:tplc="0C090019">
      <w:start w:val="1"/>
      <w:numFmt w:val="bullet"/>
      <w:lvlText w:val="o"/>
      <w:lvlJc w:val="left"/>
      <w:pPr>
        <w:ind w:left="1440" w:hanging="360"/>
      </w:pPr>
      <w:rPr>
        <w:rFonts w:ascii="Courier New" w:hAnsi="Courier New" w:cs="Courier New" w:hint="default"/>
      </w:rPr>
    </w:lvl>
    <w:lvl w:ilvl="2" w:tplc="0C09001B">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cs="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cs="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40" w15:restartNumberingAfterBreak="0">
    <w:nsid w:val="3C4732EE"/>
    <w:multiLevelType w:val="hybridMultilevel"/>
    <w:tmpl w:val="34A405BE"/>
    <w:lvl w:ilvl="0" w:tplc="4B00CF4A">
      <w:start w:val="1"/>
      <w:numFmt w:val="decimal"/>
      <w:lvlText w:val="%1."/>
      <w:lvlJc w:val="left"/>
      <w:pPr>
        <w:ind w:left="720" w:hanging="360"/>
      </w:pPr>
    </w:lvl>
    <w:lvl w:ilvl="1" w:tplc="0C090003" w:tentative="1">
      <w:start w:val="1"/>
      <w:numFmt w:val="lowerLetter"/>
      <w:lvlText w:val="%2."/>
      <w:lvlJc w:val="left"/>
      <w:pPr>
        <w:ind w:left="1440" w:hanging="360"/>
      </w:pPr>
    </w:lvl>
    <w:lvl w:ilvl="2" w:tplc="0C090005" w:tentative="1">
      <w:start w:val="1"/>
      <w:numFmt w:val="lowerRoman"/>
      <w:lvlText w:val="%3."/>
      <w:lvlJc w:val="right"/>
      <w:pPr>
        <w:ind w:left="2160" w:hanging="180"/>
      </w:pPr>
    </w:lvl>
    <w:lvl w:ilvl="3" w:tplc="0C090001" w:tentative="1">
      <w:start w:val="1"/>
      <w:numFmt w:val="decimal"/>
      <w:lvlText w:val="%4."/>
      <w:lvlJc w:val="left"/>
      <w:pPr>
        <w:ind w:left="2880" w:hanging="360"/>
      </w:pPr>
    </w:lvl>
    <w:lvl w:ilvl="4" w:tplc="0C090003" w:tentative="1">
      <w:start w:val="1"/>
      <w:numFmt w:val="lowerLetter"/>
      <w:lvlText w:val="%5."/>
      <w:lvlJc w:val="left"/>
      <w:pPr>
        <w:ind w:left="3600" w:hanging="360"/>
      </w:pPr>
    </w:lvl>
    <w:lvl w:ilvl="5" w:tplc="0C090005" w:tentative="1">
      <w:start w:val="1"/>
      <w:numFmt w:val="lowerRoman"/>
      <w:lvlText w:val="%6."/>
      <w:lvlJc w:val="right"/>
      <w:pPr>
        <w:ind w:left="4320" w:hanging="180"/>
      </w:pPr>
    </w:lvl>
    <w:lvl w:ilvl="6" w:tplc="0C090001" w:tentative="1">
      <w:start w:val="1"/>
      <w:numFmt w:val="decimal"/>
      <w:lvlText w:val="%7."/>
      <w:lvlJc w:val="left"/>
      <w:pPr>
        <w:ind w:left="5040" w:hanging="360"/>
      </w:pPr>
    </w:lvl>
    <w:lvl w:ilvl="7" w:tplc="0C090003" w:tentative="1">
      <w:start w:val="1"/>
      <w:numFmt w:val="lowerLetter"/>
      <w:lvlText w:val="%8."/>
      <w:lvlJc w:val="left"/>
      <w:pPr>
        <w:ind w:left="5760" w:hanging="360"/>
      </w:pPr>
    </w:lvl>
    <w:lvl w:ilvl="8" w:tplc="0C090005" w:tentative="1">
      <w:start w:val="1"/>
      <w:numFmt w:val="lowerRoman"/>
      <w:lvlText w:val="%9."/>
      <w:lvlJc w:val="right"/>
      <w:pPr>
        <w:ind w:left="6480" w:hanging="180"/>
      </w:pPr>
    </w:lvl>
  </w:abstractNum>
  <w:abstractNum w:abstractNumId="41" w15:restartNumberingAfterBreak="0">
    <w:nsid w:val="3D8841FF"/>
    <w:multiLevelType w:val="multilevel"/>
    <w:tmpl w:val="306E4E4C"/>
    <w:lvl w:ilvl="0">
      <w:start w:val="1"/>
      <w:numFmt w:val="bullet"/>
      <w:pStyle w:val="Bullets1"/>
      <w:lvlText w:val=""/>
      <w:lvlJc w:val="left"/>
      <w:pPr>
        <w:tabs>
          <w:tab w:val="num" w:pos="425"/>
        </w:tabs>
        <w:ind w:left="851" w:hanging="426"/>
      </w:pPr>
      <w:rPr>
        <w:rFonts w:ascii="Symbol" w:hAnsi="Symbol" w:hint="default"/>
        <w:u w:color="1C365F"/>
      </w:rPr>
    </w:lvl>
    <w:lvl w:ilvl="1">
      <w:start w:val="1"/>
      <w:numFmt w:val="bullet"/>
      <w:pStyle w:val="Bullets2"/>
      <w:lvlText w:val="o"/>
      <w:lvlJc w:val="left"/>
      <w:pPr>
        <w:ind w:left="1418" w:hanging="426"/>
      </w:pPr>
      <w:rPr>
        <w:rFonts w:ascii="Courier New" w:hAnsi="Courier New" w:hint="default"/>
      </w:rPr>
    </w:lvl>
    <w:lvl w:ilvl="2">
      <w:start w:val="1"/>
      <w:numFmt w:val="bullet"/>
      <w:pStyle w:val="Bullets3"/>
      <w:lvlText w:val=""/>
      <w:lvlJc w:val="left"/>
      <w:pPr>
        <w:ind w:left="1985" w:hanging="426"/>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2" w15:restartNumberingAfterBreak="0">
    <w:nsid w:val="3E307A8C"/>
    <w:multiLevelType w:val="hybridMultilevel"/>
    <w:tmpl w:val="5F3AA7EA"/>
    <w:lvl w:ilvl="0" w:tplc="0C09000F">
      <w:start w:val="1"/>
      <w:numFmt w:val="bullet"/>
      <w:lvlText w:val=""/>
      <w:lvlJc w:val="left"/>
      <w:pPr>
        <w:ind w:left="720" w:hanging="360"/>
      </w:pPr>
      <w:rPr>
        <w:rFonts w:ascii="Symbol" w:hAnsi="Symbol" w:hint="default"/>
      </w:rPr>
    </w:lvl>
    <w:lvl w:ilvl="1" w:tplc="0C090019" w:tentative="1">
      <w:start w:val="1"/>
      <w:numFmt w:val="bullet"/>
      <w:lvlText w:val="o"/>
      <w:lvlJc w:val="left"/>
      <w:pPr>
        <w:ind w:left="1440" w:hanging="360"/>
      </w:pPr>
      <w:rPr>
        <w:rFonts w:ascii="Courier New" w:hAnsi="Courier New" w:cs="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cs="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cs="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43" w15:restartNumberingAfterBreak="0">
    <w:nsid w:val="3EC71AE0"/>
    <w:multiLevelType w:val="hybridMultilevel"/>
    <w:tmpl w:val="76E0FA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3F3E72C7"/>
    <w:multiLevelType w:val="hybridMultilevel"/>
    <w:tmpl w:val="28D03D8E"/>
    <w:lvl w:ilvl="0" w:tplc="0C090001">
      <w:start w:val="1"/>
      <w:numFmt w:val="bullet"/>
      <w:pStyle w:val="bulle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405A6B75"/>
    <w:multiLevelType w:val="hybridMultilevel"/>
    <w:tmpl w:val="806C1C4E"/>
    <w:lvl w:ilvl="0" w:tplc="0C09000F">
      <w:start w:val="1"/>
      <w:numFmt w:val="bullet"/>
      <w:lvlText w:val=""/>
      <w:lvlJc w:val="left"/>
      <w:pPr>
        <w:ind w:left="1440" w:hanging="360"/>
      </w:pPr>
      <w:rPr>
        <w:rFonts w:ascii="Symbol" w:hAnsi="Symbol" w:hint="default"/>
        <w:sz w:val="22"/>
      </w:rPr>
    </w:lvl>
    <w:lvl w:ilvl="1" w:tplc="0C090019" w:tentative="1">
      <w:start w:val="1"/>
      <w:numFmt w:val="bullet"/>
      <w:lvlText w:val="o"/>
      <w:lvlJc w:val="left"/>
      <w:pPr>
        <w:ind w:left="2160" w:hanging="360"/>
      </w:pPr>
      <w:rPr>
        <w:rFonts w:ascii="Courier New" w:hAnsi="Courier New" w:cs="Courier New" w:hint="default"/>
      </w:rPr>
    </w:lvl>
    <w:lvl w:ilvl="2" w:tplc="0C09001B" w:tentative="1">
      <w:start w:val="1"/>
      <w:numFmt w:val="bullet"/>
      <w:lvlText w:val=""/>
      <w:lvlJc w:val="left"/>
      <w:pPr>
        <w:ind w:left="2880" w:hanging="360"/>
      </w:pPr>
      <w:rPr>
        <w:rFonts w:ascii="Wingdings" w:hAnsi="Wingdings" w:hint="default"/>
      </w:rPr>
    </w:lvl>
    <w:lvl w:ilvl="3" w:tplc="0C09000F" w:tentative="1">
      <w:start w:val="1"/>
      <w:numFmt w:val="bullet"/>
      <w:lvlText w:val=""/>
      <w:lvlJc w:val="left"/>
      <w:pPr>
        <w:ind w:left="3600" w:hanging="360"/>
      </w:pPr>
      <w:rPr>
        <w:rFonts w:ascii="Symbol" w:hAnsi="Symbol" w:hint="default"/>
      </w:rPr>
    </w:lvl>
    <w:lvl w:ilvl="4" w:tplc="0C090019" w:tentative="1">
      <w:start w:val="1"/>
      <w:numFmt w:val="bullet"/>
      <w:lvlText w:val="o"/>
      <w:lvlJc w:val="left"/>
      <w:pPr>
        <w:ind w:left="4320" w:hanging="360"/>
      </w:pPr>
      <w:rPr>
        <w:rFonts w:ascii="Courier New" w:hAnsi="Courier New" w:cs="Courier New" w:hint="default"/>
      </w:rPr>
    </w:lvl>
    <w:lvl w:ilvl="5" w:tplc="0C09001B" w:tentative="1">
      <w:start w:val="1"/>
      <w:numFmt w:val="bullet"/>
      <w:lvlText w:val=""/>
      <w:lvlJc w:val="left"/>
      <w:pPr>
        <w:ind w:left="5040" w:hanging="360"/>
      </w:pPr>
      <w:rPr>
        <w:rFonts w:ascii="Wingdings" w:hAnsi="Wingdings" w:hint="default"/>
      </w:rPr>
    </w:lvl>
    <w:lvl w:ilvl="6" w:tplc="0C09000F" w:tentative="1">
      <w:start w:val="1"/>
      <w:numFmt w:val="bullet"/>
      <w:lvlText w:val=""/>
      <w:lvlJc w:val="left"/>
      <w:pPr>
        <w:ind w:left="5760" w:hanging="360"/>
      </w:pPr>
      <w:rPr>
        <w:rFonts w:ascii="Symbol" w:hAnsi="Symbol" w:hint="default"/>
      </w:rPr>
    </w:lvl>
    <w:lvl w:ilvl="7" w:tplc="0C090019" w:tentative="1">
      <w:start w:val="1"/>
      <w:numFmt w:val="bullet"/>
      <w:lvlText w:val="o"/>
      <w:lvlJc w:val="left"/>
      <w:pPr>
        <w:ind w:left="6480" w:hanging="360"/>
      </w:pPr>
      <w:rPr>
        <w:rFonts w:ascii="Courier New" w:hAnsi="Courier New" w:cs="Courier New" w:hint="default"/>
      </w:rPr>
    </w:lvl>
    <w:lvl w:ilvl="8" w:tplc="0C09001B" w:tentative="1">
      <w:start w:val="1"/>
      <w:numFmt w:val="bullet"/>
      <w:lvlText w:val=""/>
      <w:lvlJc w:val="left"/>
      <w:pPr>
        <w:ind w:left="7200" w:hanging="360"/>
      </w:pPr>
      <w:rPr>
        <w:rFonts w:ascii="Wingdings" w:hAnsi="Wingdings" w:hint="default"/>
      </w:rPr>
    </w:lvl>
  </w:abstractNum>
  <w:abstractNum w:abstractNumId="46" w15:restartNumberingAfterBreak="0">
    <w:nsid w:val="40B5293F"/>
    <w:multiLevelType w:val="hybridMultilevel"/>
    <w:tmpl w:val="B47C7286"/>
    <w:lvl w:ilvl="0" w:tplc="4DE6E3B2">
      <w:start w:val="1"/>
      <w:numFmt w:val="bullet"/>
      <w:lvlText w:val=""/>
      <w:lvlJc w:val="left"/>
      <w:pPr>
        <w:ind w:left="1069" w:hanging="360"/>
      </w:pPr>
      <w:rPr>
        <w:rFonts w:ascii="Symbol" w:hAnsi="Symbol" w:hint="default"/>
      </w:rPr>
    </w:lvl>
    <w:lvl w:ilvl="1" w:tplc="0C090003">
      <w:start w:val="1"/>
      <w:numFmt w:val="bullet"/>
      <w:pStyle w:val="SecBullets"/>
      <w:lvlText w:val=""/>
      <w:lvlJc w:val="left"/>
      <w:pPr>
        <w:ind w:left="1789" w:hanging="360"/>
      </w:pPr>
      <w:rPr>
        <w:rFonts w:ascii="Symbol" w:hAnsi="Symbol" w:hint="default"/>
      </w:rPr>
    </w:lvl>
    <w:lvl w:ilvl="2" w:tplc="0C090005">
      <w:start w:val="12"/>
      <w:numFmt w:val="bullet"/>
      <w:lvlText w:val="-"/>
      <w:lvlJc w:val="left"/>
      <w:pPr>
        <w:ind w:left="2509" w:hanging="360"/>
      </w:pPr>
      <w:rPr>
        <w:rFonts w:ascii="Arial" w:eastAsiaTheme="minorHAnsi" w:hAnsi="Arial" w:cs="Arial" w:hint="default"/>
      </w:rPr>
    </w:lvl>
    <w:lvl w:ilvl="3" w:tplc="0C09000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47" w15:restartNumberingAfterBreak="0">
    <w:nsid w:val="40F52A56"/>
    <w:multiLevelType w:val="hybridMultilevel"/>
    <w:tmpl w:val="DFEC216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8" w15:restartNumberingAfterBreak="0">
    <w:nsid w:val="422004C8"/>
    <w:multiLevelType w:val="hybridMultilevel"/>
    <w:tmpl w:val="13981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42CE0FE3"/>
    <w:multiLevelType w:val="hybridMultilevel"/>
    <w:tmpl w:val="3B60622C"/>
    <w:lvl w:ilvl="0" w:tplc="86EA5B00">
      <w:start w:val="1"/>
      <w:numFmt w:val="bullet"/>
      <w:lvlText w:val=""/>
      <w:lvlJc w:val="left"/>
      <w:pPr>
        <w:ind w:left="720" w:hanging="360"/>
      </w:pPr>
      <w:rPr>
        <w:rFonts w:ascii="Symbol" w:hAnsi="Symbol" w:hint="default"/>
      </w:rPr>
    </w:lvl>
    <w:lvl w:ilvl="1" w:tplc="0C090019" w:tentative="1">
      <w:start w:val="1"/>
      <w:numFmt w:val="bullet"/>
      <w:lvlText w:val="o"/>
      <w:lvlJc w:val="left"/>
      <w:pPr>
        <w:ind w:left="1440" w:hanging="360"/>
      </w:pPr>
      <w:rPr>
        <w:rFonts w:ascii="Courier New" w:hAnsi="Courier New" w:cs="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cs="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cs="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50" w15:restartNumberingAfterBreak="0">
    <w:nsid w:val="44D73268"/>
    <w:multiLevelType w:val="hybridMultilevel"/>
    <w:tmpl w:val="F41EDE4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1" w15:restartNumberingAfterBreak="0">
    <w:nsid w:val="46253266"/>
    <w:multiLevelType w:val="multilevel"/>
    <w:tmpl w:val="7424E47E"/>
    <w:styleLink w:val="Bullets0"/>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466E1F8D"/>
    <w:multiLevelType w:val="hybridMultilevel"/>
    <w:tmpl w:val="9EBAE888"/>
    <w:lvl w:ilvl="0" w:tplc="BB367872">
      <w:start w:val="1"/>
      <w:numFmt w:val="decimal"/>
      <w:lvlText w:val="%1."/>
      <w:lvlJc w:val="left"/>
      <w:pPr>
        <w:ind w:left="720" w:hanging="360"/>
      </w:pPr>
    </w:lvl>
    <w:lvl w:ilvl="1" w:tplc="4788AF82" w:tentative="1">
      <w:start w:val="1"/>
      <w:numFmt w:val="lowerLetter"/>
      <w:lvlText w:val="%2."/>
      <w:lvlJc w:val="left"/>
      <w:pPr>
        <w:ind w:left="1440" w:hanging="360"/>
      </w:pPr>
    </w:lvl>
    <w:lvl w:ilvl="2" w:tplc="79285AB2" w:tentative="1">
      <w:start w:val="1"/>
      <w:numFmt w:val="lowerRoman"/>
      <w:lvlText w:val="%3."/>
      <w:lvlJc w:val="right"/>
      <w:pPr>
        <w:ind w:left="2160" w:hanging="180"/>
      </w:pPr>
    </w:lvl>
    <w:lvl w:ilvl="3" w:tplc="E78478F2" w:tentative="1">
      <w:start w:val="1"/>
      <w:numFmt w:val="decimal"/>
      <w:lvlText w:val="%4."/>
      <w:lvlJc w:val="left"/>
      <w:pPr>
        <w:ind w:left="2880" w:hanging="360"/>
      </w:pPr>
    </w:lvl>
    <w:lvl w:ilvl="4" w:tplc="68F89398" w:tentative="1">
      <w:start w:val="1"/>
      <w:numFmt w:val="lowerLetter"/>
      <w:lvlText w:val="%5."/>
      <w:lvlJc w:val="left"/>
      <w:pPr>
        <w:ind w:left="3600" w:hanging="360"/>
      </w:pPr>
    </w:lvl>
    <w:lvl w:ilvl="5" w:tplc="BA282A4E" w:tentative="1">
      <w:start w:val="1"/>
      <w:numFmt w:val="lowerRoman"/>
      <w:lvlText w:val="%6."/>
      <w:lvlJc w:val="right"/>
      <w:pPr>
        <w:ind w:left="4320" w:hanging="180"/>
      </w:pPr>
    </w:lvl>
    <w:lvl w:ilvl="6" w:tplc="6A6C0E18" w:tentative="1">
      <w:start w:val="1"/>
      <w:numFmt w:val="decimal"/>
      <w:lvlText w:val="%7."/>
      <w:lvlJc w:val="left"/>
      <w:pPr>
        <w:ind w:left="5040" w:hanging="360"/>
      </w:pPr>
    </w:lvl>
    <w:lvl w:ilvl="7" w:tplc="1D2A5B7E" w:tentative="1">
      <w:start w:val="1"/>
      <w:numFmt w:val="lowerLetter"/>
      <w:lvlText w:val="%8."/>
      <w:lvlJc w:val="left"/>
      <w:pPr>
        <w:ind w:left="5760" w:hanging="360"/>
      </w:pPr>
    </w:lvl>
    <w:lvl w:ilvl="8" w:tplc="464AE6B0" w:tentative="1">
      <w:start w:val="1"/>
      <w:numFmt w:val="lowerRoman"/>
      <w:lvlText w:val="%9."/>
      <w:lvlJc w:val="right"/>
      <w:pPr>
        <w:ind w:left="6480" w:hanging="180"/>
      </w:pPr>
    </w:lvl>
  </w:abstractNum>
  <w:abstractNum w:abstractNumId="53" w15:restartNumberingAfterBreak="0">
    <w:nsid w:val="472226E2"/>
    <w:multiLevelType w:val="hybridMultilevel"/>
    <w:tmpl w:val="C4568966"/>
    <w:lvl w:ilvl="0" w:tplc="46B292DA">
      <w:start w:val="1"/>
      <w:numFmt w:val="decimal"/>
      <w:lvlText w:val="%1."/>
      <w:lvlJc w:val="left"/>
      <w:pPr>
        <w:ind w:left="502" w:hanging="360"/>
      </w:pPr>
      <w:rPr>
        <w:rFonts w:ascii="Calibri" w:hAnsi="Calibri" w:hint="default"/>
        <w:b w:val="0"/>
        <w:i w:val="0"/>
        <w:caps w:val="0"/>
        <w:strike w:val="0"/>
        <w:dstrike w:val="0"/>
        <w:vanish w:val="0"/>
        <w:color w:val="000000" w:themeColor="text1"/>
        <w:sz w:val="20"/>
        <w:vertAlign w:val="baseline"/>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4947602F"/>
    <w:multiLevelType w:val="hybridMultilevel"/>
    <w:tmpl w:val="7632F2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4A794AA0"/>
    <w:multiLevelType w:val="hybridMultilevel"/>
    <w:tmpl w:val="850A5F36"/>
    <w:lvl w:ilvl="0" w:tplc="2EE8DE52">
      <w:start w:val="6"/>
      <w:numFmt w:val="decimal"/>
      <w:lvlText w:val="3.%1."/>
      <w:lvlJc w:val="left"/>
      <w:pPr>
        <w:ind w:left="50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15:restartNumberingAfterBreak="0">
    <w:nsid w:val="4C471476"/>
    <w:multiLevelType w:val="hybridMultilevel"/>
    <w:tmpl w:val="67AEE5F0"/>
    <w:lvl w:ilvl="0" w:tplc="78FCE3B0">
      <w:start w:val="1"/>
      <w:numFmt w:val="decimal"/>
      <w:lvlText w:val="3.%1"/>
      <w:lvlJc w:val="left"/>
      <w:pPr>
        <w:ind w:left="2464" w:hanging="360"/>
      </w:pPr>
      <w:rPr>
        <w:rFonts w:hint="default"/>
      </w:rPr>
    </w:lvl>
    <w:lvl w:ilvl="1" w:tplc="0C090019">
      <w:start w:val="1"/>
      <w:numFmt w:val="lowerLetter"/>
      <w:lvlText w:val="%2."/>
      <w:lvlJc w:val="left"/>
      <w:pPr>
        <w:ind w:left="3402" w:hanging="360"/>
      </w:pPr>
    </w:lvl>
    <w:lvl w:ilvl="2" w:tplc="0C09001B" w:tentative="1">
      <w:start w:val="1"/>
      <w:numFmt w:val="lowerRoman"/>
      <w:lvlText w:val="%3."/>
      <w:lvlJc w:val="right"/>
      <w:pPr>
        <w:ind w:left="4122" w:hanging="180"/>
      </w:pPr>
    </w:lvl>
    <w:lvl w:ilvl="3" w:tplc="0C09000F" w:tentative="1">
      <w:start w:val="1"/>
      <w:numFmt w:val="decimal"/>
      <w:lvlText w:val="%4."/>
      <w:lvlJc w:val="left"/>
      <w:pPr>
        <w:ind w:left="4842" w:hanging="360"/>
      </w:pPr>
    </w:lvl>
    <w:lvl w:ilvl="4" w:tplc="0C090019" w:tentative="1">
      <w:start w:val="1"/>
      <w:numFmt w:val="lowerLetter"/>
      <w:lvlText w:val="%5."/>
      <w:lvlJc w:val="left"/>
      <w:pPr>
        <w:ind w:left="5562" w:hanging="360"/>
      </w:pPr>
    </w:lvl>
    <w:lvl w:ilvl="5" w:tplc="0C09001B" w:tentative="1">
      <w:start w:val="1"/>
      <w:numFmt w:val="lowerRoman"/>
      <w:lvlText w:val="%6."/>
      <w:lvlJc w:val="right"/>
      <w:pPr>
        <w:ind w:left="6282" w:hanging="180"/>
      </w:pPr>
    </w:lvl>
    <w:lvl w:ilvl="6" w:tplc="0C09000F" w:tentative="1">
      <w:start w:val="1"/>
      <w:numFmt w:val="decimal"/>
      <w:lvlText w:val="%7."/>
      <w:lvlJc w:val="left"/>
      <w:pPr>
        <w:ind w:left="7002" w:hanging="360"/>
      </w:pPr>
    </w:lvl>
    <w:lvl w:ilvl="7" w:tplc="0C090019" w:tentative="1">
      <w:start w:val="1"/>
      <w:numFmt w:val="lowerLetter"/>
      <w:lvlText w:val="%8."/>
      <w:lvlJc w:val="left"/>
      <w:pPr>
        <w:ind w:left="7722" w:hanging="360"/>
      </w:pPr>
    </w:lvl>
    <w:lvl w:ilvl="8" w:tplc="0C09001B" w:tentative="1">
      <w:start w:val="1"/>
      <w:numFmt w:val="lowerRoman"/>
      <w:lvlText w:val="%9."/>
      <w:lvlJc w:val="right"/>
      <w:pPr>
        <w:ind w:left="8442" w:hanging="180"/>
      </w:pPr>
    </w:lvl>
  </w:abstractNum>
  <w:abstractNum w:abstractNumId="57" w15:restartNumberingAfterBreak="0">
    <w:nsid w:val="4D7007C0"/>
    <w:multiLevelType w:val="hybridMultilevel"/>
    <w:tmpl w:val="E23EF5D6"/>
    <w:lvl w:ilvl="0" w:tplc="EC88C2DE">
      <w:start w:val="1"/>
      <w:numFmt w:val="bullet"/>
      <w:lvlText w:val=""/>
      <w:lvlJc w:val="left"/>
      <w:pPr>
        <w:ind w:left="720" w:hanging="360"/>
      </w:pPr>
      <w:rPr>
        <w:rFonts w:ascii="Symbol" w:hAnsi="Symbol" w:hint="default"/>
      </w:rPr>
    </w:lvl>
    <w:lvl w:ilvl="1" w:tplc="0C090019" w:tentative="1">
      <w:start w:val="1"/>
      <w:numFmt w:val="bullet"/>
      <w:lvlText w:val="o"/>
      <w:lvlJc w:val="left"/>
      <w:pPr>
        <w:ind w:left="1440" w:hanging="360"/>
      </w:pPr>
      <w:rPr>
        <w:rFonts w:ascii="Courier New" w:hAnsi="Courier New" w:cs="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cs="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cs="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58" w15:restartNumberingAfterBreak="0">
    <w:nsid w:val="4DE21FC7"/>
    <w:multiLevelType w:val="hybridMultilevel"/>
    <w:tmpl w:val="74C62F20"/>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59" w15:restartNumberingAfterBreak="0">
    <w:nsid w:val="4DE62C75"/>
    <w:multiLevelType w:val="hybridMultilevel"/>
    <w:tmpl w:val="744C04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4EF004E3"/>
    <w:multiLevelType w:val="multilevel"/>
    <w:tmpl w:val="2D9C08C2"/>
    <w:lvl w:ilvl="0">
      <w:start w:val="1"/>
      <w:numFmt w:val="bullet"/>
      <w:pStyle w:val="ListBullet"/>
      <w:lvlText w:val=""/>
      <w:lvlJc w:val="left"/>
      <w:pPr>
        <w:ind w:left="757" w:hanging="360"/>
      </w:pPr>
      <w:rPr>
        <w:rFonts w:ascii="Symbol" w:hAnsi="Symbol" w:hint="default"/>
      </w:rPr>
    </w:lvl>
    <w:lvl w:ilvl="1">
      <w:start w:val="1"/>
      <w:numFmt w:val="bullet"/>
      <w:lvlText w:val=""/>
      <w:lvlJc w:val="left"/>
      <w:pPr>
        <w:ind w:left="1134" w:hanging="340"/>
      </w:pPr>
      <w:rPr>
        <w:rFonts w:ascii="Symbol" w:hAnsi="Symbol" w:hint="default"/>
      </w:rPr>
    </w:lvl>
    <w:lvl w:ilvl="2">
      <w:start w:val="1"/>
      <w:numFmt w:val="bullet"/>
      <w:lvlText w:val=""/>
      <w:lvlJc w:val="left"/>
      <w:pPr>
        <w:ind w:left="1531" w:hanging="340"/>
      </w:pPr>
      <w:rPr>
        <w:rFonts w:ascii="Wingdings" w:hAnsi="Wingdings" w:hint="default"/>
      </w:rPr>
    </w:lvl>
    <w:lvl w:ilvl="3">
      <w:start w:val="1"/>
      <w:numFmt w:val="bullet"/>
      <w:lvlText w:val="o"/>
      <w:lvlJc w:val="left"/>
      <w:pPr>
        <w:ind w:left="1928" w:hanging="397"/>
      </w:pPr>
      <w:rPr>
        <w:rFonts w:ascii="Courier New" w:hAnsi="Courier New" w:hint="default"/>
      </w:rPr>
    </w:lvl>
    <w:lvl w:ilvl="4">
      <w:start w:val="1"/>
      <w:numFmt w:val="bullet"/>
      <w:lvlText w:val="o"/>
      <w:lvlJc w:val="left"/>
      <w:pPr>
        <w:ind w:left="3637" w:hanging="360"/>
      </w:pPr>
      <w:rPr>
        <w:rFonts w:ascii="Courier New" w:hAnsi="Courier New" w:hint="default"/>
      </w:rPr>
    </w:lvl>
    <w:lvl w:ilvl="5">
      <w:start w:val="1"/>
      <w:numFmt w:val="bullet"/>
      <w:lvlText w:val=""/>
      <w:lvlJc w:val="left"/>
      <w:pPr>
        <w:ind w:left="4357" w:hanging="360"/>
      </w:pPr>
      <w:rPr>
        <w:rFonts w:ascii="Wingdings" w:hAnsi="Wingdings" w:hint="default"/>
      </w:rPr>
    </w:lvl>
    <w:lvl w:ilvl="6">
      <w:start w:val="1"/>
      <w:numFmt w:val="bullet"/>
      <w:lvlText w:val=""/>
      <w:lvlJc w:val="left"/>
      <w:pPr>
        <w:ind w:left="5077" w:hanging="360"/>
      </w:pPr>
      <w:rPr>
        <w:rFonts w:ascii="Symbol" w:hAnsi="Symbol" w:hint="default"/>
      </w:rPr>
    </w:lvl>
    <w:lvl w:ilvl="7">
      <w:start w:val="1"/>
      <w:numFmt w:val="bullet"/>
      <w:lvlText w:val="o"/>
      <w:lvlJc w:val="left"/>
      <w:pPr>
        <w:ind w:left="5797" w:hanging="360"/>
      </w:pPr>
      <w:rPr>
        <w:rFonts w:ascii="Courier New" w:hAnsi="Courier New" w:cs="Courier New" w:hint="default"/>
      </w:rPr>
    </w:lvl>
    <w:lvl w:ilvl="8">
      <w:start w:val="1"/>
      <w:numFmt w:val="bullet"/>
      <w:lvlText w:val=""/>
      <w:lvlJc w:val="left"/>
      <w:pPr>
        <w:ind w:left="6517" w:hanging="360"/>
      </w:pPr>
      <w:rPr>
        <w:rFonts w:ascii="Wingdings" w:hAnsi="Wingdings" w:hint="default"/>
      </w:rPr>
    </w:lvl>
  </w:abstractNum>
  <w:abstractNum w:abstractNumId="61" w15:restartNumberingAfterBreak="0">
    <w:nsid w:val="50FC22D6"/>
    <w:multiLevelType w:val="hybridMultilevel"/>
    <w:tmpl w:val="5E7C5A24"/>
    <w:lvl w:ilvl="0" w:tplc="78385BC2">
      <w:start w:val="1"/>
      <w:numFmt w:val="decimal"/>
      <w:lvlText w:val="%1."/>
      <w:lvlJc w:val="left"/>
      <w:pPr>
        <w:ind w:left="720" w:hanging="360"/>
      </w:pPr>
    </w:lvl>
    <w:lvl w:ilvl="1" w:tplc="99E8F3AE">
      <w:start w:val="1"/>
      <w:numFmt w:val="lowerLetter"/>
      <w:lvlText w:val="%2."/>
      <w:lvlJc w:val="left"/>
      <w:pPr>
        <w:ind w:left="1440" w:hanging="360"/>
      </w:pPr>
    </w:lvl>
    <w:lvl w:ilvl="2" w:tplc="05CA7DC0" w:tentative="1">
      <w:start w:val="1"/>
      <w:numFmt w:val="lowerRoman"/>
      <w:lvlText w:val="%3."/>
      <w:lvlJc w:val="right"/>
      <w:pPr>
        <w:ind w:left="2160" w:hanging="180"/>
      </w:pPr>
    </w:lvl>
    <w:lvl w:ilvl="3" w:tplc="CB7E1E06" w:tentative="1">
      <w:start w:val="1"/>
      <w:numFmt w:val="decimal"/>
      <w:lvlText w:val="%4."/>
      <w:lvlJc w:val="left"/>
      <w:pPr>
        <w:ind w:left="2880" w:hanging="360"/>
      </w:pPr>
    </w:lvl>
    <w:lvl w:ilvl="4" w:tplc="1D301660" w:tentative="1">
      <w:start w:val="1"/>
      <w:numFmt w:val="lowerLetter"/>
      <w:lvlText w:val="%5."/>
      <w:lvlJc w:val="left"/>
      <w:pPr>
        <w:ind w:left="3600" w:hanging="360"/>
      </w:pPr>
    </w:lvl>
    <w:lvl w:ilvl="5" w:tplc="CB6ED5C0" w:tentative="1">
      <w:start w:val="1"/>
      <w:numFmt w:val="lowerRoman"/>
      <w:lvlText w:val="%6."/>
      <w:lvlJc w:val="right"/>
      <w:pPr>
        <w:ind w:left="4320" w:hanging="180"/>
      </w:pPr>
    </w:lvl>
    <w:lvl w:ilvl="6" w:tplc="AABC663C" w:tentative="1">
      <w:start w:val="1"/>
      <w:numFmt w:val="decimal"/>
      <w:lvlText w:val="%7."/>
      <w:lvlJc w:val="left"/>
      <w:pPr>
        <w:ind w:left="5040" w:hanging="360"/>
      </w:pPr>
    </w:lvl>
    <w:lvl w:ilvl="7" w:tplc="63401C94" w:tentative="1">
      <w:start w:val="1"/>
      <w:numFmt w:val="lowerLetter"/>
      <w:lvlText w:val="%8."/>
      <w:lvlJc w:val="left"/>
      <w:pPr>
        <w:ind w:left="5760" w:hanging="360"/>
      </w:pPr>
    </w:lvl>
    <w:lvl w:ilvl="8" w:tplc="A170F2E0" w:tentative="1">
      <w:start w:val="1"/>
      <w:numFmt w:val="lowerRoman"/>
      <w:lvlText w:val="%9."/>
      <w:lvlJc w:val="right"/>
      <w:pPr>
        <w:ind w:left="6480" w:hanging="180"/>
      </w:pPr>
    </w:lvl>
  </w:abstractNum>
  <w:abstractNum w:abstractNumId="62" w15:restartNumberingAfterBreak="0">
    <w:nsid w:val="51613DB3"/>
    <w:multiLevelType w:val="hybridMultilevel"/>
    <w:tmpl w:val="1D84C8B4"/>
    <w:lvl w:ilvl="0" w:tplc="AC62DF54">
      <w:start w:val="1"/>
      <w:numFmt w:val="decimal"/>
      <w:lvlText w:val="Study population %1: "/>
      <w:lvlJc w:val="left"/>
      <w:pPr>
        <w:ind w:left="720" w:hanging="360"/>
      </w:pPr>
      <w:rPr>
        <w:rFonts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526A67D0"/>
    <w:multiLevelType w:val="hybridMultilevel"/>
    <w:tmpl w:val="431E4B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4" w15:restartNumberingAfterBreak="0">
    <w:nsid w:val="52F96782"/>
    <w:multiLevelType w:val="hybridMultilevel"/>
    <w:tmpl w:val="8796124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5" w15:restartNumberingAfterBreak="0">
    <w:nsid w:val="532574D7"/>
    <w:multiLevelType w:val="hybridMultilevel"/>
    <w:tmpl w:val="75B41950"/>
    <w:lvl w:ilvl="0" w:tplc="AC62DF54">
      <w:start w:val="1"/>
      <w:numFmt w:val="decimal"/>
      <w:lvlText w:val="Study population %1: "/>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6" w15:restartNumberingAfterBreak="0">
    <w:nsid w:val="53785D4C"/>
    <w:multiLevelType w:val="hybridMultilevel"/>
    <w:tmpl w:val="E1B0B32A"/>
    <w:lvl w:ilvl="0" w:tplc="15A02124">
      <w:start w:val="1"/>
      <w:numFmt w:val="decimal"/>
      <w:lvlText w:val="Analysis %1:"/>
      <w:lvlJc w:val="left"/>
      <w:pPr>
        <w:ind w:left="928" w:hanging="360"/>
      </w:pPr>
      <w:rPr>
        <w:rFonts w:hint="default"/>
        <w:b/>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67" w15:restartNumberingAfterBreak="0">
    <w:nsid w:val="53C905D1"/>
    <w:multiLevelType w:val="hybridMultilevel"/>
    <w:tmpl w:val="AEFEDE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15:restartNumberingAfterBreak="0">
    <w:nsid w:val="540A5885"/>
    <w:multiLevelType w:val="hybridMultilevel"/>
    <w:tmpl w:val="7250F4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55597248"/>
    <w:multiLevelType w:val="hybridMultilevel"/>
    <w:tmpl w:val="9FE485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0" w15:restartNumberingAfterBreak="0">
    <w:nsid w:val="573B4DA6"/>
    <w:multiLevelType w:val="hybridMultilevel"/>
    <w:tmpl w:val="6DDE8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15:restartNumberingAfterBreak="0">
    <w:nsid w:val="57D55866"/>
    <w:multiLevelType w:val="hybridMultilevel"/>
    <w:tmpl w:val="22D24C2A"/>
    <w:lvl w:ilvl="0" w:tplc="37DEC832">
      <w:start w:val="1"/>
      <w:numFmt w:val="decimal"/>
      <w:lvlText w:val="%1."/>
      <w:lvlJc w:val="left"/>
      <w:pPr>
        <w:ind w:left="50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2" w15:restartNumberingAfterBreak="0">
    <w:nsid w:val="599273E0"/>
    <w:multiLevelType w:val="multilevel"/>
    <w:tmpl w:val="7B3AC07C"/>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3" w15:restartNumberingAfterBreak="0">
    <w:nsid w:val="5C8B179F"/>
    <w:multiLevelType w:val="multilevel"/>
    <w:tmpl w:val="F296112A"/>
    <w:lvl w:ilvl="0">
      <w:start w:val="1"/>
      <w:numFmt w:val="decimal"/>
      <w:lvlText w:val="%1."/>
      <w:lvlJc w:val="left"/>
      <w:pPr>
        <w:tabs>
          <w:tab w:val="num" w:pos="144"/>
        </w:tabs>
        <w:ind w:left="144" w:hanging="360"/>
      </w:pPr>
      <w:rPr>
        <w:rFonts w:hint="default"/>
        <w:b/>
        <w:i w:val="0"/>
        <w:sz w:val="24"/>
      </w:rPr>
    </w:lvl>
    <w:lvl w:ilvl="1">
      <w:start w:val="1"/>
      <w:numFmt w:val="decimal"/>
      <w:lvlText w:val="3.%2."/>
      <w:lvlJc w:val="left"/>
      <w:pPr>
        <w:tabs>
          <w:tab w:val="num" w:pos="576"/>
        </w:tabs>
        <w:ind w:left="576" w:hanging="432"/>
      </w:pPr>
      <w:rPr>
        <w:rFonts w:hint="default"/>
      </w:rPr>
    </w:lvl>
    <w:lvl w:ilvl="2">
      <w:start w:val="1"/>
      <w:numFmt w:val="decimal"/>
      <w:lvlText w:val="%2.%3."/>
      <w:lvlJc w:val="left"/>
      <w:pPr>
        <w:tabs>
          <w:tab w:val="num" w:pos="1224"/>
        </w:tabs>
        <w:ind w:left="1008" w:hanging="504"/>
      </w:pPr>
      <w:rPr>
        <w:rFonts w:hint="default"/>
      </w:rPr>
    </w:lvl>
    <w:lvl w:ilvl="3">
      <w:start w:val="1"/>
      <w:numFmt w:val="decimal"/>
      <w:pStyle w:val="Heading41"/>
      <w:lvlText w:val="%1.%2.%3.%4."/>
      <w:lvlJc w:val="left"/>
      <w:pPr>
        <w:tabs>
          <w:tab w:val="num" w:pos="1944"/>
        </w:tabs>
        <w:ind w:left="1512" w:hanging="648"/>
      </w:pPr>
      <w:rPr>
        <w:rFonts w:hint="default"/>
      </w:rPr>
    </w:lvl>
    <w:lvl w:ilvl="4">
      <w:start w:val="1"/>
      <w:numFmt w:val="decimal"/>
      <w:lvlText w:val="%1.%2.%3.%4.%5."/>
      <w:lvlJc w:val="left"/>
      <w:pPr>
        <w:tabs>
          <w:tab w:val="num" w:pos="2304"/>
        </w:tabs>
        <w:ind w:left="2016" w:hanging="792"/>
      </w:pPr>
      <w:rPr>
        <w:rFonts w:hint="default"/>
      </w:rPr>
    </w:lvl>
    <w:lvl w:ilvl="5">
      <w:start w:val="1"/>
      <w:numFmt w:val="decimal"/>
      <w:lvlText w:val="%1.%2.%3.%4.%5.%6."/>
      <w:lvlJc w:val="left"/>
      <w:pPr>
        <w:tabs>
          <w:tab w:val="num" w:pos="3024"/>
        </w:tabs>
        <w:ind w:left="2520" w:hanging="936"/>
      </w:pPr>
      <w:rPr>
        <w:rFonts w:hint="default"/>
      </w:rPr>
    </w:lvl>
    <w:lvl w:ilvl="6">
      <w:start w:val="1"/>
      <w:numFmt w:val="decimal"/>
      <w:lvlText w:val="%1.%2.%3.%4.%5.%6.%7."/>
      <w:lvlJc w:val="left"/>
      <w:pPr>
        <w:tabs>
          <w:tab w:val="num" w:pos="3384"/>
        </w:tabs>
        <w:ind w:left="3024" w:hanging="1080"/>
      </w:pPr>
      <w:rPr>
        <w:rFonts w:hint="default"/>
      </w:rPr>
    </w:lvl>
    <w:lvl w:ilvl="7">
      <w:start w:val="1"/>
      <w:numFmt w:val="decimal"/>
      <w:lvlText w:val="%1.%2.%3.%4.%5.%6.%7.%8."/>
      <w:lvlJc w:val="left"/>
      <w:pPr>
        <w:tabs>
          <w:tab w:val="num" w:pos="4104"/>
        </w:tabs>
        <w:ind w:left="3528" w:hanging="1224"/>
      </w:pPr>
      <w:rPr>
        <w:rFonts w:hint="default"/>
      </w:rPr>
    </w:lvl>
    <w:lvl w:ilvl="8">
      <w:start w:val="1"/>
      <w:numFmt w:val="decimal"/>
      <w:lvlText w:val="%1.%2.%3.%4.%5.%6.%7.%8.%9."/>
      <w:lvlJc w:val="left"/>
      <w:pPr>
        <w:tabs>
          <w:tab w:val="num" w:pos="4464"/>
        </w:tabs>
        <w:ind w:left="4104" w:hanging="1440"/>
      </w:pPr>
      <w:rPr>
        <w:rFonts w:hint="default"/>
      </w:rPr>
    </w:lvl>
  </w:abstractNum>
  <w:abstractNum w:abstractNumId="74" w15:restartNumberingAfterBreak="0">
    <w:nsid w:val="5E163D1E"/>
    <w:multiLevelType w:val="hybridMultilevel"/>
    <w:tmpl w:val="62C0C266"/>
    <w:lvl w:ilvl="0" w:tplc="53FEC288">
      <w:start w:val="1"/>
      <w:numFmt w:val="bullet"/>
      <w:pStyle w:val="DotPoint"/>
      <w:lvlText w:val=""/>
      <w:lvlJc w:val="left"/>
      <w:pPr>
        <w:ind w:left="720" w:hanging="360"/>
      </w:pPr>
      <w:rPr>
        <w:rFonts w:ascii="Symbol" w:hAnsi="Symbol" w:hint="default"/>
      </w:rPr>
    </w:lvl>
    <w:lvl w:ilvl="1" w:tplc="9050C912">
      <w:start w:val="1"/>
      <w:numFmt w:val="bullet"/>
      <w:lvlText w:val="o"/>
      <w:lvlJc w:val="left"/>
      <w:pPr>
        <w:ind w:left="1440" w:hanging="360"/>
      </w:pPr>
      <w:rPr>
        <w:rFonts w:ascii="Courier New" w:hAnsi="Courier New" w:cs="Courier New" w:hint="default"/>
      </w:rPr>
    </w:lvl>
    <w:lvl w:ilvl="2" w:tplc="636A5CE4" w:tentative="1">
      <w:start w:val="1"/>
      <w:numFmt w:val="bullet"/>
      <w:lvlText w:val=""/>
      <w:lvlJc w:val="left"/>
      <w:pPr>
        <w:ind w:left="2160" w:hanging="360"/>
      </w:pPr>
      <w:rPr>
        <w:rFonts w:ascii="Wingdings" w:hAnsi="Wingdings" w:hint="default"/>
      </w:rPr>
    </w:lvl>
    <w:lvl w:ilvl="3" w:tplc="E94EF90A" w:tentative="1">
      <w:start w:val="1"/>
      <w:numFmt w:val="bullet"/>
      <w:lvlText w:val=""/>
      <w:lvlJc w:val="left"/>
      <w:pPr>
        <w:ind w:left="2880" w:hanging="360"/>
      </w:pPr>
      <w:rPr>
        <w:rFonts w:ascii="Symbol" w:hAnsi="Symbol" w:hint="default"/>
      </w:rPr>
    </w:lvl>
    <w:lvl w:ilvl="4" w:tplc="C0E220B4" w:tentative="1">
      <w:start w:val="1"/>
      <w:numFmt w:val="bullet"/>
      <w:lvlText w:val="o"/>
      <w:lvlJc w:val="left"/>
      <w:pPr>
        <w:ind w:left="3600" w:hanging="360"/>
      </w:pPr>
      <w:rPr>
        <w:rFonts w:ascii="Courier New" w:hAnsi="Courier New" w:cs="Courier New" w:hint="default"/>
      </w:rPr>
    </w:lvl>
    <w:lvl w:ilvl="5" w:tplc="E1C49F72" w:tentative="1">
      <w:start w:val="1"/>
      <w:numFmt w:val="bullet"/>
      <w:lvlText w:val=""/>
      <w:lvlJc w:val="left"/>
      <w:pPr>
        <w:ind w:left="4320" w:hanging="360"/>
      </w:pPr>
      <w:rPr>
        <w:rFonts w:ascii="Wingdings" w:hAnsi="Wingdings" w:hint="default"/>
      </w:rPr>
    </w:lvl>
    <w:lvl w:ilvl="6" w:tplc="66B222C4" w:tentative="1">
      <w:start w:val="1"/>
      <w:numFmt w:val="bullet"/>
      <w:lvlText w:val=""/>
      <w:lvlJc w:val="left"/>
      <w:pPr>
        <w:ind w:left="5040" w:hanging="360"/>
      </w:pPr>
      <w:rPr>
        <w:rFonts w:ascii="Symbol" w:hAnsi="Symbol" w:hint="default"/>
      </w:rPr>
    </w:lvl>
    <w:lvl w:ilvl="7" w:tplc="FD067CE4" w:tentative="1">
      <w:start w:val="1"/>
      <w:numFmt w:val="bullet"/>
      <w:lvlText w:val="o"/>
      <w:lvlJc w:val="left"/>
      <w:pPr>
        <w:ind w:left="5760" w:hanging="360"/>
      </w:pPr>
      <w:rPr>
        <w:rFonts w:ascii="Courier New" w:hAnsi="Courier New" w:cs="Courier New" w:hint="default"/>
      </w:rPr>
    </w:lvl>
    <w:lvl w:ilvl="8" w:tplc="AC2A7656" w:tentative="1">
      <w:start w:val="1"/>
      <w:numFmt w:val="bullet"/>
      <w:lvlText w:val=""/>
      <w:lvlJc w:val="left"/>
      <w:pPr>
        <w:ind w:left="6480" w:hanging="360"/>
      </w:pPr>
      <w:rPr>
        <w:rFonts w:ascii="Wingdings" w:hAnsi="Wingdings" w:hint="default"/>
      </w:rPr>
    </w:lvl>
  </w:abstractNum>
  <w:abstractNum w:abstractNumId="75" w15:restartNumberingAfterBreak="0">
    <w:nsid w:val="5E510DD2"/>
    <w:multiLevelType w:val="hybridMultilevel"/>
    <w:tmpl w:val="A8D46878"/>
    <w:lvl w:ilvl="0" w:tplc="0C09000F">
      <w:start w:val="1"/>
      <w:numFmt w:val="decimal"/>
      <w:lvlText w:val="%1."/>
      <w:lvlJc w:val="left"/>
      <w:pPr>
        <w:ind w:left="720" w:hanging="360"/>
      </w:pPr>
    </w:lvl>
    <w:lvl w:ilvl="1" w:tplc="0C090019">
      <w:start w:val="1"/>
      <w:numFmt w:val="lowerLetter"/>
      <w:lvlText w:val="%2."/>
      <w:lvlJc w:val="left"/>
      <w:pPr>
        <w:ind w:left="1353"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6" w15:restartNumberingAfterBreak="0">
    <w:nsid w:val="5F6976EC"/>
    <w:multiLevelType w:val="hybridMultilevel"/>
    <w:tmpl w:val="1798A186"/>
    <w:lvl w:ilvl="0" w:tplc="0C09000F">
      <w:start w:val="1"/>
      <w:numFmt w:val="decimal"/>
      <w:lvlText w:val="%1."/>
      <w:lvlJc w:val="left"/>
      <w:pPr>
        <w:ind w:left="720" w:hanging="360"/>
      </w:pPr>
      <w:rPr>
        <w:rFonts w:hint="default"/>
      </w:rPr>
    </w:lvl>
    <w:lvl w:ilvl="1" w:tplc="E5AC73E8">
      <w:start w:val="1"/>
      <w:numFmt w:val="lowerLetter"/>
      <w:lvlText w:val="(%2)"/>
      <w:lvlJc w:val="left"/>
      <w:pPr>
        <w:ind w:left="1440" w:hanging="360"/>
      </w:pPr>
      <w:rPr>
        <w:rFonts w:hint="default"/>
      </w:rPr>
    </w:lvl>
    <w:lvl w:ilvl="2" w:tplc="0C090005" w:tentative="1">
      <w:start w:val="1"/>
      <w:numFmt w:val="lowerRoman"/>
      <w:lvlText w:val="%3."/>
      <w:lvlJc w:val="right"/>
      <w:pPr>
        <w:ind w:left="2160" w:hanging="180"/>
      </w:pPr>
    </w:lvl>
    <w:lvl w:ilvl="3" w:tplc="0C090001" w:tentative="1">
      <w:start w:val="1"/>
      <w:numFmt w:val="decimal"/>
      <w:lvlText w:val="%4."/>
      <w:lvlJc w:val="left"/>
      <w:pPr>
        <w:ind w:left="2880" w:hanging="360"/>
      </w:pPr>
    </w:lvl>
    <w:lvl w:ilvl="4" w:tplc="0C090003" w:tentative="1">
      <w:start w:val="1"/>
      <w:numFmt w:val="lowerLetter"/>
      <w:lvlText w:val="%5."/>
      <w:lvlJc w:val="left"/>
      <w:pPr>
        <w:ind w:left="3600" w:hanging="360"/>
      </w:pPr>
    </w:lvl>
    <w:lvl w:ilvl="5" w:tplc="0C090005" w:tentative="1">
      <w:start w:val="1"/>
      <w:numFmt w:val="lowerRoman"/>
      <w:lvlText w:val="%6."/>
      <w:lvlJc w:val="right"/>
      <w:pPr>
        <w:ind w:left="4320" w:hanging="180"/>
      </w:pPr>
    </w:lvl>
    <w:lvl w:ilvl="6" w:tplc="0C090001" w:tentative="1">
      <w:start w:val="1"/>
      <w:numFmt w:val="decimal"/>
      <w:lvlText w:val="%7."/>
      <w:lvlJc w:val="left"/>
      <w:pPr>
        <w:ind w:left="5040" w:hanging="360"/>
      </w:pPr>
    </w:lvl>
    <w:lvl w:ilvl="7" w:tplc="0C090003" w:tentative="1">
      <w:start w:val="1"/>
      <w:numFmt w:val="lowerLetter"/>
      <w:lvlText w:val="%8."/>
      <w:lvlJc w:val="left"/>
      <w:pPr>
        <w:ind w:left="5760" w:hanging="360"/>
      </w:pPr>
    </w:lvl>
    <w:lvl w:ilvl="8" w:tplc="0C090005" w:tentative="1">
      <w:start w:val="1"/>
      <w:numFmt w:val="lowerRoman"/>
      <w:lvlText w:val="%9."/>
      <w:lvlJc w:val="right"/>
      <w:pPr>
        <w:ind w:left="6480" w:hanging="180"/>
      </w:pPr>
    </w:lvl>
  </w:abstractNum>
  <w:abstractNum w:abstractNumId="77" w15:restartNumberingAfterBreak="0">
    <w:nsid w:val="60D80369"/>
    <w:multiLevelType w:val="hybridMultilevel"/>
    <w:tmpl w:val="9E36F286"/>
    <w:lvl w:ilvl="0" w:tplc="354CF136">
      <w:start w:val="1"/>
      <w:numFmt w:val="decimal"/>
      <w:pStyle w:val="Sourceandnotetext"/>
      <w:lvlText w:val="%1."/>
      <w:lvlJc w:val="left"/>
      <w:pPr>
        <w:ind w:left="720" w:hanging="360"/>
      </w:pPr>
    </w:lvl>
    <w:lvl w:ilvl="1" w:tplc="0C090003" w:tentative="1">
      <w:start w:val="1"/>
      <w:numFmt w:val="lowerLetter"/>
      <w:lvlText w:val="%2."/>
      <w:lvlJc w:val="left"/>
      <w:pPr>
        <w:ind w:left="1440" w:hanging="360"/>
      </w:pPr>
    </w:lvl>
    <w:lvl w:ilvl="2" w:tplc="0C090005" w:tentative="1">
      <w:start w:val="1"/>
      <w:numFmt w:val="lowerRoman"/>
      <w:lvlText w:val="%3."/>
      <w:lvlJc w:val="right"/>
      <w:pPr>
        <w:ind w:left="2160" w:hanging="180"/>
      </w:pPr>
    </w:lvl>
    <w:lvl w:ilvl="3" w:tplc="0C090001" w:tentative="1">
      <w:start w:val="1"/>
      <w:numFmt w:val="decimal"/>
      <w:lvlText w:val="%4."/>
      <w:lvlJc w:val="left"/>
      <w:pPr>
        <w:ind w:left="2880" w:hanging="360"/>
      </w:pPr>
    </w:lvl>
    <w:lvl w:ilvl="4" w:tplc="0C090003" w:tentative="1">
      <w:start w:val="1"/>
      <w:numFmt w:val="lowerLetter"/>
      <w:lvlText w:val="%5."/>
      <w:lvlJc w:val="left"/>
      <w:pPr>
        <w:ind w:left="3600" w:hanging="360"/>
      </w:pPr>
    </w:lvl>
    <w:lvl w:ilvl="5" w:tplc="0C090005" w:tentative="1">
      <w:start w:val="1"/>
      <w:numFmt w:val="lowerRoman"/>
      <w:lvlText w:val="%6."/>
      <w:lvlJc w:val="right"/>
      <w:pPr>
        <w:ind w:left="4320" w:hanging="180"/>
      </w:pPr>
    </w:lvl>
    <w:lvl w:ilvl="6" w:tplc="0C090001" w:tentative="1">
      <w:start w:val="1"/>
      <w:numFmt w:val="decimal"/>
      <w:lvlText w:val="%7."/>
      <w:lvlJc w:val="left"/>
      <w:pPr>
        <w:ind w:left="5040" w:hanging="360"/>
      </w:pPr>
    </w:lvl>
    <w:lvl w:ilvl="7" w:tplc="0C090003" w:tentative="1">
      <w:start w:val="1"/>
      <w:numFmt w:val="lowerLetter"/>
      <w:lvlText w:val="%8."/>
      <w:lvlJc w:val="left"/>
      <w:pPr>
        <w:ind w:left="5760" w:hanging="360"/>
      </w:pPr>
    </w:lvl>
    <w:lvl w:ilvl="8" w:tplc="0C090005" w:tentative="1">
      <w:start w:val="1"/>
      <w:numFmt w:val="lowerRoman"/>
      <w:lvlText w:val="%9."/>
      <w:lvlJc w:val="right"/>
      <w:pPr>
        <w:ind w:left="6480" w:hanging="180"/>
      </w:pPr>
    </w:lvl>
  </w:abstractNum>
  <w:abstractNum w:abstractNumId="78" w15:restartNumberingAfterBreak="0">
    <w:nsid w:val="617B7C17"/>
    <w:multiLevelType w:val="hybridMultilevel"/>
    <w:tmpl w:val="8B082516"/>
    <w:lvl w:ilvl="0" w:tplc="9B86F204">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9" w15:restartNumberingAfterBreak="0">
    <w:nsid w:val="63062052"/>
    <w:multiLevelType w:val="multilevel"/>
    <w:tmpl w:val="06624F10"/>
    <w:lvl w:ilvl="0">
      <w:start w:val="1"/>
      <w:numFmt w:val="decimal"/>
      <w:pStyle w:val="Heading1Num"/>
      <w:lvlText w:val="%1."/>
      <w:lvlJc w:val="left"/>
      <w:pPr>
        <w:ind w:left="360" w:hanging="360"/>
      </w:pPr>
    </w:lvl>
    <w:lvl w:ilvl="1">
      <w:start w:val="1"/>
      <w:numFmt w:val="decimal"/>
      <w:pStyle w:val="Heading2Num"/>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643A43C3"/>
    <w:multiLevelType w:val="hybridMultilevel"/>
    <w:tmpl w:val="CA48B964"/>
    <w:lvl w:ilvl="0" w:tplc="46B292DA">
      <w:start w:val="1"/>
      <w:numFmt w:val="decimal"/>
      <w:lvlText w:val="%1."/>
      <w:lvlJc w:val="left"/>
      <w:pPr>
        <w:ind w:left="720" w:hanging="360"/>
      </w:pPr>
      <w:rPr>
        <w:rFonts w:ascii="Calibri" w:hAnsi="Calibri" w:hint="default"/>
        <w:b w:val="0"/>
        <w:i w:val="0"/>
        <w:caps w:val="0"/>
        <w:strike w:val="0"/>
        <w:dstrike w:val="0"/>
        <w:vanish w:val="0"/>
        <w:color w:val="000000" w:themeColor="text1"/>
        <w:sz w:val="20"/>
        <w:vertAlign w:val="baseline"/>
      </w:rPr>
    </w:lvl>
    <w:lvl w:ilvl="1" w:tplc="0C090019" w:tentative="1">
      <w:start w:val="1"/>
      <w:numFmt w:val="bullet"/>
      <w:lvlText w:val="o"/>
      <w:lvlJc w:val="left"/>
      <w:pPr>
        <w:ind w:left="1440" w:hanging="360"/>
      </w:pPr>
      <w:rPr>
        <w:rFonts w:ascii="Courier New" w:hAnsi="Courier New" w:cs="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cs="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cs="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81" w15:restartNumberingAfterBreak="0">
    <w:nsid w:val="64AD7C33"/>
    <w:multiLevelType w:val="hybridMultilevel"/>
    <w:tmpl w:val="D5FCCD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64EE3E53"/>
    <w:multiLevelType w:val="hybridMultilevel"/>
    <w:tmpl w:val="C428D9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3" w15:restartNumberingAfterBreak="0">
    <w:nsid w:val="66046258"/>
    <w:multiLevelType w:val="hybridMultilevel"/>
    <w:tmpl w:val="06B81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4" w15:restartNumberingAfterBreak="0">
    <w:nsid w:val="67143C79"/>
    <w:multiLevelType w:val="hybridMultilevel"/>
    <w:tmpl w:val="79CE5CC6"/>
    <w:lvl w:ilvl="0" w:tplc="CB12E95A">
      <w:start w:val="1"/>
      <w:numFmt w:val="bullet"/>
      <w:lvlText w:val=""/>
      <w:lvlJc w:val="left"/>
      <w:pPr>
        <w:ind w:left="766" w:hanging="360"/>
      </w:pPr>
      <w:rPr>
        <w:rFonts w:ascii="Symbol" w:hAnsi="Symbol" w:hint="default"/>
      </w:rPr>
    </w:lvl>
    <w:lvl w:ilvl="1" w:tplc="BC103572">
      <w:start w:val="1"/>
      <w:numFmt w:val="bullet"/>
      <w:lvlText w:val="o"/>
      <w:lvlJc w:val="left"/>
      <w:pPr>
        <w:ind w:left="1486" w:hanging="360"/>
      </w:pPr>
      <w:rPr>
        <w:rFonts w:ascii="Courier New" w:hAnsi="Courier New" w:cs="Courier New" w:hint="default"/>
      </w:rPr>
    </w:lvl>
    <w:lvl w:ilvl="2" w:tplc="DE948F4A" w:tentative="1">
      <w:start w:val="1"/>
      <w:numFmt w:val="bullet"/>
      <w:lvlText w:val=""/>
      <w:lvlJc w:val="left"/>
      <w:pPr>
        <w:ind w:left="2206" w:hanging="360"/>
      </w:pPr>
      <w:rPr>
        <w:rFonts w:ascii="Wingdings" w:hAnsi="Wingdings" w:hint="default"/>
      </w:rPr>
    </w:lvl>
    <w:lvl w:ilvl="3" w:tplc="96CC752C" w:tentative="1">
      <w:start w:val="1"/>
      <w:numFmt w:val="bullet"/>
      <w:lvlText w:val=""/>
      <w:lvlJc w:val="left"/>
      <w:pPr>
        <w:ind w:left="2926" w:hanging="360"/>
      </w:pPr>
      <w:rPr>
        <w:rFonts w:ascii="Symbol" w:hAnsi="Symbol" w:hint="default"/>
      </w:rPr>
    </w:lvl>
    <w:lvl w:ilvl="4" w:tplc="B28ADE38" w:tentative="1">
      <w:start w:val="1"/>
      <w:numFmt w:val="bullet"/>
      <w:lvlText w:val="o"/>
      <w:lvlJc w:val="left"/>
      <w:pPr>
        <w:ind w:left="3646" w:hanging="360"/>
      </w:pPr>
      <w:rPr>
        <w:rFonts w:ascii="Courier New" w:hAnsi="Courier New" w:cs="Courier New" w:hint="default"/>
      </w:rPr>
    </w:lvl>
    <w:lvl w:ilvl="5" w:tplc="BE7E8A36" w:tentative="1">
      <w:start w:val="1"/>
      <w:numFmt w:val="bullet"/>
      <w:lvlText w:val=""/>
      <w:lvlJc w:val="left"/>
      <w:pPr>
        <w:ind w:left="4366" w:hanging="360"/>
      </w:pPr>
      <w:rPr>
        <w:rFonts w:ascii="Wingdings" w:hAnsi="Wingdings" w:hint="default"/>
      </w:rPr>
    </w:lvl>
    <w:lvl w:ilvl="6" w:tplc="E04C7C60" w:tentative="1">
      <w:start w:val="1"/>
      <w:numFmt w:val="bullet"/>
      <w:lvlText w:val=""/>
      <w:lvlJc w:val="left"/>
      <w:pPr>
        <w:ind w:left="5086" w:hanging="360"/>
      </w:pPr>
      <w:rPr>
        <w:rFonts w:ascii="Symbol" w:hAnsi="Symbol" w:hint="default"/>
      </w:rPr>
    </w:lvl>
    <w:lvl w:ilvl="7" w:tplc="DB222070" w:tentative="1">
      <w:start w:val="1"/>
      <w:numFmt w:val="bullet"/>
      <w:lvlText w:val="o"/>
      <w:lvlJc w:val="left"/>
      <w:pPr>
        <w:ind w:left="5806" w:hanging="360"/>
      </w:pPr>
      <w:rPr>
        <w:rFonts w:ascii="Courier New" w:hAnsi="Courier New" w:cs="Courier New" w:hint="default"/>
      </w:rPr>
    </w:lvl>
    <w:lvl w:ilvl="8" w:tplc="D8D04CA2" w:tentative="1">
      <w:start w:val="1"/>
      <w:numFmt w:val="bullet"/>
      <w:lvlText w:val=""/>
      <w:lvlJc w:val="left"/>
      <w:pPr>
        <w:ind w:left="6526" w:hanging="360"/>
      </w:pPr>
      <w:rPr>
        <w:rFonts w:ascii="Wingdings" w:hAnsi="Wingdings" w:hint="default"/>
      </w:rPr>
    </w:lvl>
  </w:abstractNum>
  <w:abstractNum w:abstractNumId="85" w15:restartNumberingAfterBreak="0">
    <w:nsid w:val="6838082C"/>
    <w:multiLevelType w:val="hybridMultilevel"/>
    <w:tmpl w:val="7F184B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6" w15:restartNumberingAfterBreak="0">
    <w:nsid w:val="683C0EB5"/>
    <w:multiLevelType w:val="hybridMultilevel"/>
    <w:tmpl w:val="0B16ACE6"/>
    <w:lvl w:ilvl="0" w:tplc="0C090001">
      <w:start w:val="1"/>
      <w:numFmt w:val="decimal"/>
      <w:pStyle w:val="Question"/>
      <w:lvlText w:val="%1."/>
      <w:lvlJc w:val="left"/>
      <w:pPr>
        <w:tabs>
          <w:tab w:val="num" w:pos="360"/>
        </w:tabs>
        <w:ind w:left="360" w:hanging="360"/>
      </w:pPr>
      <w:rPr>
        <w:rFonts w:cs="Times New Roman" w:hint="default"/>
        <w:b w:val="0"/>
        <w:i w:val="0"/>
      </w:rPr>
    </w:lvl>
    <w:lvl w:ilvl="1" w:tplc="0C090003">
      <w:start w:val="1"/>
      <w:numFmt w:val="lowerLetter"/>
      <w:pStyle w:val="Questionoptions"/>
      <w:lvlText w:val="%2."/>
      <w:lvlJc w:val="left"/>
      <w:pPr>
        <w:tabs>
          <w:tab w:val="num" w:pos="1440"/>
        </w:tabs>
        <w:ind w:left="1440" w:hanging="360"/>
      </w:pPr>
      <w:rPr>
        <w:rFonts w:ascii="Arial" w:hAnsi="Arial" w:cs="Symbol" w:hint="default"/>
        <w:b w:val="0"/>
        <w:i w:val="0"/>
        <w:sz w:val="22"/>
        <w:szCs w:val="22"/>
      </w:rPr>
    </w:lvl>
    <w:lvl w:ilvl="2" w:tplc="0C090005">
      <w:start w:val="1"/>
      <w:numFmt w:val="lowerRoman"/>
      <w:lvlText w:val="%3."/>
      <w:lvlJc w:val="right"/>
      <w:pPr>
        <w:tabs>
          <w:tab w:val="num" w:pos="2160"/>
        </w:tabs>
        <w:ind w:left="2160" w:hanging="18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lowerLetter"/>
      <w:lvlText w:val="%5."/>
      <w:lvlJc w:val="left"/>
      <w:pPr>
        <w:tabs>
          <w:tab w:val="num" w:pos="3600"/>
        </w:tabs>
        <w:ind w:left="3600" w:hanging="360"/>
      </w:pPr>
      <w:rPr>
        <w:rFonts w:cs="Times New Roman"/>
      </w:rPr>
    </w:lvl>
    <w:lvl w:ilvl="5" w:tplc="0C090005">
      <w:start w:val="1"/>
      <w:numFmt w:val="lowerRoman"/>
      <w:lvlText w:val="%6."/>
      <w:lvlJc w:val="right"/>
      <w:pPr>
        <w:tabs>
          <w:tab w:val="num" w:pos="4320"/>
        </w:tabs>
        <w:ind w:left="4320" w:hanging="18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lowerLetter"/>
      <w:lvlText w:val="%8."/>
      <w:lvlJc w:val="left"/>
      <w:pPr>
        <w:tabs>
          <w:tab w:val="num" w:pos="5760"/>
        </w:tabs>
        <w:ind w:left="5760" w:hanging="360"/>
      </w:pPr>
      <w:rPr>
        <w:rFonts w:cs="Times New Roman"/>
      </w:rPr>
    </w:lvl>
    <w:lvl w:ilvl="8" w:tplc="0C090005">
      <w:start w:val="1"/>
      <w:numFmt w:val="lowerRoman"/>
      <w:lvlText w:val="%9."/>
      <w:lvlJc w:val="right"/>
      <w:pPr>
        <w:tabs>
          <w:tab w:val="num" w:pos="6480"/>
        </w:tabs>
        <w:ind w:left="6480" w:hanging="180"/>
      </w:pPr>
      <w:rPr>
        <w:rFonts w:cs="Times New Roman"/>
      </w:rPr>
    </w:lvl>
  </w:abstractNum>
  <w:abstractNum w:abstractNumId="87" w15:restartNumberingAfterBreak="0">
    <w:nsid w:val="69040E54"/>
    <w:multiLevelType w:val="hybridMultilevel"/>
    <w:tmpl w:val="C7127472"/>
    <w:lvl w:ilvl="0" w:tplc="78FCE3B0">
      <w:start w:val="1"/>
      <w:numFmt w:val="decimal"/>
      <w:lvlText w:val="3.%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8" w15:restartNumberingAfterBreak="0">
    <w:nsid w:val="691F0A1C"/>
    <w:multiLevelType w:val="hybridMultilevel"/>
    <w:tmpl w:val="207E04AE"/>
    <w:lvl w:ilvl="0" w:tplc="EDEAAC4A">
      <w:start w:val="1"/>
      <w:numFmt w:val="bullet"/>
      <w:lvlText w:val=""/>
      <w:lvlJc w:val="left"/>
      <w:pPr>
        <w:ind w:left="720" w:hanging="360"/>
      </w:pPr>
      <w:rPr>
        <w:rFonts w:ascii="Symbol" w:hAnsi="Symbol" w:hint="default"/>
      </w:rPr>
    </w:lvl>
    <w:lvl w:ilvl="1" w:tplc="D7EC07F6" w:tentative="1">
      <w:start w:val="1"/>
      <w:numFmt w:val="bullet"/>
      <w:lvlText w:val="o"/>
      <w:lvlJc w:val="left"/>
      <w:pPr>
        <w:ind w:left="1440" w:hanging="360"/>
      </w:pPr>
      <w:rPr>
        <w:rFonts w:ascii="Courier New" w:hAnsi="Courier New" w:cs="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cs="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cs="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89" w15:restartNumberingAfterBreak="0">
    <w:nsid w:val="69302A3C"/>
    <w:multiLevelType w:val="hybridMultilevel"/>
    <w:tmpl w:val="1798A186"/>
    <w:lvl w:ilvl="0" w:tplc="0C09000F">
      <w:start w:val="1"/>
      <w:numFmt w:val="decimal"/>
      <w:lvlText w:val="%1."/>
      <w:lvlJc w:val="left"/>
      <w:pPr>
        <w:ind w:left="720" w:hanging="360"/>
      </w:pPr>
      <w:rPr>
        <w:rFonts w:hint="default"/>
      </w:rPr>
    </w:lvl>
    <w:lvl w:ilvl="1" w:tplc="E5AC73E8">
      <w:start w:val="1"/>
      <w:numFmt w:val="lowerLetter"/>
      <w:lvlText w:val="(%2)"/>
      <w:lvlJc w:val="left"/>
      <w:pPr>
        <w:ind w:left="1440" w:hanging="360"/>
      </w:pPr>
      <w:rPr>
        <w:rFonts w:hint="default"/>
      </w:rPr>
    </w:lvl>
    <w:lvl w:ilvl="2" w:tplc="0C090005" w:tentative="1">
      <w:start w:val="1"/>
      <w:numFmt w:val="lowerRoman"/>
      <w:lvlText w:val="%3."/>
      <w:lvlJc w:val="right"/>
      <w:pPr>
        <w:ind w:left="2160" w:hanging="180"/>
      </w:pPr>
    </w:lvl>
    <w:lvl w:ilvl="3" w:tplc="0C090001" w:tentative="1">
      <w:start w:val="1"/>
      <w:numFmt w:val="decimal"/>
      <w:lvlText w:val="%4."/>
      <w:lvlJc w:val="left"/>
      <w:pPr>
        <w:ind w:left="2880" w:hanging="360"/>
      </w:pPr>
    </w:lvl>
    <w:lvl w:ilvl="4" w:tplc="0C090003" w:tentative="1">
      <w:start w:val="1"/>
      <w:numFmt w:val="lowerLetter"/>
      <w:lvlText w:val="%5."/>
      <w:lvlJc w:val="left"/>
      <w:pPr>
        <w:ind w:left="3600" w:hanging="360"/>
      </w:pPr>
    </w:lvl>
    <w:lvl w:ilvl="5" w:tplc="0C090005" w:tentative="1">
      <w:start w:val="1"/>
      <w:numFmt w:val="lowerRoman"/>
      <w:lvlText w:val="%6."/>
      <w:lvlJc w:val="right"/>
      <w:pPr>
        <w:ind w:left="4320" w:hanging="180"/>
      </w:pPr>
    </w:lvl>
    <w:lvl w:ilvl="6" w:tplc="0C090001" w:tentative="1">
      <w:start w:val="1"/>
      <w:numFmt w:val="decimal"/>
      <w:lvlText w:val="%7."/>
      <w:lvlJc w:val="left"/>
      <w:pPr>
        <w:ind w:left="5040" w:hanging="360"/>
      </w:pPr>
    </w:lvl>
    <w:lvl w:ilvl="7" w:tplc="0C090003" w:tentative="1">
      <w:start w:val="1"/>
      <w:numFmt w:val="lowerLetter"/>
      <w:lvlText w:val="%8."/>
      <w:lvlJc w:val="left"/>
      <w:pPr>
        <w:ind w:left="5760" w:hanging="360"/>
      </w:pPr>
    </w:lvl>
    <w:lvl w:ilvl="8" w:tplc="0C090005" w:tentative="1">
      <w:start w:val="1"/>
      <w:numFmt w:val="lowerRoman"/>
      <w:lvlText w:val="%9."/>
      <w:lvlJc w:val="right"/>
      <w:pPr>
        <w:ind w:left="6480" w:hanging="180"/>
      </w:pPr>
    </w:lvl>
  </w:abstractNum>
  <w:abstractNum w:abstractNumId="90" w15:restartNumberingAfterBreak="0">
    <w:nsid w:val="6A0052EA"/>
    <w:multiLevelType w:val="hybridMultilevel"/>
    <w:tmpl w:val="F69A0C24"/>
    <w:lvl w:ilvl="0" w:tplc="0C09000F">
      <w:start w:val="1"/>
      <w:numFmt w:val="decimal"/>
      <w:pStyle w:val="Sourceandnotetextmultiplenotes"/>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1" w15:restartNumberingAfterBreak="0">
    <w:nsid w:val="6AEF1E7E"/>
    <w:multiLevelType w:val="hybridMultilevel"/>
    <w:tmpl w:val="88A494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2" w15:restartNumberingAfterBreak="0">
    <w:nsid w:val="6BAF69C5"/>
    <w:multiLevelType w:val="hybridMultilevel"/>
    <w:tmpl w:val="F3B2B9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3" w15:restartNumberingAfterBreak="0">
    <w:nsid w:val="6C70482A"/>
    <w:multiLevelType w:val="hybridMultilevel"/>
    <w:tmpl w:val="E79E4C72"/>
    <w:lvl w:ilvl="0" w:tplc="0C090003">
      <w:start w:val="1"/>
      <w:numFmt w:val="bullet"/>
      <w:lvlText w:val=""/>
      <w:lvlJc w:val="left"/>
      <w:pPr>
        <w:ind w:left="720" w:hanging="360"/>
      </w:pPr>
      <w:rPr>
        <w:rFonts w:ascii="Symbol" w:hAnsi="Symbol" w:hint="default"/>
        <w:b w:val="0"/>
        <w:i w:val="0"/>
        <w:color w:val="0D0D0D"/>
        <w:sz w:val="24"/>
        <w:szCs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4" w15:restartNumberingAfterBreak="0">
    <w:nsid w:val="6CFF4BD1"/>
    <w:multiLevelType w:val="hybridMultilevel"/>
    <w:tmpl w:val="C824AD58"/>
    <w:lvl w:ilvl="0" w:tplc="7920397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5" w15:restartNumberingAfterBreak="0">
    <w:nsid w:val="6D046EBC"/>
    <w:multiLevelType w:val="multilevel"/>
    <w:tmpl w:val="9CD8A41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asciiTheme="minorHAnsi" w:eastAsiaTheme="minorEastAsia" w:hAnsiTheme="minorHAnsi" w:cstheme="minorBidi" w:hint="default"/>
        <w:b w:val="0"/>
        <w:color w:val="000000" w:themeColor="text1"/>
      </w:rPr>
    </w:lvl>
    <w:lvl w:ilvl="2">
      <w:start w:val="1"/>
      <w:numFmt w:val="decimal"/>
      <w:isLgl/>
      <w:lvlText w:val="%1.%2.%3"/>
      <w:lvlJc w:val="left"/>
      <w:pPr>
        <w:ind w:left="1080" w:hanging="720"/>
      </w:pPr>
      <w:rPr>
        <w:rFonts w:asciiTheme="minorHAnsi" w:eastAsiaTheme="minorEastAsia" w:hAnsiTheme="minorHAnsi" w:cstheme="minorBidi" w:hint="default"/>
        <w:b w:val="0"/>
        <w:color w:val="000000" w:themeColor="text1"/>
      </w:rPr>
    </w:lvl>
    <w:lvl w:ilvl="3">
      <w:start w:val="1"/>
      <w:numFmt w:val="decimal"/>
      <w:isLgl/>
      <w:lvlText w:val="%1.%2.%3.%4"/>
      <w:lvlJc w:val="left"/>
      <w:pPr>
        <w:ind w:left="1080" w:hanging="720"/>
      </w:pPr>
      <w:rPr>
        <w:rFonts w:asciiTheme="minorHAnsi" w:eastAsiaTheme="minorEastAsia" w:hAnsiTheme="minorHAnsi" w:cstheme="minorBidi" w:hint="default"/>
        <w:b w:val="0"/>
        <w:color w:val="000000" w:themeColor="text1"/>
      </w:rPr>
    </w:lvl>
    <w:lvl w:ilvl="4">
      <w:start w:val="1"/>
      <w:numFmt w:val="decimal"/>
      <w:isLgl/>
      <w:lvlText w:val="%1.%2.%3.%4.%5"/>
      <w:lvlJc w:val="left"/>
      <w:pPr>
        <w:ind w:left="1440" w:hanging="1080"/>
      </w:pPr>
      <w:rPr>
        <w:rFonts w:asciiTheme="minorHAnsi" w:eastAsiaTheme="minorEastAsia" w:hAnsiTheme="minorHAnsi" w:cstheme="minorBidi" w:hint="default"/>
        <w:b w:val="0"/>
        <w:color w:val="000000" w:themeColor="text1"/>
      </w:rPr>
    </w:lvl>
    <w:lvl w:ilvl="5">
      <w:start w:val="1"/>
      <w:numFmt w:val="decimal"/>
      <w:isLgl/>
      <w:lvlText w:val="%1.%2.%3.%4.%5.%6"/>
      <w:lvlJc w:val="left"/>
      <w:pPr>
        <w:ind w:left="1440" w:hanging="1080"/>
      </w:pPr>
      <w:rPr>
        <w:rFonts w:asciiTheme="minorHAnsi" w:eastAsiaTheme="minorEastAsia" w:hAnsiTheme="minorHAnsi" w:cstheme="minorBidi" w:hint="default"/>
        <w:b w:val="0"/>
        <w:color w:val="000000" w:themeColor="text1"/>
      </w:rPr>
    </w:lvl>
    <w:lvl w:ilvl="6">
      <w:start w:val="1"/>
      <w:numFmt w:val="decimal"/>
      <w:isLgl/>
      <w:lvlText w:val="%1.%2.%3.%4.%5.%6.%7"/>
      <w:lvlJc w:val="left"/>
      <w:pPr>
        <w:ind w:left="1800" w:hanging="1440"/>
      </w:pPr>
      <w:rPr>
        <w:rFonts w:asciiTheme="minorHAnsi" w:eastAsiaTheme="minorEastAsia" w:hAnsiTheme="minorHAnsi" w:cstheme="minorBidi" w:hint="default"/>
        <w:b w:val="0"/>
        <w:color w:val="000000" w:themeColor="text1"/>
      </w:rPr>
    </w:lvl>
    <w:lvl w:ilvl="7">
      <w:start w:val="1"/>
      <w:numFmt w:val="decimal"/>
      <w:isLgl/>
      <w:lvlText w:val="%1.%2.%3.%4.%5.%6.%7.%8"/>
      <w:lvlJc w:val="left"/>
      <w:pPr>
        <w:ind w:left="1800" w:hanging="1440"/>
      </w:pPr>
      <w:rPr>
        <w:rFonts w:asciiTheme="minorHAnsi" w:eastAsiaTheme="minorEastAsia" w:hAnsiTheme="minorHAnsi" w:cstheme="minorBidi" w:hint="default"/>
        <w:b w:val="0"/>
        <w:color w:val="000000" w:themeColor="text1"/>
      </w:rPr>
    </w:lvl>
    <w:lvl w:ilvl="8">
      <w:start w:val="1"/>
      <w:numFmt w:val="decimal"/>
      <w:isLgl/>
      <w:lvlText w:val="%1.%2.%3.%4.%5.%6.%7.%8.%9"/>
      <w:lvlJc w:val="left"/>
      <w:pPr>
        <w:ind w:left="2160" w:hanging="1800"/>
      </w:pPr>
      <w:rPr>
        <w:rFonts w:asciiTheme="minorHAnsi" w:eastAsiaTheme="minorEastAsia" w:hAnsiTheme="minorHAnsi" w:cstheme="minorBidi" w:hint="default"/>
        <w:b w:val="0"/>
        <w:color w:val="000000" w:themeColor="text1"/>
      </w:rPr>
    </w:lvl>
  </w:abstractNum>
  <w:abstractNum w:abstractNumId="96" w15:restartNumberingAfterBreak="0">
    <w:nsid w:val="6DD42809"/>
    <w:multiLevelType w:val="multilevel"/>
    <w:tmpl w:val="014E8392"/>
    <w:styleLink w:val="Style3"/>
    <w:lvl w:ilvl="0">
      <w:start w:val="1"/>
      <w:numFmt w:val="decimal"/>
      <w:lvlText w:val="Measure %1"/>
      <w:lvlJc w:val="left"/>
      <w:pPr>
        <w:ind w:left="786" w:hanging="360"/>
      </w:pPr>
      <w:rPr>
        <w:rFont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7" w15:restartNumberingAfterBreak="0">
    <w:nsid w:val="6F21024C"/>
    <w:multiLevelType w:val="hybridMultilevel"/>
    <w:tmpl w:val="4D80A230"/>
    <w:lvl w:ilvl="0" w:tplc="0C09000F">
      <w:start w:val="1"/>
      <w:numFmt w:val="decimal"/>
      <w:lvlText w:val="%1."/>
      <w:lvlJc w:val="left"/>
      <w:pPr>
        <w:ind w:left="720" w:hanging="360"/>
      </w:pPr>
    </w:lvl>
    <w:lvl w:ilvl="1" w:tplc="0C090019">
      <w:start w:val="1"/>
      <w:numFmt w:val="lowerLetter"/>
      <w:lvlText w:val="%2."/>
      <w:lvlJc w:val="left"/>
      <w:pPr>
        <w:ind w:left="1353"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8" w15:restartNumberingAfterBreak="0">
    <w:nsid w:val="70787EC1"/>
    <w:multiLevelType w:val="multilevel"/>
    <w:tmpl w:val="9968C800"/>
    <w:lvl w:ilvl="0">
      <w:start w:val="1"/>
      <w:numFmt w:val="bullet"/>
      <w:pStyle w:val="bullet"/>
      <w:lvlText w:val=""/>
      <w:lvlJc w:val="left"/>
      <w:pPr>
        <w:tabs>
          <w:tab w:val="num" w:pos="710"/>
        </w:tabs>
        <w:ind w:left="653" w:hanging="227"/>
      </w:pPr>
      <w:rPr>
        <w:rFonts w:ascii="Symbol" w:hAnsi="Symbol" w:hint="default"/>
        <w:b w:val="0"/>
        <w:i w:val="0"/>
        <w:color w:val="0D0D0D"/>
        <w:sz w:val="24"/>
        <w:szCs w:val="24"/>
      </w:rPr>
    </w:lvl>
    <w:lvl w:ilvl="1">
      <w:start w:val="1"/>
      <w:numFmt w:val="bullet"/>
      <w:lvlText w:val=""/>
      <w:lvlJc w:val="left"/>
      <w:pPr>
        <w:tabs>
          <w:tab w:val="num" w:pos="1440"/>
        </w:tabs>
        <w:ind w:left="1440" w:hanging="360"/>
      </w:pPr>
      <w:rPr>
        <w:rFonts w:ascii="Symbol" w:hAnsi="Symbol" w:hint="default"/>
        <w:sz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70860420"/>
    <w:multiLevelType w:val="hybridMultilevel"/>
    <w:tmpl w:val="F2C89AB2"/>
    <w:lvl w:ilvl="0" w:tplc="B728ECFE">
      <w:start w:val="1"/>
      <w:numFmt w:val="bullet"/>
      <w:lvlText w:val=""/>
      <w:lvlJc w:val="left"/>
      <w:pPr>
        <w:ind w:left="360" w:hanging="360"/>
      </w:pPr>
      <w:rPr>
        <w:rFonts w:ascii="Symbol" w:hAnsi="Symbol" w:hint="default"/>
      </w:rPr>
    </w:lvl>
    <w:lvl w:ilvl="1" w:tplc="77569894">
      <w:start w:val="1"/>
      <w:numFmt w:val="bullet"/>
      <w:lvlText w:val="o"/>
      <w:lvlJc w:val="left"/>
      <w:pPr>
        <w:ind w:left="1440" w:hanging="360"/>
      </w:pPr>
      <w:rPr>
        <w:rFonts w:ascii="Courier New" w:hAnsi="Courier New" w:cs="Courier New" w:hint="default"/>
      </w:rPr>
    </w:lvl>
    <w:lvl w:ilvl="2" w:tplc="F8184280" w:tentative="1">
      <w:start w:val="1"/>
      <w:numFmt w:val="bullet"/>
      <w:lvlText w:val=""/>
      <w:lvlJc w:val="left"/>
      <w:pPr>
        <w:ind w:left="2160" w:hanging="360"/>
      </w:pPr>
      <w:rPr>
        <w:rFonts w:ascii="Wingdings" w:hAnsi="Wingdings" w:hint="default"/>
      </w:rPr>
    </w:lvl>
    <w:lvl w:ilvl="3" w:tplc="75ACBA1E" w:tentative="1">
      <w:start w:val="1"/>
      <w:numFmt w:val="bullet"/>
      <w:lvlText w:val=""/>
      <w:lvlJc w:val="left"/>
      <w:pPr>
        <w:ind w:left="2880" w:hanging="360"/>
      </w:pPr>
      <w:rPr>
        <w:rFonts w:ascii="Symbol" w:hAnsi="Symbol" w:hint="default"/>
      </w:rPr>
    </w:lvl>
    <w:lvl w:ilvl="4" w:tplc="9E384E3E" w:tentative="1">
      <w:start w:val="1"/>
      <w:numFmt w:val="bullet"/>
      <w:lvlText w:val="o"/>
      <w:lvlJc w:val="left"/>
      <w:pPr>
        <w:ind w:left="3600" w:hanging="360"/>
      </w:pPr>
      <w:rPr>
        <w:rFonts w:ascii="Courier New" w:hAnsi="Courier New" w:cs="Courier New" w:hint="default"/>
      </w:rPr>
    </w:lvl>
    <w:lvl w:ilvl="5" w:tplc="F18C3E22" w:tentative="1">
      <w:start w:val="1"/>
      <w:numFmt w:val="bullet"/>
      <w:lvlText w:val=""/>
      <w:lvlJc w:val="left"/>
      <w:pPr>
        <w:ind w:left="4320" w:hanging="360"/>
      </w:pPr>
      <w:rPr>
        <w:rFonts w:ascii="Wingdings" w:hAnsi="Wingdings" w:hint="default"/>
      </w:rPr>
    </w:lvl>
    <w:lvl w:ilvl="6" w:tplc="307C73CA" w:tentative="1">
      <w:start w:val="1"/>
      <w:numFmt w:val="bullet"/>
      <w:lvlText w:val=""/>
      <w:lvlJc w:val="left"/>
      <w:pPr>
        <w:ind w:left="5040" w:hanging="360"/>
      </w:pPr>
      <w:rPr>
        <w:rFonts w:ascii="Symbol" w:hAnsi="Symbol" w:hint="default"/>
      </w:rPr>
    </w:lvl>
    <w:lvl w:ilvl="7" w:tplc="97EEFCBC" w:tentative="1">
      <w:start w:val="1"/>
      <w:numFmt w:val="bullet"/>
      <w:lvlText w:val="o"/>
      <w:lvlJc w:val="left"/>
      <w:pPr>
        <w:ind w:left="5760" w:hanging="360"/>
      </w:pPr>
      <w:rPr>
        <w:rFonts w:ascii="Courier New" w:hAnsi="Courier New" w:cs="Courier New" w:hint="default"/>
      </w:rPr>
    </w:lvl>
    <w:lvl w:ilvl="8" w:tplc="6FBCF4B6" w:tentative="1">
      <w:start w:val="1"/>
      <w:numFmt w:val="bullet"/>
      <w:lvlText w:val=""/>
      <w:lvlJc w:val="left"/>
      <w:pPr>
        <w:ind w:left="6480" w:hanging="360"/>
      </w:pPr>
      <w:rPr>
        <w:rFonts w:ascii="Wingdings" w:hAnsi="Wingdings" w:hint="default"/>
      </w:rPr>
    </w:lvl>
  </w:abstractNum>
  <w:abstractNum w:abstractNumId="100" w15:restartNumberingAfterBreak="0">
    <w:nsid w:val="709566CA"/>
    <w:multiLevelType w:val="hybridMultilevel"/>
    <w:tmpl w:val="27FC4942"/>
    <w:lvl w:ilvl="0" w:tplc="0C090001">
      <w:start w:val="1"/>
      <w:numFmt w:val="bullet"/>
      <w:lvlText w:val=""/>
      <w:lvlJc w:val="left"/>
      <w:pPr>
        <w:ind w:left="2850" w:hanging="360"/>
      </w:pPr>
      <w:rPr>
        <w:rFonts w:ascii="Symbol" w:hAnsi="Symbol" w:hint="default"/>
      </w:rPr>
    </w:lvl>
    <w:lvl w:ilvl="1" w:tplc="0C090003" w:tentative="1">
      <w:start w:val="1"/>
      <w:numFmt w:val="bullet"/>
      <w:lvlText w:val="o"/>
      <w:lvlJc w:val="left"/>
      <w:pPr>
        <w:ind w:left="3570" w:hanging="360"/>
      </w:pPr>
      <w:rPr>
        <w:rFonts w:ascii="Courier New" w:hAnsi="Courier New" w:cs="Courier New" w:hint="default"/>
      </w:rPr>
    </w:lvl>
    <w:lvl w:ilvl="2" w:tplc="0C090005" w:tentative="1">
      <w:start w:val="1"/>
      <w:numFmt w:val="bullet"/>
      <w:lvlText w:val=""/>
      <w:lvlJc w:val="left"/>
      <w:pPr>
        <w:ind w:left="4290" w:hanging="360"/>
      </w:pPr>
      <w:rPr>
        <w:rFonts w:ascii="Wingdings" w:hAnsi="Wingdings" w:hint="default"/>
      </w:rPr>
    </w:lvl>
    <w:lvl w:ilvl="3" w:tplc="0C090001" w:tentative="1">
      <w:start w:val="1"/>
      <w:numFmt w:val="bullet"/>
      <w:lvlText w:val=""/>
      <w:lvlJc w:val="left"/>
      <w:pPr>
        <w:ind w:left="5010" w:hanging="360"/>
      </w:pPr>
      <w:rPr>
        <w:rFonts w:ascii="Symbol" w:hAnsi="Symbol" w:hint="default"/>
      </w:rPr>
    </w:lvl>
    <w:lvl w:ilvl="4" w:tplc="0C090003" w:tentative="1">
      <w:start w:val="1"/>
      <w:numFmt w:val="bullet"/>
      <w:lvlText w:val="o"/>
      <w:lvlJc w:val="left"/>
      <w:pPr>
        <w:ind w:left="5730" w:hanging="360"/>
      </w:pPr>
      <w:rPr>
        <w:rFonts w:ascii="Courier New" w:hAnsi="Courier New" w:cs="Courier New" w:hint="default"/>
      </w:rPr>
    </w:lvl>
    <w:lvl w:ilvl="5" w:tplc="0C090005" w:tentative="1">
      <w:start w:val="1"/>
      <w:numFmt w:val="bullet"/>
      <w:lvlText w:val=""/>
      <w:lvlJc w:val="left"/>
      <w:pPr>
        <w:ind w:left="6450" w:hanging="360"/>
      </w:pPr>
      <w:rPr>
        <w:rFonts w:ascii="Wingdings" w:hAnsi="Wingdings" w:hint="default"/>
      </w:rPr>
    </w:lvl>
    <w:lvl w:ilvl="6" w:tplc="0C090001" w:tentative="1">
      <w:start w:val="1"/>
      <w:numFmt w:val="bullet"/>
      <w:lvlText w:val=""/>
      <w:lvlJc w:val="left"/>
      <w:pPr>
        <w:ind w:left="7170" w:hanging="360"/>
      </w:pPr>
      <w:rPr>
        <w:rFonts w:ascii="Symbol" w:hAnsi="Symbol" w:hint="default"/>
      </w:rPr>
    </w:lvl>
    <w:lvl w:ilvl="7" w:tplc="0C090003" w:tentative="1">
      <w:start w:val="1"/>
      <w:numFmt w:val="bullet"/>
      <w:lvlText w:val="o"/>
      <w:lvlJc w:val="left"/>
      <w:pPr>
        <w:ind w:left="7890" w:hanging="360"/>
      </w:pPr>
      <w:rPr>
        <w:rFonts w:ascii="Courier New" w:hAnsi="Courier New" w:cs="Courier New" w:hint="default"/>
      </w:rPr>
    </w:lvl>
    <w:lvl w:ilvl="8" w:tplc="0C090005" w:tentative="1">
      <w:start w:val="1"/>
      <w:numFmt w:val="bullet"/>
      <w:lvlText w:val=""/>
      <w:lvlJc w:val="left"/>
      <w:pPr>
        <w:ind w:left="8610" w:hanging="360"/>
      </w:pPr>
      <w:rPr>
        <w:rFonts w:ascii="Wingdings" w:hAnsi="Wingdings" w:hint="default"/>
      </w:rPr>
    </w:lvl>
  </w:abstractNum>
  <w:abstractNum w:abstractNumId="101" w15:restartNumberingAfterBreak="0">
    <w:nsid w:val="713A20C8"/>
    <w:multiLevelType w:val="multilevel"/>
    <w:tmpl w:val="F796C4AE"/>
    <w:styleLink w:val="BulletList"/>
    <w:lvl w:ilvl="0">
      <w:start w:val="1"/>
      <w:numFmt w:val="bullet"/>
      <w:lvlText w:val=""/>
      <w:lvlJc w:val="left"/>
      <w:pPr>
        <w:ind w:left="720" w:hanging="360"/>
      </w:pPr>
      <w:rPr>
        <w:rFonts w:ascii="Symbol" w:hAnsi="Symbol" w:hint="default"/>
      </w:rPr>
    </w:lvl>
    <w:lvl w:ilvl="1">
      <w:start w:val="1"/>
      <w:numFmt w:val="bullet"/>
      <w:pStyle w:val="ListBullet2"/>
      <w:lvlText w:val=""/>
      <w:lvlJc w:val="left"/>
      <w:pPr>
        <w:ind w:left="1097" w:hanging="340"/>
      </w:pPr>
      <w:rPr>
        <w:rFonts w:ascii="Wingdings" w:hAnsi="Wingdings" w:hint="default"/>
      </w:rPr>
    </w:lvl>
    <w:lvl w:ilvl="2">
      <w:start w:val="1"/>
      <w:numFmt w:val="bullet"/>
      <w:pStyle w:val="ListBullet3"/>
      <w:lvlText w:val=""/>
      <w:lvlJc w:val="left"/>
      <w:pPr>
        <w:ind w:left="1494" w:hanging="340"/>
      </w:pPr>
      <w:rPr>
        <w:rFonts w:ascii="Wingdings" w:hAnsi="Wingdings" w:hint="default"/>
      </w:rPr>
    </w:lvl>
    <w:lvl w:ilvl="3">
      <w:start w:val="1"/>
      <w:numFmt w:val="bullet"/>
      <w:pStyle w:val="ListBullet4"/>
      <w:lvlText w:val="o"/>
      <w:lvlJc w:val="left"/>
      <w:pPr>
        <w:ind w:left="1891" w:hanging="397"/>
      </w:pPr>
      <w:rPr>
        <w:rFonts w:ascii="Courier New" w:hAnsi="Courier New"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2" w15:restartNumberingAfterBreak="0">
    <w:nsid w:val="71547A85"/>
    <w:multiLevelType w:val="hybridMultilevel"/>
    <w:tmpl w:val="3B546622"/>
    <w:lvl w:ilvl="0" w:tplc="020CC0C4">
      <w:start w:val="1"/>
      <w:numFmt w:val="bullet"/>
      <w:lvlText w:val=""/>
      <w:lvlJc w:val="left"/>
      <w:pPr>
        <w:ind w:left="768" w:hanging="360"/>
      </w:pPr>
      <w:rPr>
        <w:rFonts w:ascii="Symbol" w:hAnsi="Symbol" w:hint="default"/>
      </w:rPr>
    </w:lvl>
    <w:lvl w:ilvl="1" w:tplc="A1DA9740">
      <w:start w:val="1"/>
      <w:numFmt w:val="lowerLetter"/>
      <w:lvlText w:val="%2."/>
      <w:lvlJc w:val="left"/>
      <w:pPr>
        <w:ind w:left="1488" w:hanging="360"/>
      </w:pPr>
    </w:lvl>
    <w:lvl w:ilvl="2" w:tplc="FAC2A112" w:tentative="1">
      <w:start w:val="1"/>
      <w:numFmt w:val="lowerRoman"/>
      <w:lvlText w:val="%3."/>
      <w:lvlJc w:val="right"/>
      <w:pPr>
        <w:ind w:left="2208" w:hanging="180"/>
      </w:pPr>
    </w:lvl>
    <w:lvl w:ilvl="3" w:tplc="ABBCE35A" w:tentative="1">
      <w:start w:val="1"/>
      <w:numFmt w:val="decimal"/>
      <w:lvlText w:val="%4."/>
      <w:lvlJc w:val="left"/>
      <w:pPr>
        <w:ind w:left="2928" w:hanging="360"/>
      </w:pPr>
    </w:lvl>
    <w:lvl w:ilvl="4" w:tplc="9F1EB6DA" w:tentative="1">
      <w:start w:val="1"/>
      <w:numFmt w:val="lowerLetter"/>
      <w:lvlText w:val="%5."/>
      <w:lvlJc w:val="left"/>
      <w:pPr>
        <w:ind w:left="3648" w:hanging="360"/>
      </w:pPr>
    </w:lvl>
    <w:lvl w:ilvl="5" w:tplc="6CD0C550" w:tentative="1">
      <w:start w:val="1"/>
      <w:numFmt w:val="lowerRoman"/>
      <w:lvlText w:val="%6."/>
      <w:lvlJc w:val="right"/>
      <w:pPr>
        <w:ind w:left="4368" w:hanging="180"/>
      </w:pPr>
    </w:lvl>
    <w:lvl w:ilvl="6" w:tplc="2B3C024E" w:tentative="1">
      <w:start w:val="1"/>
      <w:numFmt w:val="decimal"/>
      <w:lvlText w:val="%7."/>
      <w:lvlJc w:val="left"/>
      <w:pPr>
        <w:ind w:left="5088" w:hanging="360"/>
      </w:pPr>
    </w:lvl>
    <w:lvl w:ilvl="7" w:tplc="E2CE9126" w:tentative="1">
      <w:start w:val="1"/>
      <w:numFmt w:val="lowerLetter"/>
      <w:lvlText w:val="%8."/>
      <w:lvlJc w:val="left"/>
      <w:pPr>
        <w:ind w:left="5808" w:hanging="360"/>
      </w:pPr>
    </w:lvl>
    <w:lvl w:ilvl="8" w:tplc="F0D492E2" w:tentative="1">
      <w:start w:val="1"/>
      <w:numFmt w:val="lowerRoman"/>
      <w:lvlText w:val="%9."/>
      <w:lvlJc w:val="right"/>
      <w:pPr>
        <w:ind w:left="6528" w:hanging="180"/>
      </w:pPr>
    </w:lvl>
  </w:abstractNum>
  <w:abstractNum w:abstractNumId="103" w15:restartNumberingAfterBreak="0">
    <w:nsid w:val="71A2234A"/>
    <w:multiLevelType w:val="hybridMultilevel"/>
    <w:tmpl w:val="7AFA5FE4"/>
    <w:lvl w:ilvl="0" w:tplc="0C090001">
      <w:start w:val="1"/>
      <w:numFmt w:val="bullet"/>
      <w:lvlText w:val=""/>
      <w:lvlJc w:val="left"/>
      <w:pPr>
        <w:ind w:left="720" w:hanging="360"/>
      </w:pPr>
      <w:rPr>
        <w:rFonts w:ascii="Symbol" w:hAnsi="Symbol" w:hint="default"/>
      </w:rPr>
    </w:lvl>
    <w:lvl w:ilvl="1" w:tplc="0C090019" w:tentative="1">
      <w:start w:val="1"/>
      <w:numFmt w:val="bullet"/>
      <w:lvlText w:val="o"/>
      <w:lvlJc w:val="left"/>
      <w:pPr>
        <w:ind w:left="1440" w:hanging="360"/>
      </w:pPr>
      <w:rPr>
        <w:rFonts w:ascii="Courier New" w:hAnsi="Courier New" w:cs="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cs="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cs="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104" w15:restartNumberingAfterBreak="0">
    <w:nsid w:val="726F5FEB"/>
    <w:multiLevelType w:val="hybridMultilevel"/>
    <w:tmpl w:val="05EA5D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5" w15:restartNumberingAfterBreak="0">
    <w:nsid w:val="728653C5"/>
    <w:multiLevelType w:val="multilevel"/>
    <w:tmpl w:val="7B3AC07C"/>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6" w15:restartNumberingAfterBreak="0">
    <w:nsid w:val="74E42CB6"/>
    <w:multiLevelType w:val="hybridMultilevel"/>
    <w:tmpl w:val="5EDE0606"/>
    <w:lvl w:ilvl="0" w:tplc="FFD4ED1A">
      <w:start w:val="1"/>
      <w:numFmt w:val="bullet"/>
      <w:lvlText w:val=""/>
      <w:lvlJc w:val="left"/>
      <w:pPr>
        <w:ind w:left="720" w:hanging="360"/>
      </w:pPr>
      <w:rPr>
        <w:rFonts w:ascii="Symbol" w:hAnsi="Symbol" w:hint="default"/>
      </w:rPr>
    </w:lvl>
    <w:lvl w:ilvl="1" w:tplc="91CE1E32" w:tentative="1">
      <w:start w:val="1"/>
      <w:numFmt w:val="bullet"/>
      <w:lvlText w:val="o"/>
      <w:lvlJc w:val="left"/>
      <w:pPr>
        <w:ind w:left="1440" w:hanging="360"/>
      </w:pPr>
      <w:rPr>
        <w:rFonts w:ascii="Courier New" w:hAnsi="Courier New" w:cs="Courier New" w:hint="default"/>
      </w:rPr>
    </w:lvl>
    <w:lvl w:ilvl="2" w:tplc="B3B4974C" w:tentative="1">
      <w:start w:val="1"/>
      <w:numFmt w:val="bullet"/>
      <w:lvlText w:val=""/>
      <w:lvlJc w:val="left"/>
      <w:pPr>
        <w:ind w:left="2160" w:hanging="360"/>
      </w:pPr>
      <w:rPr>
        <w:rFonts w:ascii="Wingdings" w:hAnsi="Wingdings" w:hint="default"/>
      </w:rPr>
    </w:lvl>
    <w:lvl w:ilvl="3" w:tplc="ABE60B0E" w:tentative="1">
      <w:start w:val="1"/>
      <w:numFmt w:val="bullet"/>
      <w:lvlText w:val=""/>
      <w:lvlJc w:val="left"/>
      <w:pPr>
        <w:ind w:left="2880" w:hanging="360"/>
      </w:pPr>
      <w:rPr>
        <w:rFonts w:ascii="Symbol" w:hAnsi="Symbol" w:hint="default"/>
      </w:rPr>
    </w:lvl>
    <w:lvl w:ilvl="4" w:tplc="804C636E" w:tentative="1">
      <w:start w:val="1"/>
      <w:numFmt w:val="bullet"/>
      <w:lvlText w:val="o"/>
      <w:lvlJc w:val="left"/>
      <w:pPr>
        <w:ind w:left="3600" w:hanging="360"/>
      </w:pPr>
      <w:rPr>
        <w:rFonts w:ascii="Courier New" w:hAnsi="Courier New" w:cs="Courier New" w:hint="default"/>
      </w:rPr>
    </w:lvl>
    <w:lvl w:ilvl="5" w:tplc="F9442DA4" w:tentative="1">
      <w:start w:val="1"/>
      <w:numFmt w:val="bullet"/>
      <w:lvlText w:val=""/>
      <w:lvlJc w:val="left"/>
      <w:pPr>
        <w:ind w:left="4320" w:hanging="360"/>
      </w:pPr>
      <w:rPr>
        <w:rFonts w:ascii="Wingdings" w:hAnsi="Wingdings" w:hint="default"/>
      </w:rPr>
    </w:lvl>
    <w:lvl w:ilvl="6" w:tplc="75723BC6" w:tentative="1">
      <w:start w:val="1"/>
      <w:numFmt w:val="bullet"/>
      <w:lvlText w:val=""/>
      <w:lvlJc w:val="left"/>
      <w:pPr>
        <w:ind w:left="5040" w:hanging="360"/>
      </w:pPr>
      <w:rPr>
        <w:rFonts w:ascii="Symbol" w:hAnsi="Symbol" w:hint="default"/>
      </w:rPr>
    </w:lvl>
    <w:lvl w:ilvl="7" w:tplc="9746C8B4" w:tentative="1">
      <w:start w:val="1"/>
      <w:numFmt w:val="bullet"/>
      <w:lvlText w:val="o"/>
      <w:lvlJc w:val="left"/>
      <w:pPr>
        <w:ind w:left="5760" w:hanging="360"/>
      </w:pPr>
      <w:rPr>
        <w:rFonts w:ascii="Courier New" w:hAnsi="Courier New" w:cs="Courier New" w:hint="default"/>
      </w:rPr>
    </w:lvl>
    <w:lvl w:ilvl="8" w:tplc="54906E1C" w:tentative="1">
      <w:start w:val="1"/>
      <w:numFmt w:val="bullet"/>
      <w:lvlText w:val=""/>
      <w:lvlJc w:val="left"/>
      <w:pPr>
        <w:ind w:left="6480" w:hanging="360"/>
      </w:pPr>
      <w:rPr>
        <w:rFonts w:ascii="Wingdings" w:hAnsi="Wingdings" w:hint="default"/>
      </w:rPr>
    </w:lvl>
  </w:abstractNum>
  <w:abstractNum w:abstractNumId="107" w15:restartNumberingAfterBreak="0">
    <w:nsid w:val="75F92877"/>
    <w:multiLevelType w:val="hybridMultilevel"/>
    <w:tmpl w:val="4D80A230"/>
    <w:lvl w:ilvl="0" w:tplc="0C090001">
      <w:start w:val="1"/>
      <w:numFmt w:val="decimal"/>
      <w:lvlText w:val="%1."/>
      <w:lvlJc w:val="left"/>
      <w:pPr>
        <w:ind w:left="720" w:hanging="360"/>
      </w:pPr>
    </w:lvl>
    <w:lvl w:ilvl="1" w:tplc="0C090003">
      <w:start w:val="1"/>
      <w:numFmt w:val="lowerLetter"/>
      <w:lvlText w:val="%2."/>
      <w:lvlJc w:val="left"/>
      <w:pPr>
        <w:ind w:left="1353" w:hanging="360"/>
      </w:pPr>
    </w:lvl>
    <w:lvl w:ilvl="2" w:tplc="0C090005" w:tentative="1">
      <w:start w:val="1"/>
      <w:numFmt w:val="lowerRoman"/>
      <w:lvlText w:val="%3."/>
      <w:lvlJc w:val="right"/>
      <w:pPr>
        <w:ind w:left="2160" w:hanging="180"/>
      </w:pPr>
    </w:lvl>
    <w:lvl w:ilvl="3" w:tplc="0C090001" w:tentative="1">
      <w:start w:val="1"/>
      <w:numFmt w:val="decimal"/>
      <w:lvlText w:val="%4."/>
      <w:lvlJc w:val="left"/>
      <w:pPr>
        <w:ind w:left="2880" w:hanging="360"/>
      </w:pPr>
    </w:lvl>
    <w:lvl w:ilvl="4" w:tplc="0C090003" w:tentative="1">
      <w:start w:val="1"/>
      <w:numFmt w:val="lowerLetter"/>
      <w:lvlText w:val="%5."/>
      <w:lvlJc w:val="left"/>
      <w:pPr>
        <w:ind w:left="3600" w:hanging="360"/>
      </w:pPr>
    </w:lvl>
    <w:lvl w:ilvl="5" w:tplc="0C090005" w:tentative="1">
      <w:start w:val="1"/>
      <w:numFmt w:val="lowerRoman"/>
      <w:lvlText w:val="%6."/>
      <w:lvlJc w:val="right"/>
      <w:pPr>
        <w:ind w:left="4320" w:hanging="180"/>
      </w:pPr>
    </w:lvl>
    <w:lvl w:ilvl="6" w:tplc="0C090001" w:tentative="1">
      <w:start w:val="1"/>
      <w:numFmt w:val="decimal"/>
      <w:lvlText w:val="%7."/>
      <w:lvlJc w:val="left"/>
      <w:pPr>
        <w:ind w:left="5040" w:hanging="360"/>
      </w:pPr>
    </w:lvl>
    <w:lvl w:ilvl="7" w:tplc="0C090003" w:tentative="1">
      <w:start w:val="1"/>
      <w:numFmt w:val="lowerLetter"/>
      <w:lvlText w:val="%8."/>
      <w:lvlJc w:val="left"/>
      <w:pPr>
        <w:ind w:left="5760" w:hanging="360"/>
      </w:pPr>
    </w:lvl>
    <w:lvl w:ilvl="8" w:tplc="0C090005" w:tentative="1">
      <w:start w:val="1"/>
      <w:numFmt w:val="lowerRoman"/>
      <w:lvlText w:val="%9."/>
      <w:lvlJc w:val="right"/>
      <w:pPr>
        <w:ind w:left="6480" w:hanging="180"/>
      </w:pPr>
    </w:lvl>
  </w:abstractNum>
  <w:abstractNum w:abstractNumId="108" w15:restartNumberingAfterBreak="0">
    <w:nsid w:val="774C78AF"/>
    <w:multiLevelType w:val="hybridMultilevel"/>
    <w:tmpl w:val="4D80A230"/>
    <w:lvl w:ilvl="0" w:tplc="0C09000F">
      <w:start w:val="1"/>
      <w:numFmt w:val="decimal"/>
      <w:lvlText w:val="%1."/>
      <w:lvlJc w:val="left"/>
      <w:pPr>
        <w:ind w:left="720" w:hanging="360"/>
      </w:pPr>
    </w:lvl>
    <w:lvl w:ilvl="1" w:tplc="0C090019">
      <w:start w:val="1"/>
      <w:numFmt w:val="lowerLetter"/>
      <w:lvlText w:val="%2."/>
      <w:lvlJc w:val="left"/>
      <w:pPr>
        <w:ind w:left="1353"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9" w15:restartNumberingAfterBreak="0">
    <w:nsid w:val="7816401A"/>
    <w:multiLevelType w:val="hybridMultilevel"/>
    <w:tmpl w:val="BE8EE6EE"/>
    <w:lvl w:ilvl="0" w:tplc="0C09000F">
      <w:start w:val="1"/>
      <w:numFmt w:val="bullet"/>
      <w:pStyle w:val="BulletMA1"/>
      <w:lvlText w:val=""/>
      <w:lvlJc w:val="left"/>
      <w:pPr>
        <w:tabs>
          <w:tab w:val="num" w:pos="2722"/>
        </w:tabs>
        <w:ind w:left="2722" w:hanging="454"/>
      </w:pPr>
      <w:rPr>
        <w:rFonts w:ascii="Symbol" w:hAnsi="Symbol" w:hint="default"/>
      </w:rPr>
    </w:lvl>
    <w:lvl w:ilvl="1" w:tplc="0C090019">
      <w:start w:val="1"/>
      <w:numFmt w:val="bullet"/>
      <w:pStyle w:val="BulletMA2"/>
      <w:lvlText w:val="o"/>
      <w:lvlJc w:val="left"/>
      <w:pPr>
        <w:tabs>
          <w:tab w:val="num" w:pos="3708"/>
        </w:tabs>
        <w:ind w:left="3708" w:hanging="360"/>
      </w:pPr>
      <w:rPr>
        <w:rFonts w:ascii="Courier New" w:hAnsi="Courier New" w:cs="Courier New" w:hint="default"/>
      </w:rPr>
    </w:lvl>
    <w:lvl w:ilvl="2" w:tplc="0C09001B">
      <w:start w:val="1"/>
      <w:numFmt w:val="bullet"/>
      <w:lvlText w:val=""/>
      <w:lvlJc w:val="left"/>
      <w:pPr>
        <w:tabs>
          <w:tab w:val="num" w:pos="4428"/>
        </w:tabs>
        <w:ind w:left="4428" w:hanging="360"/>
      </w:pPr>
      <w:rPr>
        <w:rFonts w:ascii="Wingdings" w:hAnsi="Wingdings" w:hint="default"/>
      </w:rPr>
    </w:lvl>
    <w:lvl w:ilvl="3" w:tplc="0C09000F" w:tentative="1">
      <w:start w:val="1"/>
      <w:numFmt w:val="bullet"/>
      <w:lvlText w:val=""/>
      <w:lvlJc w:val="left"/>
      <w:pPr>
        <w:tabs>
          <w:tab w:val="num" w:pos="5148"/>
        </w:tabs>
        <w:ind w:left="5148" w:hanging="360"/>
      </w:pPr>
      <w:rPr>
        <w:rFonts w:ascii="Symbol" w:hAnsi="Symbol" w:hint="default"/>
      </w:rPr>
    </w:lvl>
    <w:lvl w:ilvl="4" w:tplc="0C090019" w:tentative="1">
      <w:start w:val="1"/>
      <w:numFmt w:val="bullet"/>
      <w:lvlText w:val="o"/>
      <w:lvlJc w:val="left"/>
      <w:pPr>
        <w:tabs>
          <w:tab w:val="num" w:pos="5868"/>
        </w:tabs>
        <w:ind w:left="5868" w:hanging="360"/>
      </w:pPr>
      <w:rPr>
        <w:rFonts w:ascii="Courier New" w:hAnsi="Courier New" w:cs="Courier New" w:hint="default"/>
      </w:rPr>
    </w:lvl>
    <w:lvl w:ilvl="5" w:tplc="0C09001B" w:tentative="1">
      <w:start w:val="1"/>
      <w:numFmt w:val="bullet"/>
      <w:lvlText w:val=""/>
      <w:lvlJc w:val="left"/>
      <w:pPr>
        <w:tabs>
          <w:tab w:val="num" w:pos="6588"/>
        </w:tabs>
        <w:ind w:left="6588" w:hanging="360"/>
      </w:pPr>
      <w:rPr>
        <w:rFonts w:ascii="Wingdings" w:hAnsi="Wingdings" w:hint="default"/>
      </w:rPr>
    </w:lvl>
    <w:lvl w:ilvl="6" w:tplc="0C09000F" w:tentative="1">
      <w:start w:val="1"/>
      <w:numFmt w:val="bullet"/>
      <w:lvlText w:val=""/>
      <w:lvlJc w:val="left"/>
      <w:pPr>
        <w:tabs>
          <w:tab w:val="num" w:pos="7308"/>
        </w:tabs>
        <w:ind w:left="7308" w:hanging="360"/>
      </w:pPr>
      <w:rPr>
        <w:rFonts w:ascii="Symbol" w:hAnsi="Symbol" w:hint="default"/>
      </w:rPr>
    </w:lvl>
    <w:lvl w:ilvl="7" w:tplc="0C090019" w:tentative="1">
      <w:start w:val="1"/>
      <w:numFmt w:val="bullet"/>
      <w:lvlText w:val="o"/>
      <w:lvlJc w:val="left"/>
      <w:pPr>
        <w:tabs>
          <w:tab w:val="num" w:pos="8028"/>
        </w:tabs>
        <w:ind w:left="8028" w:hanging="360"/>
      </w:pPr>
      <w:rPr>
        <w:rFonts w:ascii="Courier New" w:hAnsi="Courier New" w:cs="Courier New" w:hint="default"/>
      </w:rPr>
    </w:lvl>
    <w:lvl w:ilvl="8" w:tplc="0C09001B" w:tentative="1">
      <w:start w:val="1"/>
      <w:numFmt w:val="bullet"/>
      <w:lvlText w:val=""/>
      <w:lvlJc w:val="left"/>
      <w:pPr>
        <w:tabs>
          <w:tab w:val="num" w:pos="8748"/>
        </w:tabs>
        <w:ind w:left="8748" w:hanging="360"/>
      </w:pPr>
      <w:rPr>
        <w:rFonts w:ascii="Wingdings" w:hAnsi="Wingdings" w:hint="default"/>
      </w:rPr>
    </w:lvl>
  </w:abstractNum>
  <w:abstractNum w:abstractNumId="110" w15:restartNumberingAfterBreak="0">
    <w:nsid w:val="78B916EC"/>
    <w:multiLevelType w:val="multilevel"/>
    <w:tmpl w:val="C652B1BA"/>
    <w:styleLink w:val="StyleBulletedLime"/>
    <w:lvl w:ilvl="0">
      <w:start w:val="1"/>
      <w:numFmt w:val="bullet"/>
      <w:lvlText w:val=""/>
      <w:lvlJc w:val="left"/>
      <w:pPr>
        <w:tabs>
          <w:tab w:val="num" w:pos="720"/>
        </w:tabs>
        <w:ind w:left="720" w:hanging="360"/>
      </w:pPr>
      <w:rPr>
        <w:rFonts w:ascii="Symbol" w:hAnsi="Symbol" w:hint="default"/>
        <w:color w:val="A7B6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7CF77449"/>
    <w:multiLevelType w:val="hybridMultilevel"/>
    <w:tmpl w:val="D0E0ADDA"/>
    <w:lvl w:ilvl="0" w:tplc="0C090001">
      <w:start w:val="1"/>
      <w:numFmt w:val="decimal"/>
      <w:pStyle w:val="Bibliography"/>
      <w:lvlText w:val="%1."/>
      <w:lvlJc w:val="left"/>
      <w:pPr>
        <w:tabs>
          <w:tab w:val="num" w:pos="360"/>
        </w:tabs>
        <w:ind w:left="360" w:hanging="360"/>
      </w:pPr>
      <w:rPr>
        <w:rFonts w:ascii="Arial" w:hAnsi="Arial" w:cs="Times New Roman"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C090003" w:tentative="1">
      <w:start w:val="1"/>
      <w:numFmt w:val="lowerLetter"/>
      <w:lvlText w:val="%2."/>
      <w:lvlJc w:val="left"/>
      <w:pPr>
        <w:tabs>
          <w:tab w:val="num" w:pos="1440"/>
        </w:tabs>
        <w:ind w:left="1440" w:hanging="360"/>
      </w:pPr>
    </w:lvl>
    <w:lvl w:ilvl="2" w:tplc="0C090005" w:tentative="1">
      <w:start w:val="1"/>
      <w:numFmt w:val="lowerRoman"/>
      <w:lvlText w:val="%3."/>
      <w:lvlJc w:val="right"/>
      <w:pPr>
        <w:tabs>
          <w:tab w:val="num" w:pos="2160"/>
        </w:tabs>
        <w:ind w:left="2160" w:hanging="180"/>
      </w:pPr>
    </w:lvl>
    <w:lvl w:ilvl="3" w:tplc="0C090001" w:tentative="1">
      <w:start w:val="1"/>
      <w:numFmt w:val="decimal"/>
      <w:lvlText w:val="%4."/>
      <w:lvlJc w:val="left"/>
      <w:pPr>
        <w:tabs>
          <w:tab w:val="num" w:pos="2880"/>
        </w:tabs>
        <w:ind w:left="2880" w:hanging="360"/>
      </w:pPr>
    </w:lvl>
    <w:lvl w:ilvl="4" w:tplc="0C090003" w:tentative="1">
      <w:start w:val="1"/>
      <w:numFmt w:val="lowerLetter"/>
      <w:lvlText w:val="%5."/>
      <w:lvlJc w:val="left"/>
      <w:pPr>
        <w:tabs>
          <w:tab w:val="num" w:pos="3600"/>
        </w:tabs>
        <w:ind w:left="3600" w:hanging="360"/>
      </w:pPr>
    </w:lvl>
    <w:lvl w:ilvl="5" w:tplc="0C090005" w:tentative="1">
      <w:start w:val="1"/>
      <w:numFmt w:val="lowerRoman"/>
      <w:lvlText w:val="%6."/>
      <w:lvlJc w:val="right"/>
      <w:pPr>
        <w:tabs>
          <w:tab w:val="num" w:pos="4320"/>
        </w:tabs>
        <w:ind w:left="4320" w:hanging="180"/>
      </w:pPr>
    </w:lvl>
    <w:lvl w:ilvl="6" w:tplc="0C090001" w:tentative="1">
      <w:start w:val="1"/>
      <w:numFmt w:val="decimal"/>
      <w:lvlText w:val="%7."/>
      <w:lvlJc w:val="left"/>
      <w:pPr>
        <w:tabs>
          <w:tab w:val="num" w:pos="5040"/>
        </w:tabs>
        <w:ind w:left="5040" w:hanging="360"/>
      </w:pPr>
    </w:lvl>
    <w:lvl w:ilvl="7" w:tplc="0C090003" w:tentative="1">
      <w:start w:val="1"/>
      <w:numFmt w:val="lowerLetter"/>
      <w:lvlText w:val="%8."/>
      <w:lvlJc w:val="left"/>
      <w:pPr>
        <w:tabs>
          <w:tab w:val="num" w:pos="5760"/>
        </w:tabs>
        <w:ind w:left="5760" w:hanging="360"/>
      </w:pPr>
    </w:lvl>
    <w:lvl w:ilvl="8" w:tplc="0C090005" w:tentative="1">
      <w:start w:val="1"/>
      <w:numFmt w:val="lowerRoman"/>
      <w:lvlText w:val="%9."/>
      <w:lvlJc w:val="right"/>
      <w:pPr>
        <w:tabs>
          <w:tab w:val="num" w:pos="6480"/>
        </w:tabs>
        <w:ind w:left="6480" w:hanging="180"/>
      </w:pPr>
    </w:lvl>
  </w:abstractNum>
  <w:abstractNum w:abstractNumId="112" w15:restartNumberingAfterBreak="0">
    <w:nsid w:val="7DA31B41"/>
    <w:multiLevelType w:val="hybridMultilevel"/>
    <w:tmpl w:val="A358E9BE"/>
    <w:lvl w:ilvl="0" w:tplc="DBB65BCC">
      <w:start w:val="1"/>
      <w:numFmt w:val="bullet"/>
      <w:lvlText w:val=""/>
      <w:lvlJc w:val="left"/>
      <w:pPr>
        <w:ind w:left="720" w:hanging="360"/>
      </w:pPr>
      <w:rPr>
        <w:rFonts w:ascii="Symbol" w:hAnsi="Symbol" w:hint="default"/>
      </w:rPr>
    </w:lvl>
    <w:lvl w:ilvl="1" w:tplc="0C090019" w:tentative="1">
      <w:start w:val="1"/>
      <w:numFmt w:val="bullet"/>
      <w:lvlText w:val="o"/>
      <w:lvlJc w:val="left"/>
      <w:pPr>
        <w:ind w:left="1440" w:hanging="360"/>
      </w:pPr>
      <w:rPr>
        <w:rFonts w:ascii="Courier New" w:hAnsi="Courier New" w:cs="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cs="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cs="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113" w15:restartNumberingAfterBreak="0">
    <w:nsid w:val="7F1C3545"/>
    <w:multiLevelType w:val="hybridMultilevel"/>
    <w:tmpl w:val="78F4B548"/>
    <w:lvl w:ilvl="0" w:tplc="0C090001">
      <w:start w:val="1"/>
      <w:numFmt w:val="bullet"/>
      <w:pStyle w:val="BulletSingleSpace"/>
      <w:lvlText w:val=""/>
      <w:lvlJc w:val="left"/>
      <w:pPr>
        <w:tabs>
          <w:tab w:val="num" w:pos="283"/>
        </w:tabs>
        <w:ind w:left="283" w:hanging="283"/>
      </w:pPr>
      <w:rPr>
        <w:rFonts w:ascii="Symbol" w:hAnsi="Symbol" w:hint="default"/>
      </w:rPr>
    </w:lvl>
    <w:lvl w:ilvl="1" w:tplc="0C090003">
      <w:start w:val="1"/>
      <w:numFmt w:val="bullet"/>
      <w:lvlText w:val="o"/>
      <w:lvlJc w:val="left"/>
      <w:pPr>
        <w:ind w:left="796" w:hanging="360"/>
      </w:pPr>
      <w:rPr>
        <w:rFonts w:ascii="Courier New" w:hAnsi="Courier New" w:hint="default"/>
      </w:rPr>
    </w:lvl>
    <w:lvl w:ilvl="2" w:tplc="0C090005" w:tentative="1">
      <w:start w:val="1"/>
      <w:numFmt w:val="bullet"/>
      <w:lvlText w:val=""/>
      <w:lvlJc w:val="left"/>
      <w:pPr>
        <w:ind w:left="1516" w:hanging="360"/>
      </w:pPr>
      <w:rPr>
        <w:rFonts w:ascii="Wingdings" w:hAnsi="Wingdings" w:hint="default"/>
      </w:rPr>
    </w:lvl>
    <w:lvl w:ilvl="3" w:tplc="0C090001" w:tentative="1">
      <w:start w:val="1"/>
      <w:numFmt w:val="bullet"/>
      <w:lvlText w:val=""/>
      <w:lvlJc w:val="left"/>
      <w:pPr>
        <w:ind w:left="2236" w:hanging="360"/>
      </w:pPr>
      <w:rPr>
        <w:rFonts w:ascii="Symbol" w:hAnsi="Symbol" w:hint="default"/>
      </w:rPr>
    </w:lvl>
    <w:lvl w:ilvl="4" w:tplc="0C090003" w:tentative="1">
      <w:start w:val="1"/>
      <w:numFmt w:val="bullet"/>
      <w:lvlText w:val="o"/>
      <w:lvlJc w:val="left"/>
      <w:pPr>
        <w:ind w:left="2956" w:hanging="360"/>
      </w:pPr>
      <w:rPr>
        <w:rFonts w:ascii="Courier New" w:hAnsi="Courier New" w:hint="default"/>
      </w:rPr>
    </w:lvl>
    <w:lvl w:ilvl="5" w:tplc="0C090005" w:tentative="1">
      <w:start w:val="1"/>
      <w:numFmt w:val="bullet"/>
      <w:lvlText w:val=""/>
      <w:lvlJc w:val="left"/>
      <w:pPr>
        <w:ind w:left="3676" w:hanging="360"/>
      </w:pPr>
      <w:rPr>
        <w:rFonts w:ascii="Wingdings" w:hAnsi="Wingdings" w:hint="default"/>
      </w:rPr>
    </w:lvl>
    <w:lvl w:ilvl="6" w:tplc="0C090001" w:tentative="1">
      <w:start w:val="1"/>
      <w:numFmt w:val="bullet"/>
      <w:lvlText w:val=""/>
      <w:lvlJc w:val="left"/>
      <w:pPr>
        <w:ind w:left="4396" w:hanging="360"/>
      </w:pPr>
      <w:rPr>
        <w:rFonts w:ascii="Symbol" w:hAnsi="Symbol" w:hint="default"/>
      </w:rPr>
    </w:lvl>
    <w:lvl w:ilvl="7" w:tplc="0C090003" w:tentative="1">
      <w:start w:val="1"/>
      <w:numFmt w:val="bullet"/>
      <w:lvlText w:val="o"/>
      <w:lvlJc w:val="left"/>
      <w:pPr>
        <w:ind w:left="5116" w:hanging="360"/>
      </w:pPr>
      <w:rPr>
        <w:rFonts w:ascii="Courier New" w:hAnsi="Courier New" w:hint="default"/>
      </w:rPr>
    </w:lvl>
    <w:lvl w:ilvl="8" w:tplc="0C090005" w:tentative="1">
      <w:start w:val="1"/>
      <w:numFmt w:val="bullet"/>
      <w:lvlText w:val=""/>
      <w:lvlJc w:val="left"/>
      <w:pPr>
        <w:ind w:left="5836" w:hanging="360"/>
      </w:pPr>
      <w:rPr>
        <w:rFonts w:ascii="Wingdings" w:hAnsi="Wingdings" w:hint="default"/>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num>
  <w:num w:numId="3">
    <w:abstractNumId w:val="101"/>
  </w:num>
  <w:num w:numId="4">
    <w:abstractNumId w:val="98"/>
  </w:num>
  <w:num w:numId="5">
    <w:abstractNumId w:val="51"/>
  </w:num>
  <w:num w:numId="6">
    <w:abstractNumId w:val="110"/>
  </w:num>
  <w:num w:numId="7">
    <w:abstractNumId w:val="44"/>
  </w:num>
  <w:num w:numId="8">
    <w:abstractNumId w:val="15"/>
  </w:num>
  <w:num w:numId="9">
    <w:abstractNumId w:val="1"/>
  </w:num>
  <w:num w:numId="10">
    <w:abstractNumId w:val="111"/>
  </w:num>
  <w:num w:numId="11">
    <w:abstractNumId w:val="73"/>
  </w:num>
  <w:num w:numId="12">
    <w:abstractNumId w:val="86"/>
  </w:num>
  <w:num w:numId="13">
    <w:abstractNumId w:val="90"/>
  </w:num>
  <w:num w:numId="14">
    <w:abstractNumId w:val="39"/>
  </w:num>
  <w:num w:numId="15">
    <w:abstractNumId w:val="60"/>
  </w:num>
  <w:num w:numId="16">
    <w:abstractNumId w:val="46"/>
  </w:num>
  <w:num w:numId="17">
    <w:abstractNumId w:val="113"/>
  </w:num>
  <w:num w:numId="18">
    <w:abstractNumId w:val="6"/>
  </w:num>
  <w:num w:numId="19">
    <w:abstractNumId w:val="4"/>
  </w:num>
  <w:num w:numId="20">
    <w:abstractNumId w:val="93"/>
  </w:num>
  <w:num w:numId="21">
    <w:abstractNumId w:val="45"/>
  </w:num>
  <w:num w:numId="22">
    <w:abstractNumId w:val="25"/>
  </w:num>
  <w:num w:numId="23">
    <w:abstractNumId w:val="105"/>
  </w:num>
  <w:num w:numId="24">
    <w:abstractNumId w:val="77"/>
  </w:num>
  <w:num w:numId="25">
    <w:abstractNumId w:val="9"/>
    <w:lvlOverride w:ilvl="0">
      <w:startOverride w:val="1"/>
      <w:lvl w:ilvl="0">
        <w:start w:val="1"/>
        <w:numFmt w:val="decimal"/>
        <w:pStyle w:val="NumberedHeading1"/>
        <w:lvlText w:val=""/>
        <w:lvlJc w:val="left"/>
        <w:pPr>
          <w:ind w:left="0" w:firstLine="0"/>
        </w:pPr>
      </w:lvl>
    </w:lvlOverride>
    <w:lvlOverride w:ilvl="1">
      <w:startOverride w:val="1"/>
      <w:lvl w:ilvl="1">
        <w:start w:val="1"/>
        <w:numFmt w:val="decimal"/>
        <w:pStyle w:val="Numberedheading2"/>
        <w:lvlText w:val="%1.%2."/>
        <w:lvlJc w:val="left"/>
        <w:pPr>
          <w:tabs>
            <w:tab w:val="num" w:pos="792"/>
          </w:tabs>
          <w:ind w:left="792" w:hanging="432"/>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6">
    <w:abstractNumId w:val="74"/>
  </w:num>
  <w:num w:numId="27">
    <w:abstractNumId w:val="99"/>
  </w:num>
  <w:num w:numId="28">
    <w:abstractNumId w:val="61"/>
  </w:num>
  <w:num w:numId="29">
    <w:abstractNumId w:val="79"/>
  </w:num>
  <w:num w:numId="30">
    <w:abstractNumId w:val="56"/>
  </w:num>
  <w:num w:numId="31">
    <w:abstractNumId w:val="89"/>
  </w:num>
  <w:num w:numId="32">
    <w:abstractNumId w:val="31"/>
  </w:num>
  <w:num w:numId="33">
    <w:abstractNumId w:val="95"/>
  </w:num>
  <w:num w:numId="34">
    <w:abstractNumId w:val="58"/>
  </w:num>
  <w:num w:numId="35">
    <w:abstractNumId w:val="109"/>
  </w:num>
  <w:num w:numId="36">
    <w:abstractNumId w:val="106"/>
  </w:num>
  <w:num w:numId="37">
    <w:abstractNumId w:val="63"/>
  </w:num>
  <w:num w:numId="38">
    <w:abstractNumId w:val="27"/>
  </w:num>
  <w:num w:numId="39">
    <w:abstractNumId w:val="84"/>
  </w:num>
  <w:num w:numId="40">
    <w:abstractNumId w:val="49"/>
  </w:num>
  <w:num w:numId="41">
    <w:abstractNumId w:val="14"/>
  </w:num>
  <w:num w:numId="42">
    <w:abstractNumId w:val="67"/>
  </w:num>
  <w:num w:numId="43">
    <w:abstractNumId w:val="19"/>
  </w:num>
  <w:num w:numId="44">
    <w:abstractNumId w:val="88"/>
  </w:num>
  <w:num w:numId="45">
    <w:abstractNumId w:val="22"/>
  </w:num>
  <w:num w:numId="46">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9"/>
  </w:num>
  <w:num w:numId="48">
    <w:abstractNumId w:val="94"/>
  </w:num>
  <w:num w:numId="49">
    <w:abstractNumId w:val="103"/>
  </w:num>
  <w:num w:numId="50">
    <w:abstractNumId w:val="10"/>
  </w:num>
  <w:num w:numId="51">
    <w:abstractNumId w:val="26"/>
  </w:num>
  <w:num w:numId="52">
    <w:abstractNumId w:val="70"/>
  </w:num>
  <w:num w:numId="53">
    <w:abstractNumId w:val="29"/>
  </w:num>
  <w:num w:numId="54">
    <w:abstractNumId w:val="0"/>
  </w:num>
  <w:num w:numId="55">
    <w:abstractNumId w:val="52"/>
  </w:num>
  <w:num w:numId="56">
    <w:abstractNumId w:val="108"/>
  </w:num>
  <w:num w:numId="57">
    <w:abstractNumId w:val="13"/>
  </w:num>
  <w:num w:numId="58">
    <w:abstractNumId w:val="107"/>
  </w:num>
  <w:num w:numId="59">
    <w:abstractNumId w:val="35"/>
  </w:num>
  <w:num w:numId="60">
    <w:abstractNumId w:val="28"/>
  </w:num>
  <w:num w:numId="61">
    <w:abstractNumId w:val="102"/>
  </w:num>
  <w:num w:numId="62">
    <w:abstractNumId w:val="78"/>
  </w:num>
  <w:num w:numId="63">
    <w:abstractNumId w:val="57"/>
  </w:num>
  <w:num w:numId="64">
    <w:abstractNumId w:val="7"/>
  </w:num>
  <w:num w:numId="65">
    <w:abstractNumId w:val="5"/>
  </w:num>
  <w:num w:numId="66">
    <w:abstractNumId w:val="42"/>
  </w:num>
  <w:num w:numId="67">
    <w:abstractNumId w:val="100"/>
  </w:num>
  <w:num w:numId="68">
    <w:abstractNumId w:val="72"/>
  </w:num>
  <w:num w:numId="69">
    <w:abstractNumId w:val="112"/>
  </w:num>
  <w:num w:numId="70">
    <w:abstractNumId w:val="54"/>
  </w:num>
  <w:num w:numId="71">
    <w:abstractNumId w:val="32"/>
  </w:num>
  <w:num w:numId="72">
    <w:abstractNumId w:val="3"/>
  </w:num>
  <w:num w:numId="73">
    <w:abstractNumId w:val="68"/>
  </w:num>
  <w:num w:numId="74">
    <w:abstractNumId w:val="40"/>
  </w:num>
  <w:num w:numId="75">
    <w:abstractNumId w:val="96"/>
  </w:num>
  <w:num w:numId="76">
    <w:abstractNumId w:val="18"/>
  </w:num>
  <w:num w:numId="77">
    <w:abstractNumId w:val="21"/>
  </w:num>
  <w:num w:numId="78">
    <w:abstractNumId w:val="47"/>
  </w:num>
  <w:num w:numId="79">
    <w:abstractNumId w:val="66"/>
  </w:num>
  <w:num w:numId="80">
    <w:abstractNumId w:val="62"/>
  </w:num>
  <w:num w:numId="81">
    <w:abstractNumId w:val="65"/>
  </w:num>
  <w:num w:numId="82">
    <w:abstractNumId w:val="75"/>
  </w:num>
  <w:num w:numId="83">
    <w:abstractNumId w:val="97"/>
  </w:num>
  <w:num w:numId="84">
    <w:abstractNumId w:val="23"/>
  </w:num>
  <w:num w:numId="85">
    <w:abstractNumId w:val="12"/>
  </w:num>
  <w:num w:numId="86">
    <w:abstractNumId w:val="11"/>
  </w:num>
  <w:num w:numId="87">
    <w:abstractNumId w:val="2"/>
  </w:num>
  <w:num w:numId="88">
    <w:abstractNumId w:val="55"/>
  </w:num>
  <w:num w:numId="89">
    <w:abstractNumId w:val="24"/>
  </w:num>
  <w:num w:numId="90">
    <w:abstractNumId w:val="37"/>
  </w:num>
  <w:num w:numId="91">
    <w:abstractNumId w:val="81"/>
  </w:num>
  <w:num w:numId="92">
    <w:abstractNumId w:val="92"/>
  </w:num>
  <w:num w:numId="93">
    <w:abstractNumId w:val="34"/>
  </w:num>
  <w:num w:numId="94">
    <w:abstractNumId w:val="48"/>
  </w:num>
  <w:num w:numId="95">
    <w:abstractNumId w:val="16"/>
  </w:num>
  <w:num w:numId="96">
    <w:abstractNumId w:val="59"/>
  </w:num>
  <w:num w:numId="97">
    <w:abstractNumId w:val="53"/>
  </w:num>
  <w:num w:numId="98">
    <w:abstractNumId w:val="80"/>
  </w:num>
  <w:num w:numId="99">
    <w:abstractNumId w:val="8"/>
  </w:num>
  <w:num w:numId="100">
    <w:abstractNumId w:val="76"/>
  </w:num>
  <w:num w:numId="101">
    <w:abstractNumId w:val="20"/>
  </w:num>
  <w:num w:numId="102">
    <w:abstractNumId w:val="43"/>
  </w:num>
  <w:num w:numId="103">
    <w:abstractNumId w:val="41"/>
  </w:num>
  <w:num w:numId="104">
    <w:abstractNumId w:val="82"/>
  </w:num>
  <w:num w:numId="105">
    <w:abstractNumId w:val="38"/>
  </w:num>
  <w:num w:numId="106">
    <w:abstractNumId w:val="64"/>
  </w:num>
  <w:num w:numId="107">
    <w:abstractNumId w:val="36"/>
  </w:num>
  <w:num w:numId="108">
    <w:abstractNumId w:val="104"/>
  </w:num>
  <w:num w:numId="109">
    <w:abstractNumId w:val="30"/>
  </w:num>
  <w:num w:numId="110">
    <w:abstractNumId w:val="91"/>
  </w:num>
  <w:num w:numId="111">
    <w:abstractNumId w:val="85"/>
  </w:num>
  <w:num w:numId="112">
    <w:abstractNumId w:val="50"/>
  </w:num>
  <w:num w:numId="113">
    <w:abstractNumId w:val="101"/>
  </w:num>
  <w:num w:numId="114">
    <w:abstractNumId w:val="71"/>
  </w:num>
  <w:num w:numId="115">
    <w:abstractNumId w:val="83"/>
  </w:num>
  <w:num w:numId="116">
    <w:abstractNumId w:val="87"/>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AU" w:vendorID="64" w:dllVersion="131078" w:nlCheck="1" w:checkStyle="0"/>
  <w:activeWritingStyle w:appName="MSWord" w:lang="en-GB" w:vendorID="64" w:dllVersion="131078" w:nlCheck="1" w:checkStyle="1"/>
  <w:activeWritingStyle w:appName="MSWord" w:lang="en-US"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XmlVersion" w:val="Empty"/>
  </w:docVars>
  <w:rsids>
    <w:rsidRoot w:val="00C10C19"/>
    <w:rsid w:val="00001A6E"/>
    <w:rsid w:val="0000214D"/>
    <w:rsid w:val="00002721"/>
    <w:rsid w:val="000028CB"/>
    <w:rsid w:val="00003221"/>
    <w:rsid w:val="000039A6"/>
    <w:rsid w:val="00003D01"/>
    <w:rsid w:val="00004649"/>
    <w:rsid w:val="0000500B"/>
    <w:rsid w:val="0000504D"/>
    <w:rsid w:val="0000530B"/>
    <w:rsid w:val="00005703"/>
    <w:rsid w:val="00006386"/>
    <w:rsid w:val="000063E0"/>
    <w:rsid w:val="00007B2C"/>
    <w:rsid w:val="00007C52"/>
    <w:rsid w:val="00010B90"/>
    <w:rsid w:val="00011ABE"/>
    <w:rsid w:val="00012142"/>
    <w:rsid w:val="0001220E"/>
    <w:rsid w:val="00012AE8"/>
    <w:rsid w:val="00012EAF"/>
    <w:rsid w:val="00012EF6"/>
    <w:rsid w:val="000137A1"/>
    <w:rsid w:val="00014ACF"/>
    <w:rsid w:val="000151F9"/>
    <w:rsid w:val="00015C6E"/>
    <w:rsid w:val="0001620C"/>
    <w:rsid w:val="0001650C"/>
    <w:rsid w:val="00016CA1"/>
    <w:rsid w:val="00017441"/>
    <w:rsid w:val="000174A0"/>
    <w:rsid w:val="00017CDF"/>
    <w:rsid w:val="00020309"/>
    <w:rsid w:val="00020993"/>
    <w:rsid w:val="000211B0"/>
    <w:rsid w:val="0002126D"/>
    <w:rsid w:val="000214F4"/>
    <w:rsid w:val="0002187E"/>
    <w:rsid w:val="00023081"/>
    <w:rsid w:val="000230E7"/>
    <w:rsid w:val="000238C5"/>
    <w:rsid w:val="000245E1"/>
    <w:rsid w:val="00024605"/>
    <w:rsid w:val="00024868"/>
    <w:rsid w:val="000248BC"/>
    <w:rsid w:val="00024E24"/>
    <w:rsid w:val="00025797"/>
    <w:rsid w:val="0002584A"/>
    <w:rsid w:val="00025C97"/>
    <w:rsid w:val="0002617B"/>
    <w:rsid w:val="00026ADB"/>
    <w:rsid w:val="00027CC4"/>
    <w:rsid w:val="00027F46"/>
    <w:rsid w:val="0003047C"/>
    <w:rsid w:val="00031F36"/>
    <w:rsid w:val="000321F7"/>
    <w:rsid w:val="0003248E"/>
    <w:rsid w:val="000327A7"/>
    <w:rsid w:val="00032A5B"/>
    <w:rsid w:val="00033EAF"/>
    <w:rsid w:val="00034EAA"/>
    <w:rsid w:val="0003526E"/>
    <w:rsid w:val="000355C2"/>
    <w:rsid w:val="00035D06"/>
    <w:rsid w:val="000364A1"/>
    <w:rsid w:val="0003674B"/>
    <w:rsid w:val="000367FC"/>
    <w:rsid w:val="000368DA"/>
    <w:rsid w:val="00036CFF"/>
    <w:rsid w:val="00036F9B"/>
    <w:rsid w:val="000377D4"/>
    <w:rsid w:val="00037BBA"/>
    <w:rsid w:val="000403DA"/>
    <w:rsid w:val="000415A0"/>
    <w:rsid w:val="00042293"/>
    <w:rsid w:val="000427FC"/>
    <w:rsid w:val="00043721"/>
    <w:rsid w:val="0004511A"/>
    <w:rsid w:val="0004553F"/>
    <w:rsid w:val="00045805"/>
    <w:rsid w:val="00046541"/>
    <w:rsid w:val="00047AC0"/>
    <w:rsid w:val="000504A2"/>
    <w:rsid w:val="00050D59"/>
    <w:rsid w:val="0005260D"/>
    <w:rsid w:val="00053262"/>
    <w:rsid w:val="000536E3"/>
    <w:rsid w:val="00053B60"/>
    <w:rsid w:val="00053CF2"/>
    <w:rsid w:val="00054195"/>
    <w:rsid w:val="00054851"/>
    <w:rsid w:val="00054972"/>
    <w:rsid w:val="00055053"/>
    <w:rsid w:val="000557DC"/>
    <w:rsid w:val="00055ECC"/>
    <w:rsid w:val="00056364"/>
    <w:rsid w:val="0005657B"/>
    <w:rsid w:val="00056E13"/>
    <w:rsid w:val="000576E1"/>
    <w:rsid w:val="00057813"/>
    <w:rsid w:val="00057F51"/>
    <w:rsid w:val="000603F7"/>
    <w:rsid w:val="00060E0B"/>
    <w:rsid w:val="0006154A"/>
    <w:rsid w:val="0006154F"/>
    <w:rsid w:val="000615B6"/>
    <w:rsid w:val="0006203C"/>
    <w:rsid w:val="00062CC4"/>
    <w:rsid w:val="0006372F"/>
    <w:rsid w:val="00063CE3"/>
    <w:rsid w:val="00063DF1"/>
    <w:rsid w:val="00063FF0"/>
    <w:rsid w:val="00064473"/>
    <w:rsid w:val="0006570D"/>
    <w:rsid w:val="00065808"/>
    <w:rsid w:val="00065C26"/>
    <w:rsid w:val="00065F3C"/>
    <w:rsid w:val="000661D9"/>
    <w:rsid w:val="00066258"/>
    <w:rsid w:val="00066793"/>
    <w:rsid w:val="00066DC7"/>
    <w:rsid w:val="00070792"/>
    <w:rsid w:val="00070918"/>
    <w:rsid w:val="00072C3A"/>
    <w:rsid w:val="0007324F"/>
    <w:rsid w:val="00073430"/>
    <w:rsid w:val="00073DA4"/>
    <w:rsid w:val="00074087"/>
    <w:rsid w:val="00074528"/>
    <w:rsid w:val="000751A9"/>
    <w:rsid w:val="000752D6"/>
    <w:rsid w:val="00075318"/>
    <w:rsid w:val="000753D1"/>
    <w:rsid w:val="000761E7"/>
    <w:rsid w:val="0007794F"/>
    <w:rsid w:val="00077C6B"/>
    <w:rsid w:val="00080BB0"/>
    <w:rsid w:val="0008285C"/>
    <w:rsid w:val="00082B58"/>
    <w:rsid w:val="00082C5C"/>
    <w:rsid w:val="000837B5"/>
    <w:rsid w:val="00083B06"/>
    <w:rsid w:val="00083CE5"/>
    <w:rsid w:val="0008453E"/>
    <w:rsid w:val="0008521F"/>
    <w:rsid w:val="000859C1"/>
    <w:rsid w:val="00085A34"/>
    <w:rsid w:val="00085A8E"/>
    <w:rsid w:val="00085AE5"/>
    <w:rsid w:val="000861A6"/>
    <w:rsid w:val="0008698D"/>
    <w:rsid w:val="00086C16"/>
    <w:rsid w:val="00086E5C"/>
    <w:rsid w:val="00086E64"/>
    <w:rsid w:val="00086E6F"/>
    <w:rsid w:val="00086F41"/>
    <w:rsid w:val="00086F9B"/>
    <w:rsid w:val="000873B7"/>
    <w:rsid w:val="0009015B"/>
    <w:rsid w:val="0009024A"/>
    <w:rsid w:val="00090503"/>
    <w:rsid w:val="00090ACA"/>
    <w:rsid w:val="000922CE"/>
    <w:rsid w:val="0009256A"/>
    <w:rsid w:val="00092AE0"/>
    <w:rsid w:val="000931B6"/>
    <w:rsid w:val="00093756"/>
    <w:rsid w:val="00093C8B"/>
    <w:rsid w:val="000940D2"/>
    <w:rsid w:val="00094328"/>
    <w:rsid w:val="000950E1"/>
    <w:rsid w:val="0009564E"/>
    <w:rsid w:val="00095684"/>
    <w:rsid w:val="00095DE7"/>
    <w:rsid w:val="00095FD3"/>
    <w:rsid w:val="0009611F"/>
    <w:rsid w:val="00097516"/>
    <w:rsid w:val="00097684"/>
    <w:rsid w:val="00097898"/>
    <w:rsid w:val="00097B5D"/>
    <w:rsid w:val="00097E87"/>
    <w:rsid w:val="000A02FE"/>
    <w:rsid w:val="000A0F4B"/>
    <w:rsid w:val="000A2DA9"/>
    <w:rsid w:val="000A2E56"/>
    <w:rsid w:val="000A2EC8"/>
    <w:rsid w:val="000A325C"/>
    <w:rsid w:val="000A33EB"/>
    <w:rsid w:val="000A3BCE"/>
    <w:rsid w:val="000A434A"/>
    <w:rsid w:val="000A4B06"/>
    <w:rsid w:val="000A6F0C"/>
    <w:rsid w:val="000A7045"/>
    <w:rsid w:val="000A76EE"/>
    <w:rsid w:val="000A7A6F"/>
    <w:rsid w:val="000B016E"/>
    <w:rsid w:val="000B031D"/>
    <w:rsid w:val="000B0AEC"/>
    <w:rsid w:val="000B1430"/>
    <w:rsid w:val="000B1BB8"/>
    <w:rsid w:val="000B1DAE"/>
    <w:rsid w:val="000B220D"/>
    <w:rsid w:val="000B241E"/>
    <w:rsid w:val="000B28A3"/>
    <w:rsid w:val="000B2CF2"/>
    <w:rsid w:val="000B3307"/>
    <w:rsid w:val="000B33DC"/>
    <w:rsid w:val="000B3CE0"/>
    <w:rsid w:val="000B4948"/>
    <w:rsid w:val="000B4A85"/>
    <w:rsid w:val="000B4D00"/>
    <w:rsid w:val="000B5BFB"/>
    <w:rsid w:val="000B5F26"/>
    <w:rsid w:val="000B6334"/>
    <w:rsid w:val="000B63D2"/>
    <w:rsid w:val="000B797F"/>
    <w:rsid w:val="000B7D78"/>
    <w:rsid w:val="000C04B8"/>
    <w:rsid w:val="000C08D4"/>
    <w:rsid w:val="000C08F7"/>
    <w:rsid w:val="000C0970"/>
    <w:rsid w:val="000C0CB1"/>
    <w:rsid w:val="000C10D9"/>
    <w:rsid w:val="000C1436"/>
    <w:rsid w:val="000C2AC1"/>
    <w:rsid w:val="000C2B28"/>
    <w:rsid w:val="000C30B2"/>
    <w:rsid w:val="000C3572"/>
    <w:rsid w:val="000C3D4C"/>
    <w:rsid w:val="000C4E1D"/>
    <w:rsid w:val="000C7155"/>
    <w:rsid w:val="000C726B"/>
    <w:rsid w:val="000D00DA"/>
    <w:rsid w:val="000D0D35"/>
    <w:rsid w:val="000D0F6C"/>
    <w:rsid w:val="000D237B"/>
    <w:rsid w:val="000D2C8F"/>
    <w:rsid w:val="000D2D35"/>
    <w:rsid w:val="000D381E"/>
    <w:rsid w:val="000D3DBD"/>
    <w:rsid w:val="000D3F80"/>
    <w:rsid w:val="000D427A"/>
    <w:rsid w:val="000D4E88"/>
    <w:rsid w:val="000D5361"/>
    <w:rsid w:val="000D7299"/>
    <w:rsid w:val="000D7892"/>
    <w:rsid w:val="000D7957"/>
    <w:rsid w:val="000E045F"/>
    <w:rsid w:val="000E06F3"/>
    <w:rsid w:val="000E0B3F"/>
    <w:rsid w:val="000E0E99"/>
    <w:rsid w:val="000E12A8"/>
    <w:rsid w:val="000E1BB1"/>
    <w:rsid w:val="000E1BF0"/>
    <w:rsid w:val="000E2030"/>
    <w:rsid w:val="000E2384"/>
    <w:rsid w:val="000E2AF7"/>
    <w:rsid w:val="000E2BBF"/>
    <w:rsid w:val="000E31F9"/>
    <w:rsid w:val="000E326D"/>
    <w:rsid w:val="000E347D"/>
    <w:rsid w:val="000E35B6"/>
    <w:rsid w:val="000E3700"/>
    <w:rsid w:val="000E37AB"/>
    <w:rsid w:val="000E4246"/>
    <w:rsid w:val="000E4A72"/>
    <w:rsid w:val="000E57FA"/>
    <w:rsid w:val="000E636E"/>
    <w:rsid w:val="000E6612"/>
    <w:rsid w:val="000E7E7B"/>
    <w:rsid w:val="000F0F68"/>
    <w:rsid w:val="000F1308"/>
    <w:rsid w:val="000F146B"/>
    <w:rsid w:val="000F1F9C"/>
    <w:rsid w:val="000F2D58"/>
    <w:rsid w:val="000F3581"/>
    <w:rsid w:val="000F359D"/>
    <w:rsid w:val="000F3BA2"/>
    <w:rsid w:val="000F3CE5"/>
    <w:rsid w:val="000F451F"/>
    <w:rsid w:val="000F4B32"/>
    <w:rsid w:val="000F4C74"/>
    <w:rsid w:val="000F4F63"/>
    <w:rsid w:val="000F517D"/>
    <w:rsid w:val="000F51AE"/>
    <w:rsid w:val="000F5955"/>
    <w:rsid w:val="000F5C9E"/>
    <w:rsid w:val="000F6CC1"/>
    <w:rsid w:val="000F6DB6"/>
    <w:rsid w:val="000F70FF"/>
    <w:rsid w:val="000F79F5"/>
    <w:rsid w:val="001004DA"/>
    <w:rsid w:val="0010052A"/>
    <w:rsid w:val="00100633"/>
    <w:rsid w:val="00100A4E"/>
    <w:rsid w:val="0010150E"/>
    <w:rsid w:val="00101801"/>
    <w:rsid w:val="0010186F"/>
    <w:rsid w:val="00101A38"/>
    <w:rsid w:val="0010222A"/>
    <w:rsid w:val="00103156"/>
    <w:rsid w:val="001038D0"/>
    <w:rsid w:val="001049F8"/>
    <w:rsid w:val="001051A6"/>
    <w:rsid w:val="00105611"/>
    <w:rsid w:val="00105BD6"/>
    <w:rsid w:val="0010635B"/>
    <w:rsid w:val="001066E6"/>
    <w:rsid w:val="00106CE3"/>
    <w:rsid w:val="00107443"/>
    <w:rsid w:val="00107AFF"/>
    <w:rsid w:val="00107F6D"/>
    <w:rsid w:val="00110117"/>
    <w:rsid w:val="001107E2"/>
    <w:rsid w:val="001115B6"/>
    <w:rsid w:val="00111930"/>
    <w:rsid w:val="00111CAD"/>
    <w:rsid w:val="00111D6A"/>
    <w:rsid w:val="00112CB6"/>
    <w:rsid w:val="001145DC"/>
    <w:rsid w:val="00114E45"/>
    <w:rsid w:val="00115677"/>
    <w:rsid w:val="001159F2"/>
    <w:rsid w:val="001169EA"/>
    <w:rsid w:val="0011712C"/>
    <w:rsid w:val="00117165"/>
    <w:rsid w:val="001175BF"/>
    <w:rsid w:val="001177BC"/>
    <w:rsid w:val="00117823"/>
    <w:rsid w:val="00117DD3"/>
    <w:rsid w:val="00121A06"/>
    <w:rsid w:val="00121E4B"/>
    <w:rsid w:val="001229A6"/>
    <w:rsid w:val="00122ADE"/>
    <w:rsid w:val="00122D15"/>
    <w:rsid w:val="001234D4"/>
    <w:rsid w:val="0012350C"/>
    <w:rsid w:val="001235A7"/>
    <w:rsid w:val="001235FA"/>
    <w:rsid w:val="0012383A"/>
    <w:rsid w:val="00123855"/>
    <w:rsid w:val="00123AF3"/>
    <w:rsid w:val="00123FA5"/>
    <w:rsid w:val="00124C2E"/>
    <w:rsid w:val="0012585D"/>
    <w:rsid w:val="001259C2"/>
    <w:rsid w:val="00125A41"/>
    <w:rsid w:val="00125F23"/>
    <w:rsid w:val="001269CC"/>
    <w:rsid w:val="001271F6"/>
    <w:rsid w:val="0012732E"/>
    <w:rsid w:val="001277BF"/>
    <w:rsid w:val="00127D19"/>
    <w:rsid w:val="00127D43"/>
    <w:rsid w:val="00127F67"/>
    <w:rsid w:val="00130923"/>
    <w:rsid w:val="001319A5"/>
    <w:rsid w:val="00132898"/>
    <w:rsid w:val="00132ECE"/>
    <w:rsid w:val="001330E6"/>
    <w:rsid w:val="001339DD"/>
    <w:rsid w:val="00133F97"/>
    <w:rsid w:val="00134397"/>
    <w:rsid w:val="00134E1C"/>
    <w:rsid w:val="001352FD"/>
    <w:rsid w:val="001363E5"/>
    <w:rsid w:val="00136416"/>
    <w:rsid w:val="00136B06"/>
    <w:rsid w:val="00136B86"/>
    <w:rsid w:val="00137085"/>
    <w:rsid w:val="0013788D"/>
    <w:rsid w:val="00137AF0"/>
    <w:rsid w:val="0014075A"/>
    <w:rsid w:val="001412EF"/>
    <w:rsid w:val="00141341"/>
    <w:rsid w:val="001413EA"/>
    <w:rsid w:val="001414F3"/>
    <w:rsid w:val="001427F3"/>
    <w:rsid w:val="001428B7"/>
    <w:rsid w:val="00142A95"/>
    <w:rsid w:val="001430FD"/>
    <w:rsid w:val="0014337F"/>
    <w:rsid w:val="0014346E"/>
    <w:rsid w:val="00143595"/>
    <w:rsid w:val="00143779"/>
    <w:rsid w:val="00143C44"/>
    <w:rsid w:val="00143F98"/>
    <w:rsid w:val="00143FCD"/>
    <w:rsid w:val="0014446B"/>
    <w:rsid w:val="001447BB"/>
    <w:rsid w:val="00144E31"/>
    <w:rsid w:val="0014505A"/>
    <w:rsid w:val="00145ABA"/>
    <w:rsid w:val="00145AD8"/>
    <w:rsid w:val="001462EC"/>
    <w:rsid w:val="001467D4"/>
    <w:rsid w:val="00146EB0"/>
    <w:rsid w:val="00147949"/>
    <w:rsid w:val="00147D8D"/>
    <w:rsid w:val="0015086F"/>
    <w:rsid w:val="001536B1"/>
    <w:rsid w:val="001537C9"/>
    <w:rsid w:val="00155066"/>
    <w:rsid w:val="00155A16"/>
    <w:rsid w:val="001563A4"/>
    <w:rsid w:val="00156556"/>
    <w:rsid w:val="00156786"/>
    <w:rsid w:val="00156CCF"/>
    <w:rsid w:val="00156FDA"/>
    <w:rsid w:val="001604BC"/>
    <w:rsid w:val="0016081C"/>
    <w:rsid w:val="0016085B"/>
    <w:rsid w:val="00160981"/>
    <w:rsid w:val="00160A9E"/>
    <w:rsid w:val="00161554"/>
    <w:rsid w:val="001616A0"/>
    <w:rsid w:val="00162BF6"/>
    <w:rsid w:val="0016353A"/>
    <w:rsid w:val="00163C6B"/>
    <w:rsid w:val="00164C33"/>
    <w:rsid w:val="00164DD6"/>
    <w:rsid w:val="00164ECD"/>
    <w:rsid w:val="00165C58"/>
    <w:rsid w:val="001669B1"/>
    <w:rsid w:val="001704BD"/>
    <w:rsid w:val="001704C0"/>
    <w:rsid w:val="00170C98"/>
    <w:rsid w:val="00170D1A"/>
    <w:rsid w:val="00170E5E"/>
    <w:rsid w:val="00171998"/>
    <w:rsid w:val="00171D6E"/>
    <w:rsid w:val="00173739"/>
    <w:rsid w:val="00173B2C"/>
    <w:rsid w:val="00173BD0"/>
    <w:rsid w:val="00173D08"/>
    <w:rsid w:val="00174063"/>
    <w:rsid w:val="00174EC2"/>
    <w:rsid w:val="0017518A"/>
    <w:rsid w:val="00175C57"/>
    <w:rsid w:val="001764E9"/>
    <w:rsid w:val="00176AD3"/>
    <w:rsid w:val="00176F0F"/>
    <w:rsid w:val="00177997"/>
    <w:rsid w:val="001779EB"/>
    <w:rsid w:val="00177A76"/>
    <w:rsid w:val="00177D01"/>
    <w:rsid w:val="00177E1F"/>
    <w:rsid w:val="00180AE0"/>
    <w:rsid w:val="00180BE6"/>
    <w:rsid w:val="00180F05"/>
    <w:rsid w:val="00181DE1"/>
    <w:rsid w:val="00181FB2"/>
    <w:rsid w:val="0018245D"/>
    <w:rsid w:val="00182860"/>
    <w:rsid w:val="00182B62"/>
    <w:rsid w:val="00182F09"/>
    <w:rsid w:val="00182F3E"/>
    <w:rsid w:val="0018352B"/>
    <w:rsid w:val="001857BF"/>
    <w:rsid w:val="001858AD"/>
    <w:rsid w:val="0018655B"/>
    <w:rsid w:val="00186615"/>
    <w:rsid w:val="0018674E"/>
    <w:rsid w:val="0018678B"/>
    <w:rsid w:val="00186C02"/>
    <w:rsid w:val="00187001"/>
    <w:rsid w:val="001874AF"/>
    <w:rsid w:val="001876E7"/>
    <w:rsid w:val="001878B1"/>
    <w:rsid w:val="0018796B"/>
    <w:rsid w:val="00187E44"/>
    <w:rsid w:val="00190786"/>
    <w:rsid w:val="00191198"/>
    <w:rsid w:val="0019168F"/>
    <w:rsid w:val="00191F1C"/>
    <w:rsid w:val="00192B5A"/>
    <w:rsid w:val="00192EB8"/>
    <w:rsid w:val="00193ED7"/>
    <w:rsid w:val="0019522C"/>
    <w:rsid w:val="00195E04"/>
    <w:rsid w:val="00195EF3"/>
    <w:rsid w:val="00196172"/>
    <w:rsid w:val="00196D1A"/>
    <w:rsid w:val="00196F2D"/>
    <w:rsid w:val="00196FAC"/>
    <w:rsid w:val="00197450"/>
    <w:rsid w:val="00197BC1"/>
    <w:rsid w:val="00197C18"/>
    <w:rsid w:val="001A0ADC"/>
    <w:rsid w:val="001A0AF3"/>
    <w:rsid w:val="001A0F64"/>
    <w:rsid w:val="001A104C"/>
    <w:rsid w:val="001A241D"/>
    <w:rsid w:val="001A2F77"/>
    <w:rsid w:val="001A3006"/>
    <w:rsid w:val="001A38BC"/>
    <w:rsid w:val="001A4F81"/>
    <w:rsid w:val="001A6541"/>
    <w:rsid w:val="001A68E5"/>
    <w:rsid w:val="001A7459"/>
    <w:rsid w:val="001A7696"/>
    <w:rsid w:val="001B0096"/>
    <w:rsid w:val="001B0E12"/>
    <w:rsid w:val="001B0FDC"/>
    <w:rsid w:val="001B1AA5"/>
    <w:rsid w:val="001B1CEA"/>
    <w:rsid w:val="001B1E3F"/>
    <w:rsid w:val="001B1FFF"/>
    <w:rsid w:val="001B2335"/>
    <w:rsid w:val="001B258F"/>
    <w:rsid w:val="001B2883"/>
    <w:rsid w:val="001B3B3B"/>
    <w:rsid w:val="001B3EAB"/>
    <w:rsid w:val="001B4777"/>
    <w:rsid w:val="001B503B"/>
    <w:rsid w:val="001B50F8"/>
    <w:rsid w:val="001B545E"/>
    <w:rsid w:val="001B5699"/>
    <w:rsid w:val="001B6008"/>
    <w:rsid w:val="001B62B5"/>
    <w:rsid w:val="001B640B"/>
    <w:rsid w:val="001B6467"/>
    <w:rsid w:val="001B7098"/>
    <w:rsid w:val="001B7433"/>
    <w:rsid w:val="001B7637"/>
    <w:rsid w:val="001C0378"/>
    <w:rsid w:val="001C0AD7"/>
    <w:rsid w:val="001C173D"/>
    <w:rsid w:val="001C1BFA"/>
    <w:rsid w:val="001C2559"/>
    <w:rsid w:val="001C2625"/>
    <w:rsid w:val="001C281D"/>
    <w:rsid w:val="001C289C"/>
    <w:rsid w:val="001C2F9E"/>
    <w:rsid w:val="001C3471"/>
    <w:rsid w:val="001C38C2"/>
    <w:rsid w:val="001C4455"/>
    <w:rsid w:val="001C5186"/>
    <w:rsid w:val="001C5DE7"/>
    <w:rsid w:val="001C6167"/>
    <w:rsid w:val="001C6233"/>
    <w:rsid w:val="001C6379"/>
    <w:rsid w:val="001C6C73"/>
    <w:rsid w:val="001C728A"/>
    <w:rsid w:val="001C7836"/>
    <w:rsid w:val="001D0034"/>
    <w:rsid w:val="001D013A"/>
    <w:rsid w:val="001D0E45"/>
    <w:rsid w:val="001D10C3"/>
    <w:rsid w:val="001D1284"/>
    <w:rsid w:val="001D23A4"/>
    <w:rsid w:val="001D277A"/>
    <w:rsid w:val="001D339B"/>
    <w:rsid w:val="001D3437"/>
    <w:rsid w:val="001D3692"/>
    <w:rsid w:val="001D3BC9"/>
    <w:rsid w:val="001D61DF"/>
    <w:rsid w:val="001D6DBD"/>
    <w:rsid w:val="001D781F"/>
    <w:rsid w:val="001D79BD"/>
    <w:rsid w:val="001D7BB0"/>
    <w:rsid w:val="001E0106"/>
    <w:rsid w:val="001E0185"/>
    <w:rsid w:val="001E2545"/>
    <w:rsid w:val="001E2B44"/>
    <w:rsid w:val="001E3287"/>
    <w:rsid w:val="001E32B4"/>
    <w:rsid w:val="001E3E56"/>
    <w:rsid w:val="001E4AEF"/>
    <w:rsid w:val="001E552B"/>
    <w:rsid w:val="001E552F"/>
    <w:rsid w:val="001E5FF7"/>
    <w:rsid w:val="001E679C"/>
    <w:rsid w:val="001E7612"/>
    <w:rsid w:val="001E7771"/>
    <w:rsid w:val="001E7B45"/>
    <w:rsid w:val="001F1481"/>
    <w:rsid w:val="001F14BA"/>
    <w:rsid w:val="001F1B4E"/>
    <w:rsid w:val="001F1C07"/>
    <w:rsid w:val="001F2A09"/>
    <w:rsid w:val="001F2C0A"/>
    <w:rsid w:val="001F340D"/>
    <w:rsid w:val="001F3741"/>
    <w:rsid w:val="001F3BFE"/>
    <w:rsid w:val="001F3EC1"/>
    <w:rsid w:val="001F412B"/>
    <w:rsid w:val="001F45AF"/>
    <w:rsid w:val="001F4E6F"/>
    <w:rsid w:val="001F5A5E"/>
    <w:rsid w:val="001F5BE3"/>
    <w:rsid w:val="001F6941"/>
    <w:rsid w:val="001F6B4D"/>
    <w:rsid w:val="001F6FC7"/>
    <w:rsid w:val="001F74C3"/>
    <w:rsid w:val="00200740"/>
    <w:rsid w:val="002013BE"/>
    <w:rsid w:val="00201BD8"/>
    <w:rsid w:val="00202046"/>
    <w:rsid w:val="0020231A"/>
    <w:rsid w:val="00202743"/>
    <w:rsid w:val="0020303A"/>
    <w:rsid w:val="002039F0"/>
    <w:rsid w:val="00203B98"/>
    <w:rsid w:val="00204B60"/>
    <w:rsid w:val="00205A5F"/>
    <w:rsid w:val="00205F84"/>
    <w:rsid w:val="0020622F"/>
    <w:rsid w:val="0020633D"/>
    <w:rsid w:val="00206EAD"/>
    <w:rsid w:val="00207410"/>
    <w:rsid w:val="0020741D"/>
    <w:rsid w:val="00207F58"/>
    <w:rsid w:val="002100C5"/>
    <w:rsid w:val="002101C3"/>
    <w:rsid w:val="0021033D"/>
    <w:rsid w:val="0021047C"/>
    <w:rsid w:val="0021079E"/>
    <w:rsid w:val="0021083D"/>
    <w:rsid w:val="0021100B"/>
    <w:rsid w:val="0021149A"/>
    <w:rsid w:val="00211943"/>
    <w:rsid w:val="00211BD6"/>
    <w:rsid w:val="00211BF7"/>
    <w:rsid w:val="00211CE8"/>
    <w:rsid w:val="00212750"/>
    <w:rsid w:val="00212C36"/>
    <w:rsid w:val="00212CA5"/>
    <w:rsid w:val="002134D4"/>
    <w:rsid w:val="00213796"/>
    <w:rsid w:val="00213CB5"/>
    <w:rsid w:val="00214B66"/>
    <w:rsid w:val="00214D5D"/>
    <w:rsid w:val="00214D86"/>
    <w:rsid w:val="0021517C"/>
    <w:rsid w:val="002158D9"/>
    <w:rsid w:val="00215AC9"/>
    <w:rsid w:val="00215B1C"/>
    <w:rsid w:val="00215BCA"/>
    <w:rsid w:val="00215BD7"/>
    <w:rsid w:val="00216ED0"/>
    <w:rsid w:val="002171C4"/>
    <w:rsid w:val="00217A0F"/>
    <w:rsid w:val="00217B04"/>
    <w:rsid w:val="00217D84"/>
    <w:rsid w:val="002201D7"/>
    <w:rsid w:val="002201EB"/>
    <w:rsid w:val="002205B9"/>
    <w:rsid w:val="00221316"/>
    <w:rsid w:val="002213C9"/>
    <w:rsid w:val="002219CA"/>
    <w:rsid w:val="00221ACA"/>
    <w:rsid w:val="00223A93"/>
    <w:rsid w:val="00223EB1"/>
    <w:rsid w:val="0022416C"/>
    <w:rsid w:val="00224CF8"/>
    <w:rsid w:val="002256EE"/>
    <w:rsid w:val="002259C0"/>
    <w:rsid w:val="002263AF"/>
    <w:rsid w:val="002263B4"/>
    <w:rsid w:val="0022654B"/>
    <w:rsid w:val="00226739"/>
    <w:rsid w:val="00226909"/>
    <w:rsid w:val="002270D5"/>
    <w:rsid w:val="002302FD"/>
    <w:rsid w:val="0023065C"/>
    <w:rsid w:val="00230AF2"/>
    <w:rsid w:val="00231009"/>
    <w:rsid w:val="00231339"/>
    <w:rsid w:val="00231823"/>
    <w:rsid w:val="00231B27"/>
    <w:rsid w:val="00232009"/>
    <w:rsid w:val="002320E1"/>
    <w:rsid w:val="002322A2"/>
    <w:rsid w:val="00232312"/>
    <w:rsid w:val="002328FD"/>
    <w:rsid w:val="0023302D"/>
    <w:rsid w:val="00233D51"/>
    <w:rsid w:val="00234943"/>
    <w:rsid w:val="00234B13"/>
    <w:rsid w:val="00234D9B"/>
    <w:rsid w:val="002357FB"/>
    <w:rsid w:val="00235C1E"/>
    <w:rsid w:val="00235CDC"/>
    <w:rsid w:val="00235F9C"/>
    <w:rsid w:val="002361DB"/>
    <w:rsid w:val="0023621E"/>
    <w:rsid w:val="0023682F"/>
    <w:rsid w:val="00236917"/>
    <w:rsid w:val="00236A62"/>
    <w:rsid w:val="00237203"/>
    <w:rsid w:val="00237847"/>
    <w:rsid w:val="0023790B"/>
    <w:rsid w:val="00237983"/>
    <w:rsid w:val="00237DD2"/>
    <w:rsid w:val="00237F55"/>
    <w:rsid w:val="00240A8E"/>
    <w:rsid w:val="002410B7"/>
    <w:rsid w:val="002411FE"/>
    <w:rsid w:val="0024191E"/>
    <w:rsid w:val="002423B7"/>
    <w:rsid w:val="00242D6F"/>
    <w:rsid w:val="00242EFE"/>
    <w:rsid w:val="00243D6B"/>
    <w:rsid w:val="002448B7"/>
    <w:rsid w:val="00244A66"/>
    <w:rsid w:val="00245450"/>
    <w:rsid w:val="00245589"/>
    <w:rsid w:val="00245911"/>
    <w:rsid w:val="00245E6E"/>
    <w:rsid w:val="00245F51"/>
    <w:rsid w:val="00246273"/>
    <w:rsid w:val="00246925"/>
    <w:rsid w:val="00246E74"/>
    <w:rsid w:val="00246FFA"/>
    <w:rsid w:val="00247216"/>
    <w:rsid w:val="0025031B"/>
    <w:rsid w:val="00250D8B"/>
    <w:rsid w:val="00250DB2"/>
    <w:rsid w:val="00251619"/>
    <w:rsid w:val="0025167B"/>
    <w:rsid w:val="00251BE6"/>
    <w:rsid w:val="002523BA"/>
    <w:rsid w:val="00254203"/>
    <w:rsid w:val="002543D7"/>
    <w:rsid w:val="00255794"/>
    <w:rsid w:val="00255D35"/>
    <w:rsid w:val="0025682B"/>
    <w:rsid w:val="00256A72"/>
    <w:rsid w:val="00256A98"/>
    <w:rsid w:val="00256D69"/>
    <w:rsid w:val="00256E78"/>
    <w:rsid w:val="00257948"/>
    <w:rsid w:val="00257F48"/>
    <w:rsid w:val="00257F7D"/>
    <w:rsid w:val="0026097A"/>
    <w:rsid w:val="00260A7A"/>
    <w:rsid w:val="00261649"/>
    <w:rsid w:val="00261709"/>
    <w:rsid w:val="0026222E"/>
    <w:rsid w:val="00262A11"/>
    <w:rsid w:val="00262C12"/>
    <w:rsid w:val="00262CC1"/>
    <w:rsid w:val="00262E1A"/>
    <w:rsid w:val="00262E99"/>
    <w:rsid w:val="0026324F"/>
    <w:rsid w:val="00263CA9"/>
    <w:rsid w:val="00263CE0"/>
    <w:rsid w:val="00263E25"/>
    <w:rsid w:val="00264343"/>
    <w:rsid w:val="00264375"/>
    <w:rsid w:val="00265AAC"/>
    <w:rsid w:val="00266D76"/>
    <w:rsid w:val="00267D6B"/>
    <w:rsid w:val="0027008F"/>
    <w:rsid w:val="0027010F"/>
    <w:rsid w:val="0027062C"/>
    <w:rsid w:val="00270C05"/>
    <w:rsid w:val="00270C88"/>
    <w:rsid w:val="002712F4"/>
    <w:rsid w:val="00271C80"/>
    <w:rsid w:val="0027222D"/>
    <w:rsid w:val="0027260D"/>
    <w:rsid w:val="00272A26"/>
    <w:rsid w:val="0027305C"/>
    <w:rsid w:val="00273A18"/>
    <w:rsid w:val="00273B65"/>
    <w:rsid w:val="00274E4C"/>
    <w:rsid w:val="00274FE4"/>
    <w:rsid w:val="002751E5"/>
    <w:rsid w:val="00277236"/>
    <w:rsid w:val="0027776A"/>
    <w:rsid w:val="002810B6"/>
    <w:rsid w:val="0028164A"/>
    <w:rsid w:val="00282B0A"/>
    <w:rsid w:val="00283B0A"/>
    <w:rsid w:val="00283E3D"/>
    <w:rsid w:val="0028559F"/>
    <w:rsid w:val="002858F2"/>
    <w:rsid w:val="002862C3"/>
    <w:rsid w:val="00286449"/>
    <w:rsid w:val="00286606"/>
    <w:rsid w:val="0028699E"/>
    <w:rsid w:val="00290685"/>
    <w:rsid w:val="0029136C"/>
    <w:rsid w:val="00291CBA"/>
    <w:rsid w:val="0029257A"/>
    <w:rsid w:val="002927F9"/>
    <w:rsid w:val="00292949"/>
    <w:rsid w:val="002929B9"/>
    <w:rsid w:val="002930A5"/>
    <w:rsid w:val="002930D4"/>
    <w:rsid w:val="00293702"/>
    <w:rsid w:val="00293849"/>
    <w:rsid w:val="00293981"/>
    <w:rsid w:val="00293C8B"/>
    <w:rsid w:val="00293D59"/>
    <w:rsid w:val="002941FF"/>
    <w:rsid w:val="002942E3"/>
    <w:rsid w:val="002944B1"/>
    <w:rsid w:val="00294754"/>
    <w:rsid w:val="00294AA3"/>
    <w:rsid w:val="00294B93"/>
    <w:rsid w:val="002954DD"/>
    <w:rsid w:val="00295CAD"/>
    <w:rsid w:val="00295D8A"/>
    <w:rsid w:val="002960BE"/>
    <w:rsid w:val="00296D72"/>
    <w:rsid w:val="00297238"/>
    <w:rsid w:val="0029745E"/>
    <w:rsid w:val="002A03A1"/>
    <w:rsid w:val="002A08B5"/>
    <w:rsid w:val="002A1FD5"/>
    <w:rsid w:val="002A24D8"/>
    <w:rsid w:val="002A2C15"/>
    <w:rsid w:val="002A2C62"/>
    <w:rsid w:val="002A3161"/>
    <w:rsid w:val="002A359E"/>
    <w:rsid w:val="002A3E8D"/>
    <w:rsid w:val="002A546E"/>
    <w:rsid w:val="002A59A6"/>
    <w:rsid w:val="002A674D"/>
    <w:rsid w:val="002A6E27"/>
    <w:rsid w:val="002A6E7A"/>
    <w:rsid w:val="002A7512"/>
    <w:rsid w:val="002A7F5C"/>
    <w:rsid w:val="002B06E6"/>
    <w:rsid w:val="002B0710"/>
    <w:rsid w:val="002B07CB"/>
    <w:rsid w:val="002B0E64"/>
    <w:rsid w:val="002B1611"/>
    <w:rsid w:val="002B1762"/>
    <w:rsid w:val="002B18CB"/>
    <w:rsid w:val="002B1972"/>
    <w:rsid w:val="002B2D06"/>
    <w:rsid w:val="002B36A4"/>
    <w:rsid w:val="002B3C06"/>
    <w:rsid w:val="002B3DE3"/>
    <w:rsid w:val="002B4CC9"/>
    <w:rsid w:val="002B5342"/>
    <w:rsid w:val="002B5A43"/>
    <w:rsid w:val="002B6511"/>
    <w:rsid w:val="002B65D7"/>
    <w:rsid w:val="002B6736"/>
    <w:rsid w:val="002B6C4F"/>
    <w:rsid w:val="002B769A"/>
    <w:rsid w:val="002C0314"/>
    <w:rsid w:val="002C0624"/>
    <w:rsid w:val="002C1BE3"/>
    <w:rsid w:val="002C1E01"/>
    <w:rsid w:val="002C37C0"/>
    <w:rsid w:val="002C511E"/>
    <w:rsid w:val="002C5152"/>
    <w:rsid w:val="002C5E2E"/>
    <w:rsid w:val="002C6A17"/>
    <w:rsid w:val="002C734B"/>
    <w:rsid w:val="002C76B3"/>
    <w:rsid w:val="002C79CE"/>
    <w:rsid w:val="002C7A50"/>
    <w:rsid w:val="002C7D6A"/>
    <w:rsid w:val="002D0405"/>
    <w:rsid w:val="002D0DD2"/>
    <w:rsid w:val="002D196C"/>
    <w:rsid w:val="002D25C1"/>
    <w:rsid w:val="002D271F"/>
    <w:rsid w:val="002D2D9D"/>
    <w:rsid w:val="002D3139"/>
    <w:rsid w:val="002D3C0E"/>
    <w:rsid w:val="002D4710"/>
    <w:rsid w:val="002D48B5"/>
    <w:rsid w:val="002D4F3C"/>
    <w:rsid w:val="002D573A"/>
    <w:rsid w:val="002D5DB7"/>
    <w:rsid w:val="002D6386"/>
    <w:rsid w:val="002D64ED"/>
    <w:rsid w:val="002D6C18"/>
    <w:rsid w:val="002D71E7"/>
    <w:rsid w:val="002D73EE"/>
    <w:rsid w:val="002D7D4A"/>
    <w:rsid w:val="002D7FE0"/>
    <w:rsid w:val="002E0A60"/>
    <w:rsid w:val="002E0F9B"/>
    <w:rsid w:val="002E112E"/>
    <w:rsid w:val="002E14F3"/>
    <w:rsid w:val="002E2E27"/>
    <w:rsid w:val="002E3B9A"/>
    <w:rsid w:val="002E4823"/>
    <w:rsid w:val="002E4F6C"/>
    <w:rsid w:val="002E516D"/>
    <w:rsid w:val="002E5555"/>
    <w:rsid w:val="002E59E4"/>
    <w:rsid w:val="002E5AA4"/>
    <w:rsid w:val="002E5BBC"/>
    <w:rsid w:val="002E5D10"/>
    <w:rsid w:val="002E5E94"/>
    <w:rsid w:val="002E6BEF"/>
    <w:rsid w:val="002E6EBF"/>
    <w:rsid w:val="002E6EEE"/>
    <w:rsid w:val="002E76FB"/>
    <w:rsid w:val="002E7869"/>
    <w:rsid w:val="002E79F8"/>
    <w:rsid w:val="002F0460"/>
    <w:rsid w:val="002F04D5"/>
    <w:rsid w:val="002F19D6"/>
    <w:rsid w:val="002F1AED"/>
    <w:rsid w:val="002F22C4"/>
    <w:rsid w:val="002F25FE"/>
    <w:rsid w:val="002F2710"/>
    <w:rsid w:val="002F463D"/>
    <w:rsid w:val="002F4B2D"/>
    <w:rsid w:val="002F4E34"/>
    <w:rsid w:val="002F4ED8"/>
    <w:rsid w:val="002F5ABB"/>
    <w:rsid w:val="002F5BED"/>
    <w:rsid w:val="002F6624"/>
    <w:rsid w:val="002F6DC9"/>
    <w:rsid w:val="002F7729"/>
    <w:rsid w:val="00300239"/>
    <w:rsid w:val="0030026F"/>
    <w:rsid w:val="00300CDF"/>
    <w:rsid w:val="00301FD0"/>
    <w:rsid w:val="003021B0"/>
    <w:rsid w:val="00302541"/>
    <w:rsid w:val="00302C67"/>
    <w:rsid w:val="0030311C"/>
    <w:rsid w:val="00303826"/>
    <w:rsid w:val="003039F5"/>
    <w:rsid w:val="003043F1"/>
    <w:rsid w:val="0030448F"/>
    <w:rsid w:val="003049D8"/>
    <w:rsid w:val="00304CC1"/>
    <w:rsid w:val="0030558E"/>
    <w:rsid w:val="00305B35"/>
    <w:rsid w:val="00305BB0"/>
    <w:rsid w:val="00306270"/>
    <w:rsid w:val="00306A09"/>
    <w:rsid w:val="00307223"/>
    <w:rsid w:val="00307310"/>
    <w:rsid w:val="003074A0"/>
    <w:rsid w:val="00307DA5"/>
    <w:rsid w:val="00307EAE"/>
    <w:rsid w:val="003100C0"/>
    <w:rsid w:val="003107D5"/>
    <w:rsid w:val="00310B46"/>
    <w:rsid w:val="00310C48"/>
    <w:rsid w:val="0031161A"/>
    <w:rsid w:val="003119FD"/>
    <w:rsid w:val="00311C60"/>
    <w:rsid w:val="0031262A"/>
    <w:rsid w:val="00312957"/>
    <w:rsid w:val="00313A10"/>
    <w:rsid w:val="00313A58"/>
    <w:rsid w:val="0031476E"/>
    <w:rsid w:val="00314DDE"/>
    <w:rsid w:val="00314F1A"/>
    <w:rsid w:val="00316189"/>
    <w:rsid w:val="003166C5"/>
    <w:rsid w:val="00316BA2"/>
    <w:rsid w:val="00317498"/>
    <w:rsid w:val="00320894"/>
    <w:rsid w:val="00320C19"/>
    <w:rsid w:val="003210C5"/>
    <w:rsid w:val="00321644"/>
    <w:rsid w:val="00321E12"/>
    <w:rsid w:val="00322108"/>
    <w:rsid w:val="0032222C"/>
    <w:rsid w:val="0032248E"/>
    <w:rsid w:val="00322C75"/>
    <w:rsid w:val="00322D0B"/>
    <w:rsid w:val="00322D80"/>
    <w:rsid w:val="0032417C"/>
    <w:rsid w:val="003242B9"/>
    <w:rsid w:val="003244B7"/>
    <w:rsid w:val="0032499F"/>
    <w:rsid w:val="0032520A"/>
    <w:rsid w:val="0032549F"/>
    <w:rsid w:val="00325628"/>
    <w:rsid w:val="00325751"/>
    <w:rsid w:val="00326DB4"/>
    <w:rsid w:val="00327204"/>
    <w:rsid w:val="0032737B"/>
    <w:rsid w:val="00330C6A"/>
    <w:rsid w:val="00330DAF"/>
    <w:rsid w:val="003318FB"/>
    <w:rsid w:val="00332C1B"/>
    <w:rsid w:val="00333D23"/>
    <w:rsid w:val="00334037"/>
    <w:rsid w:val="00334697"/>
    <w:rsid w:val="00334741"/>
    <w:rsid w:val="00334778"/>
    <w:rsid w:val="00335572"/>
    <w:rsid w:val="00335ABD"/>
    <w:rsid w:val="003367F3"/>
    <w:rsid w:val="00336CDA"/>
    <w:rsid w:val="00336D76"/>
    <w:rsid w:val="00336EC9"/>
    <w:rsid w:val="00337EDA"/>
    <w:rsid w:val="003405ED"/>
    <w:rsid w:val="00340CE1"/>
    <w:rsid w:val="00341846"/>
    <w:rsid w:val="0034204F"/>
    <w:rsid w:val="00343B94"/>
    <w:rsid w:val="00344ADF"/>
    <w:rsid w:val="0034528E"/>
    <w:rsid w:val="0034572D"/>
    <w:rsid w:val="0034639E"/>
    <w:rsid w:val="003463D4"/>
    <w:rsid w:val="00347074"/>
    <w:rsid w:val="00347781"/>
    <w:rsid w:val="0034794B"/>
    <w:rsid w:val="00347ED6"/>
    <w:rsid w:val="00347F12"/>
    <w:rsid w:val="003502C2"/>
    <w:rsid w:val="003503BA"/>
    <w:rsid w:val="00350882"/>
    <w:rsid w:val="0035172F"/>
    <w:rsid w:val="00351E35"/>
    <w:rsid w:val="00352798"/>
    <w:rsid w:val="00352821"/>
    <w:rsid w:val="003528A5"/>
    <w:rsid w:val="00352A1B"/>
    <w:rsid w:val="003539CF"/>
    <w:rsid w:val="00354833"/>
    <w:rsid w:val="00355540"/>
    <w:rsid w:val="003557C0"/>
    <w:rsid w:val="00356CFC"/>
    <w:rsid w:val="00357781"/>
    <w:rsid w:val="00357C9B"/>
    <w:rsid w:val="003607DD"/>
    <w:rsid w:val="00360ACB"/>
    <w:rsid w:val="0036160D"/>
    <w:rsid w:val="00361F51"/>
    <w:rsid w:val="0036278A"/>
    <w:rsid w:val="00363B37"/>
    <w:rsid w:val="00364381"/>
    <w:rsid w:val="00364835"/>
    <w:rsid w:val="00364A49"/>
    <w:rsid w:val="003658E6"/>
    <w:rsid w:val="00365B8B"/>
    <w:rsid w:val="00365D6E"/>
    <w:rsid w:val="0036664A"/>
    <w:rsid w:val="0036706B"/>
    <w:rsid w:val="00367528"/>
    <w:rsid w:val="00370207"/>
    <w:rsid w:val="00370942"/>
    <w:rsid w:val="00370C4B"/>
    <w:rsid w:val="00370DBC"/>
    <w:rsid w:val="003711FF"/>
    <w:rsid w:val="0037196A"/>
    <w:rsid w:val="00371A4C"/>
    <w:rsid w:val="00371CFE"/>
    <w:rsid w:val="0037419B"/>
    <w:rsid w:val="00374F0B"/>
    <w:rsid w:val="00375284"/>
    <w:rsid w:val="003759BD"/>
    <w:rsid w:val="0037609D"/>
    <w:rsid w:val="00376644"/>
    <w:rsid w:val="00376A62"/>
    <w:rsid w:val="00376D88"/>
    <w:rsid w:val="00377309"/>
    <w:rsid w:val="00377388"/>
    <w:rsid w:val="00377DF3"/>
    <w:rsid w:val="003800E7"/>
    <w:rsid w:val="003804DF"/>
    <w:rsid w:val="0038077F"/>
    <w:rsid w:val="003815AC"/>
    <w:rsid w:val="00381CC3"/>
    <w:rsid w:val="00381E5C"/>
    <w:rsid w:val="0038253C"/>
    <w:rsid w:val="003827D8"/>
    <w:rsid w:val="00382DFC"/>
    <w:rsid w:val="00382F91"/>
    <w:rsid w:val="00382F92"/>
    <w:rsid w:val="003833BF"/>
    <w:rsid w:val="00383788"/>
    <w:rsid w:val="00383987"/>
    <w:rsid w:val="00383AA2"/>
    <w:rsid w:val="00384A85"/>
    <w:rsid w:val="00384CED"/>
    <w:rsid w:val="00384DD1"/>
    <w:rsid w:val="003852D1"/>
    <w:rsid w:val="003854FF"/>
    <w:rsid w:val="00385AF1"/>
    <w:rsid w:val="003863A2"/>
    <w:rsid w:val="00386407"/>
    <w:rsid w:val="003869CF"/>
    <w:rsid w:val="00386DD7"/>
    <w:rsid w:val="00387C36"/>
    <w:rsid w:val="00387D54"/>
    <w:rsid w:val="0039037D"/>
    <w:rsid w:val="0039065A"/>
    <w:rsid w:val="00390947"/>
    <w:rsid w:val="00391032"/>
    <w:rsid w:val="00391A77"/>
    <w:rsid w:val="00392022"/>
    <w:rsid w:val="00393A47"/>
    <w:rsid w:val="00394590"/>
    <w:rsid w:val="00394A8B"/>
    <w:rsid w:val="00395083"/>
    <w:rsid w:val="00395094"/>
    <w:rsid w:val="003951A1"/>
    <w:rsid w:val="0039537D"/>
    <w:rsid w:val="00396037"/>
    <w:rsid w:val="0039611D"/>
    <w:rsid w:val="0039623B"/>
    <w:rsid w:val="003962BB"/>
    <w:rsid w:val="003962C1"/>
    <w:rsid w:val="00396A11"/>
    <w:rsid w:val="003971EC"/>
    <w:rsid w:val="003A0B87"/>
    <w:rsid w:val="003A0FF9"/>
    <w:rsid w:val="003A1963"/>
    <w:rsid w:val="003A29E8"/>
    <w:rsid w:val="003A2BB5"/>
    <w:rsid w:val="003A37F2"/>
    <w:rsid w:val="003A3AB9"/>
    <w:rsid w:val="003A3B30"/>
    <w:rsid w:val="003A4400"/>
    <w:rsid w:val="003A46C0"/>
    <w:rsid w:val="003A4760"/>
    <w:rsid w:val="003A4956"/>
    <w:rsid w:val="003A4B00"/>
    <w:rsid w:val="003A4C15"/>
    <w:rsid w:val="003A4F97"/>
    <w:rsid w:val="003A51AD"/>
    <w:rsid w:val="003A5262"/>
    <w:rsid w:val="003A5C93"/>
    <w:rsid w:val="003A65D1"/>
    <w:rsid w:val="003A6814"/>
    <w:rsid w:val="003A6C4B"/>
    <w:rsid w:val="003A6D1C"/>
    <w:rsid w:val="003A6E24"/>
    <w:rsid w:val="003A6F9D"/>
    <w:rsid w:val="003A71DE"/>
    <w:rsid w:val="003A73A4"/>
    <w:rsid w:val="003A75B0"/>
    <w:rsid w:val="003A7A09"/>
    <w:rsid w:val="003A7F83"/>
    <w:rsid w:val="003B03ED"/>
    <w:rsid w:val="003B098F"/>
    <w:rsid w:val="003B141C"/>
    <w:rsid w:val="003B1667"/>
    <w:rsid w:val="003B250B"/>
    <w:rsid w:val="003B2E95"/>
    <w:rsid w:val="003B2ECA"/>
    <w:rsid w:val="003B33C3"/>
    <w:rsid w:val="003B38B3"/>
    <w:rsid w:val="003B4183"/>
    <w:rsid w:val="003B4287"/>
    <w:rsid w:val="003B4D65"/>
    <w:rsid w:val="003B54C0"/>
    <w:rsid w:val="003B56A2"/>
    <w:rsid w:val="003B5E9C"/>
    <w:rsid w:val="003B62C2"/>
    <w:rsid w:val="003B74DC"/>
    <w:rsid w:val="003B78C3"/>
    <w:rsid w:val="003B7FD2"/>
    <w:rsid w:val="003C0089"/>
    <w:rsid w:val="003C04CE"/>
    <w:rsid w:val="003C0837"/>
    <w:rsid w:val="003C0E69"/>
    <w:rsid w:val="003C2189"/>
    <w:rsid w:val="003C252C"/>
    <w:rsid w:val="003C25FF"/>
    <w:rsid w:val="003C2BE5"/>
    <w:rsid w:val="003C2E31"/>
    <w:rsid w:val="003C341F"/>
    <w:rsid w:val="003C35D6"/>
    <w:rsid w:val="003C3E0C"/>
    <w:rsid w:val="003C4277"/>
    <w:rsid w:val="003C4F60"/>
    <w:rsid w:val="003C56BE"/>
    <w:rsid w:val="003C5A8D"/>
    <w:rsid w:val="003C63C7"/>
    <w:rsid w:val="003C7074"/>
    <w:rsid w:val="003C7784"/>
    <w:rsid w:val="003C7F92"/>
    <w:rsid w:val="003D0141"/>
    <w:rsid w:val="003D0246"/>
    <w:rsid w:val="003D07CA"/>
    <w:rsid w:val="003D0F93"/>
    <w:rsid w:val="003D10DD"/>
    <w:rsid w:val="003D116D"/>
    <w:rsid w:val="003D20FD"/>
    <w:rsid w:val="003D30A6"/>
    <w:rsid w:val="003D37EC"/>
    <w:rsid w:val="003D45A3"/>
    <w:rsid w:val="003D4727"/>
    <w:rsid w:val="003D5119"/>
    <w:rsid w:val="003D52BD"/>
    <w:rsid w:val="003D5522"/>
    <w:rsid w:val="003D5D67"/>
    <w:rsid w:val="003D6192"/>
    <w:rsid w:val="003D6508"/>
    <w:rsid w:val="003D67FC"/>
    <w:rsid w:val="003D681A"/>
    <w:rsid w:val="003D6A5D"/>
    <w:rsid w:val="003D6BEA"/>
    <w:rsid w:val="003D70D9"/>
    <w:rsid w:val="003E0915"/>
    <w:rsid w:val="003E0984"/>
    <w:rsid w:val="003E0AF3"/>
    <w:rsid w:val="003E1B10"/>
    <w:rsid w:val="003E242C"/>
    <w:rsid w:val="003E2DE2"/>
    <w:rsid w:val="003E3169"/>
    <w:rsid w:val="003E33A7"/>
    <w:rsid w:val="003E3B74"/>
    <w:rsid w:val="003E4347"/>
    <w:rsid w:val="003E4514"/>
    <w:rsid w:val="003E4F5B"/>
    <w:rsid w:val="003E5AE0"/>
    <w:rsid w:val="003E5F70"/>
    <w:rsid w:val="003E5FAE"/>
    <w:rsid w:val="003E6376"/>
    <w:rsid w:val="003E6D12"/>
    <w:rsid w:val="003E75D8"/>
    <w:rsid w:val="003E7A62"/>
    <w:rsid w:val="003E7DF4"/>
    <w:rsid w:val="003F00A7"/>
    <w:rsid w:val="003F0C1F"/>
    <w:rsid w:val="003F0F0F"/>
    <w:rsid w:val="003F1576"/>
    <w:rsid w:val="003F16D0"/>
    <w:rsid w:val="003F1AAC"/>
    <w:rsid w:val="003F1B24"/>
    <w:rsid w:val="003F1BEB"/>
    <w:rsid w:val="003F1E17"/>
    <w:rsid w:val="003F1FB6"/>
    <w:rsid w:val="003F27DE"/>
    <w:rsid w:val="003F27E9"/>
    <w:rsid w:val="003F287B"/>
    <w:rsid w:val="003F2B93"/>
    <w:rsid w:val="003F2CE9"/>
    <w:rsid w:val="003F411F"/>
    <w:rsid w:val="003F459B"/>
    <w:rsid w:val="003F4992"/>
    <w:rsid w:val="003F5343"/>
    <w:rsid w:val="003F53C9"/>
    <w:rsid w:val="003F56C4"/>
    <w:rsid w:val="003F5B67"/>
    <w:rsid w:val="003F6CD3"/>
    <w:rsid w:val="003F6F0F"/>
    <w:rsid w:val="003F739D"/>
    <w:rsid w:val="003F77A2"/>
    <w:rsid w:val="003F7A9E"/>
    <w:rsid w:val="003F7FF0"/>
    <w:rsid w:val="004000A1"/>
    <w:rsid w:val="004006DB"/>
    <w:rsid w:val="004007AB"/>
    <w:rsid w:val="00400BF7"/>
    <w:rsid w:val="00400FDD"/>
    <w:rsid w:val="00401247"/>
    <w:rsid w:val="004016D8"/>
    <w:rsid w:val="0040194E"/>
    <w:rsid w:val="004020CB"/>
    <w:rsid w:val="004025AF"/>
    <w:rsid w:val="004026B1"/>
    <w:rsid w:val="004029F8"/>
    <w:rsid w:val="00403A9E"/>
    <w:rsid w:val="00404A7F"/>
    <w:rsid w:val="00404D6C"/>
    <w:rsid w:val="00405406"/>
    <w:rsid w:val="00405763"/>
    <w:rsid w:val="00405A5E"/>
    <w:rsid w:val="004062A6"/>
    <w:rsid w:val="00406E5A"/>
    <w:rsid w:val="0040795A"/>
    <w:rsid w:val="00407A14"/>
    <w:rsid w:val="00410E76"/>
    <w:rsid w:val="00411011"/>
    <w:rsid w:val="0041189A"/>
    <w:rsid w:val="00411978"/>
    <w:rsid w:val="00411F96"/>
    <w:rsid w:val="00412214"/>
    <w:rsid w:val="00412F49"/>
    <w:rsid w:val="0041338C"/>
    <w:rsid w:val="00413792"/>
    <w:rsid w:val="00413D5A"/>
    <w:rsid w:val="00414195"/>
    <w:rsid w:val="004149DD"/>
    <w:rsid w:val="00414B68"/>
    <w:rsid w:val="00414C04"/>
    <w:rsid w:val="004153D4"/>
    <w:rsid w:val="0041550C"/>
    <w:rsid w:val="004157F9"/>
    <w:rsid w:val="00415F1D"/>
    <w:rsid w:val="0041665A"/>
    <w:rsid w:val="0041700D"/>
    <w:rsid w:val="00417362"/>
    <w:rsid w:val="004175C9"/>
    <w:rsid w:val="004178BE"/>
    <w:rsid w:val="00417D35"/>
    <w:rsid w:val="00420600"/>
    <w:rsid w:val="00420921"/>
    <w:rsid w:val="00420957"/>
    <w:rsid w:val="00420966"/>
    <w:rsid w:val="00421D3C"/>
    <w:rsid w:val="00422492"/>
    <w:rsid w:val="00422E5A"/>
    <w:rsid w:val="00423793"/>
    <w:rsid w:val="00423A19"/>
    <w:rsid w:val="004257A8"/>
    <w:rsid w:val="00426106"/>
    <w:rsid w:val="00426481"/>
    <w:rsid w:val="00426499"/>
    <w:rsid w:val="00426710"/>
    <w:rsid w:val="00426C6C"/>
    <w:rsid w:val="00426F07"/>
    <w:rsid w:val="0042720E"/>
    <w:rsid w:val="004272D4"/>
    <w:rsid w:val="00427756"/>
    <w:rsid w:val="00427A97"/>
    <w:rsid w:val="00427F31"/>
    <w:rsid w:val="00427FA0"/>
    <w:rsid w:val="00430BC9"/>
    <w:rsid w:val="00431368"/>
    <w:rsid w:val="004313CE"/>
    <w:rsid w:val="00431D9B"/>
    <w:rsid w:val="00431F47"/>
    <w:rsid w:val="00432064"/>
    <w:rsid w:val="00432DE3"/>
    <w:rsid w:val="00432E66"/>
    <w:rsid w:val="00435363"/>
    <w:rsid w:val="00435B7B"/>
    <w:rsid w:val="00437519"/>
    <w:rsid w:val="00437ADB"/>
    <w:rsid w:val="00437CB5"/>
    <w:rsid w:val="00437E82"/>
    <w:rsid w:val="0044095B"/>
    <w:rsid w:val="00441CA6"/>
    <w:rsid w:val="004434BE"/>
    <w:rsid w:val="00443A47"/>
    <w:rsid w:val="00443EFB"/>
    <w:rsid w:val="00444A0E"/>
    <w:rsid w:val="00444B5B"/>
    <w:rsid w:val="00444C91"/>
    <w:rsid w:val="004457DE"/>
    <w:rsid w:val="00445F7A"/>
    <w:rsid w:val="004464ED"/>
    <w:rsid w:val="0044682D"/>
    <w:rsid w:val="0044689A"/>
    <w:rsid w:val="00447C89"/>
    <w:rsid w:val="00450504"/>
    <w:rsid w:val="0045241A"/>
    <w:rsid w:val="00452544"/>
    <w:rsid w:val="00453DD4"/>
    <w:rsid w:val="00453E26"/>
    <w:rsid w:val="004546FA"/>
    <w:rsid w:val="00454D36"/>
    <w:rsid w:val="00455298"/>
    <w:rsid w:val="00455B34"/>
    <w:rsid w:val="00455EC0"/>
    <w:rsid w:val="00456597"/>
    <w:rsid w:val="00456821"/>
    <w:rsid w:val="004568E3"/>
    <w:rsid w:val="00456DB1"/>
    <w:rsid w:val="00456F01"/>
    <w:rsid w:val="00457608"/>
    <w:rsid w:val="00457C0E"/>
    <w:rsid w:val="00457DE1"/>
    <w:rsid w:val="00457F2C"/>
    <w:rsid w:val="00460763"/>
    <w:rsid w:val="00460D5B"/>
    <w:rsid w:val="00460E12"/>
    <w:rsid w:val="00460E4E"/>
    <w:rsid w:val="0046115A"/>
    <w:rsid w:val="004614BC"/>
    <w:rsid w:val="00461A49"/>
    <w:rsid w:val="0046211B"/>
    <w:rsid w:val="0046285B"/>
    <w:rsid w:val="00463144"/>
    <w:rsid w:val="0046352D"/>
    <w:rsid w:val="0046361F"/>
    <w:rsid w:val="004644B2"/>
    <w:rsid w:val="004650C7"/>
    <w:rsid w:val="00465C30"/>
    <w:rsid w:val="0046642D"/>
    <w:rsid w:val="00466997"/>
    <w:rsid w:val="00466D6B"/>
    <w:rsid w:val="00466EC3"/>
    <w:rsid w:val="004678F8"/>
    <w:rsid w:val="0047009F"/>
    <w:rsid w:val="00470924"/>
    <w:rsid w:val="00470E20"/>
    <w:rsid w:val="004716BB"/>
    <w:rsid w:val="00471BFB"/>
    <w:rsid w:val="004728BF"/>
    <w:rsid w:val="00472957"/>
    <w:rsid w:val="004732D7"/>
    <w:rsid w:val="00473705"/>
    <w:rsid w:val="00474F55"/>
    <w:rsid w:val="004757D1"/>
    <w:rsid w:val="004758E7"/>
    <w:rsid w:val="00476A3F"/>
    <w:rsid w:val="00476FEF"/>
    <w:rsid w:val="004776D2"/>
    <w:rsid w:val="00477732"/>
    <w:rsid w:val="00480100"/>
    <w:rsid w:val="0048033D"/>
    <w:rsid w:val="004806B4"/>
    <w:rsid w:val="0048107A"/>
    <w:rsid w:val="004816FB"/>
    <w:rsid w:val="00481922"/>
    <w:rsid w:val="004819AA"/>
    <w:rsid w:val="00481CE9"/>
    <w:rsid w:val="00481DC6"/>
    <w:rsid w:val="0048214D"/>
    <w:rsid w:val="004827EB"/>
    <w:rsid w:val="00482CFA"/>
    <w:rsid w:val="00482D1F"/>
    <w:rsid w:val="004839FC"/>
    <w:rsid w:val="00483A0E"/>
    <w:rsid w:val="00483AAD"/>
    <w:rsid w:val="00483C75"/>
    <w:rsid w:val="004851B5"/>
    <w:rsid w:val="004853CC"/>
    <w:rsid w:val="0048548C"/>
    <w:rsid w:val="00485C5F"/>
    <w:rsid w:val="00485E56"/>
    <w:rsid w:val="0048703A"/>
    <w:rsid w:val="0048762C"/>
    <w:rsid w:val="0048782E"/>
    <w:rsid w:val="00487C49"/>
    <w:rsid w:val="00487E55"/>
    <w:rsid w:val="004904AC"/>
    <w:rsid w:val="004905DF"/>
    <w:rsid w:val="004907F8"/>
    <w:rsid w:val="00490B4C"/>
    <w:rsid w:val="00490E0D"/>
    <w:rsid w:val="00492C72"/>
    <w:rsid w:val="00492EDB"/>
    <w:rsid w:val="0049330B"/>
    <w:rsid w:val="00493737"/>
    <w:rsid w:val="004940FA"/>
    <w:rsid w:val="00494422"/>
    <w:rsid w:val="004949B6"/>
    <w:rsid w:val="00494C1D"/>
    <w:rsid w:val="00495608"/>
    <w:rsid w:val="004958E0"/>
    <w:rsid w:val="00496582"/>
    <w:rsid w:val="004968D9"/>
    <w:rsid w:val="00497279"/>
    <w:rsid w:val="004972FC"/>
    <w:rsid w:val="004A0A42"/>
    <w:rsid w:val="004A14A4"/>
    <w:rsid w:val="004A244A"/>
    <w:rsid w:val="004A24A3"/>
    <w:rsid w:val="004A2CD6"/>
    <w:rsid w:val="004A325D"/>
    <w:rsid w:val="004A3BCE"/>
    <w:rsid w:val="004A40F1"/>
    <w:rsid w:val="004A5E2B"/>
    <w:rsid w:val="004A601B"/>
    <w:rsid w:val="004A66B3"/>
    <w:rsid w:val="004A6B27"/>
    <w:rsid w:val="004A6D17"/>
    <w:rsid w:val="004A6FC4"/>
    <w:rsid w:val="004A774E"/>
    <w:rsid w:val="004B0695"/>
    <w:rsid w:val="004B0CB1"/>
    <w:rsid w:val="004B0F39"/>
    <w:rsid w:val="004B0F8E"/>
    <w:rsid w:val="004B1735"/>
    <w:rsid w:val="004B19C4"/>
    <w:rsid w:val="004B1E25"/>
    <w:rsid w:val="004B211E"/>
    <w:rsid w:val="004B219C"/>
    <w:rsid w:val="004B256F"/>
    <w:rsid w:val="004B2ED6"/>
    <w:rsid w:val="004B320A"/>
    <w:rsid w:val="004B3237"/>
    <w:rsid w:val="004B37C9"/>
    <w:rsid w:val="004B4170"/>
    <w:rsid w:val="004B44B6"/>
    <w:rsid w:val="004B4CAA"/>
    <w:rsid w:val="004B4D46"/>
    <w:rsid w:val="004B5358"/>
    <w:rsid w:val="004B625A"/>
    <w:rsid w:val="004B6574"/>
    <w:rsid w:val="004B7208"/>
    <w:rsid w:val="004B75DD"/>
    <w:rsid w:val="004C0160"/>
    <w:rsid w:val="004C0589"/>
    <w:rsid w:val="004C0959"/>
    <w:rsid w:val="004C117C"/>
    <w:rsid w:val="004C11CF"/>
    <w:rsid w:val="004C1B47"/>
    <w:rsid w:val="004C1D33"/>
    <w:rsid w:val="004C21EA"/>
    <w:rsid w:val="004C263E"/>
    <w:rsid w:val="004C2A13"/>
    <w:rsid w:val="004C2A6F"/>
    <w:rsid w:val="004C35C1"/>
    <w:rsid w:val="004C38DD"/>
    <w:rsid w:val="004C4740"/>
    <w:rsid w:val="004C4EF9"/>
    <w:rsid w:val="004C5B83"/>
    <w:rsid w:val="004C6670"/>
    <w:rsid w:val="004C6D43"/>
    <w:rsid w:val="004C6EC0"/>
    <w:rsid w:val="004C7DBC"/>
    <w:rsid w:val="004D0112"/>
    <w:rsid w:val="004D087A"/>
    <w:rsid w:val="004D0D3D"/>
    <w:rsid w:val="004D143B"/>
    <w:rsid w:val="004D1F10"/>
    <w:rsid w:val="004D22BA"/>
    <w:rsid w:val="004D2A1A"/>
    <w:rsid w:val="004D3411"/>
    <w:rsid w:val="004D624A"/>
    <w:rsid w:val="004D6339"/>
    <w:rsid w:val="004D6A70"/>
    <w:rsid w:val="004D6B7C"/>
    <w:rsid w:val="004D779C"/>
    <w:rsid w:val="004E068B"/>
    <w:rsid w:val="004E09A4"/>
    <w:rsid w:val="004E0F2A"/>
    <w:rsid w:val="004E18DD"/>
    <w:rsid w:val="004E23E1"/>
    <w:rsid w:val="004E2DC8"/>
    <w:rsid w:val="004E31BA"/>
    <w:rsid w:val="004E359C"/>
    <w:rsid w:val="004E363B"/>
    <w:rsid w:val="004E3A62"/>
    <w:rsid w:val="004E3BF6"/>
    <w:rsid w:val="004E4560"/>
    <w:rsid w:val="004E4F13"/>
    <w:rsid w:val="004E5459"/>
    <w:rsid w:val="004E5B5C"/>
    <w:rsid w:val="004E5FE0"/>
    <w:rsid w:val="004E6132"/>
    <w:rsid w:val="004E65F3"/>
    <w:rsid w:val="004E6989"/>
    <w:rsid w:val="004E6AB1"/>
    <w:rsid w:val="004E7134"/>
    <w:rsid w:val="004F0ADD"/>
    <w:rsid w:val="004F0D8B"/>
    <w:rsid w:val="004F12F4"/>
    <w:rsid w:val="004F1706"/>
    <w:rsid w:val="004F17B8"/>
    <w:rsid w:val="004F17FD"/>
    <w:rsid w:val="004F1904"/>
    <w:rsid w:val="004F27BF"/>
    <w:rsid w:val="004F3931"/>
    <w:rsid w:val="004F39D7"/>
    <w:rsid w:val="004F3E6E"/>
    <w:rsid w:val="004F3F0B"/>
    <w:rsid w:val="004F55FB"/>
    <w:rsid w:val="004F5B8E"/>
    <w:rsid w:val="004F5B91"/>
    <w:rsid w:val="004F5DE1"/>
    <w:rsid w:val="004F6B60"/>
    <w:rsid w:val="005005B1"/>
    <w:rsid w:val="00500874"/>
    <w:rsid w:val="00500A98"/>
    <w:rsid w:val="00500DB7"/>
    <w:rsid w:val="00501060"/>
    <w:rsid w:val="0050206A"/>
    <w:rsid w:val="00502120"/>
    <w:rsid w:val="005023B7"/>
    <w:rsid w:val="00503C12"/>
    <w:rsid w:val="00503DF8"/>
    <w:rsid w:val="005048B9"/>
    <w:rsid w:val="00504E02"/>
    <w:rsid w:val="0050500D"/>
    <w:rsid w:val="005057A6"/>
    <w:rsid w:val="00505C9A"/>
    <w:rsid w:val="00506D5E"/>
    <w:rsid w:val="0050737B"/>
    <w:rsid w:val="0050747A"/>
    <w:rsid w:val="00507CA8"/>
    <w:rsid w:val="0051041A"/>
    <w:rsid w:val="00510B9B"/>
    <w:rsid w:val="00510EED"/>
    <w:rsid w:val="005113B6"/>
    <w:rsid w:val="005114E3"/>
    <w:rsid w:val="00511F42"/>
    <w:rsid w:val="00512651"/>
    <w:rsid w:val="00512CDF"/>
    <w:rsid w:val="00513A46"/>
    <w:rsid w:val="005141F8"/>
    <w:rsid w:val="0051451F"/>
    <w:rsid w:val="005145F0"/>
    <w:rsid w:val="00514F15"/>
    <w:rsid w:val="00515568"/>
    <w:rsid w:val="00515DE1"/>
    <w:rsid w:val="0051692B"/>
    <w:rsid w:val="00516C1A"/>
    <w:rsid w:val="005177A7"/>
    <w:rsid w:val="00517A60"/>
    <w:rsid w:val="00520151"/>
    <w:rsid w:val="005206D0"/>
    <w:rsid w:val="00520E49"/>
    <w:rsid w:val="00520EC2"/>
    <w:rsid w:val="00521A17"/>
    <w:rsid w:val="0052217F"/>
    <w:rsid w:val="0052283F"/>
    <w:rsid w:val="00522C08"/>
    <w:rsid w:val="00522DD8"/>
    <w:rsid w:val="00523668"/>
    <w:rsid w:val="00523757"/>
    <w:rsid w:val="00523A1F"/>
    <w:rsid w:val="00523D21"/>
    <w:rsid w:val="00523F5C"/>
    <w:rsid w:val="0052499B"/>
    <w:rsid w:val="005255D1"/>
    <w:rsid w:val="00525E57"/>
    <w:rsid w:val="0052629F"/>
    <w:rsid w:val="00526878"/>
    <w:rsid w:val="00526BBA"/>
    <w:rsid w:val="00527281"/>
    <w:rsid w:val="0052739F"/>
    <w:rsid w:val="005276BC"/>
    <w:rsid w:val="00530111"/>
    <w:rsid w:val="005306BA"/>
    <w:rsid w:val="005314B7"/>
    <w:rsid w:val="005317E3"/>
    <w:rsid w:val="00531817"/>
    <w:rsid w:val="00531A48"/>
    <w:rsid w:val="0053259D"/>
    <w:rsid w:val="00532CBD"/>
    <w:rsid w:val="00533756"/>
    <w:rsid w:val="00533A09"/>
    <w:rsid w:val="005343F6"/>
    <w:rsid w:val="005345E5"/>
    <w:rsid w:val="00534BCA"/>
    <w:rsid w:val="00534D00"/>
    <w:rsid w:val="00535402"/>
    <w:rsid w:val="005357CA"/>
    <w:rsid w:val="00536BE3"/>
    <w:rsid w:val="00536D0A"/>
    <w:rsid w:val="005375BB"/>
    <w:rsid w:val="00537F76"/>
    <w:rsid w:val="00537FB0"/>
    <w:rsid w:val="00540555"/>
    <w:rsid w:val="00542AD3"/>
    <w:rsid w:val="00542F35"/>
    <w:rsid w:val="00543848"/>
    <w:rsid w:val="00543FC1"/>
    <w:rsid w:val="00544713"/>
    <w:rsid w:val="00544A6B"/>
    <w:rsid w:val="00545418"/>
    <w:rsid w:val="005455FD"/>
    <w:rsid w:val="00545DE9"/>
    <w:rsid w:val="005466FD"/>
    <w:rsid w:val="005468AF"/>
    <w:rsid w:val="00546A45"/>
    <w:rsid w:val="005475E0"/>
    <w:rsid w:val="00547877"/>
    <w:rsid w:val="00547E14"/>
    <w:rsid w:val="00547E25"/>
    <w:rsid w:val="00550D51"/>
    <w:rsid w:val="00551138"/>
    <w:rsid w:val="00551164"/>
    <w:rsid w:val="00551D84"/>
    <w:rsid w:val="005520F6"/>
    <w:rsid w:val="0055232E"/>
    <w:rsid w:val="0055362F"/>
    <w:rsid w:val="00553829"/>
    <w:rsid w:val="00553F90"/>
    <w:rsid w:val="00554462"/>
    <w:rsid w:val="0055457A"/>
    <w:rsid w:val="00554AD3"/>
    <w:rsid w:val="00554BDB"/>
    <w:rsid w:val="0055504B"/>
    <w:rsid w:val="005552A6"/>
    <w:rsid w:val="00555564"/>
    <w:rsid w:val="0055570F"/>
    <w:rsid w:val="00555BBC"/>
    <w:rsid w:val="00555EC6"/>
    <w:rsid w:val="00556077"/>
    <w:rsid w:val="005566CD"/>
    <w:rsid w:val="00556E02"/>
    <w:rsid w:val="00557096"/>
    <w:rsid w:val="00557448"/>
    <w:rsid w:val="005601C5"/>
    <w:rsid w:val="00560CA0"/>
    <w:rsid w:val="00561B6D"/>
    <w:rsid w:val="005624F3"/>
    <w:rsid w:val="00562E20"/>
    <w:rsid w:val="00562F6E"/>
    <w:rsid w:val="00563015"/>
    <w:rsid w:val="005632B4"/>
    <w:rsid w:val="00563F0E"/>
    <w:rsid w:val="005648B9"/>
    <w:rsid w:val="00564DCF"/>
    <w:rsid w:val="00565043"/>
    <w:rsid w:val="0056560D"/>
    <w:rsid w:val="00565CAB"/>
    <w:rsid w:val="00566BD7"/>
    <w:rsid w:val="00567DF4"/>
    <w:rsid w:val="00567E5D"/>
    <w:rsid w:val="00567E9C"/>
    <w:rsid w:val="0057014E"/>
    <w:rsid w:val="005714D1"/>
    <w:rsid w:val="0057166F"/>
    <w:rsid w:val="00571875"/>
    <w:rsid w:val="005718AE"/>
    <w:rsid w:val="00571F79"/>
    <w:rsid w:val="00572296"/>
    <w:rsid w:val="00573B0E"/>
    <w:rsid w:val="00574A83"/>
    <w:rsid w:val="0057613A"/>
    <w:rsid w:val="00577738"/>
    <w:rsid w:val="005801D4"/>
    <w:rsid w:val="005801F0"/>
    <w:rsid w:val="005802AF"/>
    <w:rsid w:val="00580867"/>
    <w:rsid w:val="0058088B"/>
    <w:rsid w:val="00581101"/>
    <w:rsid w:val="005811EF"/>
    <w:rsid w:val="0058153B"/>
    <w:rsid w:val="00581683"/>
    <w:rsid w:val="00581756"/>
    <w:rsid w:val="00581D64"/>
    <w:rsid w:val="00581F05"/>
    <w:rsid w:val="00581F4C"/>
    <w:rsid w:val="00582338"/>
    <w:rsid w:val="0058236E"/>
    <w:rsid w:val="00582E1B"/>
    <w:rsid w:val="00582FA9"/>
    <w:rsid w:val="005830E6"/>
    <w:rsid w:val="00583196"/>
    <w:rsid w:val="0058367A"/>
    <w:rsid w:val="0058407C"/>
    <w:rsid w:val="005845FA"/>
    <w:rsid w:val="00584703"/>
    <w:rsid w:val="005848C0"/>
    <w:rsid w:val="00584DAA"/>
    <w:rsid w:val="00585FA7"/>
    <w:rsid w:val="00586DB2"/>
    <w:rsid w:val="00587C2A"/>
    <w:rsid w:val="00587D9A"/>
    <w:rsid w:val="00587FCA"/>
    <w:rsid w:val="00590B17"/>
    <w:rsid w:val="00590EE4"/>
    <w:rsid w:val="00590FD7"/>
    <w:rsid w:val="0059120C"/>
    <w:rsid w:val="00591889"/>
    <w:rsid w:val="00592A80"/>
    <w:rsid w:val="005949E4"/>
    <w:rsid w:val="00595445"/>
    <w:rsid w:val="0059549A"/>
    <w:rsid w:val="00595637"/>
    <w:rsid w:val="00596928"/>
    <w:rsid w:val="00596D90"/>
    <w:rsid w:val="00597656"/>
    <w:rsid w:val="0059794D"/>
    <w:rsid w:val="00597B98"/>
    <w:rsid w:val="00597F67"/>
    <w:rsid w:val="005A07B6"/>
    <w:rsid w:val="005A0937"/>
    <w:rsid w:val="005A0D63"/>
    <w:rsid w:val="005A18B5"/>
    <w:rsid w:val="005A27BC"/>
    <w:rsid w:val="005A2911"/>
    <w:rsid w:val="005A3551"/>
    <w:rsid w:val="005A4422"/>
    <w:rsid w:val="005A492D"/>
    <w:rsid w:val="005A49FD"/>
    <w:rsid w:val="005A4A11"/>
    <w:rsid w:val="005A5D07"/>
    <w:rsid w:val="005A5D42"/>
    <w:rsid w:val="005A5E82"/>
    <w:rsid w:val="005A60B1"/>
    <w:rsid w:val="005A60D0"/>
    <w:rsid w:val="005A644B"/>
    <w:rsid w:val="005A6599"/>
    <w:rsid w:val="005A6D91"/>
    <w:rsid w:val="005A70D6"/>
    <w:rsid w:val="005A71F8"/>
    <w:rsid w:val="005A76DC"/>
    <w:rsid w:val="005B0324"/>
    <w:rsid w:val="005B03AE"/>
    <w:rsid w:val="005B06B6"/>
    <w:rsid w:val="005B06EB"/>
    <w:rsid w:val="005B0878"/>
    <w:rsid w:val="005B093E"/>
    <w:rsid w:val="005B09B9"/>
    <w:rsid w:val="005B0B2C"/>
    <w:rsid w:val="005B0FC4"/>
    <w:rsid w:val="005B32CD"/>
    <w:rsid w:val="005B35BC"/>
    <w:rsid w:val="005B3977"/>
    <w:rsid w:val="005B4234"/>
    <w:rsid w:val="005B438B"/>
    <w:rsid w:val="005B4BD0"/>
    <w:rsid w:val="005B5251"/>
    <w:rsid w:val="005B6B60"/>
    <w:rsid w:val="005B724A"/>
    <w:rsid w:val="005B76E4"/>
    <w:rsid w:val="005C0536"/>
    <w:rsid w:val="005C0E51"/>
    <w:rsid w:val="005C104F"/>
    <w:rsid w:val="005C122D"/>
    <w:rsid w:val="005C15C0"/>
    <w:rsid w:val="005C1D68"/>
    <w:rsid w:val="005C2B87"/>
    <w:rsid w:val="005C2D83"/>
    <w:rsid w:val="005C2D90"/>
    <w:rsid w:val="005C3578"/>
    <w:rsid w:val="005C35E3"/>
    <w:rsid w:val="005C3941"/>
    <w:rsid w:val="005C3C44"/>
    <w:rsid w:val="005C3DB8"/>
    <w:rsid w:val="005C4566"/>
    <w:rsid w:val="005C517A"/>
    <w:rsid w:val="005C5439"/>
    <w:rsid w:val="005C6587"/>
    <w:rsid w:val="005C6E92"/>
    <w:rsid w:val="005C7577"/>
    <w:rsid w:val="005C75AA"/>
    <w:rsid w:val="005C77F7"/>
    <w:rsid w:val="005C7A30"/>
    <w:rsid w:val="005D093F"/>
    <w:rsid w:val="005D0A08"/>
    <w:rsid w:val="005D0B45"/>
    <w:rsid w:val="005D153B"/>
    <w:rsid w:val="005D1691"/>
    <w:rsid w:val="005D1C1F"/>
    <w:rsid w:val="005D200F"/>
    <w:rsid w:val="005D2EA5"/>
    <w:rsid w:val="005D31A8"/>
    <w:rsid w:val="005D3627"/>
    <w:rsid w:val="005D3B9A"/>
    <w:rsid w:val="005D3F80"/>
    <w:rsid w:val="005D42E7"/>
    <w:rsid w:val="005D4406"/>
    <w:rsid w:val="005D44E6"/>
    <w:rsid w:val="005D49AC"/>
    <w:rsid w:val="005D4D03"/>
    <w:rsid w:val="005D5883"/>
    <w:rsid w:val="005D6979"/>
    <w:rsid w:val="005D697F"/>
    <w:rsid w:val="005D6A61"/>
    <w:rsid w:val="005D6B9E"/>
    <w:rsid w:val="005D778A"/>
    <w:rsid w:val="005D7EEA"/>
    <w:rsid w:val="005E00A4"/>
    <w:rsid w:val="005E0527"/>
    <w:rsid w:val="005E05EF"/>
    <w:rsid w:val="005E1673"/>
    <w:rsid w:val="005E1ED2"/>
    <w:rsid w:val="005E204B"/>
    <w:rsid w:val="005E20CD"/>
    <w:rsid w:val="005E23E0"/>
    <w:rsid w:val="005E2982"/>
    <w:rsid w:val="005E30B8"/>
    <w:rsid w:val="005E41D5"/>
    <w:rsid w:val="005E4C07"/>
    <w:rsid w:val="005E4D4B"/>
    <w:rsid w:val="005E50A7"/>
    <w:rsid w:val="005E557C"/>
    <w:rsid w:val="005E6A4F"/>
    <w:rsid w:val="005E7490"/>
    <w:rsid w:val="005E7A6F"/>
    <w:rsid w:val="005E7D2C"/>
    <w:rsid w:val="005E7DCB"/>
    <w:rsid w:val="005F0435"/>
    <w:rsid w:val="005F0A36"/>
    <w:rsid w:val="005F1446"/>
    <w:rsid w:val="005F2124"/>
    <w:rsid w:val="005F2143"/>
    <w:rsid w:val="005F244C"/>
    <w:rsid w:val="005F257F"/>
    <w:rsid w:val="005F2943"/>
    <w:rsid w:val="005F38BD"/>
    <w:rsid w:val="005F3DA3"/>
    <w:rsid w:val="005F4332"/>
    <w:rsid w:val="005F4B40"/>
    <w:rsid w:val="005F564E"/>
    <w:rsid w:val="005F69D8"/>
    <w:rsid w:val="005F6D03"/>
    <w:rsid w:val="005F6FA9"/>
    <w:rsid w:val="005F71E8"/>
    <w:rsid w:val="005F72BB"/>
    <w:rsid w:val="00600E98"/>
    <w:rsid w:val="00602B02"/>
    <w:rsid w:val="00602B22"/>
    <w:rsid w:val="00602B5F"/>
    <w:rsid w:val="00602DB2"/>
    <w:rsid w:val="00603A49"/>
    <w:rsid w:val="00603C24"/>
    <w:rsid w:val="0060524B"/>
    <w:rsid w:val="00605520"/>
    <w:rsid w:val="00605997"/>
    <w:rsid w:val="00605DF0"/>
    <w:rsid w:val="00606C3F"/>
    <w:rsid w:val="00606C95"/>
    <w:rsid w:val="00606E83"/>
    <w:rsid w:val="00606F4A"/>
    <w:rsid w:val="00607A22"/>
    <w:rsid w:val="00607B06"/>
    <w:rsid w:val="00607E08"/>
    <w:rsid w:val="00610654"/>
    <w:rsid w:val="006112C2"/>
    <w:rsid w:val="006118DA"/>
    <w:rsid w:val="00611E43"/>
    <w:rsid w:val="00612103"/>
    <w:rsid w:val="0061237D"/>
    <w:rsid w:val="00612381"/>
    <w:rsid w:val="006128DA"/>
    <w:rsid w:val="00612D13"/>
    <w:rsid w:val="0061339D"/>
    <w:rsid w:val="00613901"/>
    <w:rsid w:val="00613F0E"/>
    <w:rsid w:val="00614270"/>
    <w:rsid w:val="00614AE1"/>
    <w:rsid w:val="00615100"/>
    <w:rsid w:val="0061667B"/>
    <w:rsid w:val="006169C5"/>
    <w:rsid w:val="00616BE2"/>
    <w:rsid w:val="00616DA3"/>
    <w:rsid w:val="006172EB"/>
    <w:rsid w:val="006173F3"/>
    <w:rsid w:val="00617C1C"/>
    <w:rsid w:val="00620547"/>
    <w:rsid w:val="0062285C"/>
    <w:rsid w:val="00622A43"/>
    <w:rsid w:val="00623330"/>
    <w:rsid w:val="006234C1"/>
    <w:rsid w:val="00623D33"/>
    <w:rsid w:val="00624424"/>
    <w:rsid w:val="00624940"/>
    <w:rsid w:val="00624C5C"/>
    <w:rsid w:val="00625F6D"/>
    <w:rsid w:val="00626011"/>
    <w:rsid w:val="0062635B"/>
    <w:rsid w:val="00626C70"/>
    <w:rsid w:val="006270FA"/>
    <w:rsid w:val="006273F1"/>
    <w:rsid w:val="0062754D"/>
    <w:rsid w:val="00630296"/>
    <w:rsid w:val="00630637"/>
    <w:rsid w:val="0063173F"/>
    <w:rsid w:val="006318B9"/>
    <w:rsid w:val="00631E25"/>
    <w:rsid w:val="00631F09"/>
    <w:rsid w:val="00632796"/>
    <w:rsid w:val="00632864"/>
    <w:rsid w:val="00633224"/>
    <w:rsid w:val="00633C00"/>
    <w:rsid w:val="00634074"/>
    <w:rsid w:val="0063438D"/>
    <w:rsid w:val="006347A1"/>
    <w:rsid w:val="00634ACA"/>
    <w:rsid w:val="00634D2C"/>
    <w:rsid w:val="00634EE5"/>
    <w:rsid w:val="00635003"/>
    <w:rsid w:val="0063524D"/>
    <w:rsid w:val="006354AB"/>
    <w:rsid w:val="0063651C"/>
    <w:rsid w:val="0063681D"/>
    <w:rsid w:val="00637098"/>
    <w:rsid w:val="006379EA"/>
    <w:rsid w:val="0064002C"/>
    <w:rsid w:val="006400F3"/>
    <w:rsid w:val="00640C55"/>
    <w:rsid w:val="00641963"/>
    <w:rsid w:val="00641C61"/>
    <w:rsid w:val="00641ED8"/>
    <w:rsid w:val="00643768"/>
    <w:rsid w:val="00643C87"/>
    <w:rsid w:val="00643ED6"/>
    <w:rsid w:val="006458B3"/>
    <w:rsid w:val="00645EEE"/>
    <w:rsid w:val="00646A55"/>
    <w:rsid w:val="006470BC"/>
    <w:rsid w:val="006471A7"/>
    <w:rsid w:val="00647712"/>
    <w:rsid w:val="00647AF9"/>
    <w:rsid w:val="006502FA"/>
    <w:rsid w:val="00650A12"/>
    <w:rsid w:val="00650F3E"/>
    <w:rsid w:val="00653475"/>
    <w:rsid w:val="00654076"/>
    <w:rsid w:val="006554B5"/>
    <w:rsid w:val="00655684"/>
    <w:rsid w:val="006561A8"/>
    <w:rsid w:val="00656A3A"/>
    <w:rsid w:val="006573FA"/>
    <w:rsid w:val="006576E3"/>
    <w:rsid w:val="00657A02"/>
    <w:rsid w:val="006605FA"/>
    <w:rsid w:val="00660622"/>
    <w:rsid w:val="00660659"/>
    <w:rsid w:val="00660F15"/>
    <w:rsid w:val="00661135"/>
    <w:rsid w:val="00661646"/>
    <w:rsid w:val="00662207"/>
    <w:rsid w:val="00662751"/>
    <w:rsid w:val="006630C1"/>
    <w:rsid w:val="00663138"/>
    <w:rsid w:val="00663463"/>
    <w:rsid w:val="00663870"/>
    <w:rsid w:val="00664F6B"/>
    <w:rsid w:val="006650C9"/>
    <w:rsid w:val="006662CA"/>
    <w:rsid w:val="0066689A"/>
    <w:rsid w:val="00666CED"/>
    <w:rsid w:val="00666F83"/>
    <w:rsid w:val="00667BB9"/>
    <w:rsid w:val="00670225"/>
    <w:rsid w:val="0067026C"/>
    <w:rsid w:val="00670628"/>
    <w:rsid w:val="00670A3F"/>
    <w:rsid w:val="00670EF7"/>
    <w:rsid w:val="00671464"/>
    <w:rsid w:val="00671B9C"/>
    <w:rsid w:val="006732F9"/>
    <w:rsid w:val="006738E2"/>
    <w:rsid w:val="006742FA"/>
    <w:rsid w:val="0067560A"/>
    <w:rsid w:val="00676DCC"/>
    <w:rsid w:val="00677F68"/>
    <w:rsid w:val="00680168"/>
    <w:rsid w:val="006806CC"/>
    <w:rsid w:val="00680CD4"/>
    <w:rsid w:val="0068135A"/>
    <w:rsid w:val="006827DC"/>
    <w:rsid w:val="00682E11"/>
    <w:rsid w:val="00683081"/>
    <w:rsid w:val="00683705"/>
    <w:rsid w:val="00683AAB"/>
    <w:rsid w:val="00683B38"/>
    <w:rsid w:val="00684062"/>
    <w:rsid w:val="006840FF"/>
    <w:rsid w:val="00684238"/>
    <w:rsid w:val="00684670"/>
    <w:rsid w:val="006863F6"/>
    <w:rsid w:val="00687687"/>
    <w:rsid w:val="00687B61"/>
    <w:rsid w:val="00687FD2"/>
    <w:rsid w:val="006915E1"/>
    <w:rsid w:val="006917C0"/>
    <w:rsid w:val="00692776"/>
    <w:rsid w:val="00692A08"/>
    <w:rsid w:val="0069351E"/>
    <w:rsid w:val="00693A89"/>
    <w:rsid w:val="00694236"/>
    <w:rsid w:val="00694509"/>
    <w:rsid w:val="00694C2E"/>
    <w:rsid w:val="006951CA"/>
    <w:rsid w:val="00695457"/>
    <w:rsid w:val="006954EF"/>
    <w:rsid w:val="006957B9"/>
    <w:rsid w:val="00695958"/>
    <w:rsid w:val="00695E19"/>
    <w:rsid w:val="0069614A"/>
    <w:rsid w:val="00696F7F"/>
    <w:rsid w:val="0069762F"/>
    <w:rsid w:val="006A0246"/>
    <w:rsid w:val="006A0A6A"/>
    <w:rsid w:val="006A1048"/>
    <w:rsid w:val="006A12B3"/>
    <w:rsid w:val="006A171E"/>
    <w:rsid w:val="006A2600"/>
    <w:rsid w:val="006A27FB"/>
    <w:rsid w:val="006A2C84"/>
    <w:rsid w:val="006A37B6"/>
    <w:rsid w:val="006A3D28"/>
    <w:rsid w:val="006A434D"/>
    <w:rsid w:val="006A50FD"/>
    <w:rsid w:val="006A5726"/>
    <w:rsid w:val="006A5931"/>
    <w:rsid w:val="006A595F"/>
    <w:rsid w:val="006A5B97"/>
    <w:rsid w:val="006A633B"/>
    <w:rsid w:val="006A6C39"/>
    <w:rsid w:val="006B0016"/>
    <w:rsid w:val="006B0039"/>
    <w:rsid w:val="006B010F"/>
    <w:rsid w:val="006B03A2"/>
    <w:rsid w:val="006B167F"/>
    <w:rsid w:val="006B181D"/>
    <w:rsid w:val="006B2253"/>
    <w:rsid w:val="006B2E16"/>
    <w:rsid w:val="006B3593"/>
    <w:rsid w:val="006B3890"/>
    <w:rsid w:val="006B4151"/>
    <w:rsid w:val="006B512A"/>
    <w:rsid w:val="006B55A5"/>
    <w:rsid w:val="006B5CD2"/>
    <w:rsid w:val="006B5D6A"/>
    <w:rsid w:val="006B7E5C"/>
    <w:rsid w:val="006C0698"/>
    <w:rsid w:val="006C0991"/>
    <w:rsid w:val="006C1C78"/>
    <w:rsid w:val="006C1CAD"/>
    <w:rsid w:val="006C22EE"/>
    <w:rsid w:val="006C2514"/>
    <w:rsid w:val="006C3AE0"/>
    <w:rsid w:val="006C3F7E"/>
    <w:rsid w:val="006C4586"/>
    <w:rsid w:val="006C53E4"/>
    <w:rsid w:val="006C5748"/>
    <w:rsid w:val="006C582C"/>
    <w:rsid w:val="006C5983"/>
    <w:rsid w:val="006C5E9E"/>
    <w:rsid w:val="006C60CE"/>
    <w:rsid w:val="006C673A"/>
    <w:rsid w:val="006C6F3F"/>
    <w:rsid w:val="006C7796"/>
    <w:rsid w:val="006D05C0"/>
    <w:rsid w:val="006D1C07"/>
    <w:rsid w:val="006D1C88"/>
    <w:rsid w:val="006D2ACF"/>
    <w:rsid w:val="006D33CE"/>
    <w:rsid w:val="006D3472"/>
    <w:rsid w:val="006D3C16"/>
    <w:rsid w:val="006D55D7"/>
    <w:rsid w:val="006D66D9"/>
    <w:rsid w:val="006D6D6F"/>
    <w:rsid w:val="006D6FBE"/>
    <w:rsid w:val="006D73D9"/>
    <w:rsid w:val="006E0384"/>
    <w:rsid w:val="006E1250"/>
    <w:rsid w:val="006E177C"/>
    <w:rsid w:val="006E1C2B"/>
    <w:rsid w:val="006E1DE6"/>
    <w:rsid w:val="006E20BE"/>
    <w:rsid w:val="006E2D49"/>
    <w:rsid w:val="006E2F0A"/>
    <w:rsid w:val="006E2F58"/>
    <w:rsid w:val="006E358C"/>
    <w:rsid w:val="006E4198"/>
    <w:rsid w:val="006E465E"/>
    <w:rsid w:val="006E4F57"/>
    <w:rsid w:val="006E55B1"/>
    <w:rsid w:val="006E5699"/>
    <w:rsid w:val="006E5964"/>
    <w:rsid w:val="006E5BDA"/>
    <w:rsid w:val="006E67C9"/>
    <w:rsid w:val="006E6A35"/>
    <w:rsid w:val="006E7596"/>
    <w:rsid w:val="006F1370"/>
    <w:rsid w:val="006F1DFF"/>
    <w:rsid w:val="006F1EE2"/>
    <w:rsid w:val="006F21E9"/>
    <w:rsid w:val="006F24FB"/>
    <w:rsid w:val="006F26B3"/>
    <w:rsid w:val="006F2A4A"/>
    <w:rsid w:val="006F2E68"/>
    <w:rsid w:val="006F3633"/>
    <w:rsid w:val="006F3667"/>
    <w:rsid w:val="006F4053"/>
    <w:rsid w:val="006F43F0"/>
    <w:rsid w:val="006F6B55"/>
    <w:rsid w:val="006F7968"/>
    <w:rsid w:val="0070029D"/>
    <w:rsid w:val="00700B38"/>
    <w:rsid w:val="007010E1"/>
    <w:rsid w:val="007014B9"/>
    <w:rsid w:val="00702189"/>
    <w:rsid w:val="0070271F"/>
    <w:rsid w:val="007029FB"/>
    <w:rsid w:val="00702C87"/>
    <w:rsid w:val="00702F2A"/>
    <w:rsid w:val="007035E4"/>
    <w:rsid w:val="0070369E"/>
    <w:rsid w:val="00703DB4"/>
    <w:rsid w:val="00704053"/>
    <w:rsid w:val="00704748"/>
    <w:rsid w:val="0070590D"/>
    <w:rsid w:val="00705D40"/>
    <w:rsid w:val="00706193"/>
    <w:rsid w:val="00706D44"/>
    <w:rsid w:val="00710654"/>
    <w:rsid w:val="00710B2E"/>
    <w:rsid w:val="00710B46"/>
    <w:rsid w:val="0071111F"/>
    <w:rsid w:val="0071160E"/>
    <w:rsid w:val="00711C26"/>
    <w:rsid w:val="007128CB"/>
    <w:rsid w:val="00712ADB"/>
    <w:rsid w:val="00712ED3"/>
    <w:rsid w:val="0071328D"/>
    <w:rsid w:val="00713302"/>
    <w:rsid w:val="00713368"/>
    <w:rsid w:val="007142DA"/>
    <w:rsid w:val="007144CE"/>
    <w:rsid w:val="007153D1"/>
    <w:rsid w:val="00715841"/>
    <w:rsid w:val="00716483"/>
    <w:rsid w:val="0071652A"/>
    <w:rsid w:val="00716A6F"/>
    <w:rsid w:val="00716CAB"/>
    <w:rsid w:val="00717E92"/>
    <w:rsid w:val="007204BB"/>
    <w:rsid w:val="00720824"/>
    <w:rsid w:val="00720D15"/>
    <w:rsid w:val="00721989"/>
    <w:rsid w:val="00722C97"/>
    <w:rsid w:val="007240A9"/>
    <w:rsid w:val="0072452F"/>
    <w:rsid w:val="0072509E"/>
    <w:rsid w:val="0072519C"/>
    <w:rsid w:val="00730660"/>
    <w:rsid w:val="0073159E"/>
    <w:rsid w:val="007317FF"/>
    <w:rsid w:val="00731A41"/>
    <w:rsid w:val="00731F4D"/>
    <w:rsid w:val="00733042"/>
    <w:rsid w:val="0073317B"/>
    <w:rsid w:val="007333BA"/>
    <w:rsid w:val="007335CD"/>
    <w:rsid w:val="00733630"/>
    <w:rsid w:val="00734BEF"/>
    <w:rsid w:val="00734C70"/>
    <w:rsid w:val="00735394"/>
    <w:rsid w:val="00736219"/>
    <w:rsid w:val="007365A0"/>
    <w:rsid w:val="00736998"/>
    <w:rsid w:val="00736FEC"/>
    <w:rsid w:val="00737413"/>
    <w:rsid w:val="0073766A"/>
    <w:rsid w:val="00740443"/>
    <w:rsid w:val="00740731"/>
    <w:rsid w:val="00740E13"/>
    <w:rsid w:val="007412C6"/>
    <w:rsid w:val="007415DA"/>
    <w:rsid w:val="00741D4E"/>
    <w:rsid w:val="007421D1"/>
    <w:rsid w:val="007426D2"/>
    <w:rsid w:val="00742A84"/>
    <w:rsid w:val="00743523"/>
    <w:rsid w:val="007451A7"/>
    <w:rsid w:val="00746518"/>
    <w:rsid w:val="007468FC"/>
    <w:rsid w:val="00746AFC"/>
    <w:rsid w:val="00746C0E"/>
    <w:rsid w:val="00747F24"/>
    <w:rsid w:val="00750F9B"/>
    <w:rsid w:val="0075242B"/>
    <w:rsid w:val="00752453"/>
    <w:rsid w:val="0075291A"/>
    <w:rsid w:val="00753745"/>
    <w:rsid w:val="007539B2"/>
    <w:rsid w:val="00753E34"/>
    <w:rsid w:val="00754559"/>
    <w:rsid w:val="00754B69"/>
    <w:rsid w:val="00755661"/>
    <w:rsid w:val="007559C9"/>
    <w:rsid w:val="00755C94"/>
    <w:rsid w:val="00756759"/>
    <w:rsid w:val="00756882"/>
    <w:rsid w:val="00756A26"/>
    <w:rsid w:val="00756F4D"/>
    <w:rsid w:val="00757810"/>
    <w:rsid w:val="0075785D"/>
    <w:rsid w:val="00760258"/>
    <w:rsid w:val="0076097D"/>
    <w:rsid w:val="00760A19"/>
    <w:rsid w:val="00761237"/>
    <w:rsid w:val="00761FA8"/>
    <w:rsid w:val="007622BF"/>
    <w:rsid w:val="00763780"/>
    <w:rsid w:val="0076397E"/>
    <w:rsid w:val="00763F08"/>
    <w:rsid w:val="0076401B"/>
    <w:rsid w:val="00764417"/>
    <w:rsid w:val="007644E1"/>
    <w:rsid w:val="00764799"/>
    <w:rsid w:val="007648C1"/>
    <w:rsid w:val="0076493B"/>
    <w:rsid w:val="007649B9"/>
    <w:rsid w:val="00764C87"/>
    <w:rsid w:val="007650CB"/>
    <w:rsid w:val="00765232"/>
    <w:rsid w:val="007658DF"/>
    <w:rsid w:val="00765989"/>
    <w:rsid w:val="007661D6"/>
    <w:rsid w:val="00766672"/>
    <w:rsid w:val="00766DB6"/>
    <w:rsid w:val="00767F5D"/>
    <w:rsid w:val="0077033B"/>
    <w:rsid w:val="00770607"/>
    <w:rsid w:val="0077067F"/>
    <w:rsid w:val="00771229"/>
    <w:rsid w:val="007717B1"/>
    <w:rsid w:val="00771C0F"/>
    <w:rsid w:val="00771C4D"/>
    <w:rsid w:val="00771DEB"/>
    <w:rsid w:val="00772CB9"/>
    <w:rsid w:val="00772D66"/>
    <w:rsid w:val="00773492"/>
    <w:rsid w:val="0077373C"/>
    <w:rsid w:val="00774321"/>
    <w:rsid w:val="007747AA"/>
    <w:rsid w:val="007749E9"/>
    <w:rsid w:val="007761E5"/>
    <w:rsid w:val="00777625"/>
    <w:rsid w:val="00777996"/>
    <w:rsid w:val="00777A30"/>
    <w:rsid w:val="00777D6E"/>
    <w:rsid w:val="0078035E"/>
    <w:rsid w:val="00780E04"/>
    <w:rsid w:val="00780F74"/>
    <w:rsid w:val="00781EEC"/>
    <w:rsid w:val="00781FAE"/>
    <w:rsid w:val="0078205F"/>
    <w:rsid w:val="007820A3"/>
    <w:rsid w:val="007820FB"/>
    <w:rsid w:val="007823CD"/>
    <w:rsid w:val="00782429"/>
    <w:rsid w:val="007826D0"/>
    <w:rsid w:val="007829B4"/>
    <w:rsid w:val="007830CF"/>
    <w:rsid w:val="00783FEB"/>
    <w:rsid w:val="00784A6F"/>
    <w:rsid w:val="00784B6E"/>
    <w:rsid w:val="00784EE8"/>
    <w:rsid w:val="007850CF"/>
    <w:rsid w:val="007851FC"/>
    <w:rsid w:val="00785549"/>
    <w:rsid w:val="00785A1A"/>
    <w:rsid w:val="00785C02"/>
    <w:rsid w:val="00786282"/>
    <w:rsid w:val="00786286"/>
    <w:rsid w:val="007870FA"/>
    <w:rsid w:val="00787A06"/>
    <w:rsid w:val="00787E68"/>
    <w:rsid w:val="0079001D"/>
    <w:rsid w:val="007921D2"/>
    <w:rsid w:val="00792397"/>
    <w:rsid w:val="0079259D"/>
    <w:rsid w:val="00792869"/>
    <w:rsid w:val="00792A97"/>
    <w:rsid w:val="00792CA3"/>
    <w:rsid w:val="00792D0E"/>
    <w:rsid w:val="00793408"/>
    <w:rsid w:val="00793885"/>
    <w:rsid w:val="00794021"/>
    <w:rsid w:val="00794575"/>
    <w:rsid w:val="00794F7F"/>
    <w:rsid w:val="00794FFA"/>
    <w:rsid w:val="00795292"/>
    <w:rsid w:val="00795B97"/>
    <w:rsid w:val="00795C3B"/>
    <w:rsid w:val="00795E4E"/>
    <w:rsid w:val="007964CC"/>
    <w:rsid w:val="0079656F"/>
    <w:rsid w:val="00796C00"/>
    <w:rsid w:val="00797211"/>
    <w:rsid w:val="007973C3"/>
    <w:rsid w:val="00797483"/>
    <w:rsid w:val="00797864"/>
    <w:rsid w:val="00797FB1"/>
    <w:rsid w:val="007A14C1"/>
    <w:rsid w:val="007A15BB"/>
    <w:rsid w:val="007A1D40"/>
    <w:rsid w:val="007A1D4A"/>
    <w:rsid w:val="007A1E53"/>
    <w:rsid w:val="007A21D4"/>
    <w:rsid w:val="007A2A83"/>
    <w:rsid w:val="007A2B1C"/>
    <w:rsid w:val="007A2BCB"/>
    <w:rsid w:val="007A2BD8"/>
    <w:rsid w:val="007A2F46"/>
    <w:rsid w:val="007A3D23"/>
    <w:rsid w:val="007A3DBA"/>
    <w:rsid w:val="007A4B94"/>
    <w:rsid w:val="007A5603"/>
    <w:rsid w:val="007A58ED"/>
    <w:rsid w:val="007A63C3"/>
    <w:rsid w:val="007A6E06"/>
    <w:rsid w:val="007A7342"/>
    <w:rsid w:val="007A789B"/>
    <w:rsid w:val="007A7E20"/>
    <w:rsid w:val="007A7FE9"/>
    <w:rsid w:val="007B1038"/>
    <w:rsid w:val="007B148C"/>
    <w:rsid w:val="007B1B5C"/>
    <w:rsid w:val="007B252C"/>
    <w:rsid w:val="007B2D40"/>
    <w:rsid w:val="007B2FB5"/>
    <w:rsid w:val="007B2FDD"/>
    <w:rsid w:val="007B342E"/>
    <w:rsid w:val="007B3B27"/>
    <w:rsid w:val="007B3EAC"/>
    <w:rsid w:val="007B40F6"/>
    <w:rsid w:val="007B5596"/>
    <w:rsid w:val="007B55C3"/>
    <w:rsid w:val="007B6EE2"/>
    <w:rsid w:val="007B73F7"/>
    <w:rsid w:val="007B753C"/>
    <w:rsid w:val="007C05BC"/>
    <w:rsid w:val="007C06C7"/>
    <w:rsid w:val="007C16C1"/>
    <w:rsid w:val="007C16C5"/>
    <w:rsid w:val="007C2FF8"/>
    <w:rsid w:val="007C3049"/>
    <w:rsid w:val="007C3419"/>
    <w:rsid w:val="007C355D"/>
    <w:rsid w:val="007C3A7B"/>
    <w:rsid w:val="007C3E39"/>
    <w:rsid w:val="007C439C"/>
    <w:rsid w:val="007C443E"/>
    <w:rsid w:val="007C4728"/>
    <w:rsid w:val="007C4D5A"/>
    <w:rsid w:val="007C71A5"/>
    <w:rsid w:val="007C74BA"/>
    <w:rsid w:val="007C75D5"/>
    <w:rsid w:val="007C7B22"/>
    <w:rsid w:val="007D03E5"/>
    <w:rsid w:val="007D0B16"/>
    <w:rsid w:val="007D1148"/>
    <w:rsid w:val="007D123B"/>
    <w:rsid w:val="007D1E41"/>
    <w:rsid w:val="007D2ECC"/>
    <w:rsid w:val="007D33E5"/>
    <w:rsid w:val="007D4623"/>
    <w:rsid w:val="007D48A1"/>
    <w:rsid w:val="007D4EB4"/>
    <w:rsid w:val="007D50A5"/>
    <w:rsid w:val="007D5747"/>
    <w:rsid w:val="007D581E"/>
    <w:rsid w:val="007D5865"/>
    <w:rsid w:val="007D58FB"/>
    <w:rsid w:val="007D59AF"/>
    <w:rsid w:val="007D65F2"/>
    <w:rsid w:val="007D73C9"/>
    <w:rsid w:val="007D7C30"/>
    <w:rsid w:val="007E04F0"/>
    <w:rsid w:val="007E11E2"/>
    <w:rsid w:val="007E1661"/>
    <w:rsid w:val="007E1668"/>
    <w:rsid w:val="007E16B9"/>
    <w:rsid w:val="007E1AE5"/>
    <w:rsid w:val="007E1C14"/>
    <w:rsid w:val="007E1CB9"/>
    <w:rsid w:val="007E2227"/>
    <w:rsid w:val="007E3245"/>
    <w:rsid w:val="007E3BD5"/>
    <w:rsid w:val="007E5072"/>
    <w:rsid w:val="007E5637"/>
    <w:rsid w:val="007E67B7"/>
    <w:rsid w:val="007E68D5"/>
    <w:rsid w:val="007E6FEC"/>
    <w:rsid w:val="007E7013"/>
    <w:rsid w:val="007E755F"/>
    <w:rsid w:val="007E7663"/>
    <w:rsid w:val="007F05F7"/>
    <w:rsid w:val="007F0E4F"/>
    <w:rsid w:val="007F0F4A"/>
    <w:rsid w:val="007F2050"/>
    <w:rsid w:val="007F28B1"/>
    <w:rsid w:val="007F2AC2"/>
    <w:rsid w:val="007F2BBB"/>
    <w:rsid w:val="007F2BCA"/>
    <w:rsid w:val="007F2C76"/>
    <w:rsid w:val="007F33D6"/>
    <w:rsid w:val="007F3B35"/>
    <w:rsid w:val="007F3C23"/>
    <w:rsid w:val="007F4056"/>
    <w:rsid w:val="007F417E"/>
    <w:rsid w:val="007F4415"/>
    <w:rsid w:val="007F4D52"/>
    <w:rsid w:val="007F55D8"/>
    <w:rsid w:val="007F5D30"/>
    <w:rsid w:val="007F6C70"/>
    <w:rsid w:val="007F6D55"/>
    <w:rsid w:val="007F77F5"/>
    <w:rsid w:val="0080134F"/>
    <w:rsid w:val="00801387"/>
    <w:rsid w:val="00801607"/>
    <w:rsid w:val="00802454"/>
    <w:rsid w:val="00802E62"/>
    <w:rsid w:val="0080401B"/>
    <w:rsid w:val="00804241"/>
    <w:rsid w:val="00804610"/>
    <w:rsid w:val="008046E5"/>
    <w:rsid w:val="00804DF0"/>
    <w:rsid w:val="00806004"/>
    <w:rsid w:val="008064C7"/>
    <w:rsid w:val="008065DC"/>
    <w:rsid w:val="00807406"/>
    <w:rsid w:val="00807419"/>
    <w:rsid w:val="00807A5B"/>
    <w:rsid w:val="00810849"/>
    <w:rsid w:val="00810B97"/>
    <w:rsid w:val="00811995"/>
    <w:rsid w:val="00811BE3"/>
    <w:rsid w:val="00811C3D"/>
    <w:rsid w:val="00811C54"/>
    <w:rsid w:val="00811DB8"/>
    <w:rsid w:val="008124DF"/>
    <w:rsid w:val="00812CFB"/>
    <w:rsid w:val="00813E67"/>
    <w:rsid w:val="008145B2"/>
    <w:rsid w:val="0081502F"/>
    <w:rsid w:val="00815399"/>
    <w:rsid w:val="00815EE8"/>
    <w:rsid w:val="008166C5"/>
    <w:rsid w:val="00816A00"/>
    <w:rsid w:val="00816BD1"/>
    <w:rsid w:val="00816E1B"/>
    <w:rsid w:val="00816EE8"/>
    <w:rsid w:val="00817172"/>
    <w:rsid w:val="00820A09"/>
    <w:rsid w:val="0082146F"/>
    <w:rsid w:val="00821485"/>
    <w:rsid w:val="0082328E"/>
    <w:rsid w:val="0082339E"/>
    <w:rsid w:val="0082341B"/>
    <w:rsid w:val="00823851"/>
    <w:rsid w:val="00823FE4"/>
    <w:rsid w:val="008248F6"/>
    <w:rsid w:val="00825624"/>
    <w:rsid w:val="00825F86"/>
    <w:rsid w:val="00826767"/>
    <w:rsid w:val="00830622"/>
    <w:rsid w:val="00830B72"/>
    <w:rsid w:val="00831541"/>
    <w:rsid w:val="008323B4"/>
    <w:rsid w:val="00832592"/>
    <w:rsid w:val="00833920"/>
    <w:rsid w:val="00833D85"/>
    <w:rsid w:val="00833EF0"/>
    <w:rsid w:val="0083468A"/>
    <w:rsid w:val="00834EA9"/>
    <w:rsid w:val="00835248"/>
    <w:rsid w:val="00835605"/>
    <w:rsid w:val="00836458"/>
    <w:rsid w:val="008370C3"/>
    <w:rsid w:val="00837C6B"/>
    <w:rsid w:val="00837EAF"/>
    <w:rsid w:val="00840275"/>
    <w:rsid w:val="00840A43"/>
    <w:rsid w:val="00840AEC"/>
    <w:rsid w:val="00840E5B"/>
    <w:rsid w:val="00841016"/>
    <w:rsid w:val="00841475"/>
    <w:rsid w:val="008414CB"/>
    <w:rsid w:val="00841B30"/>
    <w:rsid w:val="00841CF7"/>
    <w:rsid w:val="00841D2B"/>
    <w:rsid w:val="00841FD8"/>
    <w:rsid w:val="00842122"/>
    <w:rsid w:val="008428A9"/>
    <w:rsid w:val="00842D43"/>
    <w:rsid w:val="00842E7C"/>
    <w:rsid w:val="00844E65"/>
    <w:rsid w:val="00844FE8"/>
    <w:rsid w:val="008452D0"/>
    <w:rsid w:val="0084644B"/>
    <w:rsid w:val="0084650F"/>
    <w:rsid w:val="0084655B"/>
    <w:rsid w:val="0084655F"/>
    <w:rsid w:val="00846615"/>
    <w:rsid w:val="008468C2"/>
    <w:rsid w:val="0084697A"/>
    <w:rsid w:val="00846B58"/>
    <w:rsid w:val="00846CF4"/>
    <w:rsid w:val="0084711C"/>
    <w:rsid w:val="008477D2"/>
    <w:rsid w:val="008478A6"/>
    <w:rsid w:val="00847A5A"/>
    <w:rsid w:val="00851287"/>
    <w:rsid w:val="00851624"/>
    <w:rsid w:val="008517A1"/>
    <w:rsid w:val="00851DCE"/>
    <w:rsid w:val="008524FA"/>
    <w:rsid w:val="00852BD7"/>
    <w:rsid w:val="00853A60"/>
    <w:rsid w:val="0085452F"/>
    <w:rsid w:val="00854667"/>
    <w:rsid w:val="00854778"/>
    <w:rsid w:val="00855D80"/>
    <w:rsid w:val="00856082"/>
    <w:rsid w:val="008567AF"/>
    <w:rsid w:val="00856D1C"/>
    <w:rsid w:val="0085716E"/>
    <w:rsid w:val="00857B69"/>
    <w:rsid w:val="00857D32"/>
    <w:rsid w:val="00857DE0"/>
    <w:rsid w:val="00861E00"/>
    <w:rsid w:val="00861EB1"/>
    <w:rsid w:val="00862A6D"/>
    <w:rsid w:val="0086327A"/>
    <w:rsid w:val="00863F54"/>
    <w:rsid w:val="0086448C"/>
    <w:rsid w:val="008645CB"/>
    <w:rsid w:val="008648CA"/>
    <w:rsid w:val="00864915"/>
    <w:rsid w:val="00864C4F"/>
    <w:rsid w:val="00864C53"/>
    <w:rsid w:val="00864E02"/>
    <w:rsid w:val="00865E79"/>
    <w:rsid w:val="00867535"/>
    <w:rsid w:val="00867C30"/>
    <w:rsid w:val="008703C5"/>
    <w:rsid w:val="008709D2"/>
    <w:rsid w:val="0087107C"/>
    <w:rsid w:val="00871A3C"/>
    <w:rsid w:val="00872453"/>
    <w:rsid w:val="008725BB"/>
    <w:rsid w:val="008727A7"/>
    <w:rsid w:val="00873695"/>
    <w:rsid w:val="008738E8"/>
    <w:rsid w:val="00873BCB"/>
    <w:rsid w:val="00874BE5"/>
    <w:rsid w:val="00875536"/>
    <w:rsid w:val="00876306"/>
    <w:rsid w:val="008769D7"/>
    <w:rsid w:val="00876AC0"/>
    <w:rsid w:val="00877853"/>
    <w:rsid w:val="00877AE2"/>
    <w:rsid w:val="00877C8C"/>
    <w:rsid w:val="00877F5A"/>
    <w:rsid w:val="00880383"/>
    <w:rsid w:val="00880479"/>
    <w:rsid w:val="00881423"/>
    <w:rsid w:val="008818EC"/>
    <w:rsid w:val="00881B95"/>
    <w:rsid w:val="00882211"/>
    <w:rsid w:val="008823B7"/>
    <w:rsid w:val="008827A9"/>
    <w:rsid w:val="00882810"/>
    <w:rsid w:val="00882A77"/>
    <w:rsid w:val="008845D0"/>
    <w:rsid w:val="00884E3D"/>
    <w:rsid w:val="008851F7"/>
    <w:rsid w:val="00885506"/>
    <w:rsid w:val="00885C1E"/>
    <w:rsid w:val="008865D4"/>
    <w:rsid w:val="00887576"/>
    <w:rsid w:val="0089131C"/>
    <w:rsid w:val="008919DC"/>
    <w:rsid w:val="00891F4A"/>
    <w:rsid w:val="008926B3"/>
    <w:rsid w:val="008929B4"/>
    <w:rsid w:val="00892AB0"/>
    <w:rsid w:val="00892D55"/>
    <w:rsid w:val="00892E68"/>
    <w:rsid w:val="00893786"/>
    <w:rsid w:val="00893A05"/>
    <w:rsid w:val="00893A36"/>
    <w:rsid w:val="00893C60"/>
    <w:rsid w:val="008942A2"/>
    <w:rsid w:val="008942D4"/>
    <w:rsid w:val="008944BA"/>
    <w:rsid w:val="00894DF3"/>
    <w:rsid w:val="008950D5"/>
    <w:rsid w:val="00895451"/>
    <w:rsid w:val="0089748E"/>
    <w:rsid w:val="00897D04"/>
    <w:rsid w:val="008A05B6"/>
    <w:rsid w:val="008A15C8"/>
    <w:rsid w:val="008A1C3E"/>
    <w:rsid w:val="008A1C50"/>
    <w:rsid w:val="008A1FF1"/>
    <w:rsid w:val="008A2137"/>
    <w:rsid w:val="008A23DE"/>
    <w:rsid w:val="008A25D5"/>
    <w:rsid w:val="008A280B"/>
    <w:rsid w:val="008A3F86"/>
    <w:rsid w:val="008A4B54"/>
    <w:rsid w:val="008A507B"/>
    <w:rsid w:val="008A5548"/>
    <w:rsid w:val="008A5D04"/>
    <w:rsid w:val="008A6E4B"/>
    <w:rsid w:val="008A7A55"/>
    <w:rsid w:val="008A7B70"/>
    <w:rsid w:val="008B0A86"/>
    <w:rsid w:val="008B118A"/>
    <w:rsid w:val="008B20A4"/>
    <w:rsid w:val="008B469B"/>
    <w:rsid w:val="008B4BC0"/>
    <w:rsid w:val="008B5B92"/>
    <w:rsid w:val="008B631C"/>
    <w:rsid w:val="008B64A2"/>
    <w:rsid w:val="008B6CA1"/>
    <w:rsid w:val="008B712A"/>
    <w:rsid w:val="008C00F2"/>
    <w:rsid w:val="008C0774"/>
    <w:rsid w:val="008C1673"/>
    <w:rsid w:val="008C2478"/>
    <w:rsid w:val="008C260A"/>
    <w:rsid w:val="008C267C"/>
    <w:rsid w:val="008C335C"/>
    <w:rsid w:val="008C3A1D"/>
    <w:rsid w:val="008C3B77"/>
    <w:rsid w:val="008C40A4"/>
    <w:rsid w:val="008C448D"/>
    <w:rsid w:val="008C4968"/>
    <w:rsid w:val="008C4C60"/>
    <w:rsid w:val="008C5875"/>
    <w:rsid w:val="008C5C42"/>
    <w:rsid w:val="008C682E"/>
    <w:rsid w:val="008D0631"/>
    <w:rsid w:val="008D0C59"/>
    <w:rsid w:val="008D0C70"/>
    <w:rsid w:val="008D0CA6"/>
    <w:rsid w:val="008D1AF5"/>
    <w:rsid w:val="008D2A1C"/>
    <w:rsid w:val="008D2ADF"/>
    <w:rsid w:val="008D3941"/>
    <w:rsid w:val="008D3FA3"/>
    <w:rsid w:val="008D4028"/>
    <w:rsid w:val="008D4205"/>
    <w:rsid w:val="008D437E"/>
    <w:rsid w:val="008D48DE"/>
    <w:rsid w:val="008D4EBF"/>
    <w:rsid w:val="008D506F"/>
    <w:rsid w:val="008D57C7"/>
    <w:rsid w:val="008D6770"/>
    <w:rsid w:val="008D79E1"/>
    <w:rsid w:val="008D7B69"/>
    <w:rsid w:val="008E0594"/>
    <w:rsid w:val="008E07C7"/>
    <w:rsid w:val="008E289F"/>
    <w:rsid w:val="008E2FE9"/>
    <w:rsid w:val="008E301D"/>
    <w:rsid w:val="008E354A"/>
    <w:rsid w:val="008E35DD"/>
    <w:rsid w:val="008E3943"/>
    <w:rsid w:val="008E39CC"/>
    <w:rsid w:val="008E39E9"/>
    <w:rsid w:val="008E39F3"/>
    <w:rsid w:val="008E42EE"/>
    <w:rsid w:val="008E4543"/>
    <w:rsid w:val="008E48C1"/>
    <w:rsid w:val="008E495C"/>
    <w:rsid w:val="008E4DD8"/>
    <w:rsid w:val="008E5497"/>
    <w:rsid w:val="008E6669"/>
    <w:rsid w:val="008E6C19"/>
    <w:rsid w:val="008E6E66"/>
    <w:rsid w:val="008E7351"/>
    <w:rsid w:val="008E76B4"/>
    <w:rsid w:val="008E77D5"/>
    <w:rsid w:val="008E78BE"/>
    <w:rsid w:val="008F03BF"/>
    <w:rsid w:val="008F05F0"/>
    <w:rsid w:val="008F1D3C"/>
    <w:rsid w:val="008F2791"/>
    <w:rsid w:val="008F2971"/>
    <w:rsid w:val="008F29D7"/>
    <w:rsid w:val="008F2EE4"/>
    <w:rsid w:val="008F2FF7"/>
    <w:rsid w:val="008F3188"/>
    <w:rsid w:val="008F3856"/>
    <w:rsid w:val="008F39C8"/>
    <w:rsid w:val="008F3DC2"/>
    <w:rsid w:val="008F4025"/>
    <w:rsid w:val="008F4186"/>
    <w:rsid w:val="008F4CFE"/>
    <w:rsid w:val="008F523A"/>
    <w:rsid w:val="008F5567"/>
    <w:rsid w:val="008F5A74"/>
    <w:rsid w:val="008F6841"/>
    <w:rsid w:val="008F72E3"/>
    <w:rsid w:val="008F7567"/>
    <w:rsid w:val="008F7B80"/>
    <w:rsid w:val="008F7C32"/>
    <w:rsid w:val="008F7E62"/>
    <w:rsid w:val="008F7F1C"/>
    <w:rsid w:val="00902930"/>
    <w:rsid w:val="00903408"/>
    <w:rsid w:val="00903FC2"/>
    <w:rsid w:val="00904085"/>
    <w:rsid w:val="0090422A"/>
    <w:rsid w:val="00904951"/>
    <w:rsid w:val="00904A79"/>
    <w:rsid w:val="0090536B"/>
    <w:rsid w:val="00905DD6"/>
    <w:rsid w:val="00905E85"/>
    <w:rsid w:val="0090607A"/>
    <w:rsid w:val="009060D1"/>
    <w:rsid w:val="0090656D"/>
    <w:rsid w:val="00906689"/>
    <w:rsid w:val="00906D45"/>
    <w:rsid w:val="009070C5"/>
    <w:rsid w:val="00907150"/>
    <w:rsid w:val="00907F90"/>
    <w:rsid w:val="009111F1"/>
    <w:rsid w:val="009116EA"/>
    <w:rsid w:val="0091254C"/>
    <w:rsid w:val="009125E6"/>
    <w:rsid w:val="00912C7A"/>
    <w:rsid w:val="00912C8B"/>
    <w:rsid w:val="00912D8D"/>
    <w:rsid w:val="00913701"/>
    <w:rsid w:val="00913739"/>
    <w:rsid w:val="00913A8D"/>
    <w:rsid w:val="00913AC9"/>
    <w:rsid w:val="0091500F"/>
    <w:rsid w:val="009152A0"/>
    <w:rsid w:val="00915AB6"/>
    <w:rsid w:val="0091640E"/>
    <w:rsid w:val="0091642A"/>
    <w:rsid w:val="00916710"/>
    <w:rsid w:val="009167B1"/>
    <w:rsid w:val="009169C3"/>
    <w:rsid w:val="00916A7C"/>
    <w:rsid w:val="00916EC7"/>
    <w:rsid w:val="009208E3"/>
    <w:rsid w:val="00920B3A"/>
    <w:rsid w:val="00921328"/>
    <w:rsid w:val="00921795"/>
    <w:rsid w:val="009218E3"/>
    <w:rsid w:val="00921C7B"/>
    <w:rsid w:val="009221E4"/>
    <w:rsid w:val="00922B42"/>
    <w:rsid w:val="00922CB6"/>
    <w:rsid w:val="00923314"/>
    <w:rsid w:val="00923333"/>
    <w:rsid w:val="00923447"/>
    <w:rsid w:val="00923F77"/>
    <w:rsid w:val="00924031"/>
    <w:rsid w:val="00924DE1"/>
    <w:rsid w:val="009256C9"/>
    <w:rsid w:val="00925C84"/>
    <w:rsid w:val="009261B8"/>
    <w:rsid w:val="00926F66"/>
    <w:rsid w:val="00926F76"/>
    <w:rsid w:val="00927243"/>
    <w:rsid w:val="00927510"/>
    <w:rsid w:val="00927629"/>
    <w:rsid w:val="00927CBD"/>
    <w:rsid w:val="00927FB7"/>
    <w:rsid w:val="009307B5"/>
    <w:rsid w:val="009308D4"/>
    <w:rsid w:val="009309D4"/>
    <w:rsid w:val="00930CFE"/>
    <w:rsid w:val="009311B0"/>
    <w:rsid w:val="009316BC"/>
    <w:rsid w:val="00931B4A"/>
    <w:rsid w:val="00932042"/>
    <w:rsid w:val="00933671"/>
    <w:rsid w:val="00933DA8"/>
    <w:rsid w:val="00933E04"/>
    <w:rsid w:val="00933F29"/>
    <w:rsid w:val="00934B1F"/>
    <w:rsid w:val="00934B23"/>
    <w:rsid w:val="009352D2"/>
    <w:rsid w:val="0093539C"/>
    <w:rsid w:val="00935604"/>
    <w:rsid w:val="00935CE0"/>
    <w:rsid w:val="0093643A"/>
    <w:rsid w:val="00936CB1"/>
    <w:rsid w:val="00940090"/>
    <w:rsid w:val="0094130A"/>
    <w:rsid w:val="009414E9"/>
    <w:rsid w:val="009414F7"/>
    <w:rsid w:val="0094160E"/>
    <w:rsid w:val="009416F3"/>
    <w:rsid w:val="00941791"/>
    <w:rsid w:val="00941D2F"/>
    <w:rsid w:val="00941DD8"/>
    <w:rsid w:val="0094243A"/>
    <w:rsid w:val="00942AE1"/>
    <w:rsid w:val="0094403D"/>
    <w:rsid w:val="00944128"/>
    <w:rsid w:val="009442CC"/>
    <w:rsid w:val="00944455"/>
    <w:rsid w:val="009444AF"/>
    <w:rsid w:val="009449AD"/>
    <w:rsid w:val="00944F0E"/>
    <w:rsid w:val="00945308"/>
    <w:rsid w:val="00945345"/>
    <w:rsid w:val="00945586"/>
    <w:rsid w:val="009460B7"/>
    <w:rsid w:val="009464D5"/>
    <w:rsid w:val="009470D9"/>
    <w:rsid w:val="00947294"/>
    <w:rsid w:val="00947305"/>
    <w:rsid w:val="00947A0A"/>
    <w:rsid w:val="00947C42"/>
    <w:rsid w:val="00950290"/>
    <w:rsid w:val="0095065D"/>
    <w:rsid w:val="0095073C"/>
    <w:rsid w:val="009508AF"/>
    <w:rsid w:val="0095154D"/>
    <w:rsid w:val="009521B4"/>
    <w:rsid w:val="009521CF"/>
    <w:rsid w:val="009526B0"/>
    <w:rsid w:val="00952893"/>
    <w:rsid w:val="0095497C"/>
    <w:rsid w:val="00954FA5"/>
    <w:rsid w:val="009552D5"/>
    <w:rsid w:val="009555C2"/>
    <w:rsid w:val="009560DC"/>
    <w:rsid w:val="009562C8"/>
    <w:rsid w:val="009563E0"/>
    <w:rsid w:val="00956AF9"/>
    <w:rsid w:val="00957A07"/>
    <w:rsid w:val="00957C38"/>
    <w:rsid w:val="00957F39"/>
    <w:rsid w:val="00961065"/>
    <w:rsid w:val="00961589"/>
    <w:rsid w:val="00961B43"/>
    <w:rsid w:val="00961B7E"/>
    <w:rsid w:val="0096250C"/>
    <w:rsid w:val="00962D31"/>
    <w:rsid w:val="00962F25"/>
    <w:rsid w:val="00963230"/>
    <w:rsid w:val="00963272"/>
    <w:rsid w:val="0096379F"/>
    <w:rsid w:val="00963A95"/>
    <w:rsid w:val="00963C2F"/>
    <w:rsid w:val="00963FF3"/>
    <w:rsid w:val="009644CB"/>
    <w:rsid w:val="009647DD"/>
    <w:rsid w:val="0096483F"/>
    <w:rsid w:val="009656D8"/>
    <w:rsid w:val="00965FBD"/>
    <w:rsid w:val="009660C1"/>
    <w:rsid w:val="00966E9F"/>
    <w:rsid w:val="009671E1"/>
    <w:rsid w:val="00967CFC"/>
    <w:rsid w:val="00967E2F"/>
    <w:rsid w:val="00970695"/>
    <w:rsid w:val="00971AEF"/>
    <w:rsid w:val="009727FD"/>
    <w:rsid w:val="00972BF7"/>
    <w:rsid w:val="00972CB9"/>
    <w:rsid w:val="00972DD5"/>
    <w:rsid w:val="009733E7"/>
    <w:rsid w:val="009736AD"/>
    <w:rsid w:val="00973F31"/>
    <w:rsid w:val="00974732"/>
    <w:rsid w:val="00974F39"/>
    <w:rsid w:val="00975020"/>
    <w:rsid w:val="009752D0"/>
    <w:rsid w:val="00975815"/>
    <w:rsid w:val="00975FEE"/>
    <w:rsid w:val="00976C53"/>
    <w:rsid w:val="00976E26"/>
    <w:rsid w:val="00976EC0"/>
    <w:rsid w:val="00977369"/>
    <w:rsid w:val="00977A93"/>
    <w:rsid w:val="00977D7F"/>
    <w:rsid w:val="00977E7D"/>
    <w:rsid w:val="009804A0"/>
    <w:rsid w:val="00980503"/>
    <w:rsid w:val="00981481"/>
    <w:rsid w:val="009818B9"/>
    <w:rsid w:val="00981B74"/>
    <w:rsid w:val="00981E2F"/>
    <w:rsid w:val="00981FA9"/>
    <w:rsid w:val="00982374"/>
    <w:rsid w:val="00982809"/>
    <w:rsid w:val="00982AFE"/>
    <w:rsid w:val="00982C57"/>
    <w:rsid w:val="00982F30"/>
    <w:rsid w:val="00982F94"/>
    <w:rsid w:val="00983131"/>
    <w:rsid w:val="009831BB"/>
    <w:rsid w:val="00983560"/>
    <w:rsid w:val="009843FC"/>
    <w:rsid w:val="00984879"/>
    <w:rsid w:val="0098523B"/>
    <w:rsid w:val="00985632"/>
    <w:rsid w:val="0098568C"/>
    <w:rsid w:val="00985E5C"/>
    <w:rsid w:val="009861B1"/>
    <w:rsid w:val="0098700A"/>
    <w:rsid w:val="00987039"/>
    <w:rsid w:val="009876E2"/>
    <w:rsid w:val="009878C4"/>
    <w:rsid w:val="009905A8"/>
    <w:rsid w:val="009905C8"/>
    <w:rsid w:val="00990E2C"/>
    <w:rsid w:val="00990EBE"/>
    <w:rsid w:val="009919C3"/>
    <w:rsid w:val="00991B63"/>
    <w:rsid w:val="00991DD3"/>
    <w:rsid w:val="009925CE"/>
    <w:rsid w:val="009938C9"/>
    <w:rsid w:val="009939B8"/>
    <w:rsid w:val="00993A46"/>
    <w:rsid w:val="00993A78"/>
    <w:rsid w:val="00993AFF"/>
    <w:rsid w:val="00994219"/>
    <w:rsid w:val="009945FC"/>
    <w:rsid w:val="009951BE"/>
    <w:rsid w:val="009954CF"/>
    <w:rsid w:val="009958DB"/>
    <w:rsid w:val="00996AE0"/>
    <w:rsid w:val="00996B6F"/>
    <w:rsid w:val="00997876"/>
    <w:rsid w:val="00997DD0"/>
    <w:rsid w:val="00997E29"/>
    <w:rsid w:val="00997F4D"/>
    <w:rsid w:val="009A1007"/>
    <w:rsid w:val="009A164B"/>
    <w:rsid w:val="009A20EE"/>
    <w:rsid w:val="009A26BC"/>
    <w:rsid w:val="009A2E70"/>
    <w:rsid w:val="009A36B6"/>
    <w:rsid w:val="009A379C"/>
    <w:rsid w:val="009A387E"/>
    <w:rsid w:val="009A3D3B"/>
    <w:rsid w:val="009A3EBB"/>
    <w:rsid w:val="009A45C4"/>
    <w:rsid w:val="009A476D"/>
    <w:rsid w:val="009A4EC1"/>
    <w:rsid w:val="009A687F"/>
    <w:rsid w:val="009A6E1B"/>
    <w:rsid w:val="009A7235"/>
    <w:rsid w:val="009A757F"/>
    <w:rsid w:val="009B20C1"/>
    <w:rsid w:val="009B2284"/>
    <w:rsid w:val="009B2428"/>
    <w:rsid w:val="009B2BEC"/>
    <w:rsid w:val="009B2BF7"/>
    <w:rsid w:val="009B327C"/>
    <w:rsid w:val="009B360A"/>
    <w:rsid w:val="009B378E"/>
    <w:rsid w:val="009B43DF"/>
    <w:rsid w:val="009B458A"/>
    <w:rsid w:val="009B5BFA"/>
    <w:rsid w:val="009B5CB7"/>
    <w:rsid w:val="009B5CCE"/>
    <w:rsid w:val="009B61CD"/>
    <w:rsid w:val="009B65CE"/>
    <w:rsid w:val="009B664F"/>
    <w:rsid w:val="009B6901"/>
    <w:rsid w:val="009B6A98"/>
    <w:rsid w:val="009B6B3A"/>
    <w:rsid w:val="009B7426"/>
    <w:rsid w:val="009B7B05"/>
    <w:rsid w:val="009C1C3E"/>
    <w:rsid w:val="009C3211"/>
    <w:rsid w:val="009C35E5"/>
    <w:rsid w:val="009C4D42"/>
    <w:rsid w:val="009C519A"/>
    <w:rsid w:val="009C5738"/>
    <w:rsid w:val="009C5784"/>
    <w:rsid w:val="009C5FC7"/>
    <w:rsid w:val="009C6B4F"/>
    <w:rsid w:val="009C6C68"/>
    <w:rsid w:val="009C7173"/>
    <w:rsid w:val="009C7546"/>
    <w:rsid w:val="009C7EB5"/>
    <w:rsid w:val="009D0D2C"/>
    <w:rsid w:val="009D1994"/>
    <w:rsid w:val="009D250C"/>
    <w:rsid w:val="009D2BAC"/>
    <w:rsid w:val="009D3012"/>
    <w:rsid w:val="009D354E"/>
    <w:rsid w:val="009D4319"/>
    <w:rsid w:val="009D4410"/>
    <w:rsid w:val="009D5271"/>
    <w:rsid w:val="009D5431"/>
    <w:rsid w:val="009D56EB"/>
    <w:rsid w:val="009D59AC"/>
    <w:rsid w:val="009D60AD"/>
    <w:rsid w:val="009D7519"/>
    <w:rsid w:val="009D751D"/>
    <w:rsid w:val="009D7AF8"/>
    <w:rsid w:val="009D7F71"/>
    <w:rsid w:val="009E0763"/>
    <w:rsid w:val="009E1B28"/>
    <w:rsid w:val="009E2A5F"/>
    <w:rsid w:val="009E2C6C"/>
    <w:rsid w:val="009E316B"/>
    <w:rsid w:val="009E3938"/>
    <w:rsid w:val="009E3D91"/>
    <w:rsid w:val="009E3E28"/>
    <w:rsid w:val="009E4375"/>
    <w:rsid w:val="009E46A9"/>
    <w:rsid w:val="009E47E2"/>
    <w:rsid w:val="009E58B7"/>
    <w:rsid w:val="009E5D43"/>
    <w:rsid w:val="009E63B4"/>
    <w:rsid w:val="009E6BC0"/>
    <w:rsid w:val="009E7437"/>
    <w:rsid w:val="009E7E2A"/>
    <w:rsid w:val="009F06F7"/>
    <w:rsid w:val="009F081F"/>
    <w:rsid w:val="009F1140"/>
    <w:rsid w:val="009F13D5"/>
    <w:rsid w:val="009F1442"/>
    <w:rsid w:val="009F199B"/>
    <w:rsid w:val="009F1DBD"/>
    <w:rsid w:val="009F20F4"/>
    <w:rsid w:val="009F3032"/>
    <w:rsid w:val="009F3124"/>
    <w:rsid w:val="009F322E"/>
    <w:rsid w:val="009F3334"/>
    <w:rsid w:val="009F440F"/>
    <w:rsid w:val="009F4BF2"/>
    <w:rsid w:val="009F50E5"/>
    <w:rsid w:val="009F572E"/>
    <w:rsid w:val="009F6800"/>
    <w:rsid w:val="009F687A"/>
    <w:rsid w:val="009F7A5B"/>
    <w:rsid w:val="009F7D3F"/>
    <w:rsid w:val="009F7EBD"/>
    <w:rsid w:val="00A0062F"/>
    <w:rsid w:val="00A006C5"/>
    <w:rsid w:val="00A00913"/>
    <w:rsid w:val="00A00FF8"/>
    <w:rsid w:val="00A01217"/>
    <w:rsid w:val="00A01D07"/>
    <w:rsid w:val="00A037AD"/>
    <w:rsid w:val="00A042E8"/>
    <w:rsid w:val="00A04D5E"/>
    <w:rsid w:val="00A04F09"/>
    <w:rsid w:val="00A05B28"/>
    <w:rsid w:val="00A05C6D"/>
    <w:rsid w:val="00A078F5"/>
    <w:rsid w:val="00A07D34"/>
    <w:rsid w:val="00A07E16"/>
    <w:rsid w:val="00A104A8"/>
    <w:rsid w:val="00A105DC"/>
    <w:rsid w:val="00A10612"/>
    <w:rsid w:val="00A11981"/>
    <w:rsid w:val="00A11AF9"/>
    <w:rsid w:val="00A11EDC"/>
    <w:rsid w:val="00A128C5"/>
    <w:rsid w:val="00A12DB4"/>
    <w:rsid w:val="00A12FB9"/>
    <w:rsid w:val="00A1454E"/>
    <w:rsid w:val="00A1469F"/>
    <w:rsid w:val="00A1472D"/>
    <w:rsid w:val="00A14CC6"/>
    <w:rsid w:val="00A14DB5"/>
    <w:rsid w:val="00A14E72"/>
    <w:rsid w:val="00A162B9"/>
    <w:rsid w:val="00A16659"/>
    <w:rsid w:val="00A167D2"/>
    <w:rsid w:val="00A173B6"/>
    <w:rsid w:val="00A1758E"/>
    <w:rsid w:val="00A20232"/>
    <w:rsid w:val="00A21A3C"/>
    <w:rsid w:val="00A21FB0"/>
    <w:rsid w:val="00A227B0"/>
    <w:rsid w:val="00A22A92"/>
    <w:rsid w:val="00A235DC"/>
    <w:rsid w:val="00A23C7D"/>
    <w:rsid w:val="00A249F4"/>
    <w:rsid w:val="00A27026"/>
    <w:rsid w:val="00A2704F"/>
    <w:rsid w:val="00A27991"/>
    <w:rsid w:val="00A27BD4"/>
    <w:rsid w:val="00A27EA6"/>
    <w:rsid w:val="00A3082D"/>
    <w:rsid w:val="00A30F7E"/>
    <w:rsid w:val="00A310E4"/>
    <w:rsid w:val="00A31242"/>
    <w:rsid w:val="00A31EF0"/>
    <w:rsid w:val="00A32EEB"/>
    <w:rsid w:val="00A330B0"/>
    <w:rsid w:val="00A33A3D"/>
    <w:rsid w:val="00A33A62"/>
    <w:rsid w:val="00A33EF3"/>
    <w:rsid w:val="00A34403"/>
    <w:rsid w:val="00A347C8"/>
    <w:rsid w:val="00A35914"/>
    <w:rsid w:val="00A3660A"/>
    <w:rsid w:val="00A3678B"/>
    <w:rsid w:val="00A36B6D"/>
    <w:rsid w:val="00A36F42"/>
    <w:rsid w:val="00A37029"/>
    <w:rsid w:val="00A37215"/>
    <w:rsid w:val="00A3784A"/>
    <w:rsid w:val="00A379BB"/>
    <w:rsid w:val="00A37FDB"/>
    <w:rsid w:val="00A4073F"/>
    <w:rsid w:val="00A4075C"/>
    <w:rsid w:val="00A41A3C"/>
    <w:rsid w:val="00A41CAD"/>
    <w:rsid w:val="00A42757"/>
    <w:rsid w:val="00A42C73"/>
    <w:rsid w:val="00A433F9"/>
    <w:rsid w:val="00A438D7"/>
    <w:rsid w:val="00A43F6A"/>
    <w:rsid w:val="00A441A8"/>
    <w:rsid w:val="00A44630"/>
    <w:rsid w:val="00A451F1"/>
    <w:rsid w:val="00A45BEE"/>
    <w:rsid w:val="00A45C07"/>
    <w:rsid w:val="00A45D50"/>
    <w:rsid w:val="00A502AC"/>
    <w:rsid w:val="00A5039C"/>
    <w:rsid w:val="00A5129A"/>
    <w:rsid w:val="00A51465"/>
    <w:rsid w:val="00A51706"/>
    <w:rsid w:val="00A51959"/>
    <w:rsid w:val="00A5241C"/>
    <w:rsid w:val="00A52530"/>
    <w:rsid w:val="00A52BA6"/>
    <w:rsid w:val="00A52E37"/>
    <w:rsid w:val="00A5376A"/>
    <w:rsid w:val="00A53F4C"/>
    <w:rsid w:val="00A545C1"/>
    <w:rsid w:val="00A54A5F"/>
    <w:rsid w:val="00A54A92"/>
    <w:rsid w:val="00A551BF"/>
    <w:rsid w:val="00A5548C"/>
    <w:rsid w:val="00A556DD"/>
    <w:rsid w:val="00A557E2"/>
    <w:rsid w:val="00A55D52"/>
    <w:rsid w:val="00A564B2"/>
    <w:rsid w:val="00A57190"/>
    <w:rsid w:val="00A57385"/>
    <w:rsid w:val="00A57D02"/>
    <w:rsid w:val="00A60760"/>
    <w:rsid w:val="00A6098C"/>
    <w:rsid w:val="00A60BCB"/>
    <w:rsid w:val="00A61313"/>
    <w:rsid w:val="00A615F7"/>
    <w:rsid w:val="00A616B2"/>
    <w:rsid w:val="00A61791"/>
    <w:rsid w:val="00A61871"/>
    <w:rsid w:val="00A62571"/>
    <w:rsid w:val="00A62698"/>
    <w:rsid w:val="00A6270F"/>
    <w:rsid w:val="00A62722"/>
    <w:rsid w:val="00A62A54"/>
    <w:rsid w:val="00A63109"/>
    <w:rsid w:val="00A63870"/>
    <w:rsid w:val="00A63BE1"/>
    <w:rsid w:val="00A63CA1"/>
    <w:rsid w:val="00A6477C"/>
    <w:rsid w:val="00A64A6F"/>
    <w:rsid w:val="00A66338"/>
    <w:rsid w:val="00A666A6"/>
    <w:rsid w:val="00A6744F"/>
    <w:rsid w:val="00A70524"/>
    <w:rsid w:val="00A705A8"/>
    <w:rsid w:val="00A71288"/>
    <w:rsid w:val="00A715E0"/>
    <w:rsid w:val="00A7197C"/>
    <w:rsid w:val="00A71AE1"/>
    <w:rsid w:val="00A72314"/>
    <w:rsid w:val="00A731D4"/>
    <w:rsid w:val="00A73406"/>
    <w:rsid w:val="00A739A4"/>
    <w:rsid w:val="00A74000"/>
    <w:rsid w:val="00A7410E"/>
    <w:rsid w:val="00A7426F"/>
    <w:rsid w:val="00A74DBE"/>
    <w:rsid w:val="00A76CEF"/>
    <w:rsid w:val="00A77749"/>
    <w:rsid w:val="00A777FE"/>
    <w:rsid w:val="00A77A31"/>
    <w:rsid w:val="00A8006B"/>
    <w:rsid w:val="00A802E3"/>
    <w:rsid w:val="00A80374"/>
    <w:rsid w:val="00A8045A"/>
    <w:rsid w:val="00A80CCF"/>
    <w:rsid w:val="00A8124F"/>
    <w:rsid w:val="00A817AC"/>
    <w:rsid w:val="00A82001"/>
    <w:rsid w:val="00A829BB"/>
    <w:rsid w:val="00A82E59"/>
    <w:rsid w:val="00A832E4"/>
    <w:rsid w:val="00A8350D"/>
    <w:rsid w:val="00A838FD"/>
    <w:rsid w:val="00A83AB7"/>
    <w:rsid w:val="00A8461D"/>
    <w:rsid w:val="00A84622"/>
    <w:rsid w:val="00A846C2"/>
    <w:rsid w:val="00A846DF"/>
    <w:rsid w:val="00A84937"/>
    <w:rsid w:val="00A84A76"/>
    <w:rsid w:val="00A850C8"/>
    <w:rsid w:val="00A858E9"/>
    <w:rsid w:val="00A86E9D"/>
    <w:rsid w:val="00A8736B"/>
    <w:rsid w:val="00A87516"/>
    <w:rsid w:val="00A87DB6"/>
    <w:rsid w:val="00A903A7"/>
    <w:rsid w:val="00A91090"/>
    <w:rsid w:val="00A917D0"/>
    <w:rsid w:val="00A91888"/>
    <w:rsid w:val="00A92F73"/>
    <w:rsid w:val="00A939FB"/>
    <w:rsid w:val="00A93F19"/>
    <w:rsid w:val="00A94561"/>
    <w:rsid w:val="00A945FB"/>
    <w:rsid w:val="00A94A33"/>
    <w:rsid w:val="00A94B35"/>
    <w:rsid w:val="00A95543"/>
    <w:rsid w:val="00A955D2"/>
    <w:rsid w:val="00A9591C"/>
    <w:rsid w:val="00A95BE4"/>
    <w:rsid w:val="00A95FA3"/>
    <w:rsid w:val="00A9672C"/>
    <w:rsid w:val="00A9675A"/>
    <w:rsid w:val="00A96ADD"/>
    <w:rsid w:val="00A96F0E"/>
    <w:rsid w:val="00A96F75"/>
    <w:rsid w:val="00A97610"/>
    <w:rsid w:val="00A978AB"/>
    <w:rsid w:val="00AA009C"/>
    <w:rsid w:val="00AA06B9"/>
    <w:rsid w:val="00AA0D08"/>
    <w:rsid w:val="00AA1002"/>
    <w:rsid w:val="00AA1882"/>
    <w:rsid w:val="00AA20E1"/>
    <w:rsid w:val="00AA34D9"/>
    <w:rsid w:val="00AA43B0"/>
    <w:rsid w:val="00AA44F9"/>
    <w:rsid w:val="00AA510E"/>
    <w:rsid w:val="00AA5760"/>
    <w:rsid w:val="00AA5A03"/>
    <w:rsid w:val="00AA5C99"/>
    <w:rsid w:val="00AA6063"/>
    <w:rsid w:val="00AA6677"/>
    <w:rsid w:val="00AA667A"/>
    <w:rsid w:val="00AA70D3"/>
    <w:rsid w:val="00AA7BC0"/>
    <w:rsid w:val="00AB0824"/>
    <w:rsid w:val="00AB13C2"/>
    <w:rsid w:val="00AB1E20"/>
    <w:rsid w:val="00AB2366"/>
    <w:rsid w:val="00AB26F1"/>
    <w:rsid w:val="00AB38A5"/>
    <w:rsid w:val="00AB3BA3"/>
    <w:rsid w:val="00AB3D80"/>
    <w:rsid w:val="00AB43DD"/>
    <w:rsid w:val="00AB4EB0"/>
    <w:rsid w:val="00AB5168"/>
    <w:rsid w:val="00AB57FF"/>
    <w:rsid w:val="00AB607E"/>
    <w:rsid w:val="00AB7916"/>
    <w:rsid w:val="00AB7984"/>
    <w:rsid w:val="00AC03B2"/>
    <w:rsid w:val="00AC07C5"/>
    <w:rsid w:val="00AC133B"/>
    <w:rsid w:val="00AC1C7B"/>
    <w:rsid w:val="00AC220D"/>
    <w:rsid w:val="00AC2A51"/>
    <w:rsid w:val="00AC32A0"/>
    <w:rsid w:val="00AC3609"/>
    <w:rsid w:val="00AC385F"/>
    <w:rsid w:val="00AC42A4"/>
    <w:rsid w:val="00AC4682"/>
    <w:rsid w:val="00AC65DA"/>
    <w:rsid w:val="00AC6CD1"/>
    <w:rsid w:val="00AC6E66"/>
    <w:rsid w:val="00AC6F9C"/>
    <w:rsid w:val="00AC7CD0"/>
    <w:rsid w:val="00AC7EE1"/>
    <w:rsid w:val="00AD122B"/>
    <w:rsid w:val="00AD154F"/>
    <w:rsid w:val="00AD1AD2"/>
    <w:rsid w:val="00AD29CF"/>
    <w:rsid w:val="00AD3061"/>
    <w:rsid w:val="00AD3507"/>
    <w:rsid w:val="00AD38A1"/>
    <w:rsid w:val="00AD3983"/>
    <w:rsid w:val="00AD40DD"/>
    <w:rsid w:val="00AD4F15"/>
    <w:rsid w:val="00AD5406"/>
    <w:rsid w:val="00AD60DE"/>
    <w:rsid w:val="00AD73D7"/>
    <w:rsid w:val="00AD7939"/>
    <w:rsid w:val="00AE01C5"/>
    <w:rsid w:val="00AE06C7"/>
    <w:rsid w:val="00AE0C6D"/>
    <w:rsid w:val="00AE146C"/>
    <w:rsid w:val="00AE1578"/>
    <w:rsid w:val="00AE1630"/>
    <w:rsid w:val="00AE1BA9"/>
    <w:rsid w:val="00AE21C0"/>
    <w:rsid w:val="00AE23D2"/>
    <w:rsid w:val="00AE26FA"/>
    <w:rsid w:val="00AE27FA"/>
    <w:rsid w:val="00AE3536"/>
    <w:rsid w:val="00AE3B11"/>
    <w:rsid w:val="00AE4930"/>
    <w:rsid w:val="00AE49BB"/>
    <w:rsid w:val="00AE4EB9"/>
    <w:rsid w:val="00AE521E"/>
    <w:rsid w:val="00AE695D"/>
    <w:rsid w:val="00AE6A41"/>
    <w:rsid w:val="00AE7D90"/>
    <w:rsid w:val="00AF0195"/>
    <w:rsid w:val="00AF1DC1"/>
    <w:rsid w:val="00AF1FCC"/>
    <w:rsid w:val="00AF2011"/>
    <w:rsid w:val="00AF27CA"/>
    <w:rsid w:val="00AF2C66"/>
    <w:rsid w:val="00AF32E9"/>
    <w:rsid w:val="00AF35F2"/>
    <w:rsid w:val="00AF3797"/>
    <w:rsid w:val="00AF4650"/>
    <w:rsid w:val="00AF492A"/>
    <w:rsid w:val="00AF4B5B"/>
    <w:rsid w:val="00AF4BD5"/>
    <w:rsid w:val="00AF505A"/>
    <w:rsid w:val="00AF62DF"/>
    <w:rsid w:val="00AF66B8"/>
    <w:rsid w:val="00AF6A71"/>
    <w:rsid w:val="00AF6CD1"/>
    <w:rsid w:val="00AF7528"/>
    <w:rsid w:val="00AF773E"/>
    <w:rsid w:val="00AF77B9"/>
    <w:rsid w:val="00AF798F"/>
    <w:rsid w:val="00AF79AE"/>
    <w:rsid w:val="00AF7F66"/>
    <w:rsid w:val="00B000D5"/>
    <w:rsid w:val="00B003B9"/>
    <w:rsid w:val="00B00801"/>
    <w:rsid w:val="00B00BFD"/>
    <w:rsid w:val="00B00F7F"/>
    <w:rsid w:val="00B01602"/>
    <w:rsid w:val="00B01EE0"/>
    <w:rsid w:val="00B0225E"/>
    <w:rsid w:val="00B02447"/>
    <w:rsid w:val="00B026E2"/>
    <w:rsid w:val="00B02D7C"/>
    <w:rsid w:val="00B03197"/>
    <w:rsid w:val="00B03216"/>
    <w:rsid w:val="00B0345A"/>
    <w:rsid w:val="00B035FA"/>
    <w:rsid w:val="00B0443F"/>
    <w:rsid w:val="00B04734"/>
    <w:rsid w:val="00B05E53"/>
    <w:rsid w:val="00B060E7"/>
    <w:rsid w:val="00B072E4"/>
    <w:rsid w:val="00B07341"/>
    <w:rsid w:val="00B07502"/>
    <w:rsid w:val="00B07C8E"/>
    <w:rsid w:val="00B10510"/>
    <w:rsid w:val="00B110E9"/>
    <w:rsid w:val="00B11511"/>
    <w:rsid w:val="00B1246F"/>
    <w:rsid w:val="00B126E1"/>
    <w:rsid w:val="00B13CAD"/>
    <w:rsid w:val="00B1409C"/>
    <w:rsid w:val="00B150F7"/>
    <w:rsid w:val="00B155B0"/>
    <w:rsid w:val="00B15CFF"/>
    <w:rsid w:val="00B15FD6"/>
    <w:rsid w:val="00B160DE"/>
    <w:rsid w:val="00B1635F"/>
    <w:rsid w:val="00B164D7"/>
    <w:rsid w:val="00B16D6A"/>
    <w:rsid w:val="00B209FF"/>
    <w:rsid w:val="00B2110C"/>
    <w:rsid w:val="00B212E0"/>
    <w:rsid w:val="00B216F3"/>
    <w:rsid w:val="00B2181F"/>
    <w:rsid w:val="00B21CBE"/>
    <w:rsid w:val="00B21CDE"/>
    <w:rsid w:val="00B243B7"/>
    <w:rsid w:val="00B24499"/>
    <w:rsid w:val="00B24EC1"/>
    <w:rsid w:val="00B250FA"/>
    <w:rsid w:val="00B25ACC"/>
    <w:rsid w:val="00B26EA5"/>
    <w:rsid w:val="00B270F6"/>
    <w:rsid w:val="00B2722A"/>
    <w:rsid w:val="00B278B8"/>
    <w:rsid w:val="00B27F1A"/>
    <w:rsid w:val="00B3041C"/>
    <w:rsid w:val="00B305B4"/>
    <w:rsid w:val="00B30D9F"/>
    <w:rsid w:val="00B30F5E"/>
    <w:rsid w:val="00B311D2"/>
    <w:rsid w:val="00B31426"/>
    <w:rsid w:val="00B314B9"/>
    <w:rsid w:val="00B31947"/>
    <w:rsid w:val="00B3356A"/>
    <w:rsid w:val="00B33A17"/>
    <w:rsid w:val="00B33AB9"/>
    <w:rsid w:val="00B33D7E"/>
    <w:rsid w:val="00B33F81"/>
    <w:rsid w:val="00B34140"/>
    <w:rsid w:val="00B34949"/>
    <w:rsid w:val="00B352EF"/>
    <w:rsid w:val="00B35887"/>
    <w:rsid w:val="00B35A89"/>
    <w:rsid w:val="00B3785B"/>
    <w:rsid w:val="00B4058C"/>
    <w:rsid w:val="00B40AA9"/>
    <w:rsid w:val="00B40F48"/>
    <w:rsid w:val="00B411E8"/>
    <w:rsid w:val="00B41486"/>
    <w:rsid w:val="00B41B94"/>
    <w:rsid w:val="00B4217D"/>
    <w:rsid w:val="00B4282B"/>
    <w:rsid w:val="00B4391B"/>
    <w:rsid w:val="00B43A2A"/>
    <w:rsid w:val="00B43AEA"/>
    <w:rsid w:val="00B43CC0"/>
    <w:rsid w:val="00B43D2E"/>
    <w:rsid w:val="00B461D8"/>
    <w:rsid w:val="00B46BD2"/>
    <w:rsid w:val="00B470D8"/>
    <w:rsid w:val="00B47159"/>
    <w:rsid w:val="00B475BA"/>
    <w:rsid w:val="00B47B3A"/>
    <w:rsid w:val="00B5034D"/>
    <w:rsid w:val="00B508DC"/>
    <w:rsid w:val="00B50DD6"/>
    <w:rsid w:val="00B50DFB"/>
    <w:rsid w:val="00B51505"/>
    <w:rsid w:val="00B51662"/>
    <w:rsid w:val="00B51C2B"/>
    <w:rsid w:val="00B520BB"/>
    <w:rsid w:val="00B52BAE"/>
    <w:rsid w:val="00B5304D"/>
    <w:rsid w:val="00B53EFF"/>
    <w:rsid w:val="00B55846"/>
    <w:rsid w:val="00B55D4D"/>
    <w:rsid w:val="00B55D7E"/>
    <w:rsid w:val="00B560D0"/>
    <w:rsid w:val="00B565C1"/>
    <w:rsid w:val="00B56DC7"/>
    <w:rsid w:val="00B57837"/>
    <w:rsid w:val="00B57A20"/>
    <w:rsid w:val="00B57FD6"/>
    <w:rsid w:val="00B604C3"/>
    <w:rsid w:val="00B60E3B"/>
    <w:rsid w:val="00B60E5C"/>
    <w:rsid w:val="00B618BA"/>
    <w:rsid w:val="00B61CBD"/>
    <w:rsid w:val="00B61F23"/>
    <w:rsid w:val="00B622B4"/>
    <w:rsid w:val="00B62C78"/>
    <w:rsid w:val="00B62DD1"/>
    <w:rsid w:val="00B62EC4"/>
    <w:rsid w:val="00B634CA"/>
    <w:rsid w:val="00B6385C"/>
    <w:rsid w:val="00B65083"/>
    <w:rsid w:val="00B657CC"/>
    <w:rsid w:val="00B657F2"/>
    <w:rsid w:val="00B65B83"/>
    <w:rsid w:val="00B65C68"/>
    <w:rsid w:val="00B6675D"/>
    <w:rsid w:val="00B66D60"/>
    <w:rsid w:val="00B66E6C"/>
    <w:rsid w:val="00B67981"/>
    <w:rsid w:val="00B67C16"/>
    <w:rsid w:val="00B70147"/>
    <w:rsid w:val="00B707FD"/>
    <w:rsid w:val="00B70F22"/>
    <w:rsid w:val="00B70F8A"/>
    <w:rsid w:val="00B711EA"/>
    <w:rsid w:val="00B72760"/>
    <w:rsid w:val="00B727CE"/>
    <w:rsid w:val="00B7294F"/>
    <w:rsid w:val="00B72CA2"/>
    <w:rsid w:val="00B73B84"/>
    <w:rsid w:val="00B73CFF"/>
    <w:rsid w:val="00B73E22"/>
    <w:rsid w:val="00B7418B"/>
    <w:rsid w:val="00B74541"/>
    <w:rsid w:val="00B74B0B"/>
    <w:rsid w:val="00B74EDC"/>
    <w:rsid w:val="00B75474"/>
    <w:rsid w:val="00B75726"/>
    <w:rsid w:val="00B75730"/>
    <w:rsid w:val="00B765BC"/>
    <w:rsid w:val="00B76DDE"/>
    <w:rsid w:val="00B77082"/>
    <w:rsid w:val="00B77483"/>
    <w:rsid w:val="00B77828"/>
    <w:rsid w:val="00B77AFC"/>
    <w:rsid w:val="00B8016A"/>
    <w:rsid w:val="00B8111F"/>
    <w:rsid w:val="00B81DA4"/>
    <w:rsid w:val="00B82267"/>
    <w:rsid w:val="00B82294"/>
    <w:rsid w:val="00B825FA"/>
    <w:rsid w:val="00B832ED"/>
    <w:rsid w:val="00B83C41"/>
    <w:rsid w:val="00B8400F"/>
    <w:rsid w:val="00B840E6"/>
    <w:rsid w:val="00B84C1C"/>
    <w:rsid w:val="00B86241"/>
    <w:rsid w:val="00B868B2"/>
    <w:rsid w:val="00B86CA1"/>
    <w:rsid w:val="00B871E9"/>
    <w:rsid w:val="00B87C96"/>
    <w:rsid w:val="00B901DB"/>
    <w:rsid w:val="00B90A00"/>
    <w:rsid w:val="00B9100C"/>
    <w:rsid w:val="00B91B1A"/>
    <w:rsid w:val="00B91D23"/>
    <w:rsid w:val="00B91F83"/>
    <w:rsid w:val="00B9215D"/>
    <w:rsid w:val="00B92253"/>
    <w:rsid w:val="00B93939"/>
    <w:rsid w:val="00B93A85"/>
    <w:rsid w:val="00B944BE"/>
    <w:rsid w:val="00B94565"/>
    <w:rsid w:val="00B94B93"/>
    <w:rsid w:val="00B950B6"/>
    <w:rsid w:val="00B95542"/>
    <w:rsid w:val="00B95B1B"/>
    <w:rsid w:val="00B966CB"/>
    <w:rsid w:val="00B97943"/>
    <w:rsid w:val="00B97A6E"/>
    <w:rsid w:val="00BA0561"/>
    <w:rsid w:val="00BA0945"/>
    <w:rsid w:val="00BA150E"/>
    <w:rsid w:val="00BA1882"/>
    <w:rsid w:val="00BA22B1"/>
    <w:rsid w:val="00BA282D"/>
    <w:rsid w:val="00BA35D8"/>
    <w:rsid w:val="00BA3968"/>
    <w:rsid w:val="00BA4249"/>
    <w:rsid w:val="00BA4F5D"/>
    <w:rsid w:val="00BA5072"/>
    <w:rsid w:val="00BA5093"/>
    <w:rsid w:val="00BA57E5"/>
    <w:rsid w:val="00BA59A7"/>
    <w:rsid w:val="00BA6792"/>
    <w:rsid w:val="00BA692A"/>
    <w:rsid w:val="00BA6AAB"/>
    <w:rsid w:val="00BA79E8"/>
    <w:rsid w:val="00BB04A4"/>
    <w:rsid w:val="00BB0AA4"/>
    <w:rsid w:val="00BB1226"/>
    <w:rsid w:val="00BB15D7"/>
    <w:rsid w:val="00BB27F4"/>
    <w:rsid w:val="00BB2852"/>
    <w:rsid w:val="00BB2E75"/>
    <w:rsid w:val="00BB30EF"/>
    <w:rsid w:val="00BB493D"/>
    <w:rsid w:val="00BB4A93"/>
    <w:rsid w:val="00BB501A"/>
    <w:rsid w:val="00BB5254"/>
    <w:rsid w:val="00BB5358"/>
    <w:rsid w:val="00BB5CAA"/>
    <w:rsid w:val="00BB6197"/>
    <w:rsid w:val="00BB6260"/>
    <w:rsid w:val="00BB6959"/>
    <w:rsid w:val="00BB6B4B"/>
    <w:rsid w:val="00BB71FA"/>
    <w:rsid w:val="00BB72D5"/>
    <w:rsid w:val="00BB747B"/>
    <w:rsid w:val="00BC075A"/>
    <w:rsid w:val="00BC0F54"/>
    <w:rsid w:val="00BC1632"/>
    <w:rsid w:val="00BC1D43"/>
    <w:rsid w:val="00BC1EC9"/>
    <w:rsid w:val="00BC2E73"/>
    <w:rsid w:val="00BC3046"/>
    <w:rsid w:val="00BC320A"/>
    <w:rsid w:val="00BC37C7"/>
    <w:rsid w:val="00BC3AE3"/>
    <w:rsid w:val="00BC3F5E"/>
    <w:rsid w:val="00BC3F82"/>
    <w:rsid w:val="00BC415E"/>
    <w:rsid w:val="00BC469D"/>
    <w:rsid w:val="00BC48A7"/>
    <w:rsid w:val="00BC5796"/>
    <w:rsid w:val="00BC6234"/>
    <w:rsid w:val="00BC64A3"/>
    <w:rsid w:val="00BC6BB9"/>
    <w:rsid w:val="00BC6F75"/>
    <w:rsid w:val="00BC7593"/>
    <w:rsid w:val="00BD1332"/>
    <w:rsid w:val="00BD1423"/>
    <w:rsid w:val="00BD17FF"/>
    <w:rsid w:val="00BD1A68"/>
    <w:rsid w:val="00BD1D54"/>
    <w:rsid w:val="00BD1E4F"/>
    <w:rsid w:val="00BD1E7D"/>
    <w:rsid w:val="00BD2047"/>
    <w:rsid w:val="00BD2AFD"/>
    <w:rsid w:val="00BD36C4"/>
    <w:rsid w:val="00BD46A7"/>
    <w:rsid w:val="00BD4E60"/>
    <w:rsid w:val="00BD4F18"/>
    <w:rsid w:val="00BD5422"/>
    <w:rsid w:val="00BD5965"/>
    <w:rsid w:val="00BD5E93"/>
    <w:rsid w:val="00BD6510"/>
    <w:rsid w:val="00BD6937"/>
    <w:rsid w:val="00BD6CA0"/>
    <w:rsid w:val="00BD740C"/>
    <w:rsid w:val="00BD7668"/>
    <w:rsid w:val="00BD7911"/>
    <w:rsid w:val="00BD7BE6"/>
    <w:rsid w:val="00BE02B4"/>
    <w:rsid w:val="00BE0329"/>
    <w:rsid w:val="00BE0545"/>
    <w:rsid w:val="00BE066C"/>
    <w:rsid w:val="00BE0A35"/>
    <w:rsid w:val="00BE0CB3"/>
    <w:rsid w:val="00BE1617"/>
    <w:rsid w:val="00BE1E0E"/>
    <w:rsid w:val="00BE22C7"/>
    <w:rsid w:val="00BE2665"/>
    <w:rsid w:val="00BE3089"/>
    <w:rsid w:val="00BE338B"/>
    <w:rsid w:val="00BE3B6E"/>
    <w:rsid w:val="00BE4185"/>
    <w:rsid w:val="00BE43A2"/>
    <w:rsid w:val="00BE48B3"/>
    <w:rsid w:val="00BE4984"/>
    <w:rsid w:val="00BE4C5E"/>
    <w:rsid w:val="00BE51C5"/>
    <w:rsid w:val="00BE52FD"/>
    <w:rsid w:val="00BE5775"/>
    <w:rsid w:val="00BE58E8"/>
    <w:rsid w:val="00BE5DE5"/>
    <w:rsid w:val="00BE6144"/>
    <w:rsid w:val="00BE61E6"/>
    <w:rsid w:val="00BE63A7"/>
    <w:rsid w:val="00BE6870"/>
    <w:rsid w:val="00BE742F"/>
    <w:rsid w:val="00BF007B"/>
    <w:rsid w:val="00BF014F"/>
    <w:rsid w:val="00BF04AC"/>
    <w:rsid w:val="00BF0BD6"/>
    <w:rsid w:val="00BF10F4"/>
    <w:rsid w:val="00BF1274"/>
    <w:rsid w:val="00BF12AC"/>
    <w:rsid w:val="00BF1E8E"/>
    <w:rsid w:val="00BF2860"/>
    <w:rsid w:val="00BF2D0E"/>
    <w:rsid w:val="00BF334D"/>
    <w:rsid w:val="00BF4277"/>
    <w:rsid w:val="00BF451A"/>
    <w:rsid w:val="00BF48C5"/>
    <w:rsid w:val="00BF4A81"/>
    <w:rsid w:val="00BF4C15"/>
    <w:rsid w:val="00BF4CF2"/>
    <w:rsid w:val="00BF5799"/>
    <w:rsid w:val="00BF6229"/>
    <w:rsid w:val="00BF633E"/>
    <w:rsid w:val="00BF65B8"/>
    <w:rsid w:val="00BF71D4"/>
    <w:rsid w:val="00BF7368"/>
    <w:rsid w:val="00BF7A33"/>
    <w:rsid w:val="00BF7F26"/>
    <w:rsid w:val="00C00195"/>
    <w:rsid w:val="00C00D68"/>
    <w:rsid w:val="00C04F26"/>
    <w:rsid w:val="00C05E74"/>
    <w:rsid w:val="00C05EEB"/>
    <w:rsid w:val="00C06A55"/>
    <w:rsid w:val="00C06CEC"/>
    <w:rsid w:val="00C06E97"/>
    <w:rsid w:val="00C07B2C"/>
    <w:rsid w:val="00C07D1B"/>
    <w:rsid w:val="00C07DB8"/>
    <w:rsid w:val="00C07FC8"/>
    <w:rsid w:val="00C1001C"/>
    <w:rsid w:val="00C10C19"/>
    <w:rsid w:val="00C11658"/>
    <w:rsid w:val="00C11707"/>
    <w:rsid w:val="00C127C5"/>
    <w:rsid w:val="00C12E2F"/>
    <w:rsid w:val="00C137DF"/>
    <w:rsid w:val="00C13A81"/>
    <w:rsid w:val="00C143B8"/>
    <w:rsid w:val="00C144A5"/>
    <w:rsid w:val="00C14DAC"/>
    <w:rsid w:val="00C14F56"/>
    <w:rsid w:val="00C15179"/>
    <w:rsid w:val="00C157B0"/>
    <w:rsid w:val="00C1635D"/>
    <w:rsid w:val="00C167BF"/>
    <w:rsid w:val="00C169F7"/>
    <w:rsid w:val="00C16A56"/>
    <w:rsid w:val="00C17142"/>
    <w:rsid w:val="00C17254"/>
    <w:rsid w:val="00C177C6"/>
    <w:rsid w:val="00C17D02"/>
    <w:rsid w:val="00C20011"/>
    <w:rsid w:val="00C20713"/>
    <w:rsid w:val="00C20A92"/>
    <w:rsid w:val="00C20D89"/>
    <w:rsid w:val="00C21080"/>
    <w:rsid w:val="00C2127F"/>
    <w:rsid w:val="00C229AB"/>
    <w:rsid w:val="00C229E9"/>
    <w:rsid w:val="00C22AC5"/>
    <w:rsid w:val="00C2322E"/>
    <w:rsid w:val="00C23813"/>
    <w:rsid w:val="00C24218"/>
    <w:rsid w:val="00C243E1"/>
    <w:rsid w:val="00C24513"/>
    <w:rsid w:val="00C246DE"/>
    <w:rsid w:val="00C24D35"/>
    <w:rsid w:val="00C24ED6"/>
    <w:rsid w:val="00C25360"/>
    <w:rsid w:val="00C25494"/>
    <w:rsid w:val="00C25EE1"/>
    <w:rsid w:val="00C27676"/>
    <w:rsid w:val="00C31029"/>
    <w:rsid w:val="00C32026"/>
    <w:rsid w:val="00C3297F"/>
    <w:rsid w:val="00C32B73"/>
    <w:rsid w:val="00C32C8B"/>
    <w:rsid w:val="00C33022"/>
    <w:rsid w:val="00C33265"/>
    <w:rsid w:val="00C3373F"/>
    <w:rsid w:val="00C34115"/>
    <w:rsid w:val="00C34493"/>
    <w:rsid w:val="00C34E28"/>
    <w:rsid w:val="00C34E3F"/>
    <w:rsid w:val="00C34FC5"/>
    <w:rsid w:val="00C34FDE"/>
    <w:rsid w:val="00C35729"/>
    <w:rsid w:val="00C35BD3"/>
    <w:rsid w:val="00C35BF5"/>
    <w:rsid w:val="00C35E71"/>
    <w:rsid w:val="00C368B4"/>
    <w:rsid w:val="00C373FE"/>
    <w:rsid w:val="00C37536"/>
    <w:rsid w:val="00C379C4"/>
    <w:rsid w:val="00C37CF0"/>
    <w:rsid w:val="00C401A9"/>
    <w:rsid w:val="00C41016"/>
    <w:rsid w:val="00C41250"/>
    <w:rsid w:val="00C41A44"/>
    <w:rsid w:val="00C42D45"/>
    <w:rsid w:val="00C431C1"/>
    <w:rsid w:val="00C432F0"/>
    <w:rsid w:val="00C43826"/>
    <w:rsid w:val="00C43C4D"/>
    <w:rsid w:val="00C43CCD"/>
    <w:rsid w:val="00C43F6F"/>
    <w:rsid w:val="00C4455B"/>
    <w:rsid w:val="00C448FD"/>
    <w:rsid w:val="00C457F8"/>
    <w:rsid w:val="00C45984"/>
    <w:rsid w:val="00C46264"/>
    <w:rsid w:val="00C464A9"/>
    <w:rsid w:val="00C466AF"/>
    <w:rsid w:val="00C4673C"/>
    <w:rsid w:val="00C46ADC"/>
    <w:rsid w:val="00C477CF"/>
    <w:rsid w:val="00C4799B"/>
    <w:rsid w:val="00C47CE1"/>
    <w:rsid w:val="00C47D65"/>
    <w:rsid w:val="00C502F0"/>
    <w:rsid w:val="00C5062D"/>
    <w:rsid w:val="00C50746"/>
    <w:rsid w:val="00C50D3B"/>
    <w:rsid w:val="00C516F3"/>
    <w:rsid w:val="00C51A8A"/>
    <w:rsid w:val="00C52606"/>
    <w:rsid w:val="00C531DB"/>
    <w:rsid w:val="00C53CF4"/>
    <w:rsid w:val="00C53E14"/>
    <w:rsid w:val="00C5427F"/>
    <w:rsid w:val="00C54528"/>
    <w:rsid w:val="00C54A19"/>
    <w:rsid w:val="00C54FFA"/>
    <w:rsid w:val="00C5503E"/>
    <w:rsid w:val="00C55AEE"/>
    <w:rsid w:val="00C55E66"/>
    <w:rsid w:val="00C56067"/>
    <w:rsid w:val="00C5649C"/>
    <w:rsid w:val="00C5738C"/>
    <w:rsid w:val="00C5759E"/>
    <w:rsid w:val="00C60390"/>
    <w:rsid w:val="00C607B6"/>
    <w:rsid w:val="00C6086D"/>
    <w:rsid w:val="00C61D44"/>
    <w:rsid w:val="00C61E42"/>
    <w:rsid w:val="00C62636"/>
    <w:rsid w:val="00C62651"/>
    <w:rsid w:val="00C626A5"/>
    <w:rsid w:val="00C630F7"/>
    <w:rsid w:val="00C633B8"/>
    <w:rsid w:val="00C6353F"/>
    <w:rsid w:val="00C64111"/>
    <w:rsid w:val="00C64A4F"/>
    <w:rsid w:val="00C64F88"/>
    <w:rsid w:val="00C659BE"/>
    <w:rsid w:val="00C66BA5"/>
    <w:rsid w:val="00C66FD8"/>
    <w:rsid w:val="00C67E42"/>
    <w:rsid w:val="00C7006E"/>
    <w:rsid w:val="00C7084A"/>
    <w:rsid w:val="00C71341"/>
    <w:rsid w:val="00C71497"/>
    <w:rsid w:val="00C714F6"/>
    <w:rsid w:val="00C71669"/>
    <w:rsid w:val="00C71E28"/>
    <w:rsid w:val="00C720E4"/>
    <w:rsid w:val="00C72FA6"/>
    <w:rsid w:val="00C74235"/>
    <w:rsid w:val="00C745E8"/>
    <w:rsid w:val="00C748ED"/>
    <w:rsid w:val="00C74ED9"/>
    <w:rsid w:val="00C74F25"/>
    <w:rsid w:val="00C7502A"/>
    <w:rsid w:val="00C7532D"/>
    <w:rsid w:val="00C75486"/>
    <w:rsid w:val="00C75B12"/>
    <w:rsid w:val="00C75C61"/>
    <w:rsid w:val="00C76185"/>
    <w:rsid w:val="00C76554"/>
    <w:rsid w:val="00C76746"/>
    <w:rsid w:val="00C770AF"/>
    <w:rsid w:val="00C80ACB"/>
    <w:rsid w:val="00C81127"/>
    <w:rsid w:val="00C813C5"/>
    <w:rsid w:val="00C8164B"/>
    <w:rsid w:val="00C81718"/>
    <w:rsid w:val="00C81B71"/>
    <w:rsid w:val="00C8202C"/>
    <w:rsid w:val="00C83160"/>
    <w:rsid w:val="00C83784"/>
    <w:rsid w:val="00C83C93"/>
    <w:rsid w:val="00C83FDF"/>
    <w:rsid w:val="00C84892"/>
    <w:rsid w:val="00C84B30"/>
    <w:rsid w:val="00C852B0"/>
    <w:rsid w:val="00C867C3"/>
    <w:rsid w:val="00C86BAD"/>
    <w:rsid w:val="00C86CDA"/>
    <w:rsid w:val="00C87741"/>
    <w:rsid w:val="00C877DE"/>
    <w:rsid w:val="00C87940"/>
    <w:rsid w:val="00C87EEA"/>
    <w:rsid w:val="00C9115A"/>
    <w:rsid w:val="00C918BC"/>
    <w:rsid w:val="00C924BF"/>
    <w:rsid w:val="00C92A5B"/>
    <w:rsid w:val="00C92C21"/>
    <w:rsid w:val="00C92CA4"/>
    <w:rsid w:val="00C930E3"/>
    <w:rsid w:val="00C93652"/>
    <w:rsid w:val="00C93F40"/>
    <w:rsid w:val="00C9408A"/>
    <w:rsid w:val="00C942E7"/>
    <w:rsid w:val="00C948B8"/>
    <w:rsid w:val="00C94B94"/>
    <w:rsid w:val="00C94BE5"/>
    <w:rsid w:val="00C94E54"/>
    <w:rsid w:val="00C94E7F"/>
    <w:rsid w:val="00C94EFD"/>
    <w:rsid w:val="00C95990"/>
    <w:rsid w:val="00C95A69"/>
    <w:rsid w:val="00C95B97"/>
    <w:rsid w:val="00C95E22"/>
    <w:rsid w:val="00C962FC"/>
    <w:rsid w:val="00C96310"/>
    <w:rsid w:val="00C97B28"/>
    <w:rsid w:val="00C97DD6"/>
    <w:rsid w:val="00C97F90"/>
    <w:rsid w:val="00CA0608"/>
    <w:rsid w:val="00CA0892"/>
    <w:rsid w:val="00CA0F81"/>
    <w:rsid w:val="00CA16D8"/>
    <w:rsid w:val="00CA3F7E"/>
    <w:rsid w:val="00CA444F"/>
    <w:rsid w:val="00CA445A"/>
    <w:rsid w:val="00CA46EC"/>
    <w:rsid w:val="00CA4754"/>
    <w:rsid w:val="00CA4DB3"/>
    <w:rsid w:val="00CA5025"/>
    <w:rsid w:val="00CA5AD0"/>
    <w:rsid w:val="00CA5CE3"/>
    <w:rsid w:val="00CA5FE4"/>
    <w:rsid w:val="00CA7989"/>
    <w:rsid w:val="00CB0B32"/>
    <w:rsid w:val="00CB1A4E"/>
    <w:rsid w:val="00CB2D7E"/>
    <w:rsid w:val="00CB31B5"/>
    <w:rsid w:val="00CB3B37"/>
    <w:rsid w:val="00CB48C3"/>
    <w:rsid w:val="00CB509E"/>
    <w:rsid w:val="00CB5E2C"/>
    <w:rsid w:val="00CB6D7B"/>
    <w:rsid w:val="00CB7294"/>
    <w:rsid w:val="00CB7B51"/>
    <w:rsid w:val="00CC02C6"/>
    <w:rsid w:val="00CC02F2"/>
    <w:rsid w:val="00CC0451"/>
    <w:rsid w:val="00CC091B"/>
    <w:rsid w:val="00CC161C"/>
    <w:rsid w:val="00CC19DF"/>
    <w:rsid w:val="00CC1B9F"/>
    <w:rsid w:val="00CC27A5"/>
    <w:rsid w:val="00CC28D9"/>
    <w:rsid w:val="00CC290E"/>
    <w:rsid w:val="00CC324C"/>
    <w:rsid w:val="00CC33F8"/>
    <w:rsid w:val="00CC3A6E"/>
    <w:rsid w:val="00CC44DA"/>
    <w:rsid w:val="00CC56E0"/>
    <w:rsid w:val="00CC5925"/>
    <w:rsid w:val="00CC5B6A"/>
    <w:rsid w:val="00CC62C0"/>
    <w:rsid w:val="00CC796A"/>
    <w:rsid w:val="00CC7DFC"/>
    <w:rsid w:val="00CC7FC0"/>
    <w:rsid w:val="00CD07E9"/>
    <w:rsid w:val="00CD1244"/>
    <w:rsid w:val="00CD1384"/>
    <w:rsid w:val="00CD18D7"/>
    <w:rsid w:val="00CD2320"/>
    <w:rsid w:val="00CD2508"/>
    <w:rsid w:val="00CD2925"/>
    <w:rsid w:val="00CD29C8"/>
    <w:rsid w:val="00CD2AE1"/>
    <w:rsid w:val="00CD2D33"/>
    <w:rsid w:val="00CD2FC3"/>
    <w:rsid w:val="00CD3816"/>
    <w:rsid w:val="00CD3870"/>
    <w:rsid w:val="00CD3B16"/>
    <w:rsid w:val="00CD3EBC"/>
    <w:rsid w:val="00CD44C4"/>
    <w:rsid w:val="00CD4501"/>
    <w:rsid w:val="00CD4E6D"/>
    <w:rsid w:val="00CD544B"/>
    <w:rsid w:val="00CD583B"/>
    <w:rsid w:val="00CD5CB1"/>
    <w:rsid w:val="00CD6766"/>
    <w:rsid w:val="00CD678A"/>
    <w:rsid w:val="00CD7319"/>
    <w:rsid w:val="00CD73C1"/>
    <w:rsid w:val="00CD763E"/>
    <w:rsid w:val="00CE0034"/>
    <w:rsid w:val="00CE0609"/>
    <w:rsid w:val="00CE0845"/>
    <w:rsid w:val="00CE0CF1"/>
    <w:rsid w:val="00CE0E9C"/>
    <w:rsid w:val="00CE134D"/>
    <w:rsid w:val="00CE1404"/>
    <w:rsid w:val="00CE1441"/>
    <w:rsid w:val="00CE1E3A"/>
    <w:rsid w:val="00CE2944"/>
    <w:rsid w:val="00CE2A2F"/>
    <w:rsid w:val="00CE33EB"/>
    <w:rsid w:val="00CE48EC"/>
    <w:rsid w:val="00CE5F7A"/>
    <w:rsid w:val="00CE6A83"/>
    <w:rsid w:val="00CE6D6E"/>
    <w:rsid w:val="00CE6E1A"/>
    <w:rsid w:val="00CE70B2"/>
    <w:rsid w:val="00CE7125"/>
    <w:rsid w:val="00CE739E"/>
    <w:rsid w:val="00CE742F"/>
    <w:rsid w:val="00CE7FE0"/>
    <w:rsid w:val="00CF02F5"/>
    <w:rsid w:val="00CF0ADA"/>
    <w:rsid w:val="00CF107D"/>
    <w:rsid w:val="00CF13FF"/>
    <w:rsid w:val="00CF2600"/>
    <w:rsid w:val="00CF270E"/>
    <w:rsid w:val="00CF3F9B"/>
    <w:rsid w:val="00CF4215"/>
    <w:rsid w:val="00CF4E16"/>
    <w:rsid w:val="00CF4E55"/>
    <w:rsid w:val="00CF5F01"/>
    <w:rsid w:val="00CF61F1"/>
    <w:rsid w:val="00CF6285"/>
    <w:rsid w:val="00CF6561"/>
    <w:rsid w:val="00CF6710"/>
    <w:rsid w:val="00CF7888"/>
    <w:rsid w:val="00CF7AE5"/>
    <w:rsid w:val="00D004CD"/>
    <w:rsid w:val="00D00662"/>
    <w:rsid w:val="00D01147"/>
    <w:rsid w:val="00D01936"/>
    <w:rsid w:val="00D01C1B"/>
    <w:rsid w:val="00D025C4"/>
    <w:rsid w:val="00D02603"/>
    <w:rsid w:val="00D02BD8"/>
    <w:rsid w:val="00D03923"/>
    <w:rsid w:val="00D03CBB"/>
    <w:rsid w:val="00D041DF"/>
    <w:rsid w:val="00D04394"/>
    <w:rsid w:val="00D05847"/>
    <w:rsid w:val="00D05B29"/>
    <w:rsid w:val="00D05E8A"/>
    <w:rsid w:val="00D06CC1"/>
    <w:rsid w:val="00D072A8"/>
    <w:rsid w:val="00D07EA2"/>
    <w:rsid w:val="00D07F5A"/>
    <w:rsid w:val="00D10B52"/>
    <w:rsid w:val="00D12E7A"/>
    <w:rsid w:val="00D1366D"/>
    <w:rsid w:val="00D1394D"/>
    <w:rsid w:val="00D13DEA"/>
    <w:rsid w:val="00D13E64"/>
    <w:rsid w:val="00D14344"/>
    <w:rsid w:val="00D14D2B"/>
    <w:rsid w:val="00D14FD0"/>
    <w:rsid w:val="00D1564F"/>
    <w:rsid w:val="00D15AD8"/>
    <w:rsid w:val="00D16749"/>
    <w:rsid w:val="00D17076"/>
    <w:rsid w:val="00D217A3"/>
    <w:rsid w:val="00D219E1"/>
    <w:rsid w:val="00D21C74"/>
    <w:rsid w:val="00D21FFD"/>
    <w:rsid w:val="00D22884"/>
    <w:rsid w:val="00D22A17"/>
    <w:rsid w:val="00D2393C"/>
    <w:rsid w:val="00D23AFB"/>
    <w:rsid w:val="00D23DFE"/>
    <w:rsid w:val="00D24495"/>
    <w:rsid w:val="00D24BF8"/>
    <w:rsid w:val="00D24C93"/>
    <w:rsid w:val="00D24FA9"/>
    <w:rsid w:val="00D25977"/>
    <w:rsid w:val="00D25BD4"/>
    <w:rsid w:val="00D25EC9"/>
    <w:rsid w:val="00D26BC0"/>
    <w:rsid w:val="00D2710A"/>
    <w:rsid w:val="00D27B6B"/>
    <w:rsid w:val="00D27B71"/>
    <w:rsid w:val="00D27F20"/>
    <w:rsid w:val="00D304F9"/>
    <w:rsid w:val="00D30A13"/>
    <w:rsid w:val="00D31742"/>
    <w:rsid w:val="00D31792"/>
    <w:rsid w:val="00D322C8"/>
    <w:rsid w:val="00D3244D"/>
    <w:rsid w:val="00D32C9E"/>
    <w:rsid w:val="00D32E57"/>
    <w:rsid w:val="00D330FB"/>
    <w:rsid w:val="00D33334"/>
    <w:rsid w:val="00D33894"/>
    <w:rsid w:val="00D33B68"/>
    <w:rsid w:val="00D34076"/>
    <w:rsid w:val="00D340E6"/>
    <w:rsid w:val="00D34975"/>
    <w:rsid w:val="00D34A5A"/>
    <w:rsid w:val="00D34B2E"/>
    <w:rsid w:val="00D35C50"/>
    <w:rsid w:val="00D367A0"/>
    <w:rsid w:val="00D36C87"/>
    <w:rsid w:val="00D36F9F"/>
    <w:rsid w:val="00D3770D"/>
    <w:rsid w:val="00D379C5"/>
    <w:rsid w:val="00D40F09"/>
    <w:rsid w:val="00D4106F"/>
    <w:rsid w:val="00D42857"/>
    <w:rsid w:val="00D42976"/>
    <w:rsid w:val="00D431C4"/>
    <w:rsid w:val="00D43764"/>
    <w:rsid w:val="00D4440A"/>
    <w:rsid w:val="00D44646"/>
    <w:rsid w:val="00D44E06"/>
    <w:rsid w:val="00D44E38"/>
    <w:rsid w:val="00D45050"/>
    <w:rsid w:val="00D4535C"/>
    <w:rsid w:val="00D455F8"/>
    <w:rsid w:val="00D45630"/>
    <w:rsid w:val="00D4591D"/>
    <w:rsid w:val="00D46489"/>
    <w:rsid w:val="00D465B3"/>
    <w:rsid w:val="00D46684"/>
    <w:rsid w:val="00D46FDA"/>
    <w:rsid w:val="00D47081"/>
    <w:rsid w:val="00D47740"/>
    <w:rsid w:val="00D47DE1"/>
    <w:rsid w:val="00D47F14"/>
    <w:rsid w:val="00D5011E"/>
    <w:rsid w:val="00D5046A"/>
    <w:rsid w:val="00D5099B"/>
    <w:rsid w:val="00D516C0"/>
    <w:rsid w:val="00D51751"/>
    <w:rsid w:val="00D51956"/>
    <w:rsid w:val="00D51DB1"/>
    <w:rsid w:val="00D52876"/>
    <w:rsid w:val="00D52F88"/>
    <w:rsid w:val="00D538A3"/>
    <w:rsid w:val="00D53AB1"/>
    <w:rsid w:val="00D53B4E"/>
    <w:rsid w:val="00D54140"/>
    <w:rsid w:val="00D54254"/>
    <w:rsid w:val="00D5525F"/>
    <w:rsid w:val="00D557A4"/>
    <w:rsid w:val="00D561B1"/>
    <w:rsid w:val="00D569AA"/>
    <w:rsid w:val="00D57358"/>
    <w:rsid w:val="00D573F7"/>
    <w:rsid w:val="00D57717"/>
    <w:rsid w:val="00D57E00"/>
    <w:rsid w:val="00D608F1"/>
    <w:rsid w:val="00D6129A"/>
    <w:rsid w:val="00D62670"/>
    <w:rsid w:val="00D62D88"/>
    <w:rsid w:val="00D63A4E"/>
    <w:rsid w:val="00D64575"/>
    <w:rsid w:val="00D650E3"/>
    <w:rsid w:val="00D656F8"/>
    <w:rsid w:val="00D66F68"/>
    <w:rsid w:val="00D6702E"/>
    <w:rsid w:val="00D67347"/>
    <w:rsid w:val="00D7044E"/>
    <w:rsid w:val="00D7059D"/>
    <w:rsid w:val="00D70EF4"/>
    <w:rsid w:val="00D714A7"/>
    <w:rsid w:val="00D715F4"/>
    <w:rsid w:val="00D727A6"/>
    <w:rsid w:val="00D72A5B"/>
    <w:rsid w:val="00D72D9B"/>
    <w:rsid w:val="00D73F0E"/>
    <w:rsid w:val="00D743DB"/>
    <w:rsid w:val="00D7463A"/>
    <w:rsid w:val="00D7504D"/>
    <w:rsid w:val="00D75254"/>
    <w:rsid w:val="00D75340"/>
    <w:rsid w:val="00D75965"/>
    <w:rsid w:val="00D75CA7"/>
    <w:rsid w:val="00D77A08"/>
    <w:rsid w:val="00D80700"/>
    <w:rsid w:val="00D80723"/>
    <w:rsid w:val="00D80C61"/>
    <w:rsid w:val="00D812B9"/>
    <w:rsid w:val="00D812BA"/>
    <w:rsid w:val="00D8222E"/>
    <w:rsid w:val="00D826DA"/>
    <w:rsid w:val="00D826EE"/>
    <w:rsid w:val="00D83A7E"/>
    <w:rsid w:val="00D83C9E"/>
    <w:rsid w:val="00D83CCB"/>
    <w:rsid w:val="00D83E4E"/>
    <w:rsid w:val="00D83ED3"/>
    <w:rsid w:val="00D83F31"/>
    <w:rsid w:val="00D846EC"/>
    <w:rsid w:val="00D84750"/>
    <w:rsid w:val="00D84B27"/>
    <w:rsid w:val="00D85213"/>
    <w:rsid w:val="00D85853"/>
    <w:rsid w:val="00D859F5"/>
    <w:rsid w:val="00D85FC8"/>
    <w:rsid w:val="00D861CD"/>
    <w:rsid w:val="00D861DF"/>
    <w:rsid w:val="00D86661"/>
    <w:rsid w:val="00D8690B"/>
    <w:rsid w:val="00D869C5"/>
    <w:rsid w:val="00D903FD"/>
    <w:rsid w:val="00D90885"/>
    <w:rsid w:val="00D9149D"/>
    <w:rsid w:val="00D918A4"/>
    <w:rsid w:val="00D91D5C"/>
    <w:rsid w:val="00D920E1"/>
    <w:rsid w:val="00D92403"/>
    <w:rsid w:val="00D929DF"/>
    <w:rsid w:val="00D92C4B"/>
    <w:rsid w:val="00D93281"/>
    <w:rsid w:val="00D93806"/>
    <w:rsid w:val="00D940FD"/>
    <w:rsid w:val="00D942B3"/>
    <w:rsid w:val="00D94449"/>
    <w:rsid w:val="00D94692"/>
    <w:rsid w:val="00D94BC5"/>
    <w:rsid w:val="00D95C5F"/>
    <w:rsid w:val="00D95D52"/>
    <w:rsid w:val="00D961F3"/>
    <w:rsid w:val="00D966D1"/>
    <w:rsid w:val="00D96C08"/>
    <w:rsid w:val="00D973DB"/>
    <w:rsid w:val="00D9751D"/>
    <w:rsid w:val="00DA0799"/>
    <w:rsid w:val="00DA0907"/>
    <w:rsid w:val="00DA156A"/>
    <w:rsid w:val="00DA2790"/>
    <w:rsid w:val="00DA29EA"/>
    <w:rsid w:val="00DA414F"/>
    <w:rsid w:val="00DA44EE"/>
    <w:rsid w:val="00DA499E"/>
    <w:rsid w:val="00DA52F3"/>
    <w:rsid w:val="00DA66A5"/>
    <w:rsid w:val="00DA6B06"/>
    <w:rsid w:val="00DA77F0"/>
    <w:rsid w:val="00DB0281"/>
    <w:rsid w:val="00DB0644"/>
    <w:rsid w:val="00DB0817"/>
    <w:rsid w:val="00DB153A"/>
    <w:rsid w:val="00DB168C"/>
    <w:rsid w:val="00DB1CFA"/>
    <w:rsid w:val="00DB20A0"/>
    <w:rsid w:val="00DB2169"/>
    <w:rsid w:val="00DB3095"/>
    <w:rsid w:val="00DB360C"/>
    <w:rsid w:val="00DB3687"/>
    <w:rsid w:val="00DB369A"/>
    <w:rsid w:val="00DB3FD9"/>
    <w:rsid w:val="00DB47F4"/>
    <w:rsid w:val="00DB4907"/>
    <w:rsid w:val="00DB4E41"/>
    <w:rsid w:val="00DB577F"/>
    <w:rsid w:val="00DB6D79"/>
    <w:rsid w:val="00DB6E3C"/>
    <w:rsid w:val="00DB6E70"/>
    <w:rsid w:val="00DB746F"/>
    <w:rsid w:val="00DC072F"/>
    <w:rsid w:val="00DC079A"/>
    <w:rsid w:val="00DC09A7"/>
    <w:rsid w:val="00DC0F45"/>
    <w:rsid w:val="00DC0FB7"/>
    <w:rsid w:val="00DC0FE2"/>
    <w:rsid w:val="00DC145A"/>
    <w:rsid w:val="00DC1A24"/>
    <w:rsid w:val="00DC3052"/>
    <w:rsid w:val="00DC36C7"/>
    <w:rsid w:val="00DC38EA"/>
    <w:rsid w:val="00DC39FA"/>
    <w:rsid w:val="00DC4CE8"/>
    <w:rsid w:val="00DC4E2B"/>
    <w:rsid w:val="00DC4EC8"/>
    <w:rsid w:val="00DC64C6"/>
    <w:rsid w:val="00DC668D"/>
    <w:rsid w:val="00DC74D2"/>
    <w:rsid w:val="00DC77EF"/>
    <w:rsid w:val="00DC7904"/>
    <w:rsid w:val="00DD10D0"/>
    <w:rsid w:val="00DD12A1"/>
    <w:rsid w:val="00DD1447"/>
    <w:rsid w:val="00DD1E8D"/>
    <w:rsid w:val="00DD2B7C"/>
    <w:rsid w:val="00DD2BC2"/>
    <w:rsid w:val="00DD2DED"/>
    <w:rsid w:val="00DD2F57"/>
    <w:rsid w:val="00DD30B9"/>
    <w:rsid w:val="00DD3150"/>
    <w:rsid w:val="00DD320C"/>
    <w:rsid w:val="00DD3C67"/>
    <w:rsid w:val="00DD3EBE"/>
    <w:rsid w:val="00DD67B4"/>
    <w:rsid w:val="00DD79AE"/>
    <w:rsid w:val="00DD7A32"/>
    <w:rsid w:val="00DD7B20"/>
    <w:rsid w:val="00DE0065"/>
    <w:rsid w:val="00DE094E"/>
    <w:rsid w:val="00DE0A6E"/>
    <w:rsid w:val="00DE21B0"/>
    <w:rsid w:val="00DE2434"/>
    <w:rsid w:val="00DE2B76"/>
    <w:rsid w:val="00DE2FDB"/>
    <w:rsid w:val="00DE4AEC"/>
    <w:rsid w:val="00DE5036"/>
    <w:rsid w:val="00DE5323"/>
    <w:rsid w:val="00DE557F"/>
    <w:rsid w:val="00DE5639"/>
    <w:rsid w:val="00DE5791"/>
    <w:rsid w:val="00DE5CD6"/>
    <w:rsid w:val="00DE6334"/>
    <w:rsid w:val="00DE6778"/>
    <w:rsid w:val="00DE6807"/>
    <w:rsid w:val="00DE692B"/>
    <w:rsid w:val="00DE6F1D"/>
    <w:rsid w:val="00DE78A6"/>
    <w:rsid w:val="00DF0865"/>
    <w:rsid w:val="00DF12BD"/>
    <w:rsid w:val="00DF21E5"/>
    <w:rsid w:val="00DF2242"/>
    <w:rsid w:val="00DF2DA0"/>
    <w:rsid w:val="00DF3827"/>
    <w:rsid w:val="00DF4486"/>
    <w:rsid w:val="00DF46C4"/>
    <w:rsid w:val="00DF4A1B"/>
    <w:rsid w:val="00DF4B51"/>
    <w:rsid w:val="00DF58EF"/>
    <w:rsid w:val="00DF5A85"/>
    <w:rsid w:val="00DF5AFE"/>
    <w:rsid w:val="00DF5EF0"/>
    <w:rsid w:val="00DF632E"/>
    <w:rsid w:val="00DF7100"/>
    <w:rsid w:val="00DF71AC"/>
    <w:rsid w:val="00DF76E3"/>
    <w:rsid w:val="00E0013D"/>
    <w:rsid w:val="00E003FD"/>
    <w:rsid w:val="00E00AFC"/>
    <w:rsid w:val="00E00C9C"/>
    <w:rsid w:val="00E00D3C"/>
    <w:rsid w:val="00E00E6C"/>
    <w:rsid w:val="00E020A3"/>
    <w:rsid w:val="00E033DE"/>
    <w:rsid w:val="00E03F1E"/>
    <w:rsid w:val="00E03F66"/>
    <w:rsid w:val="00E0410D"/>
    <w:rsid w:val="00E04228"/>
    <w:rsid w:val="00E04394"/>
    <w:rsid w:val="00E04541"/>
    <w:rsid w:val="00E04563"/>
    <w:rsid w:val="00E0470D"/>
    <w:rsid w:val="00E04FD3"/>
    <w:rsid w:val="00E057BA"/>
    <w:rsid w:val="00E05D90"/>
    <w:rsid w:val="00E063B1"/>
    <w:rsid w:val="00E073E4"/>
    <w:rsid w:val="00E07FAF"/>
    <w:rsid w:val="00E105BE"/>
    <w:rsid w:val="00E10781"/>
    <w:rsid w:val="00E10A78"/>
    <w:rsid w:val="00E11404"/>
    <w:rsid w:val="00E11762"/>
    <w:rsid w:val="00E11C38"/>
    <w:rsid w:val="00E11C88"/>
    <w:rsid w:val="00E135C5"/>
    <w:rsid w:val="00E137E7"/>
    <w:rsid w:val="00E13943"/>
    <w:rsid w:val="00E13E1B"/>
    <w:rsid w:val="00E142D1"/>
    <w:rsid w:val="00E144A3"/>
    <w:rsid w:val="00E145E1"/>
    <w:rsid w:val="00E14918"/>
    <w:rsid w:val="00E14A92"/>
    <w:rsid w:val="00E14CBE"/>
    <w:rsid w:val="00E14D48"/>
    <w:rsid w:val="00E1562E"/>
    <w:rsid w:val="00E15D6B"/>
    <w:rsid w:val="00E15FAC"/>
    <w:rsid w:val="00E168AF"/>
    <w:rsid w:val="00E17319"/>
    <w:rsid w:val="00E17AD2"/>
    <w:rsid w:val="00E205A7"/>
    <w:rsid w:val="00E20B62"/>
    <w:rsid w:val="00E21309"/>
    <w:rsid w:val="00E21772"/>
    <w:rsid w:val="00E21B0E"/>
    <w:rsid w:val="00E21D7F"/>
    <w:rsid w:val="00E22035"/>
    <w:rsid w:val="00E22A76"/>
    <w:rsid w:val="00E23003"/>
    <w:rsid w:val="00E23654"/>
    <w:rsid w:val="00E23D6A"/>
    <w:rsid w:val="00E24216"/>
    <w:rsid w:val="00E245A4"/>
    <w:rsid w:val="00E24D1E"/>
    <w:rsid w:val="00E24DF5"/>
    <w:rsid w:val="00E25F29"/>
    <w:rsid w:val="00E2724D"/>
    <w:rsid w:val="00E2758A"/>
    <w:rsid w:val="00E2781C"/>
    <w:rsid w:val="00E27D14"/>
    <w:rsid w:val="00E3054E"/>
    <w:rsid w:val="00E30934"/>
    <w:rsid w:val="00E3205B"/>
    <w:rsid w:val="00E32253"/>
    <w:rsid w:val="00E32765"/>
    <w:rsid w:val="00E32B3C"/>
    <w:rsid w:val="00E32C3F"/>
    <w:rsid w:val="00E33002"/>
    <w:rsid w:val="00E338D1"/>
    <w:rsid w:val="00E33F85"/>
    <w:rsid w:val="00E342C1"/>
    <w:rsid w:val="00E34587"/>
    <w:rsid w:val="00E347F9"/>
    <w:rsid w:val="00E34A78"/>
    <w:rsid w:val="00E34CB3"/>
    <w:rsid w:val="00E350F7"/>
    <w:rsid w:val="00E35395"/>
    <w:rsid w:val="00E356ED"/>
    <w:rsid w:val="00E3583A"/>
    <w:rsid w:val="00E360C3"/>
    <w:rsid w:val="00E36249"/>
    <w:rsid w:val="00E37CD9"/>
    <w:rsid w:val="00E40B6C"/>
    <w:rsid w:val="00E40E3C"/>
    <w:rsid w:val="00E40F96"/>
    <w:rsid w:val="00E420EF"/>
    <w:rsid w:val="00E42F02"/>
    <w:rsid w:val="00E43956"/>
    <w:rsid w:val="00E4447F"/>
    <w:rsid w:val="00E44A1D"/>
    <w:rsid w:val="00E44BBF"/>
    <w:rsid w:val="00E44F64"/>
    <w:rsid w:val="00E45618"/>
    <w:rsid w:val="00E46179"/>
    <w:rsid w:val="00E4679F"/>
    <w:rsid w:val="00E46CD2"/>
    <w:rsid w:val="00E4729C"/>
    <w:rsid w:val="00E474C4"/>
    <w:rsid w:val="00E4783F"/>
    <w:rsid w:val="00E47D3C"/>
    <w:rsid w:val="00E47F55"/>
    <w:rsid w:val="00E503DF"/>
    <w:rsid w:val="00E50491"/>
    <w:rsid w:val="00E5112B"/>
    <w:rsid w:val="00E51214"/>
    <w:rsid w:val="00E515B6"/>
    <w:rsid w:val="00E51EFB"/>
    <w:rsid w:val="00E52107"/>
    <w:rsid w:val="00E52ABD"/>
    <w:rsid w:val="00E531C8"/>
    <w:rsid w:val="00E532F6"/>
    <w:rsid w:val="00E540CB"/>
    <w:rsid w:val="00E544E1"/>
    <w:rsid w:val="00E5463E"/>
    <w:rsid w:val="00E549F8"/>
    <w:rsid w:val="00E55AF4"/>
    <w:rsid w:val="00E56833"/>
    <w:rsid w:val="00E568AD"/>
    <w:rsid w:val="00E56DAD"/>
    <w:rsid w:val="00E601A4"/>
    <w:rsid w:val="00E60476"/>
    <w:rsid w:val="00E61228"/>
    <w:rsid w:val="00E61354"/>
    <w:rsid w:val="00E62018"/>
    <w:rsid w:val="00E62178"/>
    <w:rsid w:val="00E6282A"/>
    <w:rsid w:val="00E63080"/>
    <w:rsid w:val="00E644BE"/>
    <w:rsid w:val="00E64986"/>
    <w:rsid w:val="00E64E71"/>
    <w:rsid w:val="00E65E85"/>
    <w:rsid w:val="00E65F46"/>
    <w:rsid w:val="00E66C74"/>
    <w:rsid w:val="00E66E2E"/>
    <w:rsid w:val="00E67192"/>
    <w:rsid w:val="00E67B43"/>
    <w:rsid w:val="00E67C27"/>
    <w:rsid w:val="00E67D0D"/>
    <w:rsid w:val="00E70745"/>
    <w:rsid w:val="00E70C56"/>
    <w:rsid w:val="00E70CE5"/>
    <w:rsid w:val="00E7145A"/>
    <w:rsid w:val="00E72138"/>
    <w:rsid w:val="00E72D04"/>
    <w:rsid w:val="00E73092"/>
    <w:rsid w:val="00E74066"/>
    <w:rsid w:val="00E741C9"/>
    <w:rsid w:val="00E745D2"/>
    <w:rsid w:val="00E74767"/>
    <w:rsid w:val="00E748B6"/>
    <w:rsid w:val="00E74929"/>
    <w:rsid w:val="00E7569E"/>
    <w:rsid w:val="00E75D3C"/>
    <w:rsid w:val="00E75D65"/>
    <w:rsid w:val="00E76396"/>
    <w:rsid w:val="00E76A1D"/>
    <w:rsid w:val="00E76BB8"/>
    <w:rsid w:val="00E76CC7"/>
    <w:rsid w:val="00E76DDF"/>
    <w:rsid w:val="00E76F7D"/>
    <w:rsid w:val="00E7744B"/>
    <w:rsid w:val="00E77594"/>
    <w:rsid w:val="00E81783"/>
    <w:rsid w:val="00E82435"/>
    <w:rsid w:val="00E8249B"/>
    <w:rsid w:val="00E824FE"/>
    <w:rsid w:val="00E8353B"/>
    <w:rsid w:val="00E83551"/>
    <w:rsid w:val="00E847E7"/>
    <w:rsid w:val="00E84959"/>
    <w:rsid w:val="00E84FDD"/>
    <w:rsid w:val="00E85955"/>
    <w:rsid w:val="00E8697C"/>
    <w:rsid w:val="00E86BEF"/>
    <w:rsid w:val="00E86D92"/>
    <w:rsid w:val="00E91545"/>
    <w:rsid w:val="00E91827"/>
    <w:rsid w:val="00E91BDD"/>
    <w:rsid w:val="00E922F9"/>
    <w:rsid w:val="00E9233D"/>
    <w:rsid w:val="00E92E2C"/>
    <w:rsid w:val="00E931FC"/>
    <w:rsid w:val="00E93A1C"/>
    <w:rsid w:val="00E93B65"/>
    <w:rsid w:val="00E93D5E"/>
    <w:rsid w:val="00E93D9F"/>
    <w:rsid w:val="00E943C2"/>
    <w:rsid w:val="00E945BC"/>
    <w:rsid w:val="00E95156"/>
    <w:rsid w:val="00E96054"/>
    <w:rsid w:val="00E9609C"/>
    <w:rsid w:val="00E96977"/>
    <w:rsid w:val="00E96D13"/>
    <w:rsid w:val="00E97AA0"/>
    <w:rsid w:val="00EA0A28"/>
    <w:rsid w:val="00EA15FA"/>
    <w:rsid w:val="00EA17D4"/>
    <w:rsid w:val="00EA1E77"/>
    <w:rsid w:val="00EA1FE5"/>
    <w:rsid w:val="00EA22EC"/>
    <w:rsid w:val="00EA2A32"/>
    <w:rsid w:val="00EA3986"/>
    <w:rsid w:val="00EA415C"/>
    <w:rsid w:val="00EA41F7"/>
    <w:rsid w:val="00EA4B99"/>
    <w:rsid w:val="00EA4D70"/>
    <w:rsid w:val="00EA4D79"/>
    <w:rsid w:val="00EA52BC"/>
    <w:rsid w:val="00EA55F3"/>
    <w:rsid w:val="00EA5E4D"/>
    <w:rsid w:val="00EA64B8"/>
    <w:rsid w:val="00EA79DF"/>
    <w:rsid w:val="00EA7AEA"/>
    <w:rsid w:val="00EB036C"/>
    <w:rsid w:val="00EB0387"/>
    <w:rsid w:val="00EB0390"/>
    <w:rsid w:val="00EB0A42"/>
    <w:rsid w:val="00EB1016"/>
    <w:rsid w:val="00EB1874"/>
    <w:rsid w:val="00EB2F13"/>
    <w:rsid w:val="00EB3DEF"/>
    <w:rsid w:val="00EB4399"/>
    <w:rsid w:val="00EB473F"/>
    <w:rsid w:val="00EB4B2D"/>
    <w:rsid w:val="00EB599F"/>
    <w:rsid w:val="00EB5AF6"/>
    <w:rsid w:val="00EB5BF2"/>
    <w:rsid w:val="00EB644B"/>
    <w:rsid w:val="00EB6A3F"/>
    <w:rsid w:val="00EB6E74"/>
    <w:rsid w:val="00EC0193"/>
    <w:rsid w:val="00EC01B8"/>
    <w:rsid w:val="00EC03D3"/>
    <w:rsid w:val="00EC0733"/>
    <w:rsid w:val="00EC0F33"/>
    <w:rsid w:val="00EC100D"/>
    <w:rsid w:val="00EC1721"/>
    <w:rsid w:val="00EC18DA"/>
    <w:rsid w:val="00EC1AF9"/>
    <w:rsid w:val="00EC2388"/>
    <w:rsid w:val="00EC23A6"/>
    <w:rsid w:val="00EC2720"/>
    <w:rsid w:val="00EC2F8C"/>
    <w:rsid w:val="00EC320D"/>
    <w:rsid w:val="00EC3966"/>
    <w:rsid w:val="00EC39A0"/>
    <w:rsid w:val="00EC3CC8"/>
    <w:rsid w:val="00EC4E01"/>
    <w:rsid w:val="00EC546C"/>
    <w:rsid w:val="00EC58C5"/>
    <w:rsid w:val="00EC5B5D"/>
    <w:rsid w:val="00EC5BBD"/>
    <w:rsid w:val="00EC5DB9"/>
    <w:rsid w:val="00EC6A97"/>
    <w:rsid w:val="00EC7064"/>
    <w:rsid w:val="00EC754C"/>
    <w:rsid w:val="00EC776B"/>
    <w:rsid w:val="00EC78E7"/>
    <w:rsid w:val="00EC7FE5"/>
    <w:rsid w:val="00ED04AE"/>
    <w:rsid w:val="00ED0715"/>
    <w:rsid w:val="00ED0F6C"/>
    <w:rsid w:val="00ED222A"/>
    <w:rsid w:val="00ED249F"/>
    <w:rsid w:val="00ED344B"/>
    <w:rsid w:val="00ED3876"/>
    <w:rsid w:val="00ED39DF"/>
    <w:rsid w:val="00ED420F"/>
    <w:rsid w:val="00ED43D2"/>
    <w:rsid w:val="00ED458B"/>
    <w:rsid w:val="00ED462F"/>
    <w:rsid w:val="00ED49ED"/>
    <w:rsid w:val="00ED50FE"/>
    <w:rsid w:val="00ED5401"/>
    <w:rsid w:val="00ED5730"/>
    <w:rsid w:val="00ED57AA"/>
    <w:rsid w:val="00ED5C79"/>
    <w:rsid w:val="00ED6512"/>
    <w:rsid w:val="00ED6C3C"/>
    <w:rsid w:val="00ED6E56"/>
    <w:rsid w:val="00ED6E78"/>
    <w:rsid w:val="00ED792B"/>
    <w:rsid w:val="00EE05D6"/>
    <w:rsid w:val="00EE070F"/>
    <w:rsid w:val="00EE07F4"/>
    <w:rsid w:val="00EE08E7"/>
    <w:rsid w:val="00EE11A0"/>
    <w:rsid w:val="00EE1616"/>
    <w:rsid w:val="00EE1E69"/>
    <w:rsid w:val="00EE209A"/>
    <w:rsid w:val="00EE38F1"/>
    <w:rsid w:val="00EE3AD4"/>
    <w:rsid w:val="00EE3B8C"/>
    <w:rsid w:val="00EE3EE1"/>
    <w:rsid w:val="00EE3F34"/>
    <w:rsid w:val="00EE4BC8"/>
    <w:rsid w:val="00EE4E95"/>
    <w:rsid w:val="00EE6A6E"/>
    <w:rsid w:val="00EE7143"/>
    <w:rsid w:val="00EE7C12"/>
    <w:rsid w:val="00EF0373"/>
    <w:rsid w:val="00EF09D8"/>
    <w:rsid w:val="00EF172A"/>
    <w:rsid w:val="00EF1D5A"/>
    <w:rsid w:val="00EF2C60"/>
    <w:rsid w:val="00EF4635"/>
    <w:rsid w:val="00EF4A38"/>
    <w:rsid w:val="00EF5549"/>
    <w:rsid w:val="00EF5689"/>
    <w:rsid w:val="00EF5DD8"/>
    <w:rsid w:val="00EF6582"/>
    <w:rsid w:val="00EF69A8"/>
    <w:rsid w:val="00EF7781"/>
    <w:rsid w:val="00EF798C"/>
    <w:rsid w:val="00EF7C95"/>
    <w:rsid w:val="00F0218D"/>
    <w:rsid w:val="00F02FA3"/>
    <w:rsid w:val="00F03000"/>
    <w:rsid w:val="00F03608"/>
    <w:rsid w:val="00F03675"/>
    <w:rsid w:val="00F0396D"/>
    <w:rsid w:val="00F039C4"/>
    <w:rsid w:val="00F0401D"/>
    <w:rsid w:val="00F0448C"/>
    <w:rsid w:val="00F04CC1"/>
    <w:rsid w:val="00F04D03"/>
    <w:rsid w:val="00F04E9C"/>
    <w:rsid w:val="00F053F2"/>
    <w:rsid w:val="00F05529"/>
    <w:rsid w:val="00F0650D"/>
    <w:rsid w:val="00F06C29"/>
    <w:rsid w:val="00F06E06"/>
    <w:rsid w:val="00F07354"/>
    <w:rsid w:val="00F07FBC"/>
    <w:rsid w:val="00F10391"/>
    <w:rsid w:val="00F10D17"/>
    <w:rsid w:val="00F1110C"/>
    <w:rsid w:val="00F1161A"/>
    <w:rsid w:val="00F116B1"/>
    <w:rsid w:val="00F11B8F"/>
    <w:rsid w:val="00F11E23"/>
    <w:rsid w:val="00F1247B"/>
    <w:rsid w:val="00F13A3B"/>
    <w:rsid w:val="00F13F7D"/>
    <w:rsid w:val="00F14189"/>
    <w:rsid w:val="00F1447C"/>
    <w:rsid w:val="00F14685"/>
    <w:rsid w:val="00F149DA"/>
    <w:rsid w:val="00F14BDD"/>
    <w:rsid w:val="00F15167"/>
    <w:rsid w:val="00F15210"/>
    <w:rsid w:val="00F15436"/>
    <w:rsid w:val="00F15A58"/>
    <w:rsid w:val="00F15DED"/>
    <w:rsid w:val="00F162AC"/>
    <w:rsid w:val="00F1638D"/>
    <w:rsid w:val="00F16460"/>
    <w:rsid w:val="00F1655C"/>
    <w:rsid w:val="00F16606"/>
    <w:rsid w:val="00F16A56"/>
    <w:rsid w:val="00F16C70"/>
    <w:rsid w:val="00F17011"/>
    <w:rsid w:val="00F17674"/>
    <w:rsid w:val="00F17691"/>
    <w:rsid w:val="00F20D81"/>
    <w:rsid w:val="00F214EB"/>
    <w:rsid w:val="00F217D3"/>
    <w:rsid w:val="00F21AB7"/>
    <w:rsid w:val="00F2210C"/>
    <w:rsid w:val="00F22D76"/>
    <w:rsid w:val="00F22D7E"/>
    <w:rsid w:val="00F22EB5"/>
    <w:rsid w:val="00F231D0"/>
    <w:rsid w:val="00F239FA"/>
    <w:rsid w:val="00F23B2D"/>
    <w:rsid w:val="00F24354"/>
    <w:rsid w:val="00F24485"/>
    <w:rsid w:val="00F24CB3"/>
    <w:rsid w:val="00F2580E"/>
    <w:rsid w:val="00F2597E"/>
    <w:rsid w:val="00F25DC1"/>
    <w:rsid w:val="00F2645B"/>
    <w:rsid w:val="00F26882"/>
    <w:rsid w:val="00F26F6F"/>
    <w:rsid w:val="00F26FDF"/>
    <w:rsid w:val="00F273EE"/>
    <w:rsid w:val="00F2779F"/>
    <w:rsid w:val="00F30504"/>
    <w:rsid w:val="00F30BD6"/>
    <w:rsid w:val="00F30C04"/>
    <w:rsid w:val="00F3149C"/>
    <w:rsid w:val="00F318E8"/>
    <w:rsid w:val="00F32327"/>
    <w:rsid w:val="00F32A65"/>
    <w:rsid w:val="00F336B8"/>
    <w:rsid w:val="00F340B7"/>
    <w:rsid w:val="00F347DB"/>
    <w:rsid w:val="00F3559E"/>
    <w:rsid w:val="00F359F5"/>
    <w:rsid w:val="00F35A59"/>
    <w:rsid w:val="00F35C6E"/>
    <w:rsid w:val="00F35EA0"/>
    <w:rsid w:val="00F35F7B"/>
    <w:rsid w:val="00F362E7"/>
    <w:rsid w:val="00F37267"/>
    <w:rsid w:val="00F37845"/>
    <w:rsid w:val="00F379C3"/>
    <w:rsid w:val="00F40CF4"/>
    <w:rsid w:val="00F40D8F"/>
    <w:rsid w:val="00F40F32"/>
    <w:rsid w:val="00F42367"/>
    <w:rsid w:val="00F4290E"/>
    <w:rsid w:val="00F437F0"/>
    <w:rsid w:val="00F44D3C"/>
    <w:rsid w:val="00F44D62"/>
    <w:rsid w:val="00F44FBD"/>
    <w:rsid w:val="00F451EA"/>
    <w:rsid w:val="00F454E2"/>
    <w:rsid w:val="00F458F7"/>
    <w:rsid w:val="00F45D0A"/>
    <w:rsid w:val="00F46DFC"/>
    <w:rsid w:val="00F47429"/>
    <w:rsid w:val="00F479DB"/>
    <w:rsid w:val="00F50548"/>
    <w:rsid w:val="00F505F0"/>
    <w:rsid w:val="00F52AAA"/>
    <w:rsid w:val="00F52B26"/>
    <w:rsid w:val="00F52BAC"/>
    <w:rsid w:val="00F53095"/>
    <w:rsid w:val="00F534D5"/>
    <w:rsid w:val="00F53BF0"/>
    <w:rsid w:val="00F54340"/>
    <w:rsid w:val="00F55A55"/>
    <w:rsid w:val="00F56F0A"/>
    <w:rsid w:val="00F573C2"/>
    <w:rsid w:val="00F5783E"/>
    <w:rsid w:val="00F57F7F"/>
    <w:rsid w:val="00F61417"/>
    <w:rsid w:val="00F618AD"/>
    <w:rsid w:val="00F61974"/>
    <w:rsid w:val="00F62991"/>
    <w:rsid w:val="00F632B5"/>
    <w:rsid w:val="00F6390D"/>
    <w:rsid w:val="00F639D3"/>
    <w:rsid w:val="00F63DA1"/>
    <w:rsid w:val="00F64DA3"/>
    <w:rsid w:val="00F650C9"/>
    <w:rsid w:val="00F652B1"/>
    <w:rsid w:val="00F653E1"/>
    <w:rsid w:val="00F67395"/>
    <w:rsid w:val="00F6788A"/>
    <w:rsid w:val="00F67C70"/>
    <w:rsid w:val="00F70159"/>
    <w:rsid w:val="00F712AA"/>
    <w:rsid w:val="00F7147E"/>
    <w:rsid w:val="00F71856"/>
    <w:rsid w:val="00F71ECD"/>
    <w:rsid w:val="00F724DA"/>
    <w:rsid w:val="00F72EDC"/>
    <w:rsid w:val="00F73105"/>
    <w:rsid w:val="00F73C7C"/>
    <w:rsid w:val="00F74011"/>
    <w:rsid w:val="00F74085"/>
    <w:rsid w:val="00F745C0"/>
    <w:rsid w:val="00F7516A"/>
    <w:rsid w:val="00F75DC3"/>
    <w:rsid w:val="00F7609D"/>
    <w:rsid w:val="00F76655"/>
    <w:rsid w:val="00F767E7"/>
    <w:rsid w:val="00F773F2"/>
    <w:rsid w:val="00F77464"/>
    <w:rsid w:val="00F779FC"/>
    <w:rsid w:val="00F80169"/>
    <w:rsid w:val="00F80777"/>
    <w:rsid w:val="00F807D3"/>
    <w:rsid w:val="00F80CD4"/>
    <w:rsid w:val="00F80E25"/>
    <w:rsid w:val="00F80EA1"/>
    <w:rsid w:val="00F81071"/>
    <w:rsid w:val="00F8114F"/>
    <w:rsid w:val="00F81AA1"/>
    <w:rsid w:val="00F81B6E"/>
    <w:rsid w:val="00F824A5"/>
    <w:rsid w:val="00F82825"/>
    <w:rsid w:val="00F83B9D"/>
    <w:rsid w:val="00F83EB7"/>
    <w:rsid w:val="00F84275"/>
    <w:rsid w:val="00F84289"/>
    <w:rsid w:val="00F844CF"/>
    <w:rsid w:val="00F84A12"/>
    <w:rsid w:val="00F84D17"/>
    <w:rsid w:val="00F85369"/>
    <w:rsid w:val="00F85AD5"/>
    <w:rsid w:val="00F85C56"/>
    <w:rsid w:val="00F870CD"/>
    <w:rsid w:val="00F872C2"/>
    <w:rsid w:val="00F87BE7"/>
    <w:rsid w:val="00F9027D"/>
    <w:rsid w:val="00F908BD"/>
    <w:rsid w:val="00F90D24"/>
    <w:rsid w:val="00F91902"/>
    <w:rsid w:val="00F91EA4"/>
    <w:rsid w:val="00F92006"/>
    <w:rsid w:val="00F9217C"/>
    <w:rsid w:val="00F92471"/>
    <w:rsid w:val="00F93093"/>
    <w:rsid w:val="00F93691"/>
    <w:rsid w:val="00F93C0A"/>
    <w:rsid w:val="00F94C6E"/>
    <w:rsid w:val="00F955CF"/>
    <w:rsid w:val="00F964C7"/>
    <w:rsid w:val="00F964F7"/>
    <w:rsid w:val="00F96A44"/>
    <w:rsid w:val="00F97234"/>
    <w:rsid w:val="00F9732B"/>
    <w:rsid w:val="00F97350"/>
    <w:rsid w:val="00F97451"/>
    <w:rsid w:val="00F975AB"/>
    <w:rsid w:val="00F97C00"/>
    <w:rsid w:val="00FA01C5"/>
    <w:rsid w:val="00FA14FE"/>
    <w:rsid w:val="00FA1746"/>
    <w:rsid w:val="00FA1875"/>
    <w:rsid w:val="00FA236A"/>
    <w:rsid w:val="00FA3186"/>
    <w:rsid w:val="00FA323C"/>
    <w:rsid w:val="00FA32B0"/>
    <w:rsid w:val="00FA4267"/>
    <w:rsid w:val="00FA4418"/>
    <w:rsid w:val="00FA46E1"/>
    <w:rsid w:val="00FA53DB"/>
    <w:rsid w:val="00FA6CC2"/>
    <w:rsid w:val="00FA6E45"/>
    <w:rsid w:val="00FA6F54"/>
    <w:rsid w:val="00FA70F1"/>
    <w:rsid w:val="00FB06E6"/>
    <w:rsid w:val="00FB0ECD"/>
    <w:rsid w:val="00FB0F6C"/>
    <w:rsid w:val="00FB10CB"/>
    <w:rsid w:val="00FB2453"/>
    <w:rsid w:val="00FB2797"/>
    <w:rsid w:val="00FB4D57"/>
    <w:rsid w:val="00FB4E23"/>
    <w:rsid w:val="00FB4E31"/>
    <w:rsid w:val="00FB65C3"/>
    <w:rsid w:val="00FB6905"/>
    <w:rsid w:val="00FB76E9"/>
    <w:rsid w:val="00FB77AF"/>
    <w:rsid w:val="00FB7CBD"/>
    <w:rsid w:val="00FC01AD"/>
    <w:rsid w:val="00FC0818"/>
    <w:rsid w:val="00FC1AD1"/>
    <w:rsid w:val="00FC1B20"/>
    <w:rsid w:val="00FC1CE3"/>
    <w:rsid w:val="00FC1D71"/>
    <w:rsid w:val="00FC2B10"/>
    <w:rsid w:val="00FC2B2C"/>
    <w:rsid w:val="00FC348E"/>
    <w:rsid w:val="00FC3677"/>
    <w:rsid w:val="00FC3BB6"/>
    <w:rsid w:val="00FC3DB8"/>
    <w:rsid w:val="00FC43D3"/>
    <w:rsid w:val="00FC5692"/>
    <w:rsid w:val="00FC5821"/>
    <w:rsid w:val="00FC6CF7"/>
    <w:rsid w:val="00FC753A"/>
    <w:rsid w:val="00FD068B"/>
    <w:rsid w:val="00FD0846"/>
    <w:rsid w:val="00FD0ABC"/>
    <w:rsid w:val="00FD0C83"/>
    <w:rsid w:val="00FD1666"/>
    <w:rsid w:val="00FD1C73"/>
    <w:rsid w:val="00FD237C"/>
    <w:rsid w:val="00FD2606"/>
    <w:rsid w:val="00FD2755"/>
    <w:rsid w:val="00FD2926"/>
    <w:rsid w:val="00FD2A6D"/>
    <w:rsid w:val="00FD2E70"/>
    <w:rsid w:val="00FD2FF6"/>
    <w:rsid w:val="00FD318E"/>
    <w:rsid w:val="00FD3329"/>
    <w:rsid w:val="00FD34C7"/>
    <w:rsid w:val="00FD3DC8"/>
    <w:rsid w:val="00FD4123"/>
    <w:rsid w:val="00FD4283"/>
    <w:rsid w:val="00FD4CBE"/>
    <w:rsid w:val="00FD5074"/>
    <w:rsid w:val="00FD56B5"/>
    <w:rsid w:val="00FD5C45"/>
    <w:rsid w:val="00FD60D9"/>
    <w:rsid w:val="00FD657D"/>
    <w:rsid w:val="00FD6797"/>
    <w:rsid w:val="00FD6885"/>
    <w:rsid w:val="00FD771D"/>
    <w:rsid w:val="00FD79D8"/>
    <w:rsid w:val="00FE018C"/>
    <w:rsid w:val="00FE02E2"/>
    <w:rsid w:val="00FE1013"/>
    <w:rsid w:val="00FE199A"/>
    <w:rsid w:val="00FE1ABB"/>
    <w:rsid w:val="00FE21E2"/>
    <w:rsid w:val="00FE2487"/>
    <w:rsid w:val="00FE262E"/>
    <w:rsid w:val="00FE268C"/>
    <w:rsid w:val="00FE3065"/>
    <w:rsid w:val="00FE369F"/>
    <w:rsid w:val="00FE3862"/>
    <w:rsid w:val="00FE4265"/>
    <w:rsid w:val="00FE4E81"/>
    <w:rsid w:val="00FE4E8A"/>
    <w:rsid w:val="00FE53AC"/>
    <w:rsid w:val="00FE5D13"/>
    <w:rsid w:val="00FE6897"/>
    <w:rsid w:val="00FE6B12"/>
    <w:rsid w:val="00FE7456"/>
    <w:rsid w:val="00FE7660"/>
    <w:rsid w:val="00FF1065"/>
    <w:rsid w:val="00FF18B8"/>
    <w:rsid w:val="00FF19CB"/>
    <w:rsid w:val="00FF200F"/>
    <w:rsid w:val="00FF2386"/>
    <w:rsid w:val="00FF2594"/>
    <w:rsid w:val="00FF2ABF"/>
    <w:rsid w:val="00FF2C0D"/>
    <w:rsid w:val="00FF3029"/>
    <w:rsid w:val="00FF3434"/>
    <w:rsid w:val="00FF38E9"/>
    <w:rsid w:val="00FF4168"/>
    <w:rsid w:val="00FF4499"/>
    <w:rsid w:val="00FF4B7A"/>
    <w:rsid w:val="00FF5E16"/>
    <w:rsid w:val="00FF66D7"/>
    <w:rsid w:val="00FF6AE0"/>
    <w:rsid w:val="00FF6BA5"/>
    <w:rsid w:val="00FF6ED8"/>
    <w:rsid w:val="00FF70A5"/>
    <w:rsid w:val="00FF76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9CD01AAA-90EA-4B03-A4AE-F0B7F60E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0FB"/>
  </w:style>
  <w:style w:type="paragraph" w:styleId="Heading1">
    <w:name w:val="heading 1"/>
    <w:basedOn w:val="Normal"/>
    <w:next w:val="Normal"/>
    <w:link w:val="Heading1Char"/>
    <w:uiPriority w:val="9"/>
    <w:qFormat/>
    <w:rsid w:val="00F975AB"/>
    <w:pPr>
      <w:spacing w:after="240" w:line="240" w:lineRule="auto"/>
      <w:contextualSpacing/>
      <w:outlineLvl w:val="0"/>
    </w:pPr>
    <w:rPr>
      <w:rFonts w:ascii="Calibri" w:eastAsiaTheme="majorEastAsia" w:hAnsi="Calibri" w:cstheme="majorBidi"/>
      <w:b/>
      <w:bCs/>
      <w:color w:val="1E3D6B"/>
      <w:sz w:val="36"/>
      <w:szCs w:val="28"/>
    </w:rPr>
  </w:style>
  <w:style w:type="paragraph" w:styleId="Heading2">
    <w:name w:val="heading 2"/>
    <w:basedOn w:val="Normal"/>
    <w:next w:val="Normal"/>
    <w:link w:val="Heading2Char"/>
    <w:uiPriority w:val="9"/>
    <w:unhideWhenUsed/>
    <w:qFormat/>
    <w:rsid w:val="0002584A"/>
    <w:pPr>
      <w:keepNext/>
      <w:spacing w:before="200"/>
      <w:outlineLvl w:val="1"/>
    </w:pPr>
    <w:rPr>
      <w:rFonts w:ascii="Calibri" w:eastAsiaTheme="majorEastAsia" w:hAnsi="Calibri" w:cstheme="majorBidi"/>
      <w:b/>
      <w:bCs/>
      <w:sz w:val="28"/>
      <w:szCs w:val="26"/>
    </w:rPr>
  </w:style>
  <w:style w:type="paragraph" w:styleId="Heading3">
    <w:name w:val="heading 3"/>
    <w:basedOn w:val="Normal"/>
    <w:next w:val="Normal"/>
    <w:link w:val="Heading3Char"/>
    <w:uiPriority w:val="9"/>
    <w:unhideWhenUsed/>
    <w:qFormat/>
    <w:rsid w:val="00437CB5"/>
    <w:pPr>
      <w:keepNext/>
      <w:spacing w:before="200" w:after="0"/>
      <w:outlineLvl w:val="2"/>
    </w:pPr>
    <w:rPr>
      <w:rFonts w:ascii="Calibri" w:eastAsiaTheme="majorEastAsia" w:hAnsi="Calibri" w:cstheme="majorBidi"/>
      <w:b/>
      <w:bCs/>
    </w:rPr>
  </w:style>
  <w:style w:type="paragraph" w:styleId="Heading4">
    <w:name w:val="heading 4"/>
    <w:basedOn w:val="Normal"/>
    <w:next w:val="Normal"/>
    <w:link w:val="Heading4Char"/>
    <w:unhideWhenUsed/>
    <w:rsid w:val="00B72CA2"/>
    <w:pPr>
      <w:keepNext/>
      <w:spacing w:before="200" w:after="0"/>
      <w:outlineLvl w:val="3"/>
    </w:pPr>
    <w:rPr>
      <w:rFonts w:ascii="Calibri" w:eastAsiaTheme="majorEastAsia" w:hAnsi="Calibri" w:cstheme="majorBidi"/>
      <w:b/>
      <w:bCs/>
      <w:i/>
      <w:iCs/>
    </w:rPr>
  </w:style>
  <w:style w:type="paragraph" w:styleId="Heading5">
    <w:name w:val="heading 5"/>
    <w:basedOn w:val="Normal"/>
    <w:next w:val="Normal"/>
    <w:link w:val="Heading5Char"/>
    <w:unhideWhenUsed/>
    <w:rsid w:val="001B6467"/>
    <w:pPr>
      <w:spacing w:before="200" w:after="0"/>
      <w:outlineLvl w:val="4"/>
    </w:pPr>
    <w:rPr>
      <w:rFonts w:ascii="Calibri" w:eastAsiaTheme="majorEastAsia" w:hAnsi="Calibri" w:cstheme="majorBidi"/>
      <w:b/>
      <w:bCs/>
      <w:color w:val="757575"/>
    </w:rPr>
  </w:style>
  <w:style w:type="paragraph" w:styleId="Heading6">
    <w:name w:val="heading 6"/>
    <w:basedOn w:val="Normal"/>
    <w:next w:val="Normal"/>
    <w:link w:val="Heading6Char"/>
    <w:unhideWhenUsed/>
    <w:rsid w:val="00933671"/>
    <w:pPr>
      <w:spacing w:before="200" w:after="0"/>
      <w:outlineLvl w:val="5"/>
    </w:pPr>
    <w:rPr>
      <w:rFonts w:ascii="Calibri" w:eastAsiaTheme="majorEastAsia" w:hAnsi="Calibri" w:cstheme="majorBidi"/>
      <w:b/>
      <w:bCs/>
      <w:i/>
      <w:iCs/>
      <w:color w:val="757575"/>
    </w:rPr>
  </w:style>
  <w:style w:type="paragraph" w:styleId="Heading7">
    <w:name w:val="heading 7"/>
    <w:basedOn w:val="Normal"/>
    <w:next w:val="Normal"/>
    <w:link w:val="Heading7Char"/>
    <w:uiPriority w:val="9"/>
    <w:semiHidden/>
    <w:unhideWhenUsed/>
    <w:rsid w:val="00AC65D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C65D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C65D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AC65DA"/>
    <w:rPr>
      <w:b/>
      <w:bCs/>
    </w:rPr>
  </w:style>
  <w:style w:type="character" w:styleId="Emphasis">
    <w:name w:val="Emphasis"/>
    <w:uiPriority w:val="20"/>
    <w:rsid w:val="001F1C07"/>
    <w:rPr>
      <w:b w:val="0"/>
      <w:bCs/>
      <w:i/>
      <w:iCs/>
      <w:spacing w:val="10"/>
      <w:bdr w:val="none" w:sz="0" w:space="0" w:color="auto"/>
      <w:shd w:val="clear" w:color="auto" w:fill="auto"/>
    </w:rPr>
  </w:style>
  <w:style w:type="character" w:styleId="BookTitle">
    <w:name w:val="Book Title"/>
    <w:uiPriority w:val="33"/>
    <w:rsid w:val="009116EA"/>
    <w:rPr>
      <w:i/>
      <w:iCs/>
      <w:caps w:val="0"/>
      <w:smallCaps w:val="0"/>
      <w:spacing w:val="5"/>
    </w:rPr>
  </w:style>
  <w:style w:type="character" w:styleId="Hyperlink">
    <w:name w:val="Hyperlink"/>
    <w:basedOn w:val="DefaultParagraphFont"/>
    <w:uiPriority w:val="99"/>
    <w:unhideWhenUsed/>
    <w:rsid w:val="00C10C19"/>
    <w:rPr>
      <w:color w:val="165788" w:themeColor="hyperlink"/>
      <w:u w:val="single"/>
    </w:rPr>
  </w:style>
  <w:style w:type="paragraph" w:styleId="Quote">
    <w:name w:val="Quote"/>
    <w:basedOn w:val="Normal"/>
    <w:next w:val="Normal"/>
    <w:link w:val="QuoteChar"/>
    <w:uiPriority w:val="29"/>
    <w:qFormat/>
    <w:rsid w:val="00AD7939"/>
    <w:pPr>
      <w:spacing w:after="120"/>
      <w:ind w:left="369" w:right="369"/>
    </w:pPr>
    <w:rPr>
      <w:i/>
      <w:iCs/>
      <w:sz w:val="20"/>
    </w:rPr>
  </w:style>
  <w:style w:type="character" w:customStyle="1" w:styleId="QuoteChar">
    <w:name w:val="Quote Char"/>
    <w:basedOn w:val="DefaultParagraphFont"/>
    <w:link w:val="Quote"/>
    <w:uiPriority w:val="29"/>
    <w:rsid w:val="00AD7939"/>
    <w:rPr>
      <w:i/>
      <w:iCs/>
      <w:sz w:val="20"/>
    </w:rPr>
  </w:style>
  <w:style w:type="character" w:customStyle="1" w:styleId="Heading1Char">
    <w:name w:val="Heading 1 Char"/>
    <w:basedOn w:val="DefaultParagraphFont"/>
    <w:link w:val="Heading1"/>
    <w:uiPriority w:val="9"/>
    <w:rsid w:val="00F975AB"/>
    <w:rPr>
      <w:rFonts w:ascii="Calibri" w:eastAsiaTheme="majorEastAsia" w:hAnsi="Calibri" w:cstheme="majorBidi"/>
      <w:b/>
      <w:bCs/>
      <w:color w:val="1E3D6B"/>
      <w:sz w:val="36"/>
      <w:szCs w:val="28"/>
    </w:rPr>
  </w:style>
  <w:style w:type="character" w:customStyle="1" w:styleId="Heading2Char">
    <w:name w:val="Heading 2 Char"/>
    <w:basedOn w:val="DefaultParagraphFont"/>
    <w:link w:val="Heading2"/>
    <w:rsid w:val="0002584A"/>
    <w:rPr>
      <w:rFonts w:ascii="Calibri" w:eastAsiaTheme="majorEastAsia" w:hAnsi="Calibri" w:cstheme="majorBidi"/>
      <w:b/>
      <w:bCs/>
      <w:sz w:val="28"/>
      <w:szCs w:val="26"/>
    </w:rPr>
  </w:style>
  <w:style w:type="character" w:customStyle="1" w:styleId="Heading3Char">
    <w:name w:val="Heading 3 Char"/>
    <w:basedOn w:val="DefaultParagraphFont"/>
    <w:link w:val="Heading3"/>
    <w:uiPriority w:val="9"/>
    <w:rsid w:val="00437CB5"/>
    <w:rPr>
      <w:rFonts w:ascii="Calibri" w:eastAsiaTheme="majorEastAsia" w:hAnsi="Calibri" w:cstheme="majorBidi"/>
      <w:b/>
      <w:bCs/>
    </w:rPr>
  </w:style>
  <w:style w:type="character" w:customStyle="1" w:styleId="Heading4Char">
    <w:name w:val="Heading 4 Char"/>
    <w:basedOn w:val="DefaultParagraphFont"/>
    <w:link w:val="Heading4"/>
    <w:rsid w:val="00B72CA2"/>
    <w:rPr>
      <w:rFonts w:ascii="Calibri" w:eastAsiaTheme="majorEastAsia" w:hAnsi="Calibri" w:cstheme="majorBidi"/>
      <w:b/>
      <w:bCs/>
      <w:i/>
      <w:iCs/>
    </w:rPr>
  </w:style>
  <w:style w:type="character" w:customStyle="1" w:styleId="Heading5Char">
    <w:name w:val="Heading 5 Char"/>
    <w:basedOn w:val="DefaultParagraphFont"/>
    <w:link w:val="Heading5"/>
    <w:rsid w:val="001B6467"/>
    <w:rPr>
      <w:rFonts w:ascii="Calibri" w:eastAsiaTheme="majorEastAsia" w:hAnsi="Calibri" w:cstheme="majorBidi"/>
      <w:b/>
      <w:bCs/>
      <w:color w:val="757575"/>
    </w:rPr>
  </w:style>
  <w:style w:type="character" w:customStyle="1" w:styleId="Heading6Char">
    <w:name w:val="Heading 6 Char"/>
    <w:basedOn w:val="DefaultParagraphFont"/>
    <w:link w:val="Heading6"/>
    <w:rsid w:val="00933671"/>
    <w:rPr>
      <w:rFonts w:ascii="Calibri" w:eastAsiaTheme="majorEastAsia" w:hAnsi="Calibri" w:cstheme="majorBidi"/>
      <w:b/>
      <w:bCs/>
      <w:i/>
      <w:iCs/>
      <w:color w:val="757575"/>
    </w:rPr>
  </w:style>
  <w:style w:type="character" w:customStyle="1" w:styleId="Heading7Char">
    <w:name w:val="Heading 7 Char"/>
    <w:basedOn w:val="DefaultParagraphFont"/>
    <w:link w:val="Heading7"/>
    <w:uiPriority w:val="9"/>
    <w:semiHidden/>
    <w:rsid w:val="00AC65D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C65D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C65D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rsid w:val="00BF10F4"/>
    <w:pPr>
      <w:spacing w:after="120" w:line="240" w:lineRule="auto"/>
      <w:contextualSpacing/>
    </w:pPr>
    <w:rPr>
      <w:rFonts w:ascii="Calibri" w:eastAsiaTheme="majorEastAsia" w:hAnsi="Calibri" w:cstheme="majorBidi"/>
      <w:color w:val="FFFFFF" w:themeColor="background2"/>
      <w:spacing w:val="5"/>
      <w:sz w:val="90"/>
      <w:szCs w:val="90"/>
    </w:rPr>
  </w:style>
  <w:style w:type="character" w:customStyle="1" w:styleId="TitleChar">
    <w:name w:val="Title Char"/>
    <w:basedOn w:val="DefaultParagraphFont"/>
    <w:link w:val="Title"/>
    <w:uiPriority w:val="10"/>
    <w:rsid w:val="00BF10F4"/>
    <w:rPr>
      <w:rFonts w:ascii="Calibri" w:eastAsiaTheme="majorEastAsia" w:hAnsi="Calibri" w:cstheme="majorBidi"/>
      <w:color w:val="FFFFFF" w:themeColor="background2"/>
      <w:spacing w:val="5"/>
      <w:sz w:val="90"/>
      <w:szCs w:val="90"/>
    </w:rPr>
  </w:style>
  <w:style w:type="paragraph" w:styleId="Subtitle">
    <w:name w:val="Subtitle"/>
    <w:basedOn w:val="Normal"/>
    <w:next w:val="Normal"/>
    <w:link w:val="SubtitleChar"/>
    <w:uiPriority w:val="11"/>
    <w:qFormat/>
    <w:rsid w:val="00BF10F4"/>
    <w:pPr>
      <w:spacing w:after="240"/>
    </w:pPr>
    <w:rPr>
      <w:rFonts w:ascii="Calibri" w:eastAsiaTheme="majorEastAsia" w:hAnsi="Calibri" w:cstheme="majorBidi"/>
      <w:iCs/>
      <w:color w:val="FFFFFF" w:themeColor="background2"/>
      <w:spacing w:val="13"/>
      <w:sz w:val="50"/>
      <w:szCs w:val="50"/>
    </w:rPr>
  </w:style>
  <w:style w:type="character" w:customStyle="1" w:styleId="SubtitleChar">
    <w:name w:val="Subtitle Char"/>
    <w:basedOn w:val="DefaultParagraphFont"/>
    <w:link w:val="Subtitle"/>
    <w:uiPriority w:val="11"/>
    <w:rsid w:val="00BF10F4"/>
    <w:rPr>
      <w:rFonts w:ascii="Calibri" w:eastAsiaTheme="majorEastAsia" w:hAnsi="Calibri" w:cstheme="majorBidi"/>
      <w:iCs/>
      <w:color w:val="FFFFFF" w:themeColor="background2"/>
      <w:spacing w:val="13"/>
      <w:sz w:val="50"/>
      <w:szCs w:val="50"/>
    </w:rPr>
  </w:style>
  <w:style w:type="paragraph" w:styleId="NoSpacing">
    <w:name w:val="No Spacing"/>
    <w:basedOn w:val="Normal"/>
    <w:link w:val="NoSpacingChar"/>
    <w:uiPriority w:val="1"/>
    <w:qFormat/>
    <w:rsid w:val="00AC65DA"/>
    <w:pPr>
      <w:spacing w:after="0" w:line="240" w:lineRule="auto"/>
    </w:pPr>
  </w:style>
  <w:style w:type="paragraph" w:styleId="ListParagraph">
    <w:name w:val="List Paragraph"/>
    <w:aliases w:val="List Paragraph1,Recommendation,List Paragraph11,Table,L,Bullet Point,Bullet points,Content descriptions"/>
    <w:basedOn w:val="Normal"/>
    <w:link w:val="ListParagraphChar"/>
    <w:uiPriority w:val="34"/>
    <w:qFormat/>
    <w:rsid w:val="00AC65DA"/>
    <w:pPr>
      <w:ind w:left="720"/>
      <w:contextualSpacing/>
    </w:pPr>
  </w:style>
  <w:style w:type="paragraph" w:styleId="IntenseQuote">
    <w:name w:val="Intense Quote"/>
    <w:basedOn w:val="Normal"/>
    <w:next w:val="Normal"/>
    <w:link w:val="IntenseQuoteChar"/>
    <w:uiPriority w:val="30"/>
    <w:rsid w:val="00AC65D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65DA"/>
    <w:rPr>
      <w:b/>
      <w:bCs/>
      <w:i/>
      <w:iCs/>
    </w:rPr>
  </w:style>
  <w:style w:type="character" w:styleId="SubtleEmphasis">
    <w:name w:val="Subtle Emphasis"/>
    <w:uiPriority w:val="19"/>
    <w:rsid w:val="00AC65DA"/>
    <w:rPr>
      <w:i/>
      <w:iCs/>
    </w:rPr>
  </w:style>
  <w:style w:type="character" w:styleId="IntenseEmphasis">
    <w:name w:val="Intense Emphasis"/>
    <w:uiPriority w:val="21"/>
    <w:rsid w:val="001F1C07"/>
    <w:rPr>
      <w:b/>
      <w:bCs/>
      <w:i/>
    </w:rPr>
  </w:style>
  <w:style w:type="character" w:styleId="SubtleReference">
    <w:name w:val="Subtle Reference"/>
    <w:uiPriority w:val="31"/>
    <w:rsid w:val="00AC65DA"/>
    <w:rPr>
      <w:smallCaps/>
    </w:rPr>
  </w:style>
  <w:style w:type="character" w:styleId="IntenseReference">
    <w:name w:val="Intense Reference"/>
    <w:uiPriority w:val="32"/>
    <w:rsid w:val="00AC65DA"/>
    <w:rPr>
      <w:smallCaps/>
      <w:spacing w:val="5"/>
      <w:u w:val="single"/>
    </w:rPr>
  </w:style>
  <w:style w:type="paragraph" w:styleId="TOCHeading">
    <w:name w:val="TOC Heading"/>
    <w:basedOn w:val="Heading1"/>
    <w:next w:val="Normal"/>
    <w:uiPriority w:val="39"/>
    <w:unhideWhenUsed/>
    <w:rsid w:val="00AC65DA"/>
    <w:pPr>
      <w:outlineLvl w:val="9"/>
    </w:pPr>
    <w:rPr>
      <w:lang w:bidi="en-US"/>
    </w:rPr>
  </w:style>
  <w:style w:type="paragraph" w:styleId="ListNumber">
    <w:name w:val="List Number"/>
    <w:basedOn w:val="Normal"/>
    <w:uiPriority w:val="99"/>
    <w:unhideWhenUsed/>
    <w:rsid w:val="006B0016"/>
    <w:pPr>
      <w:numPr>
        <w:numId w:val="2"/>
      </w:numPr>
      <w:spacing w:after="120"/>
      <w:contextualSpacing/>
    </w:pPr>
  </w:style>
  <w:style w:type="paragraph" w:styleId="ListNumber2">
    <w:name w:val="List Number 2"/>
    <w:basedOn w:val="Normal"/>
    <w:uiPriority w:val="99"/>
    <w:unhideWhenUsed/>
    <w:rsid w:val="006B0016"/>
    <w:pPr>
      <w:numPr>
        <w:ilvl w:val="1"/>
        <w:numId w:val="2"/>
      </w:numPr>
      <w:tabs>
        <w:tab w:val="left" w:pos="1134"/>
      </w:tabs>
      <w:spacing w:after="120"/>
      <w:contextualSpacing/>
    </w:pPr>
  </w:style>
  <w:style w:type="paragraph" w:styleId="ListNumber3">
    <w:name w:val="List Number 3"/>
    <w:basedOn w:val="Normal"/>
    <w:uiPriority w:val="99"/>
    <w:unhideWhenUsed/>
    <w:rsid w:val="006B0016"/>
    <w:pPr>
      <w:numPr>
        <w:ilvl w:val="2"/>
        <w:numId w:val="2"/>
      </w:numPr>
      <w:spacing w:after="120"/>
      <w:contextualSpacing/>
    </w:pPr>
  </w:style>
  <w:style w:type="paragraph" w:styleId="ListNumber4">
    <w:name w:val="List Number 4"/>
    <w:basedOn w:val="Normal"/>
    <w:uiPriority w:val="99"/>
    <w:unhideWhenUsed/>
    <w:rsid w:val="006B0016"/>
    <w:pPr>
      <w:numPr>
        <w:ilvl w:val="3"/>
        <w:numId w:val="2"/>
      </w:numPr>
      <w:spacing w:after="120"/>
      <w:contextualSpacing/>
    </w:pPr>
  </w:style>
  <w:style w:type="paragraph" w:styleId="ListBullet">
    <w:name w:val="List Bullet"/>
    <w:basedOn w:val="Normal"/>
    <w:uiPriority w:val="99"/>
    <w:unhideWhenUsed/>
    <w:qFormat/>
    <w:rsid w:val="006B0016"/>
    <w:pPr>
      <w:numPr>
        <w:numId w:val="15"/>
      </w:numPr>
      <w:spacing w:after="120"/>
      <w:contextualSpacing/>
    </w:pPr>
  </w:style>
  <w:style w:type="paragraph" w:styleId="ListBullet2">
    <w:name w:val="List Bullet 2"/>
    <w:basedOn w:val="Normal"/>
    <w:uiPriority w:val="99"/>
    <w:unhideWhenUsed/>
    <w:rsid w:val="006B0016"/>
    <w:pPr>
      <w:numPr>
        <w:ilvl w:val="1"/>
        <w:numId w:val="3"/>
      </w:numPr>
      <w:spacing w:after="120"/>
      <w:contextualSpacing/>
    </w:pPr>
  </w:style>
  <w:style w:type="paragraph" w:styleId="ListBullet3">
    <w:name w:val="List Bullet 3"/>
    <w:basedOn w:val="Normal"/>
    <w:uiPriority w:val="99"/>
    <w:unhideWhenUsed/>
    <w:rsid w:val="006B0016"/>
    <w:pPr>
      <w:numPr>
        <w:ilvl w:val="2"/>
        <w:numId w:val="3"/>
      </w:numPr>
      <w:spacing w:after="120"/>
      <w:contextualSpacing/>
    </w:pPr>
  </w:style>
  <w:style w:type="paragraph" w:styleId="ListBullet4">
    <w:name w:val="List Bullet 4"/>
    <w:basedOn w:val="Normal"/>
    <w:uiPriority w:val="99"/>
    <w:unhideWhenUsed/>
    <w:rsid w:val="006B0016"/>
    <w:pPr>
      <w:numPr>
        <w:ilvl w:val="3"/>
        <w:numId w:val="3"/>
      </w:numPr>
      <w:spacing w:after="120"/>
      <w:contextualSpacing/>
    </w:pPr>
  </w:style>
  <w:style w:type="table" w:styleId="TableGrid">
    <w:name w:val="Table Grid"/>
    <w:basedOn w:val="TableNormal"/>
    <w:uiPriority w:val="59"/>
    <w:rsid w:val="00792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EWRTable">
    <w:name w:val="DEEWR Table"/>
    <w:basedOn w:val="TableNormal"/>
    <w:uiPriority w:val="99"/>
    <w:rsid w:val="00903408"/>
    <w:pPr>
      <w:spacing w:after="0" w:line="240" w:lineRule="auto"/>
    </w:pPr>
    <w:rPr>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FFFFFF" w:themeColor="background2"/>
        <w:sz w:val="20"/>
      </w:rPr>
      <w:tblPr/>
      <w:trPr>
        <w:tblHeader/>
      </w:trPr>
      <w:tcPr>
        <w:shd w:val="clear" w:color="auto" w:fill="000000" w:themeFill="text1"/>
      </w:tcPr>
    </w:tblStylePr>
    <w:tblStylePr w:type="firstCol">
      <w:pPr>
        <w:jc w:val="left"/>
      </w:pPr>
      <w:rPr>
        <w:b/>
      </w:rPr>
    </w:tblStylePr>
  </w:style>
  <w:style w:type="paragraph" w:customStyle="1" w:styleId="Default">
    <w:name w:val="Default"/>
    <w:qFormat/>
    <w:rsid w:val="00130923"/>
    <w:pPr>
      <w:autoSpaceDE w:val="0"/>
      <w:autoSpaceDN w:val="0"/>
      <w:adjustRightInd w:val="0"/>
      <w:spacing w:after="0" w:line="240" w:lineRule="auto"/>
    </w:pPr>
    <w:rPr>
      <w:rFonts w:ascii="Calibri" w:eastAsia="Times New Roman" w:hAnsi="Calibri" w:cs="Calibri"/>
      <w:color w:val="000000"/>
      <w:sz w:val="24"/>
      <w:szCs w:val="24"/>
      <w:lang w:eastAsia="en-AU"/>
    </w:rPr>
  </w:style>
  <w:style w:type="paragraph" w:styleId="BodyText">
    <w:name w:val="Body Text"/>
    <w:basedOn w:val="Normal"/>
    <w:link w:val="BodyTextChar"/>
    <w:rsid w:val="00130923"/>
    <w:pPr>
      <w:spacing w:after="120" w:line="240" w:lineRule="auto"/>
    </w:pPr>
    <w:rPr>
      <w:rFonts w:eastAsia="Times New Roman" w:cs="Times New Roman"/>
      <w:szCs w:val="24"/>
      <w:lang w:eastAsia="en-AU"/>
    </w:rPr>
  </w:style>
  <w:style w:type="character" w:customStyle="1" w:styleId="BodyTextChar">
    <w:name w:val="Body Text Char"/>
    <w:basedOn w:val="DefaultParagraphFont"/>
    <w:link w:val="BodyText"/>
    <w:rsid w:val="00130923"/>
    <w:rPr>
      <w:rFonts w:eastAsia="Times New Roman" w:cs="Times New Roman"/>
      <w:szCs w:val="24"/>
      <w:lang w:eastAsia="en-AU"/>
    </w:rPr>
  </w:style>
  <w:style w:type="paragraph" w:customStyle="1" w:styleId="numberedpara">
    <w:name w:val="numbered para"/>
    <w:basedOn w:val="Normal"/>
    <w:rsid w:val="00130923"/>
    <w:pPr>
      <w:numPr>
        <w:numId w:val="1"/>
      </w:numPr>
      <w:spacing w:after="0" w:line="240" w:lineRule="auto"/>
    </w:pPr>
    <w:rPr>
      <w:rFonts w:ascii="Calibri" w:eastAsiaTheme="minorHAnsi" w:hAnsi="Calibri" w:cs="Calibri"/>
      <w:lang w:eastAsia="en-AU"/>
    </w:rPr>
  </w:style>
  <w:style w:type="paragraph" w:styleId="BalloonText">
    <w:name w:val="Balloon Text"/>
    <w:basedOn w:val="Normal"/>
    <w:link w:val="BalloonTextChar"/>
    <w:unhideWhenUsed/>
    <w:rsid w:val="00130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30923"/>
    <w:rPr>
      <w:rFonts w:ascii="Tahoma" w:hAnsi="Tahoma" w:cs="Tahoma"/>
      <w:sz w:val="16"/>
      <w:szCs w:val="16"/>
    </w:rPr>
  </w:style>
  <w:style w:type="character" w:customStyle="1" w:styleId="NoSpacingChar">
    <w:name w:val="No Spacing Char"/>
    <w:basedOn w:val="DefaultParagraphFont"/>
    <w:link w:val="NoSpacing"/>
    <w:uiPriority w:val="1"/>
    <w:rsid w:val="00130923"/>
  </w:style>
  <w:style w:type="paragraph" w:styleId="Header">
    <w:name w:val="header"/>
    <w:basedOn w:val="Normal"/>
    <w:link w:val="HeaderChar"/>
    <w:uiPriority w:val="99"/>
    <w:unhideWhenUsed/>
    <w:rsid w:val="00130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923"/>
  </w:style>
  <w:style w:type="paragraph" w:styleId="Footer">
    <w:name w:val="footer"/>
    <w:basedOn w:val="Normal"/>
    <w:link w:val="FooterChar"/>
    <w:uiPriority w:val="99"/>
    <w:unhideWhenUsed/>
    <w:rsid w:val="00130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923"/>
  </w:style>
  <w:style w:type="paragraph" w:styleId="TOC1">
    <w:name w:val="toc 1"/>
    <w:basedOn w:val="Normal"/>
    <w:next w:val="Normal"/>
    <w:autoRedefine/>
    <w:uiPriority w:val="39"/>
    <w:unhideWhenUsed/>
    <w:qFormat/>
    <w:rsid w:val="007E755F"/>
    <w:pPr>
      <w:tabs>
        <w:tab w:val="left" w:pos="426"/>
        <w:tab w:val="right" w:leader="dot" w:pos="9016"/>
      </w:tabs>
      <w:spacing w:before="120" w:after="120"/>
    </w:pPr>
    <w:rPr>
      <w:rFonts w:cstheme="minorHAnsi"/>
      <w:b/>
      <w:bCs/>
      <w:sz w:val="20"/>
      <w:szCs w:val="20"/>
    </w:rPr>
  </w:style>
  <w:style w:type="paragraph" w:styleId="TOC2">
    <w:name w:val="toc 2"/>
    <w:basedOn w:val="Normal"/>
    <w:next w:val="Normal"/>
    <w:autoRedefine/>
    <w:uiPriority w:val="39"/>
    <w:unhideWhenUsed/>
    <w:rsid w:val="00637098"/>
    <w:pPr>
      <w:tabs>
        <w:tab w:val="left" w:pos="880"/>
        <w:tab w:val="right" w:leader="dot" w:pos="9016"/>
      </w:tabs>
      <w:spacing w:after="0"/>
      <w:ind w:left="220"/>
    </w:pPr>
    <w:rPr>
      <w:rFonts w:cstheme="minorHAnsi"/>
      <w:sz w:val="20"/>
      <w:szCs w:val="20"/>
    </w:rPr>
  </w:style>
  <w:style w:type="paragraph" w:styleId="TOC3">
    <w:name w:val="toc 3"/>
    <w:basedOn w:val="Normal"/>
    <w:next w:val="Normal"/>
    <w:autoRedefine/>
    <w:uiPriority w:val="39"/>
    <w:unhideWhenUsed/>
    <w:rsid w:val="00354833"/>
    <w:pPr>
      <w:spacing w:after="0"/>
      <w:ind w:left="440"/>
    </w:pPr>
    <w:rPr>
      <w:rFonts w:cstheme="minorHAnsi"/>
      <w:i/>
      <w:iCs/>
      <w:sz w:val="20"/>
      <w:szCs w:val="20"/>
    </w:rPr>
  </w:style>
  <w:style w:type="paragraph" w:styleId="Caption">
    <w:name w:val="caption"/>
    <w:basedOn w:val="Heading4"/>
    <w:next w:val="Normal"/>
    <w:uiPriority w:val="99"/>
    <w:unhideWhenUsed/>
    <w:rsid w:val="00B2722A"/>
    <w:rPr>
      <w:i w:val="0"/>
    </w:rPr>
  </w:style>
  <w:style w:type="paragraph" w:customStyle="1" w:styleId="Source">
    <w:name w:val="Source"/>
    <w:basedOn w:val="Normal"/>
    <w:rsid w:val="00443EFB"/>
    <w:pPr>
      <w:spacing w:after="0"/>
    </w:pPr>
    <w:rPr>
      <w:rFonts w:cstheme="minorHAnsi"/>
      <w:b/>
      <w:sz w:val="20"/>
      <w:szCs w:val="20"/>
    </w:rPr>
  </w:style>
  <w:style w:type="character" w:styleId="PlaceholderText">
    <w:name w:val="Placeholder Text"/>
    <w:basedOn w:val="DefaultParagraphFont"/>
    <w:uiPriority w:val="99"/>
    <w:semiHidden/>
    <w:rsid w:val="00BA282D"/>
    <w:rPr>
      <w:color w:val="808080"/>
    </w:rPr>
  </w:style>
  <w:style w:type="paragraph" w:customStyle="1" w:styleId="DeleteText">
    <w:name w:val="Delete Text"/>
    <w:basedOn w:val="Normal"/>
    <w:rsid w:val="00F975AB"/>
    <w:rPr>
      <w:color w:val="1E3D6B"/>
    </w:rPr>
  </w:style>
  <w:style w:type="numbering" w:customStyle="1" w:styleId="NumberedList">
    <w:name w:val="Numbered List"/>
    <w:uiPriority w:val="99"/>
    <w:rsid w:val="006B0016"/>
    <w:pPr>
      <w:numPr>
        <w:numId w:val="2"/>
      </w:numPr>
    </w:pPr>
  </w:style>
  <w:style w:type="numbering" w:customStyle="1" w:styleId="BulletList">
    <w:name w:val="Bullet List"/>
    <w:uiPriority w:val="99"/>
    <w:rsid w:val="006B0016"/>
    <w:pPr>
      <w:numPr>
        <w:numId w:val="3"/>
      </w:numPr>
    </w:pPr>
  </w:style>
  <w:style w:type="paragraph" w:styleId="ListNumber5">
    <w:name w:val="List Number 5"/>
    <w:basedOn w:val="Normal"/>
    <w:uiPriority w:val="99"/>
    <w:semiHidden/>
    <w:unhideWhenUsed/>
    <w:rsid w:val="006B0016"/>
    <w:pPr>
      <w:numPr>
        <w:ilvl w:val="4"/>
        <w:numId w:val="2"/>
      </w:numPr>
      <w:contextualSpacing/>
    </w:pPr>
  </w:style>
  <w:style w:type="paragraph" w:styleId="ListBullet5">
    <w:name w:val="List Bullet 5"/>
    <w:basedOn w:val="Normal"/>
    <w:uiPriority w:val="99"/>
    <w:semiHidden/>
    <w:unhideWhenUsed/>
    <w:rsid w:val="006B0016"/>
    <w:pPr>
      <w:numPr>
        <w:ilvl w:val="4"/>
        <w:numId w:val="3"/>
      </w:numPr>
      <w:contextualSpacing/>
    </w:pPr>
  </w:style>
  <w:style w:type="paragraph" w:customStyle="1" w:styleId="H3">
    <w:name w:val="H3"/>
    <w:basedOn w:val="Normal"/>
    <w:link w:val="H3Char"/>
    <w:rsid w:val="003F2CE9"/>
    <w:rPr>
      <w:b/>
      <w:color w:val="000000"/>
      <w:sz w:val="24"/>
      <w:szCs w:val="28"/>
    </w:rPr>
  </w:style>
  <w:style w:type="numbering" w:customStyle="1" w:styleId="Bullets0">
    <w:name w:val="Bullets"/>
    <w:basedOn w:val="NoList"/>
    <w:rsid w:val="003F2CE9"/>
    <w:pPr>
      <w:numPr>
        <w:numId w:val="5"/>
      </w:numPr>
    </w:pPr>
  </w:style>
  <w:style w:type="character" w:styleId="PageNumber">
    <w:name w:val="page number"/>
    <w:basedOn w:val="DefaultParagraphFont"/>
    <w:rsid w:val="003F2CE9"/>
    <w:rPr>
      <w:rFonts w:ascii="Calibri" w:hAnsi="Calibri"/>
    </w:rPr>
  </w:style>
  <w:style w:type="paragraph" w:customStyle="1" w:styleId="BodyText1">
    <w:name w:val="Body Text1"/>
    <w:basedOn w:val="Normal"/>
    <w:link w:val="bodytextChar0"/>
    <w:rsid w:val="003F2CE9"/>
    <w:pPr>
      <w:suppressAutoHyphens/>
      <w:autoSpaceDE w:val="0"/>
      <w:autoSpaceDN w:val="0"/>
      <w:adjustRightInd w:val="0"/>
      <w:spacing w:before="20" w:after="140" w:line="300" w:lineRule="atLeast"/>
      <w:textAlignment w:val="center"/>
    </w:pPr>
    <w:rPr>
      <w:rFonts w:cs="Garamond"/>
      <w:color w:val="000000"/>
      <w:lang w:val="en-GB"/>
    </w:rPr>
  </w:style>
  <w:style w:type="paragraph" w:customStyle="1" w:styleId="bullet">
    <w:name w:val="bullet"/>
    <w:basedOn w:val="Normal"/>
    <w:link w:val="bulletChar"/>
    <w:rsid w:val="003F2CE9"/>
    <w:pPr>
      <w:numPr>
        <w:numId w:val="4"/>
      </w:numPr>
      <w:suppressAutoHyphens/>
      <w:autoSpaceDE w:val="0"/>
      <w:autoSpaceDN w:val="0"/>
      <w:adjustRightInd w:val="0"/>
      <w:spacing w:after="120"/>
      <w:textAlignment w:val="center"/>
    </w:pPr>
    <w:rPr>
      <w:rFonts w:cs="Garamond"/>
      <w:color w:val="000000"/>
      <w:lang w:val="en-GB"/>
    </w:rPr>
  </w:style>
  <w:style w:type="paragraph" w:customStyle="1" w:styleId="bulletlast">
    <w:name w:val="bullet last"/>
    <w:basedOn w:val="bullet"/>
    <w:rsid w:val="003F2CE9"/>
    <w:pPr>
      <w:numPr>
        <w:numId w:val="0"/>
      </w:numPr>
      <w:spacing w:after="198"/>
    </w:pPr>
  </w:style>
  <w:style w:type="numbering" w:customStyle="1" w:styleId="StyleBulletedLime">
    <w:name w:val="Style Bulleted Lime"/>
    <w:basedOn w:val="NoList"/>
    <w:rsid w:val="003F2CE9"/>
    <w:pPr>
      <w:numPr>
        <w:numId w:val="6"/>
      </w:numPr>
    </w:pPr>
  </w:style>
  <w:style w:type="character" w:customStyle="1" w:styleId="bodytextChar0">
    <w:name w:val="body text Char"/>
    <w:basedOn w:val="DefaultParagraphFont"/>
    <w:link w:val="BodyText1"/>
    <w:rsid w:val="003F2CE9"/>
    <w:rPr>
      <w:rFonts w:cs="Garamond"/>
      <w:color w:val="000000"/>
      <w:lang w:val="en-GB"/>
    </w:rPr>
  </w:style>
  <w:style w:type="paragraph" w:customStyle="1" w:styleId="Numberbullet">
    <w:name w:val="Number bullet"/>
    <w:basedOn w:val="bullet"/>
    <w:rsid w:val="003F2CE9"/>
    <w:pPr>
      <w:numPr>
        <w:numId w:val="8"/>
      </w:numPr>
      <w:tabs>
        <w:tab w:val="num" w:pos="360"/>
        <w:tab w:val="left" w:pos="567"/>
      </w:tabs>
      <w:ind w:left="360"/>
    </w:pPr>
  </w:style>
  <w:style w:type="character" w:customStyle="1" w:styleId="bulletChar">
    <w:name w:val="bullet Char"/>
    <w:basedOn w:val="bodytextChar0"/>
    <w:link w:val="bullet"/>
    <w:rsid w:val="003F2CE9"/>
    <w:rPr>
      <w:rFonts w:cs="Garamond"/>
      <w:color w:val="000000"/>
      <w:lang w:val="en-GB"/>
    </w:rPr>
  </w:style>
  <w:style w:type="character" w:customStyle="1" w:styleId="tableheading">
    <w:name w:val="table heading"/>
    <w:basedOn w:val="bodytextChar0"/>
    <w:rsid w:val="003F2CE9"/>
    <w:rPr>
      <w:rFonts w:cs="Garamond"/>
      <w:b/>
      <w:bCs/>
      <w:color w:val="FFFFFF"/>
      <w:lang w:val="en-GB"/>
    </w:rPr>
  </w:style>
  <w:style w:type="paragraph" w:customStyle="1" w:styleId="tabletext">
    <w:name w:val="table text"/>
    <w:basedOn w:val="Normal"/>
    <w:link w:val="tabletextChar"/>
    <w:rsid w:val="003F2CE9"/>
    <w:pPr>
      <w:suppressAutoHyphens/>
      <w:autoSpaceDE w:val="0"/>
      <w:autoSpaceDN w:val="0"/>
      <w:adjustRightInd w:val="0"/>
      <w:spacing w:line="300" w:lineRule="atLeast"/>
      <w:ind w:right="310"/>
      <w:jc w:val="right"/>
      <w:textAlignment w:val="center"/>
    </w:pPr>
    <w:rPr>
      <w:rFonts w:cs="Garamond"/>
      <w:color w:val="000000"/>
      <w:sz w:val="20"/>
      <w:lang w:val="en-GB"/>
    </w:rPr>
  </w:style>
  <w:style w:type="paragraph" w:customStyle="1" w:styleId="TableandFigureheading">
    <w:name w:val="Table and Figure heading"/>
    <w:basedOn w:val="Normal"/>
    <w:link w:val="TableandFigureheadingChar"/>
    <w:rsid w:val="003F2CE9"/>
    <w:pPr>
      <w:keepNext/>
    </w:pPr>
    <w:rPr>
      <w:b/>
    </w:rPr>
  </w:style>
  <w:style w:type="paragraph" w:customStyle="1" w:styleId="Tablebodytext">
    <w:name w:val="Table body text"/>
    <w:basedOn w:val="tabletext"/>
    <w:link w:val="TablebodytextChar"/>
    <w:rsid w:val="003F2CE9"/>
  </w:style>
  <w:style w:type="character" w:customStyle="1" w:styleId="TableandFigureheadingChar">
    <w:name w:val="Table and Figure heading Char"/>
    <w:basedOn w:val="DefaultParagraphFont"/>
    <w:link w:val="TableandFigureheading"/>
    <w:rsid w:val="003F2CE9"/>
    <w:rPr>
      <w:b/>
    </w:rPr>
  </w:style>
  <w:style w:type="paragraph" w:customStyle="1" w:styleId="TableHeadingtext">
    <w:name w:val="Table Heading text"/>
    <w:basedOn w:val="Normal"/>
    <w:link w:val="TableHeadingtextChar"/>
    <w:rsid w:val="003F2CE9"/>
    <w:rPr>
      <w:b/>
    </w:rPr>
  </w:style>
  <w:style w:type="character" w:customStyle="1" w:styleId="tabletextChar">
    <w:name w:val="table text Char"/>
    <w:basedOn w:val="bodytextChar0"/>
    <w:link w:val="tabletext"/>
    <w:rsid w:val="003F2CE9"/>
    <w:rPr>
      <w:rFonts w:cs="Garamond"/>
      <w:color w:val="000000"/>
      <w:sz w:val="20"/>
      <w:lang w:val="en-GB"/>
    </w:rPr>
  </w:style>
  <w:style w:type="character" w:customStyle="1" w:styleId="TablebodytextChar">
    <w:name w:val="Table body text Char"/>
    <w:basedOn w:val="tabletextChar"/>
    <w:link w:val="Tablebodytext"/>
    <w:rsid w:val="003F2CE9"/>
    <w:rPr>
      <w:rFonts w:cs="Garamond"/>
      <w:color w:val="000000"/>
      <w:sz w:val="20"/>
      <w:lang w:val="en-GB"/>
    </w:rPr>
  </w:style>
  <w:style w:type="paragraph" w:customStyle="1" w:styleId="Sourceandnotetext">
    <w:name w:val="Source and note text"/>
    <w:basedOn w:val="Normal"/>
    <w:link w:val="SourceandnotetextChar"/>
    <w:qFormat/>
    <w:rsid w:val="00443EFB"/>
    <w:pPr>
      <w:numPr>
        <w:numId w:val="24"/>
      </w:numPr>
      <w:spacing w:before="120" w:after="120"/>
      <w:ind w:left="714" w:hanging="357"/>
      <w:contextualSpacing/>
    </w:pPr>
    <w:rPr>
      <w:sz w:val="20"/>
      <w:szCs w:val="20"/>
    </w:rPr>
  </w:style>
  <w:style w:type="character" w:customStyle="1" w:styleId="TableHeadingtextChar">
    <w:name w:val="Table Heading text Char"/>
    <w:basedOn w:val="DefaultParagraphFont"/>
    <w:link w:val="TableHeadingtext"/>
    <w:rsid w:val="003F2CE9"/>
    <w:rPr>
      <w:b/>
    </w:rPr>
  </w:style>
  <w:style w:type="paragraph" w:customStyle="1" w:styleId="Heading30">
    <w:name w:val="Heading3"/>
    <w:basedOn w:val="Normal"/>
    <w:link w:val="Heading3Char0"/>
    <w:rsid w:val="003F2CE9"/>
    <w:pPr>
      <w:spacing w:before="160"/>
    </w:pPr>
    <w:rPr>
      <w:b/>
      <w:color w:val="000000"/>
      <w:sz w:val="24"/>
      <w:szCs w:val="28"/>
    </w:rPr>
  </w:style>
  <w:style w:type="character" w:customStyle="1" w:styleId="SourceandnotetextChar">
    <w:name w:val="Source and note text Char"/>
    <w:basedOn w:val="DefaultParagraphFont"/>
    <w:link w:val="Sourceandnotetext"/>
    <w:rsid w:val="00443EFB"/>
    <w:rPr>
      <w:sz w:val="20"/>
      <w:szCs w:val="20"/>
    </w:rPr>
  </w:style>
  <w:style w:type="paragraph" w:styleId="FootnoteText">
    <w:name w:val="footnote text"/>
    <w:aliases w:val="Footnote Text Char1 Char,Footnote Text Char Char Char,Footnote Text Char1 Char Char Char,Footnote Text Char Char Char Char Char,Footnote Text Char1 Char1,Footnote Text Char Char Char1,Footnote Text AFPC 1-9,AFPC Footnote Text"/>
    <w:basedOn w:val="Normal"/>
    <w:link w:val="FootnoteTextChar"/>
    <w:uiPriority w:val="99"/>
    <w:qFormat/>
    <w:rsid w:val="00DC4E2B"/>
    <w:pPr>
      <w:tabs>
        <w:tab w:val="left" w:pos="454"/>
      </w:tabs>
      <w:spacing w:after="0"/>
      <w:ind w:left="454" w:hanging="454"/>
    </w:pPr>
    <w:rPr>
      <w:sz w:val="18"/>
      <w:szCs w:val="20"/>
    </w:rPr>
  </w:style>
  <w:style w:type="character" w:customStyle="1" w:styleId="FootnoteTextChar">
    <w:name w:val="Footnote Text Char"/>
    <w:aliases w:val="Footnote Text Char1 Char Char,Footnote Text Char Char Char Char,Footnote Text Char1 Char Char Char Char,Footnote Text Char Char Char Char Char Char,Footnote Text Char1 Char1 Char,Footnote Text Char Char Char1 Char"/>
    <w:basedOn w:val="DefaultParagraphFont"/>
    <w:link w:val="FootnoteText"/>
    <w:uiPriority w:val="99"/>
    <w:rsid w:val="00DC4E2B"/>
    <w:rPr>
      <w:sz w:val="18"/>
      <w:szCs w:val="20"/>
    </w:rPr>
  </w:style>
  <w:style w:type="character" w:customStyle="1" w:styleId="H3Char">
    <w:name w:val="H3 Char"/>
    <w:basedOn w:val="DefaultParagraphFont"/>
    <w:link w:val="H3"/>
    <w:rsid w:val="003F2CE9"/>
    <w:rPr>
      <w:b/>
      <w:color w:val="000000"/>
      <w:sz w:val="24"/>
      <w:szCs w:val="28"/>
    </w:rPr>
  </w:style>
  <w:style w:type="character" w:customStyle="1" w:styleId="Heading3Char0">
    <w:name w:val="Heading3 Char"/>
    <w:basedOn w:val="DefaultParagraphFont"/>
    <w:link w:val="Heading30"/>
    <w:rsid w:val="003F2CE9"/>
    <w:rPr>
      <w:b/>
      <w:color w:val="000000"/>
      <w:sz w:val="24"/>
      <w:szCs w:val="28"/>
    </w:rPr>
  </w:style>
  <w:style w:type="character" w:styleId="FootnoteReference">
    <w:name w:val="footnote reference"/>
    <w:aliases w:val="AFPC Footnote Reference"/>
    <w:basedOn w:val="DefaultParagraphFont"/>
    <w:uiPriority w:val="99"/>
    <w:qFormat/>
    <w:rsid w:val="003F2CE9"/>
    <w:rPr>
      <w:vertAlign w:val="superscript"/>
    </w:rPr>
  </w:style>
  <w:style w:type="paragraph" w:styleId="NormalWeb">
    <w:name w:val="Normal (Web)"/>
    <w:basedOn w:val="Normal"/>
    <w:link w:val="NormalWebChar"/>
    <w:uiPriority w:val="99"/>
    <w:unhideWhenUsed/>
    <w:rsid w:val="003F2CE9"/>
    <w:pPr>
      <w:spacing w:after="0"/>
    </w:pPr>
    <w:rPr>
      <w:rFonts w:ascii="Times New Roman" w:hAnsi="Times New Roman"/>
      <w:sz w:val="24"/>
    </w:rPr>
  </w:style>
  <w:style w:type="table" w:styleId="TableColumns3">
    <w:name w:val="Table Columns 3"/>
    <w:basedOn w:val="TableNormal"/>
    <w:rsid w:val="003F2CE9"/>
    <w:pPr>
      <w:spacing w:after="0" w:line="240" w:lineRule="auto"/>
    </w:pPr>
    <w:rPr>
      <w:rFonts w:ascii="Times New Roman" w:eastAsia="Times New Roman" w:hAnsi="Times New Roman" w:cs="Times New Roman"/>
      <w:b/>
      <w:bCs/>
      <w:sz w:val="20"/>
      <w:szCs w:val="20"/>
      <w:lang w:eastAsia="en-A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lassic1">
    <w:name w:val="Table Classic 1"/>
    <w:basedOn w:val="TableNormal"/>
    <w:rsid w:val="003F2CE9"/>
    <w:pPr>
      <w:spacing w:before="120" w:after="40" w:line="240" w:lineRule="auto"/>
    </w:pPr>
    <w:rPr>
      <w:rFonts w:ascii="Times New Roman" w:eastAsia="Times New Roman" w:hAnsi="Times New Roman" w:cs="Times New Roman"/>
      <w:sz w:val="20"/>
      <w:szCs w:val="20"/>
      <w:lang w:eastAsia="en-A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3F2CE9"/>
    <w:pPr>
      <w:spacing w:before="120" w:after="40" w:line="240" w:lineRule="auto"/>
    </w:pPr>
    <w:rPr>
      <w:rFonts w:ascii="Times New Roman" w:eastAsia="Times New Roman" w:hAnsi="Times New Roman" w:cs="Times New Roman"/>
      <w:sz w:val="20"/>
      <w:szCs w:val="20"/>
      <w:lang w:eastAsia="en-A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EndnoteText">
    <w:name w:val="endnote text"/>
    <w:basedOn w:val="Normal"/>
    <w:link w:val="EndnoteTextChar"/>
    <w:rsid w:val="003F2CE9"/>
    <w:pPr>
      <w:spacing w:after="0"/>
    </w:pPr>
    <w:rPr>
      <w:sz w:val="20"/>
      <w:szCs w:val="20"/>
    </w:rPr>
  </w:style>
  <w:style w:type="character" w:customStyle="1" w:styleId="EndnoteTextChar">
    <w:name w:val="Endnote Text Char"/>
    <w:basedOn w:val="DefaultParagraphFont"/>
    <w:link w:val="EndnoteText"/>
    <w:rsid w:val="003F2CE9"/>
    <w:rPr>
      <w:sz w:val="20"/>
      <w:szCs w:val="20"/>
    </w:rPr>
  </w:style>
  <w:style w:type="character" w:styleId="EndnoteReference">
    <w:name w:val="endnote reference"/>
    <w:basedOn w:val="DefaultParagraphFont"/>
    <w:rsid w:val="003F2CE9"/>
    <w:rPr>
      <w:vertAlign w:val="superscript"/>
    </w:rPr>
  </w:style>
  <w:style w:type="character" w:styleId="CommentReference">
    <w:name w:val="annotation reference"/>
    <w:basedOn w:val="DefaultParagraphFont"/>
    <w:uiPriority w:val="99"/>
    <w:rsid w:val="003F2CE9"/>
    <w:rPr>
      <w:sz w:val="16"/>
      <w:szCs w:val="16"/>
    </w:rPr>
  </w:style>
  <w:style w:type="paragraph" w:styleId="CommentText">
    <w:name w:val="annotation text"/>
    <w:basedOn w:val="Normal"/>
    <w:link w:val="CommentTextChar"/>
    <w:uiPriority w:val="99"/>
    <w:rsid w:val="003F2CE9"/>
    <w:rPr>
      <w:sz w:val="20"/>
      <w:szCs w:val="20"/>
    </w:rPr>
  </w:style>
  <w:style w:type="character" w:customStyle="1" w:styleId="CommentTextChar">
    <w:name w:val="Comment Text Char"/>
    <w:basedOn w:val="DefaultParagraphFont"/>
    <w:link w:val="CommentText"/>
    <w:uiPriority w:val="99"/>
    <w:rsid w:val="003F2CE9"/>
    <w:rPr>
      <w:sz w:val="20"/>
      <w:szCs w:val="20"/>
    </w:rPr>
  </w:style>
  <w:style w:type="paragraph" w:styleId="CommentSubject">
    <w:name w:val="annotation subject"/>
    <w:basedOn w:val="CommentText"/>
    <w:next w:val="CommentText"/>
    <w:link w:val="CommentSubjectChar"/>
    <w:rsid w:val="003F2CE9"/>
    <w:rPr>
      <w:b/>
      <w:bCs/>
    </w:rPr>
  </w:style>
  <w:style w:type="character" w:customStyle="1" w:styleId="CommentSubjectChar">
    <w:name w:val="Comment Subject Char"/>
    <w:basedOn w:val="CommentTextChar"/>
    <w:link w:val="CommentSubject"/>
    <w:rsid w:val="003F2CE9"/>
    <w:rPr>
      <w:b/>
      <w:bCs/>
      <w:sz w:val="20"/>
      <w:szCs w:val="20"/>
    </w:rPr>
  </w:style>
  <w:style w:type="paragraph" w:customStyle="1" w:styleId="Tableforcontents">
    <w:name w:val="Table for contents"/>
    <w:basedOn w:val="TableHeadingtext"/>
    <w:qFormat/>
    <w:rsid w:val="003F2CE9"/>
  </w:style>
  <w:style w:type="paragraph" w:styleId="TableofFigures">
    <w:name w:val="table of figures"/>
    <w:basedOn w:val="FigureHeading"/>
    <w:next w:val="Normal"/>
    <w:uiPriority w:val="99"/>
    <w:rsid w:val="00300239"/>
    <w:pPr>
      <w:spacing w:before="0" w:after="0" w:line="276" w:lineRule="auto"/>
      <w:ind w:left="440" w:hanging="440"/>
    </w:pPr>
    <w:rPr>
      <w:rFonts w:asciiTheme="minorHAnsi" w:eastAsiaTheme="minorEastAsia" w:hAnsiTheme="minorHAnsi" w:cstheme="minorHAnsi"/>
      <w:b w:val="0"/>
      <w:sz w:val="20"/>
      <w:szCs w:val="20"/>
      <w:lang w:eastAsia="en-US"/>
    </w:rPr>
  </w:style>
  <w:style w:type="paragraph" w:customStyle="1" w:styleId="Figureheadingforcontents">
    <w:name w:val="Figure heading for contents"/>
    <w:basedOn w:val="TableandFigureheading"/>
    <w:qFormat/>
    <w:rsid w:val="003F2CE9"/>
    <w:pPr>
      <w:keepLines/>
    </w:pPr>
  </w:style>
  <w:style w:type="paragraph" w:customStyle="1" w:styleId="TableCaption">
    <w:name w:val="Table Caption"/>
    <w:basedOn w:val="Normal"/>
    <w:link w:val="TableCaptionChar"/>
    <w:rsid w:val="006A37B6"/>
    <w:pPr>
      <w:keepNext/>
      <w:spacing w:after="0" w:line="240" w:lineRule="auto"/>
    </w:pPr>
    <w:rPr>
      <w:b/>
    </w:rPr>
  </w:style>
  <w:style w:type="paragraph" w:customStyle="1" w:styleId="FigureCaption">
    <w:name w:val="Figure Caption"/>
    <w:basedOn w:val="Normal"/>
    <w:link w:val="FigureCaptionChar"/>
    <w:uiPriority w:val="99"/>
    <w:rsid w:val="00561B6D"/>
    <w:pPr>
      <w:keepNext/>
      <w:keepLines/>
      <w:tabs>
        <w:tab w:val="left" w:pos="1134"/>
      </w:tabs>
      <w:spacing w:before="240" w:after="0"/>
    </w:pPr>
    <w:rPr>
      <w:b/>
    </w:rPr>
  </w:style>
  <w:style w:type="character" w:styleId="FollowedHyperlink">
    <w:name w:val="FollowedHyperlink"/>
    <w:basedOn w:val="DefaultParagraphFont"/>
    <w:rsid w:val="003F2CE9"/>
    <w:rPr>
      <w:color w:val="800080"/>
      <w:u w:val="single"/>
    </w:rPr>
  </w:style>
  <w:style w:type="table" w:customStyle="1" w:styleId="JSAReportTables">
    <w:name w:val="JSA Report Tables"/>
    <w:basedOn w:val="TableNormal"/>
    <w:rsid w:val="003F2CE9"/>
    <w:pPr>
      <w:spacing w:after="0" w:line="240" w:lineRule="auto"/>
    </w:pPr>
    <w:rPr>
      <w:rFonts w:ascii="Times New Roman" w:eastAsia="Times New Roman" w:hAnsi="Times New Roman" w:cs="Times New Roman"/>
      <w:sz w:val="20"/>
      <w:szCs w:val="20"/>
      <w:lang w:eastAsia="en-AU"/>
    </w:rPr>
    <w:tblPr/>
  </w:style>
  <w:style w:type="paragraph" w:customStyle="1" w:styleId="Listoftablesandfigures">
    <w:name w:val="List of tables and figures"/>
    <w:basedOn w:val="TableofFigures"/>
    <w:rsid w:val="003F2CE9"/>
    <w:pPr>
      <w:tabs>
        <w:tab w:val="left" w:pos="964"/>
        <w:tab w:val="right" w:leader="dot" w:pos="8494"/>
      </w:tabs>
      <w:ind w:left="964" w:hanging="964"/>
    </w:pPr>
  </w:style>
  <w:style w:type="paragraph" w:customStyle="1" w:styleId="Reportheadingstyle">
    <w:name w:val="Report heading style"/>
    <w:basedOn w:val="Normal"/>
    <w:rsid w:val="003F2CE9"/>
    <w:rPr>
      <w:color w:val="FFFFFF"/>
      <w:sz w:val="72"/>
      <w:szCs w:val="72"/>
    </w:rPr>
  </w:style>
  <w:style w:type="paragraph" w:customStyle="1" w:styleId="Sourceandnotetextmultiplenotes">
    <w:name w:val="Source and note text multiple notes"/>
    <w:basedOn w:val="Sourceandnotetext"/>
    <w:link w:val="SourceandnotetextmultiplenotesChar"/>
    <w:uiPriority w:val="99"/>
    <w:rsid w:val="003F2CE9"/>
    <w:pPr>
      <w:numPr>
        <w:numId w:val="13"/>
      </w:numPr>
      <w:tabs>
        <w:tab w:val="left" w:pos="454"/>
      </w:tabs>
    </w:pPr>
  </w:style>
  <w:style w:type="paragraph" w:customStyle="1" w:styleId="Sourceandnotetextsubnote">
    <w:name w:val="Source and note text sub note"/>
    <w:basedOn w:val="Sourceandnotetextmultiplenotes"/>
    <w:link w:val="SourceandnotetextsubnoteChar"/>
    <w:rsid w:val="00316BA2"/>
    <w:pPr>
      <w:keepNext/>
      <w:keepLines/>
      <w:numPr>
        <w:numId w:val="0"/>
      </w:numPr>
    </w:pPr>
  </w:style>
  <w:style w:type="paragraph" w:customStyle="1" w:styleId="sub-bullet">
    <w:name w:val="sub-bullet"/>
    <w:basedOn w:val="bullet"/>
    <w:link w:val="sub-bulletChar"/>
    <w:rsid w:val="003F2CE9"/>
    <w:pPr>
      <w:numPr>
        <w:ilvl w:val="1"/>
        <w:numId w:val="9"/>
      </w:numPr>
    </w:pPr>
  </w:style>
  <w:style w:type="paragraph" w:customStyle="1" w:styleId="TOCamended">
    <w:name w:val="TOC amended"/>
    <w:basedOn w:val="TOC1"/>
    <w:rsid w:val="003F2CE9"/>
    <w:pPr>
      <w:tabs>
        <w:tab w:val="right" w:pos="1021"/>
        <w:tab w:val="right" w:leader="dot" w:pos="8494"/>
      </w:tabs>
      <w:ind w:left="1021" w:hanging="1021"/>
    </w:pPr>
    <w:rPr>
      <w:noProof/>
    </w:rPr>
  </w:style>
  <w:style w:type="paragraph" w:customStyle="1" w:styleId="bullets">
    <w:name w:val="bullets"/>
    <w:basedOn w:val="ListParagraph"/>
    <w:link w:val="bulletsChar"/>
    <w:rsid w:val="003F2CE9"/>
    <w:pPr>
      <w:numPr>
        <w:numId w:val="7"/>
      </w:numPr>
    </w:pPr>
    <w:rPr>
      <w:rFonts w:eastAsia="Times New Roman" w:cs="Calibri"/>
    </w:rPr>
  </w:style>
  <w:style w:type="character" w:customStyle="1" w:styleId="bulletsChar">
    <w:name w:val="bullets Char"/>
    <w:basedOn w:val="DefaultParagraphFont"/>
    <w:link w:val="bullets"/>
    <w:rsid w:val="003F2CE9"/>
    <w:rPr>
      <w:rFonts w:eastAsia="Times New Roman" w:cs="Calibri"/>
    </w:rPr>
  </w:style>
  <w:style w:type="paragraph" w:customStyle="1" w:styleId="Sourceandnotetextmultiplelines">
    <w:name w:val="Source and note text multiple lines"/>
    <w:basedOn w:val="Sourceandnotetext"/>
    <w:link w:val="SourceandnotetextmultiplelinesChar"/>
    <w:rsid w:val="003F2CE9"/>
    <w:pPr>
      <w:tabs>
        <w:tab w:val="left" w:pos="567"/>
      </w:tabs>
      <w:ind w:left="567" w:hanging="567"/>
    </w:pPr>
  </w:style>
  <w:style w:type="character" w:customStyle="1" w:styleId="SourceandnotetextmultiplelinesChar">
    <w:name w:val="Source and note text multiple lines Char"/>
    <w:basedOn w:val="SourceandnotetextChar"/>
    <w:link w:val="Sourceandnotetextmultiplelines"/>
    <w:rsid w:val="003F2CE9"/>
    <w:rPr>
      <w:sz w:val="20"/>
      <w:szCs w:val="20"/>
    </w:rPr>
  </w:style>
  <w:style w:type="paragraph" w:customStyle="1" w:styleId="Subtitleitalic">
    <w:name w:val="Subtitle + italic"/>
    <w:basedOn w:val="Normal"/>
    <w:rsid w:val="003F2CE9"/>
    <w:pPr>
      <w:spacing w:before="2760"/>
      <w:ind w:left="1418" w:right="-567"/>
    </w:pPr>
    <w:rPr>
      <w:b/>
      <w:i/>
      <w:color w:val="FFFFFF"/>
      <w:sz w:val="36"/>
      <w:szCs w:val="36"/>
    </w:rPr>
  </w:style>
  <w:style w:type="paragraph" w:customStyle="1" w:styleId="Subtitledate">
    <w:name w:val="Subtitle + date"/>
    <w:basedOn w:val="Normal"/>
    <w:rsid w:val="003F2CE9"/>
    <w:pPr>
      <w:spacing w:before="600"/>
      <w:ind w:left="1418" w:right="-567"/>
      <w:jc w:val="right"/>
    </w:pPr>
    <w:rPr>
      <w:b/>
      <w:color w:val="7D4062"/>
      <w:sz w:val="32"/>
      <w:szCs w:val="32"/>
    </w:rPr>
  </w:style>
  <w:style w:type="paragraph" w:customStyle="1" w:styleId="ListBulletbold">
    <w:name w:val="List Bullet + bold"/>
    <w:basedOn w:val="ListBullet"/>
    <w:rsid w:val="003F2CE9"/>
    <w:pPr>
      <w:numPr>
        <w:numId w:val="0"/>
      </w:numPr>
    </w:pPr>
    <w:rPr>
      <w:b/>
    </w:rPr>
  </w:style>
  <w:style w:type="paragraph" w:customStyle="1" w:styleId="Heading2bold">
    <w:name w:val="Heading 2 + bold"/>
    <w:basedOn w:val="Heading30"/>
    <w:rsid w:val="003F2CE9"/>
  </w:style>
  <w:style w:type="paragraph" w:customStyle="1" w:styleId="TitleRight-225cmLeft0cmRight0cm">
    <w:name w:val="Title + Right:  -2.25 cm + Left:  0 cm Right:  0 cm"/>
    <w:basedOn w:val="Normal"/>
    <w:rsid w:val="003F2CE9"/>
    <w:pPr>
      <w:keepNext/>
      <w:spacing w:before="4600" w:after="480"/>
      <w:ind w:left="851"/>
      <w:outlineLvl w:val="1"/>
    </w:pPr>
    <w:rPr>
      <w:b/>
      <w:bCs/>
      <w:caps/>
      <w:color w:val="FFFFFF"/>
      <w:sz w:val="72"/>
      <w:szCs w:val="20"/>
    </w:rPr>
  </w:style>
  <w:style w:type="paragraph" w:customStyle="1" w:styleId="SubtitleitalicLeft0cm">
    <w:name w:val="Subtitle + italic + Left:  0 cm"/>
    <w:basedOn w:val="Subtitleitalic"/>
    <w:rsid w:val="003F2CE9"/>
    <w:pPr>
      <w:spacing w:before="3600"/>
      <w:ind w:left="851"/>
    </w:pPr>
    <w:rPr>
      <w:bCs/>
      <w:iCs/>
      <w:szCs w:val="20"/>
    </w:rPr>
  </w:style>
  <w:style w:type="paragraph" w:customStyle="1" w:styleId="SubtitleLeft0cm33pt36pt">
    <w:name w:val="Subtitle + Left:  0 cm + 33 pt + 36 pt"/>
    <w:basedOn w:val="Normal"/>
    <w:rsid w:val="003F2CE9"/>
    <w:pPr>
      <w:ind w:left="851"/>
    </w:pPr>
    <w:rPr>
      <w:b/>
      <w:bCs/>
      <w:color w:val="FFFFFF"/>
      <w:sz w:val="72"/>
      <w:szCs w:val="20"/>
    </w:rPr>
  </w:style>
  <w:style w:type="paragraph" w:customStyle="1" w:styleId="StyleSubtitledateRight05cm">
    <w:name w:val="Style Subtitle + date + Right:  0.5 cm"/>
    <w:basedOn w:val="Subtitledate"/>
    <w:rsid w:val="003F2CE9"/>
    <w:pPr>
      <w:ind w:right="284"/>
    </w:pPr>
    <w:rPr>
      <w:bCs/>
      <w:szCs w:val="20"/>
    </w:rPr>
  </w:style>
  <w:style w:type="paragraph" w:customStyle="1" w:styleId="StyleTableandFigureheading10ptBlackCentered">
    <w:name w:val="Style Table and Figure heading + 10 pt Black Centered"/>
    <w:basedOn w:val="TableandFigureheading"/>
    <w:rsid w:val="003F2CE9"/>
    <w:pPr>
      <w:spacing w:after="0"/>
      <w:jc w:val="center"/>
    </w:pPr>
    <w:rPr>
      <w:bCs/>
      <w:color w:val="000000"/>
      <w:sz w:val="20"/>
      <w:szCs w:val="20"/>
    </w:rPr>
  </w:style>
  <w:style w:type="paragraph" w:customStyle="1" w:styleId="TableandFigureheading10pt">
    <w:name w:val="Table and Figure heading + 10 pt"/>
    <w:basedOn w:val="TableandFigureheading"/>
    <w:rsid w:val="003F2CE9"/>
    <w:pPr>
      <w:jc w:val="center"/>
    </w:pPr>
    <w:rPr>
      <w:bCs/>
      <w:sz w:val="20"/>
    </w:rPr>
  </w:style>
  <w:style w:type="paragraph" w:customStyle="1" w:styleId="Normalbefore200ptleading">
    <w:name w:val="Normal before 200pt leading"/>
    <w:basedOn w:val="Normal"/>
    <w:rsid w:val="003F2CE9"/>
    <w:pPr>
      <w:spacing w:before="4000"/>
    </w:pPr>
  </w:style>
  <w:style w:type="paragraph" w:customStyle="1" w:styleId="Normalafter12pt">
    <w:name w:val="Normal + after 12pt"/>
    <w:basedOn w:val="Normal"/>
    <w:uiPriority w:val="99"/>
    <w:rsid w:val="003F2CE9"/>
    <w:pPr>
      <w:spacing w:after="240"/>
    </w:pPr>
  </w:style>
  <w:style w:type="paragraph" w:customStyle="1" w:styleId="Normalbold">
    <w:name w:val="Normal + bold"/>
    <w:basedOn w:val="Normal"/>
    <w:link w:val="NormalboldChar"/>
    <w:rsid w:val="003F2CE9"/>
    <w:rPr>
      <w:b/>
    </w:rPr>
  </w:style>
  <w:style w:type="character" w:customStyle="1" w:styleId="NormalboldChar">
    <w:name w:val="Normal + bold Char"/>
    <w:basedOn w:val="DefaultParagraphFont"/>
    <w:link w:val="Normalbold"/>
    <w:rsid w:val="003F2CE9"/>
    <w:rPr>
      <w:b/>
    </w:rPr>
  </w:style>
  <w:style w:type="paragraph" w:customStyle="1" w:styleId="Normal10ptCenteredBefore0ptAfter0pt">
    <w:name w:val="Normal + 10 pt Centered Before:  0 pt After:  0 pt"/>
    <w:basedOn w:val="Normal"/>
    <w:rsid w:val="003F2CE9"/>
    <w:pPr>
      <w:spacing w:after="0"/>
      <w:jc w:val="center"/>
    </w:pPr>
    <w:rPr>
      <w:sz w:val="20"/>
      <w:szCs w:val="20"/>
    </w:rPr>
  </w:style>
  <w:style w:type="paragraph" w:customStyle="1" w:styleId="Normal10ptRightRight137cmBefore0ptAfter0pt">
    <w:name w:val="Normal + 10 pt Right Right:  1.37 cm Before:  0 pt After:  0 pt"/>
    <w:basedOn w:val="Normal"/>
    <w:rsid w:val="003F2CE9"/>
    <w:pPr>
      <w:spacing w:after="0"/>
      <w:ind w:right="777"/>
      <w:jc w:val="right"/>
    </w:pPr>
    <w:rPr>
      <w:sz w:val="20"/>
      <w:szCs w:val="20"/>
    </w:rPr>
  </w:style>
  <w:style w:type="paragraph" w:customStyle="1" w:styleId="StyleTablebodytextBefore0ptAfter0pt">
    <w:name w:val="Style Table body text + Before:  0 pt After:  0 pt"/>
    <w:basedOn w:val="Tablebodytext"/>
    <w:rsid w:val="003F2CE9"/>
    <w:pPr>
      <w:spacing w:after="0" w:line="240" w:lineRule="auto"/>
    </w:pPr>
    <w:rPr>
      <w:rFonts w:cs="Times New Roman"/>
      <w:szCs w:val="20"/>
    </w:rPr>
  </w:style>
  <w:style w:type="paragraph" w:customStyle="1" w:styleId="Tablefirstcolumn">
    <w:name w:val="Table first column"/>
    <w:basedOn w:val="Normal"/>
    <w:uiPriority w:val="99"/>
    <w:rsid w:val="003F2CE9"/>
    <w:pPr>
      <w:spacing w:after="0"/>
    </w:pPr>
    <w:rPr>
      <w:sz w:val="20"/>
      <w:szCs w:val="20"/>
    </w:rPr>
  </w:style>
  <w:style w:type="paragraph" w:customStyle="1" w:styleId="Tableoffigures10pt">
    <w:name w:val="Table of figures 10pt"/>
    <w:basedOn w:val="Normal"/>
    <w:rsid w:val="003F2CE9"/>
    <w:pPr>
      <w:jc w:val="center"/>
    </w:pPr>
    <w:rPr>
      <w:bCs/>
      <w:color w:val="000000"/>
      <w:sz w:val="20"/>
      <w:szCs w:val="20"/>
    </w:rPr>
  </w:style>
  <w:style w:type="paragraph" w:customStyle="1" w:styleId="StyleTableHeadingtextBefore0ptAfter0pt">
    <w:name w:val="Style Table Heading text + Before:  0 pt After:  0 pt"/>
    <w:basedOn w:val="TableHeadingtext"/>
    <w:rsid w:val="003F2CE9"/>
    <w:pPr>
      <w:spacing w:after="0"/>
    </w:pPr>
    <w:rPr>
      <w:bCs/>
      <w:sz w:val="20"/>
      <w:szCs w:val="20"/>
    </w:rPr>
  </w:style>
  <w:style w:type="paragraph" w:customStyle="1" w:styleId="Tableoffigurescentred">
    <w:name w:val="Table of figures centred"/>
    <w:basedOn w:val="Normal"/>
    <w:rsid w:val="003F2CE9"/>
    <w:pPr>
      <w:spacing w:after="0"/>
      <w:ind w:left="-77" w:right="-155"/>
      <w:jc w:val="center"/>
    </w:pPr>
    <w:rPr>
      <w:sz w:val="20"/>
      <w:szCs w:val="20"/>
    </w:rPr>
  </w:style>
  <w:style w:type="paragraph" w:customStyle="1" w:styleId="Tablewhitedash">
    <w:name w:val="Table + white dash"/>
    <w:basedOn w:val="Normal"/>
    <w:rsid w:val="003F2CE9"/>
    <w:pPr>
      <w:spacing w:after="0"/>
      <w:jc w:val="right"/>
    </w:pPr>
    <w:rPr>
      <w:color w:val="FFFFFF"/>
      <w:sz w:val="20"/>
      <w:szCs w:val="20"/>
    </w:rPr>
  </w:style>
  <w:style w:type="paragraph" w:customStyle="1" w:styleId="Normal6pt">
    <w:name w:val="Normal + 6pt"/>
    <w:basedOn w:val="Normal"/>
    <w:rsid w:val="003F2CE9"/>
    <w:rPr>
      <w:sz w:val="12"/>
      <w:szCs w:val="12"/>
    </w:rPr>
  </w:style>
  <w:style w:type="paragraph" w:customStyle="1" w:styleId="Normalhangingindent">
    <w:name w:val="Normal + hanging indent"/>
    <w:basedOn w:val="Normal"/>
    <w:rsid w:val="003F2CE9"/>
    <w:pPr>
      <w:ind w:left="1276" w:hanging="1276"/>
    </w:pPr>
  </w:style>
  <w:style w:type="paragraph" w:customStyle="1" w:styleId="Normal300before">
    <w:name w:val="Normal + 300before"/>
    <w:basedOn w:val="Normalbefore200ptleading"/>
    <w:rsid w:val="003F2CE9"/>
  </w:style>
  <w:style w:type="paragraph" w:customStyle="1" w:styleId="Normal18ptbefore">
    <w:name w:val="Normal + 18pt before"/>
    <w:basedOn w:val="Normal"/>
    <w:uiPriority w:val="99"/>
    <w:rsid w:val="003F2CE9"/>
    <w:pPr>
      <w:spacing w:before="360"/>
    </w:pPr>
  </w:style>
  <w:style w:type="character" w:customStyle="1" w:styleId="FootnoteTextChar1">
    <w:name w:val="Footnote Text Char1"/>
    <w:basedOn w:val="DefaultParagraphFont"/>
    <w:uiPriority w:val="99"/>
    <w:semiHidden/>
    <w:locked/>
    <w:rsid w:val="003F2CE9"/>
    <w:rPr>
      <w:sz w:val="20"/>
      <w:szCs w:val="20"/>
    </w:rPr>
  </w:style>
  <w:style w:type="paragraph" w:customStyle="1" w:styleId="Bulletlevel2">
    <w:name w:val="Bullet level 2"/>
    <w:basedOn w:val="bullet"/>
    <w:qFormat/>
    <w:rsid w:val="008C5875"/>
    <w:pPr>
      <w:numPr>
        <w:numId w:val="14"/>
      </w:numPr>
    </w:pPr>
    <w:rPr>
      <w:rFonts w:eastAsiaTheme="majorEastAsia"/>
    </w:rPr>
  </w:style>
  <w:style w:type="paragraph" w:customStyle="1" w:styleId="Body">
    <w:name w:val="Body"/>
    <w:basedOn w:val="Normal"/>
    <w:link w:val="BodyChar"/>
    <w:qFormat/>
    <w:rsid w:val="003F2CE9"/>
    <w:pPr>
      <w:spacing w:after="120" w:line="360" w:lineRule="auto"/>
      <w:ind w:left="720"/>
      <w:jc w:val="both"/>
    </w:pPr>
    <w:rPr>
      <w:rFonts w:ascii="Arial" w:hAnsi="Arial" w:cs="Arial"/>
      <w:sz w:val="20"/>
      <w:szCs w:val="20"/>
    </w:rPr>
  </w:style>
  <w:style w:type="character" w:customStyle="1" w:styleId="BodyChar">
    <w:name w:val="Body Char"/>
    <w:basedOn w:val="DefaultParagraphFont"/>
    <w:link w:val="Body"/>
    <w:rsid w:val="003F2CE9"/>
    <w:rPr>
      <w:rFonts w:ascii="Arial" w:hAnsi="Arial" w:cs="Arial"/>
      <w:sz w:val="20"/>
      <w:szCs w:val="20"/>
    </w:rPr>
  </w:style>
  <w:style w:type="paragraph" w:customStyle="1" w:styleId="Quotation">
    <w:name w:val="Quotation"/>
    <w:basedOn w:val="Normal"/>
    <w:uiPriority w:val="99"/>
    <w:rsid w:val="003F2CE9"/>
    <w:pPr>
      <w:ind w:left="709" w:right="996"/>
    </w:pPr>
  </w:style>
  <w:style w:type="paragraph" w:customStyle="1" w:styleId="Bulletedtext">
    <w:name w:val="Bulleted text"/>
    <w:basedOn w:val="Default"/>
    <w:next w:val="Default"/>
    <w:uiPriority w:val="99"/>
    <w:rsid w:val="003F2CE9"/>
    <w:pPr>
      <w:widowControl w:val="0"/>
      <w:spacing w:before="120"/>
    </w:pPr>
    <w:rPr>
      <w:rFonts w:ascii="Trebuchet MS" w:hAnsi="Trebuchet MS" w:cs="Times New Roman"/>
      <w:color w:val="auto"/>
    </w:rPr>
  </w:style>
  <w:style w:type="paragraph" w:customStyle="1" w:styleId="Style1">
    <w:name w:val="Style1"/>
    <w:basedOn w:val="bullet"/>
    <w:rsid w:val="003F2CE9"/>
    <w:pPr>
      <w:tabs>
        <w:tab w:val="num" w:pos="426"/>
      </w:tabs>
    </w:pPr>
  </w:style>
  <w:style w:type="paragraph" w:customStyle="1" w:styleId="bulletlevel3">
    <w:name w:val="bullet level 3"/>
    <w:basedOn w:val="ListBullet2"/>
    <w:rsid w:val="003F2CE9"/>
    <w:pPr>
      <w:numPr>
        <w:ilvl w:val="0"/>
        <w:numId w:val="0"/>
      </w:numPr>
      <w:tabs>
        <w:tab w:val="left" w:pos="284"/>
      </w:tabs>
      <w:ind w:left="851" w:hanging="284"/>
    </w:pPr>
  </w:style>
  <w:style w:type="paragraph" w:customStyle="1" w:styleId="bulletlevel4">
    <w:name w:val="bullet level 4"/>
    <w:basedOn w:val="Bulletlevel2"/>
    <w:rsid w:val="003F2CE9"/>
    <w:pPr>
      <w:tabs>
        <w:tab w:val="left" w:pos="1134"/>
      </w:tabs>
      <w:ind w:left="1135"/>
    </w:pPr>
  </w:style>
  <w:style w:type="paragraph" w:customStyle="1" w:styleId="Heading1withoutnumbering">
    <w:name w:val="Heading 1 without numbering"/>
    <w:basedOn w:val="Heading1"/>
    <w:rsid w:val="003F2CE9"/>
    <w:pPr>
      <w:keepNext/>
      <w:spacing w:before="360"/>
    </w:pPr>
    <w:rPr>
      <w:color w:val="478A57" w:themeColor="accent3"/>
    </w:rPr>
  </w:style>
  <w:style w:type="paragraph" w:customStyle="1" w:styleId="Heading4new">
    <w:name w:val="Heading 4 new"/>
    <w:basedOn w:val="Heading3"/>
    <w:link w:val="Heading4newChar"/>
    <w:rsid w:val="003F2CE9"/>
    <w:rPr>
      <w:rFonts w:cs="Calibri"/>
      <w:sz w:val="24"/>
    </w:rPr>
  </w:style>
  <w:style w:type="character" w:customStyle="1" w:styleId="Heading4newChar">
    <w:name w:val="Heading 4 new Char"/>
    <w:basedOn w:val="Heading3Char"/>
    <w:link w:val="Heading4new"/>
    <w:rsid w:val="003F2CE9"/>
    <w:rPr>
      <w:rFonts w:ascii="Calibri" w:eastAsiaTheme="majorEastAsia" w:hAnsi="Calibri" w:cs="Calibri"/>
      <w:b/>
      <w:bCs/>
      <w:sz w:val="24"/>
    </w:rPr>
  </w:style>
  <w:style w:type="paragraph" w:styleId="TOC4">
    <w:name w:val="toc 4"/>
    <w:basedOn w:val="Normal"/>
    <w:next w:val="Normal"/>
    <w:autoRedefine/>
    <w:uiPriority w:val="39"/>
    <w:rsid w:val="00354833"/>
    <w:pPr>
      <w:spacing w:after="0"/>
      <w:ind w:left="660"/>
    </w:pPr>
    <w:rPr>
      <w:rFonts w:cstheme="minorHAnsi"/>
      <w:sz w:val="18"/>
      <w:szCs w:val="18"/>
    </w:rPr>
  </w:style>
  <w:style w:type="paragraph" w:customStyle="1" w:styleId="Style2">
    <w:name w:val="Style2"/>
    <w:basedOn w:val="Heading3"/>
    <w:link w:val="Style2Char"/>
    <w:rsid w:val="003F2CE9"/>
    <w:rPr>
      <w:sz w:val="24"/>
    </w:rPr>
  </w:style>
  <w:style w:type="character" w:customStyle="1" w:styleId="Style2Char">
    <w:name w:val="Style2 Char"/>
    <w:basedOn w:val="Heading3Char"/>
    <w:link w:val="Style2"/>
    <w:rsid w:val="003F2CE9"/>
    <w:rPr>
      <w:rFonts w:ascii="Calibri" w:eastAsiaTheme="majorEastAsia" w:hAnsi="Calibri" w:cstheme="majorBidi"/>
      <w:b/>
      <w:bCs/>
      <w:sz w:val="24"/>
    </w:rPr>
  </w:style>
  <w:style w:type="paragraph" w:customStyle="1" w:styleId="Heading5new">
    <w:name w:val="Heading 5 new"/>
    <w:basedOn w:val="Heading3"/>
    <w:link w:val="Heading5newChar"/>
    <w:rsid w:val="003F2CE9"/>
    <w:rPr>
      <w:sz w:val="24"/>
    </w:rPr>
  </w:style>
  <w:style w:type="character" w:customStyle="1" w:styleId="Heading5newChar">
    <w:name w:val="Heading 5 new Char"/>
    <w:basedOn w:val="Heading3Char"/>
    <w:link w:val="Heading5new"/>
    <w:rsid w:val="003F2CE9"/>
    <w:rPr>
      <w:rFonts w:ascii="Calibri" w:eastAsiaTheme="majorEastAsia" w:hAnsi="Calibri" w:cstheme="majorBidi"/>
      <w:b/>
      <w:bCs/>
      <w:sz w:val="24"/>
    </w:rPr>
  </w:style>
  <w:style w:type="paragraph" w:customStyle="1" w:styleId="normalbody">
    <w:name w:val="normal body"/>
    <w:basedOn w:val="Normal"/>
    <w:rsid w:val="003F2CE9"/>
  </w:style>
  <w:style w:type="table" w:customStyle="1" w:styleId="Tableforreports">
    <w:name w:val="Table for reports"/>
    <w:basedOn w:val="TableNormal"/>
    <w:uiPriority w:val="99"/>
    <w:rsid w:val="003F2CE9"/>
    <w:pPr>
      <w:spacing w:after="0" w:line="240" w:lineRule="auto"/>
    </w:pPr>
    <w:rPr>
      <w:rFonts w:ascii="Times New Roman" w:eastAsia="Times New Roman" w:hAnsi="Times New Roman" w:cs="Times New Roman"/>
      <w:sz w:val="20"/>
      <w:szCs w:val="20"/>
      <w:lang w:eastAsia="en-AU"/>
    </w:rPr>
    <w:tblPr/>
  </w:style>
  <w:style w:type="paragraph" w:styleId="TOC7">
    <w:name w:val="toc 7"/>
    <w:basedOn w:val="Normal"/>
    <w:next w:val="Normal"/>
    <w:autoRedefine/>
    <w:uiPriority w:val="39"/>
    <w:rsid w:val="003F2CE9"/>
    <w:pPr>
      <w:spacing w:after="0"/>
      <w:ind w:left="1320"/>
    </w:pPr>
    <w:rPr>
      <w:rFonts w:cstheme="minorHAnsi"/>
      <w:sz w:val="18"/>
      <w:szCs w:val="18"/>
    </w:rPr>
  </w:style>
  <w:style w:type="paragraph" w:customStyle="1" w:styleId="Heading3withoutnumbering">
    <w:name w:val="Heading3 without numbering"/>
    <w:basedOn w:val="Heading30"/>
    <w:rsid w:val="003F2CE9"/>
    <w:pPr>
      <w:spacing w:after="120"/>
    </w:pPr>
  </w:style>
  <w:style w:type="character" w:customStyle="1" w:styleId="TableCaptionChar">
    <w:name w:val="Table Caption Char"/>
    <w:basedOn w:val="DefaultParagraphFont"/>
    <w:link w:val="TableCaption"/>
    <w:rsid w:val="006A37B6"/>
    <w:rPr>
      <w:b/>
    </w:rPr>
  </w:style>
  <w:style w:type="paragraph" w:customStyle="1" w:styleId="tabletextright">
    <w:name w:val="table text right"/>
    <w:basedOn w:val="tabletext"/>
    <w:uiPriority w:val="99"/>
    <w:rsid w:val="003F2CE9"/>
    <w:pPr>
      <w:ind w:right="312"/>
    </w:pPr>
    <w:rPr>
      <w:sz w:val="22"/>
    </w:rPr>
  </w:style>
  <w:style w:type="paragraph" w:customStyle="1" w:styleId="TableHeadingtext-centred">
    <w:name w:val="Table Heading text - centred"/>
    <w:basedOn w:val="TableHeadingtext"/>
    <w:uiPriority w:val="99"/>
    <w:rsid w:val="003F2CE9"/>
    <w:pPr>
      <w:jc w:val="center"/>
    </w:pPr>
  </w:style>
  <w:style w:type="paragraph" w:styleId="Revision">
    <w:name w:val="Revision"/>
    <w:hidden/>
    <w:uiPriority w:val="99"/>
    <w:semiHidden/>
    <w:rsid w:val="003F2CE9"/>
    <w:pPr>
      <w:spacing w:after="0" w:line="240" w:lineRule="auto"/>
    </w:pPr>
  </w:style>
  <w:style w:type="paragraph" w:customStyle="1" w:styleId="tabletextslim">
    <w:name w:val="table text slim"/>
    <w:basedOn w:val="Normal"/>
    <w:link w:val="tabletextslimChar"/>
    <w:rsid w:val="003F2CE9"/>
    <w:pPr>
      <w:suppressAutoHyphens/>
      <w:autoSpaceDE w:val="0"/>
      <w:autoSpaceDN w:val="0"/>
      <w:adjustRightInd w:val="0"/>
      <w:spacing w:before="40" w:line="300" w:lineRule="atLeast"/>
      <w:ind w:right="113"/>
      <w:jc w:val="right"/>
      <w:textAlignment w:val="center"/>
    </w:pPr>
    <w:rPr>
      <w:rFonts w:cs="Garamond"/>
      <w:color w:val="000000"/>
      <w:lang w:val="en-GB"/>
    </w:rPr>
  </w:style>
  <w:style w:type="character" w:customStyle="1" w:styleId="tabletextslimChar">
    <w:name w:val="table text slim Char"/>
    <w:basedOn w:val="DefaultParagraphFont"/>
    <w:link w:val="tabletextslim"/>
    <w:rsid w:val="003F2CE9"/>
    <w:rPr>
      <w:rFonts w:cs="Garamond"/>
      <w:color w:val="000000"/>
      <w:lang w:val="en-GB"/>
    </w:rPr>
  </w:style>
  <w:style w:type="character" w:customStyle="1" w:styleId="SourceandnotetextmultiplenotesChar">
    <w:name w:val="Source and note text multiple notes Char"/>
    <w:basedOn w:val="SourceandnotetextChar"/>
    <w:link w:val="Sourceandnotetextmultiplenotes"/>
    <w:uiPriority w:val="99"/>
    <w:rsid w:val="003F2CE9"/>
    <w:rPr>
      <w:sz w:val="20"/>
      <w:szCs w:val="20"/>
    </w:rPr>
  </w:style>
  <w:style w:type="paragraph" w:customStyle="1" w:styleId="FigureHeading">
    <w:name w:val="Figure Heading"/>
    <w:basedOn w:val="TableandFigureheading"/>
    <w:link w:val="FigureHeadingChar"/>
    <w:rsid w:val="003F2CE9"/>
    <w:pPr>
      <w:keepNext w:val="0"/>
      <w:spacing w:before="40" w:after="40" w:line="240" w:lineRule="auto"/>
    </w:pPr>
    <w:rPr>
      <w:rFonts w:ascii="Calibri" w:eastAsia="Times New Roman" w:hAnsi="Calibri" w:cs="Times New Roman"/>
      <w:szCs w:val="24"/>
      <w:lang w:eastAsia="en-AU"/>
    </w:rPr>
  </w:style>
  <w:style w:type="character" w:customStyle="1" w:styleId="FigureHeadingChar">
    <w:name w:val="Figure Heading Char"/>
    <w:basedOn w:val="TableandFigureheadingChar"/>
    <w:link w:val="FigureHeading"/>
    <w:rsid w:val="003F2CE9"/>
    <w:rPr>
      <w:rFonts w:ascii="Calibri" w:eastAsia="Times New Roman" w:hAnsi="Calibri" w:cs="Times New Roman"/>
      <w:b/>
      <w:szCs w:val="24"/>
      <w:lang w:eastAsia="en-AU"/>
    </w:rPr>
  </w:style>
  <w:style w:type="character" w:customStyle="1" w:styleId="NormalWebChar">
    <w:name w:val="Normal (Web) Char"/>
    <w:basedOn w:val="DefaultParagraphFont"/>
    <w:link w:val="NormalWeb"/>
    <w:uiPriority w:val="99"/>
    <w:locked/>
    <w:rsid w:val="003F2CE9"/>
    <w:rPr>
      <w:rFonts w:ascii="Times New Roman" w:hAnsi="Times New Roman"/>
      <w:sz w:val="24"/>
    </w:rPr>
  </w:style>
  <w:style w:type="character" w:customStyle="1" w:styleId="TableHeadingChar">
    <w:name w:val="Table Heading Char"/>
    <w:basedOn w:val="NormalWebChar"/>
    <w:link w:val="TableHeading0"/>
    <w:locked/>
    <w:rsid w:val="003F2CE9"/>
    <w:rPr>
      <w:rFonts w:ascii="Calibri" w:hAnsi="Calibri"/>
      <w:sz w:val="24"/>
    </w:rPr>
  </w:style>
  <w:style w:type="paragraph" w:customStyle="1" w:styleId="TableHeading0">
    <w:name w:val="Table Heading"/>
    <w:basedOn w:val="NormalWeb"/>
    <w:link w:val="TableHeadingChar"/>
    <w:rsid w:val="003F2CE9"/>
    <w:pPr>
      <w:spacing w:before="100" w:beforeAutospacing="1" w:after="100" w:afterAutospacing="1" w:line="240" w:lineRule="auto"/>
    </w:pPr>
    <w:rPr>
      <w:rFonts w:ascii="Calibri" w:hAnsi="Calibri"/>
    </w:rPr>
  </w:style>
  <w:style w:type="paragraph" w:customStyle="1" w:styleId="Pa18">
    <w:name w:val="Pa18"/>
    <w:basedOn w:val="Default"/>
    <w:next w:val="Default"/>
    <w:uiPriority w:val="99"/>
    <w:rsid w:val="003F2CE9"/>
    <w:pPr>
      <w:spacing w:line="301" w:lineRule="atLeast"/>
    </w:pPr>
    <w:rPr>
      <w:rFonts w:ascii="News Gothic Com" w:hAnsi="News Gothic Com" w:cs="Times New Roman"/>
      <w:color w:val="auto"/>
    </w:rPr>
  </w:style>
  <w:style w:type="paragraph" w:customStyle="1" w:styleId="Pa5">
    <w:name w:val="Pa5"/>
    <w:basedOn w:val="Default"/>
    <w:next w:val="Default"/>
    <w:uiPriority w:val="99"/>
    <w:rsid w:val="003F2CE9"/>
    <w:pPr>
      <w:spacing w:line="201" w:lineRule="atLeast"/>
    </w:pPr>
    <w:rPr>
      <w:rFonts w:ascii="News Gothic Com" w:hAnsi="News Gothic Com" w:cs="Times New Roman"/>
      <w:color w:val="auto"/>
    </w:rPr>
  </w:style>
  <w:style w:type="paragraph" w:customStyle="1" w:styleId="Pa19">
    <w:name w:val="Pa19"/>
    <w:basedOn w:val="Default"/>
    <w:next w:val="Default"/>
    <w:uiPriority w:val="99"/>
    <w:rsid w:val="003F2CE9"/>
    <w:pPr>
      <w:spacing w:line="251" w:lineRule="atLeast"/>
    </w:pPr>
    <w:rPr>
      <w:rFonts w:ascii="News Gothic Com" w:hAnsi="News Gothic Com" w:cs="Times New Roman"/>
      <w:color w:val="auto"/>
    </w:rPr>
  </w:style>
  <w:style w:type="paragraph" w:customStyle="1" w:styleId="FootnoteText1">
    <w:name w:val="Footnote Text1"/>
    <w:basedOn w:val="Normal"/>
    <w:link w:val="FootnotetextChar0"/>
    <w:rsid w:val="003F2CE9"/>
    <w:pPr>
      <w:keepNext/>
      <w:tabs>
        <w:tab w:val="left" w:pos="454"/>
      </w:tabs>
      <w:spacing w:after="0" w:line="240" w:lineRule="auto"/>
      <w:ind w:left="454" w:hanging="454"/>
    </w:pPr>
    <w:rPr>
      <w:rFonts w:ascii="Calibri" w:eastAsia="Times New Roman" w:hAnsi="Calibri" w:cs="Times New Roman"/>
      <w:sz w:val="20"/>
      <w:szCs w:val="24"/>
      <w:lang w:eastAsia="en-AU"/>
    </w:rPr>
  </w:style>
  <w:style w:type="character" w:customStyle="1" w:styleId="FootnotetextChar0">
    <w:name w:val="Footnote text Char"/>
    <w:basedOn w:val="DefaultParagraphFont"/>
    <w:link w:val="FootnoteText1"/>
    <w:rsid w:val="003F2CE9"/>
    <w:rPr>
      <w:rFonts w:ascii="Calibri" w:eastAsia="Times New Roman" w:hAnsi="Calibri" w:cs="Times New Roman"/>
      <w:sz w:val="20"/>
      <w:szCs w:val="24"/>
      <w:lang w:eastAsia="en-AU"/>
    </w:rPr>
  </w:style>
  <w:style w:type="character" w:customStyle="1" w:styleId="PersonalComposeStyle">
    <w:name w:val="Personal Compose Style"/>
    <w:basedOn w:val="DefaultParagraphFont"/>
    <w:rsid w:val="003F2CE9"/>
    <w:rPr>
      <w:rFonts w:ascii="Arial" w:hAnsi="Arial" w:cs="Arial"/>
      <w:color w:val="auto"/>
      <w:sz w:val="20"/>
    </w:rPr>
  </w:style>
  <w:style w:type="character" w:customStyle="1" w:styleId="PersonalReplyStyle">
    <w:name w:val="Personal Reply Style"/>
    <w:basedOn w:val="DefaultParagraphFont"/>
    <w:rsid w:val="003F2CE9"/>
    <w:rPr>
      <w:rFonts w:ascii="Arial" w:hAnsi="Arial" w:cs="Arial"/>
      <w:color w:val="auto"/>
      <w:sz w:val="20"/>
    </w:rPr>
  </w:style>
  <w:style w:type="paragraph" w:customStyle="1" w:styleId="StyletabletextLeft">
    <w:name w:val="Style table text + Left"/>
    <w:basedOn w:val="tabletextslim"/>
    <w:rsid w:val="003F2CE9"/>
    <w:pPr>
      <w:jc w:val="left"/>
    </w:pPr>
    <w:rPr>
      <w:rFonts w:cs="Times New Roman"/>
      <w:szCs w:val="20"/>
    </w:rPr>
  </w:style>
  <w:style w:type="character" w:customStyle="1" w:styleId="sub-bulletChar">
    <w:name w:val="sub-bullet Char"/>
    <w:basedOn w:val="bulletChar"/>
    <w:link w:val="sub-bullet"/>
    <w:rsid w:val="003F2CE9"/>
    <w:rPr>
      <w:rFonts w:cs="Garamond"/>
      <w:color w:val="000000"/>
      <w:lang w:val="en-GB"/>
    </w:rPr>
  </w:style>
  <w:style w:type="paragraph" w:styleId="Bibliography">
    <w:name w:val="Bibliography"/>
    <w:basedOn w:val="Normal"/>
    <w:rsid w:val="003F2CE9"/>
    <w:pPr>
      <w:numPr>
        <w:numId w:val="10"/>
      </w:numPr>
      <w:spacing w:before="120" w:after="120"/>
    </w:pPr>
    <w:rPr>
      <w:rFonts w:ascii="Arial" w:eastAsia="Times New Roman" w:hAnsi="Arial" w:cs="Times New Roman"/>
      <w:iCs/>
      <w:color w:val="000000"/>
      <w:sz w:val="20"/>
      <w:szCs w:val="20"/>
      <w:lang w:eastAsia="en-AU"/>
    </w:rPr>
  </w:style>
  <w:style w:type="paragraph" w:customStyle="1" w:styleId="Heading41">
    <w:name w:val="Heading 41"/>
    <w:basedOn w:val="Heading4"/>
    <w:autoRedefine/>
    <w:rsid w:val="003F2CE9"/>
    <w:pPr>
      <w:keepLines/>
      <w:numPr>
        <w:ilvl w:val="3"/>
        <w:numId w:val="11"/>
      </w:numPr>
    </w:pPr>
    <w:rPr>
      <w:rFonts w:asciiTheme="majorHAnsi" w:hAnsiTheme="majorHAnsi"/>
      <w:color w:val="165788" w:themeColor="accent1"/>
      <w:szCs w:val="24"/>
      <w:lang w:eastAsia="en-AU"/>
    </w:rPr>
  </w:style>
  <w:style w:type="paragraph" w:customStyle="1" w:styleId="NormalStyleBoxSinglesolidlineAuto05ptLinewidth">
    <w:name w:val="Normal + Style Box: (Single solid line Auto  0.5 pt Line width)"/>
    <w:basedOn w:val="Normal"/>
    <w:rsid w:val="003F2CE9"/>
    <w:pPr>
      <w:pBdr>
        <w:top w:val="single" w:sz="4" w:space="1" w:color="auto"/>
        <w:left w:val="single" w:sz="4" w:space="4" w:color="auto"/>
        <w:bottom w:val="single" w:sz="4" w:space="1" w:color="auto"/>
        <w:right w:val="single" w:sz="4" w:space="4" w:color="auto"/>
      </w:pBdr>
      <w:spacing w:before="120" w:after="120" w:line="240" w:lineRule="auto"/>
    </w:pPr>
    <w:rPr>
      <w:rFonts w:ascii="Calibri" w:eastAsia="Times New Roman" w:hAnsi="Calibri" w:cs="Times New Roman"/>
      <w:szCs w:val="20"/>
      <w:lang w:eastAsia="en-AU"/>
    </w:rPr>
  </w:style>
  <w:style w:type="paragraph" w:customStyle="1" w:styleId="QuoteRef">
    <w:name w:val="QuoteRef"/>
    <w:basedOn w:val="Normal"/>
    <w:link w:val="QuoteRefChar"/>
    <w:rsid w:val="00DC072F"/>
    <w:pPr>
      <w:spacing w:before="120" w:after="120" w:line="240" w:lineRule="auto"/>
      <w:ind w:left="720"/>
      <w:jc w:val="right"/>
    </w:pPr>
    <w:rPr>
      <w:rFonts w:ascii="Calibri" w:eastAsia="Times New Roman" w:hAnsi="Calibri" w:cs="Times New Roman"/>
      <w:sz w:val="20"/>
      <w:szCs w:val="24"/>
      <w:lang w:eastAsia="en-AU"/>
    </w:rPr>
  </w:style>
  <w:style w:type="character" w:customStyle="1" w:styleId="QuoteRefChar">
    <w:name w:val="QuoteRef Char"/>
    <w:basedOn w:val="DefaultParagraphFont"/>
    <w:link w:val="QuoteRef"/>
    <w:rsid w:val="00DC072F"/>
    <w:rPr>
      <w:rFonts w:ascii="Calibri" w:eastAsia="Times New Roman" w:hAnsi="Calibri" w:cs="Times New Roman"/>
      <w:sz w:val="20"/>
      <w:szCs w:val="24"/>
      <w:lang w:eastAsia="en-AU"/>
    </w:rPr>
  </w:style>
  <w:style w:type="paragraph" w:customStyle="1" w:styleId="StyleQuoteBlBoxSinglesolidlineAuto05ptLinewidth">
    <w:name w:val="Style QuoteBl + Box: (Single solid line Auto  0.5 pt Line width)"/>
    <w:basedOn w:val="Normal"/>
    <w:rsid w:val="003F2CE9"/>
    <w:pPr>
      <w:pBdr>
        <w:top w:val="single" w:sz="4" w:space="1" w:color="auto"/>
        <w:left w:val="single" w:sz="4" w:space="4" w:color="auto"/>
        <w:bottom w:val="single" w:sz="4" w:space="1" w:color="auto"/>
        <w:right w:val="single" w:sz="4" w:space="4" w:color="auto"/>
      </w:pBdr>
      <w:spacing w:before="120" w:after="0" w:line="240" w:lineRule="auto"/>
      <w:ind w:left="720"/>
    </w:pPr>
    <w:rPr>
      <w:rFonts w:ascii="Calibri" w:eastAsia="Times New Roman" w:hAnsi="Calibri" w:cs="Times New Roman"/>
      <w:sz w:val="20"/>
      <w:szCs w:val="20"/>
      <w:lang w:eastAsia="en-AU"/>
    </w:rPr>
  </w:style>
  <w:style w:type="paragraph" w:styleId="BodyTextIndent3">
    <w:name w:val="Body Text Indent 3"/>
    <w:basedOn w:val="Normal"/>
    <w:link w:val="BodyTextIndent3Char"/>
    <w:rsid w:val="003F2CE9"/>
    <w:pPr>
      <w:spacing w:after="120"/>
      <w:ind w:left="283"/>
    </w:pPr>
    <w:rPr>
      <w:rFonts w:ascii="Calibri" w:eastAsia="Times New Roman" w:hAnsi="Calibri" w:cs="Times New Roman"/>
      <w:sz w:val="16"/>
      <w:szCs w:val="16"/>
      <w:lang w:eastAsia="en-AU"/>
    </w:rPr>
  </w:style>
  <w:style w:type="character" w:customStyle="1" w:styleId="BodyTextIndent3Char">
    <w:name w:val="Body Text Indent 3 Char"/>
    <w:basedOn w:val="DefaultParagraphFont"/>
    <w:link w:val="BodyTextIndent3"/>
    <w:rsid w:val="003F2CE9"/>
    <w:rPr>
      <w:rFonts w:ascii="Calibri" w:eastAsia="Times New Roman" w:hAnsi="Calibri" w:cs="Times New Roman"/>
      <w:sz w:val="16"/>
      <w:szCs w:val="16"/>
      <w:lang w:eastAsia="en-AU"/>
    </w:rPr>
  </w:style>
  <w:style w:type="paragraph" w:customStyle="1" w:styleId="Captionbefore12">
    <w:name w:val="Caption + before 12"/>
    <w:basedOn w:val="Caption"/>
    <w:rsid w:val="003F2CE9"/>
    <w:pPr>
      <w:spacing w:before="240" w:after="120" w:line="240" w:lineRule="auto"/>
      <w:outlineLvl w:val="9"/>
    </w:pPr>
    <w:rPr>
      <w:rFonts w:ascii="Times New Roman" w:eastAsia="Times New Roman" w:hAnsi="Times New Roman" w:cs="Times New Roman"/>
      <w:color w:val="4F81BD"/>
      <w:sz w:val="18"/>
      <w:szCs w:val="18"/>
      <w:lang w:eastAsia="en-AU"/>
    </w:rPr>
  </w:style>
  <w:style w:type="paragraph" w:customStyle="1" w:styleId="Quotation1">
    <w:name w:val="Quotation1"/>
    <w:basedOn w:val="IntenseQuote"/>
    <w:link w:val="Quotation1Char"/>
    <w:rsid w:val="003F2CE9"/>
    <w:pPr>
      <w:pBdr>
        <w:bottom w:val="none" w:sz="0" w:space="0" w:color="auto"/>
      </w:pBdr>
      <w:ind w:left="936" w:right="936"/>
      <w:jc w:val="left"/>
    </w:pPr>
    <w:rPr>
      <w:rFonts w:ascii="Calibri" w:hAnsi="Calibri"/>
      <w:b w:val="0"/>
      <w:color w:val="000000" w:themeColor="text1"/>
      <w:szCs w:val="24"/>
      <w:lang w:val="en-GB"/>
    </w:rPr>
  </w:style>
  <w:style w:type="character" w:customStyle="1" w:styleId="Quotation1Char">
    <w:name w:val="Quotation1 Char"/>
    <w:basedOn w:val="IntenseQuoteChar"/>
    <w:link w:val="Quotation1"/>
    <w:rsid w:val="003F2CE9"/>
    <w:rPr>
      <w:rFonts w:ascii="Calibri" w:hAnsi="Calibri"/>
      <w:b w:val="0"/>
      <w:bCs/>
      <w:i/>
      <w:iCs/>
      <w:color w:val="000000" w:themeColor="text1"/>
      <w:szCs w:val="24"/>
      <w:lang w:val="en-GB"/>
    </w:rPr>
  </w:style>
  <w:style w:type="paragraph" w:customStyle="1" w:styleId="FootnoteReference1">
    <w:name w:val="Footnote Reference1"/>
    <w:basedOn w:val="Sourceandnotetext"/>
    <w:link w:val="FootnotereferenceChar"/>
    <w:rsid w:val="003F2CE9"/>
    <w:pPr>
      <w:spacing w:before="0"/>
      <w:ind w:left="284" w:hanging="284"/>
    </w:pPr>
    <w:rPr>
      <w:rFonts w:ascii="Calibri" w:eastAsia="Times New Roman" w:hAnsi="Calibri" w:cs="Calibri"/>
      <w:lang w:eastAsia="en-AU"/>
    </w:rPr>
  </w:style>
  <w:style w:type="character" w:customStyle="1" w:styleId="FootnotereferenceChar">
    <w:name w:val="Footnote reference Char"/>
    <w:basedOn w:val="SourceandnotetextChar"/>
    <w:link w:val="FootnoteReference1"/>
    <w:rsid w:val="003F2CE9"/>
    <w:rPr>
      <w:rFonts w:ascii="Calibri" w:eastAsia="Times New Roman" w:hAnsi="Calibri" w:cs="Calibri"/>
      <w:sz w:val="20"/>
      <w:szCs w:val="20"/>
      <w:lang w:eastAsia="en-AU"/>
    </w:rPr>
  </w:style>
  <w:style w:type="paragraph" w:customStyle="1" w:styleId="Heading2withoutnumbering">
    <w:name w:val="Heading 2 without numbering"/>
    <w:basedOn w:val="Heading2"/>
    <w:rsid w:val="003F2CE9"/>
    <w:pPr>
      <w:tabs>
        <w:tab w:val="left" w:pos="851"/>
      </w:tabs>
      <w:spacing w:after="60"/>
    </w:pPr>
    <w:rPr>
      <w:rFonts w:eastAsia="Times New Roman" w:cs="Arial"/>
      <w:iCs/>
      <w:color w:val="000000" w:themeColor="text1"/>
      <w:sz w:val="32"/>
      <w:szCs w:val="28"/>
      <w:lang w:eastAsia="en-AU"/>
    </w:rPr>
  </w:style>
  <w:style w:type="character" w:customStyle="1" w:styleId="SourceandnotetextsubnoteChar">
    <w:name w:val="Source and note text sub note Char"/>
    <w:basedOn w:val="SourceandnotetextmultiplenotesChar"/>
    <w:link w:val="Sourceandnotetextsubnote"/>
    <w:rsid w:val="00316BA2"/>
    <w:rPr>
      <w:sz w:val="20"/>
      <w:szCs w:val="20"/>
    </w:rPr>
  </w:style>
  <w:style w:type="character" w:customStyle="1" w:styleId="definition">
    <w:name w:val="definition"/>
    <w:basedOn w:val="DefaultParagraphFont"/>
    <w:rsid w:val="003F2CE9"/>
  </w:style>
  <w:style w:type="paragraph" w:customStyle="1" w:styleId="Question">
    <w:name w:val="Question"/>
    <w:basedOn w:val="Heading1"/>
    <w:next w:val="Normal"/>
    <w:uiPriority w:val="99"/>
    <w:rsid w:val="003F2CE9"/>
    <w:pPr>
      <w:keepNext/>
      <w:numPr>
        <w:numId w:val="12"/>
      </w:numPr>
      <w:tabs>
        <w:tab w:val="left" w:pos="567"/>
      </w:tabs>
      <w:spacing w:after="0"/>
      <w:contextualSpacing w:val="0"/>
    </w:pPr>
    <w:rPr>
      <w:rFonts w:ascii="Arial" w:eastAsia="Times New Roman" w:hAnsi="Arial" w:cs="Arial"/>
      <w:b w:val="0"/>
      <w:color w:val="auto"/>
      <w:sz w:val="22"/>
      <w:szCs w:val="20"/>
    </w:rPr>
  </w:style>
  <w:style w:type="paragraph" w:customStyle="1" w:styleId="Questionoptions">
    <w:name w:val="Question options"/>
    <w:basedOn w:val="Question"/>
    <w:uiPriority w:val="99"/>
    <w:rsid w:val="003F2CE9"/>
    <w:pPr>
      <w:numPr>
        <w:ilvl w:val="1"/>
      </w:numPr>
    </w:pPr>
  </w:style>
  <w:style w:type="paragraph" w:customStyle="1" w:styleId="StylebulletText1">
    <w:name w:val="Style bullet + Text 1"/>
    <w:basedOn w:val="bullet"/>
    <w:rsid w:val="003F2CE9"/>
    <w:pPr>
      <w:numPr>
        <w:numId w:val="0"/>
      </w:numPr>
    </w:pPr>
    <w:rPr>
      <w:rFonts w:ascii="Calibri" w:eastAsia="Times New Roman" w:hAnsi="Calibri"/>
      <w:color w:val="000000" w:themeColor="text1"/>
      <w:lang w:eastAsia="en-AU"/>
    </w:rPr>
  </w:style>
  <w:style w:type="paragraph" w:styleId="TOC5">
    <w:name w:val="toc 5"/>
    <w:basedOn w:val="Normal"/>
    <w:next w:val="Normal"/>
    <w:autoRedefine/>
    <w:uiPriority w:val="39"/>
    <w:rsid w:val="003F2CE9"/>
    <w:pPr>
      <w:spacing w:after="0"/>
      <w:ind w:left="880"/>
    </w:pPr>
    <w:rPr>
      <w:rFonts w:cstheme="minorHAnsi"/>
      <w:sz w:val="18"/>
      <w:szCs w:val="18"/>
    </w:rPr>
  </w:style>
  <w:style w:type="paragraph" w:styleId="TOC6">
    <w:name w:val="toc 6"/>
    <w:basedOn w:val="Normal"/>
    <w:next w:val="Normal"/>
    <w:autoRedefine/>
    <w:uiPriority w:val="39"/>
    <w:rsid w:val="003F2CE9"/>
    <w:pPr>
      <w:spacing w:after="0"/>
      <w:ind w:left="1100"/>
    </w:pPr>
    <w:rPr>
      <w:rFonts w:cstheme="minorHAnsi"/>
      <w:sz w:val="18"/>
      <w:szCs w:val="18"/>
    </w:rPr>
  </w:style>
  <w:style w:type="paragraph" w:styleId="TOC8">
    <w:name w:val="toc 8"/>
    <w:basedOn w:val="Normal"/>
    <w:next w:val="Normal"/>
    <w:autoRedefine/>
    <w:uiPriority w:val="39"/>
    <w:rsid w:val="003F2CE9"/>
    <w:pPr>
      <w:spacing w:after="0"/>
      <w:ind w:left="1540"/>
    </w:pPr>
    <w:rPr>
      <w:rFonts w:cstheme="minorHAnsi"/>
      <w:sz w:val="18"/>
      <w:szCs w:val="18"/>
    </w:rPr>
  </w:style>
  <w:style w:type="paragraph" w:styleId="TOC9">
    <w:name w:val="toc 9"/>
    <w:basedOn w:val="Normal"/>
    <w:next w:val="Normal"/>
    <w:autoRedefine/>
    <w:uiPriority w:val="39"/>
    <w:rsid w:val="003F2CE9"/>
    <w:pPr>
      <w:spacing w:after="0"/>
      <w:ind w:left="1760"/>
    </w:pPr>
    <w:rPr>
      <w:rFonts w:cstheme="minorHAnsi"/>
      <w:sz w:val="18"/>
      <w:szCs w:val="18"/>
    </w:rPr>
  </w:style>
  <w:style w:type="paragraph" w:customStyle="1" w:styleId="Notes">
    <w:name w:val="Notes"/>
    <w:basedOn w:val="Normal"/>
    <w:link w:val="NotesChar"/>
    <w:rsid w:val="003F2CE9"/>
    <w:pPr>
      <w:spacing w:after="0" w:line="240" w:lineRule="auto"/>
    </w:pPr>
    <w:rPr>
      <w:rFonts w:ascii="Cambria" w:eastAsia="Times New Roman" w:hAnsi="Cambria" w:cs="Times New Roman"/>
      <w:sz w:val="20"/>
      <w:szCs w:val="20"/>
      <w:lang w:val="en-US"/>
    </w:rPr>
  </w:style>
  <w:style w:type="character" w:customStyle="1" w:styleId="NotesChar">
    <w:name w:val="Notes Char"/>
    <w:basedOn w:val="DefaultParagraphFont"/>
    <w:link w:val="Notes"/>
    <w:rsid w:val="003F2CE9"/>
    <w:rPr>
      <w:rFonts w:ascii="Cambria" w:eastAsia="Times New Roman" w:hAnsi="Cambria" w:cs="Times New Roman"/>
      <w:sz w:val="20"/>
      <w:szCs w:val="20"/>
      <w:lang w:val="en-US"/>
    </w:rPr>
  </w:style>
  <w:style w:type="paragraph" w:customStyle="1" w:styleId="Authorsnote">
    <w:name w:val="Author's note"/>
    <w:basedOn w:val="Normal"/>
    <w:link w:val="AuthorsnoteChar"/>
    <w:rsid w:val="003F2CE9"/>
    <w:pPr>
      <w:spacing w:before="120" w:after="40" w:line="240" w:lineRule="auto"/>
    </w:pPr>
    <w:rPr>
      <w:rFonts w:ascii="Calibri" w:eastAsia="Times New Roman" w:hAnsi="Calibri" w:cs="Times New Roman"/>
      <w:color w:val="FF0000"/>
      <w:szCs w:val="24"/>
      <w:lang w:eastAsia="en-AU"/>
    </w:rPr>
  </w:style>
  <w:style w:type="character" w:customStyle="1" w:styleId="AuthorsnoteChar">
    <w:name w:val="Author's note Char"/>
    <w:basedOn w:val="DefaultParagraphFont"/>
    <w:link w:val="Authorsnote"/>
    <w:rsid w:val="003F2CE9"/>
    <w:rPr>
      <w:rFonts w:ascii="Calibri" w:eastAsia="Times New Roman" w:hAnsi="Calibri" w:cs="Times New Roman"/>
      <w:color w:val="FF0000"/>
      <w:szCs w:val="24"/>
      <w:lang w:eastAsia="en-AU"/>
    </w:rPr>
  </w:style>
  <w:style w:type="paragraph" w:customStyle="1" w:styleId="FigureCaptionMultipleColumn">
    <w:name w:val="Figure Caption Multiple Column"/>
    <w:basedOn w:val="FigureCaption"/>
    <w:next w:val="Normal"/>
    <w:link w:val="FigureCaptionMultipleColumnChar"/>
    <w:rsid w:val="003F2CE9"/>
    <w:pPr>
      <w:keepNext w:val="0"/>
      <w:spacing w:before="120" w:after="40" w:line="240" w:lineRule="auto"/>
    </w:pPr>
    <w:rPr>
      <w:rFonts w:ascii="Calibri" w:eastAsia="Times New Roman" w:hAnsi="Calibri" w:cs="Times New Roman"/>
      <w:szCs w:val="24"/>
      <w:lang w:eastAsia="en-AU"/>
    </w:rPr>
  </w:style>
  <w:style w:type="paragraph" w:customStyle="1" w:styleId="Heading40">
    <w:name w:val="Heading4"/>
    <w:basedOn w:val="ListParagraph"/>
    <w:rsid w:val="00354833"/>
    <w:pPr>
      <w:keepNext/>
      <w:autoSpaceDE w:val="0"/>
      <w:autoSpaceDN w:val="0"/>
      <w:adjustRightInd w:val="0"/>
      <w:spacing w:before="120" w:after="120" w:line="240" w:lineRule="auto"/>
      <w:ind w:left="0"/>
      <w:contextualSpacing w:val="0"/>
    </w:pPr>
    <w:rPr>
      <w:rFonts w:ascii="Calibri" w:eastAsia="Calibri" w:hAnsi="Calibri" w:cs="Times New Roman"/>
      <w:b/>
      <w:i/>
      <w:szCs w:val="24"/>
      <w:lang w:eastAsia="en-AU"/>
    </w:rPr>
  </w:style>
  <w:style w:type="character" w:customStyle="1" w:styleId="StyleFootnoteReferenceSuperscript">
    <w:name w:val="Style Footnote Reference + Superscript"/>
    <w:basedOn w:val="FootnoteReference"/>
    <w:rsid w:val="003F2CE9"/>
    <w:rPr>
      <w:sz w:val="24"/>
      <w:szCs w:val="20"/>
      <w:vertAlign w:val="superscript"/>
    </w:rPr>
  </w:style>
  <w:style w:type="character" w:customStyle="1" w:styleId="StyleStyleFootnoteReferenceSuperscript12pt">
    <w:name w:val="Style Style Footnote Reference + Superscript + 12 pt"/>
    <w:basedOn w:val="StyleFootnoteReferenceSuperscript"/>
    <w:rsid w:val="003F2CE9"/>
    <w:rPr>
      <w:sz w:val="24"/>
      <w:szCs w:val="20"/>
      <w:vertAlign w:val="superscript"/>
    </w:rPr>
  </w:style>
  <w:style w:type="paragraph" w:customStyle="1" w:styleId="bulletlist0">
    <w:name w:val="bullet list"/>
    <w:basedOn w:val="bullet"/>
    <w:qFormat/>
    <w:rsid w:val="003F2CE9"/>
    <w:pPr>
      <w:numPr>
        <w:numId w:val="0"/>
      </w:numPr>
      <w:tabs>
        <w:tab w:val="left" w:pos="227"/>
        <w:tab w:val="num" w:pos="284"/>
      </w:tabs>
      <w:spacing w:before="20" w:after="198" w:line="300" w:lineRule="atLeast"/>
      <w:ind w:left="227" w:hanging="227"/>
    </w:pPr>
    <w:rPr>
      <w:rFonts w:ascii="Calibri" w:eastAsia="Univers" w:hAnsi="Calibri"/>
      <w:lang w:eastAsia="en-AU"/>
    </w:rPr>
  </w:style>
  <w:style w:type="paragraph" w:customStyle="1" w:styleId="QuoteBl">
    <w:name w:val="QuoteBl"/>
    <w:basedOn w:val="Normal"/>
    <w:rsid w:val="003F2CE9"/>
    <w:pPr>
      <w:ind w:left="720"/>
    </w:pPr>
    <w:rPr>
      <w:rFonts w:ascii="Calibri" w:eastAsia="Univers" w:hAnsi="Calibri" w:cs="Times New Roman"/>
      <w:sz w:val="20"/>
      <w:szCs w:val="24"/>
      <w:lang w:eastAsia="en-AU"/>
    </w:rPr>
  </w:style>
  <w:style w:type="numbering" w:customStyle="1" w:styleId="Bullets10">
    <w:name w:val="Bullets1"/>
    <w:basedOn w:val="NoList"/>
    <w:rsid w:val="003F2CE9"/>
  </w:style>
  <w:style w:type="numbering" w:customStyle="1" w:styleId="Bullets20">
    <w:name w:val="Bullets2"/>
    <w:basedOn w:val="NoList"/>
    <w:rsid w:val="003F2CE9"/>
  </w:style>
  <w:style w:type="paragraph" w:customStyle="1" w:styleId="StyleBulletlevel2NotItalic">
    <w:name w:val="Style Bullet level 2 + Not Italic"/>
    <w:basedOn w:val="Bulletlevel2"/>
    <w:rsid w:val="003F2CE9"/>
    <w:pPr>
      <w:tabs>
        <w:tab w:val="num" w:pos="360"/>
        <w:tab w:val="left" w:pos="709"/>
      </w:tabs>
      <w:ind w:left="227" w:hanging="227"/>
    </w:pPr>
    <w:rPr>
      <w:rFonts w:ascii="Calibri" w:eastAsia="Univers" w:hAnsi="Calibri"/>
      <w:i/>
      <w:lang w:eastAsia="en-AU"/>
    </w:rPr>
  </w:style>
  <w:style w:type="character" w:customStyle="1" w:styleId="ListParagraphChar">
    <w:name w:val="List Paragraph Char"/>
    <w:aliases w:val="List Paragraph1 Char,Recommendation Char,List Paragraph11 Char,Table Char,L Char,Bullet Point Char,Bullet points Char,Content descriptions Char"/>
    <w:basedOn w:val="DefaultParagraphFont"/>
    <w:link w:val="ListParagraph"/>
    <w:uiPriority w:val="34"/>
    <w:locked/>
    <w:rsid w:val="003F2CE9"/>
  </w:style>
  <w:style w:type="paragraph" w:styleId="List">
    <w:name w:val="List"/>
    <w:basedOn w:val="Normal"/>
    <w:uiPriority w:val="99"/>
    <w:unhideWhenUsed/>
    <w:rsid w:val="002B1972"/>
    <w:pPr>
      <w:ind w:left="283" w:hanging="283"/>
      <w:contextualSpacing/>
    </w:pPr>
  </w:style>
  <w:style w:type="paragraph" w:customStyle="1" w:styleId="byline">
    <w:name w:val="byline"/>
    <w:basedOn w:val="Normal"/>
    <w:rsid w:val="000A2DA9"/>
    <w:pPr>
      <w:shd w:val="clear" w:color="auto" w:fill="FDFBF3"/>
      <w:spacing w:before="100" w:beforeAutospacing="1" w:after="100" w:afterAutospacing="1" w:line="240" w:lineRule="auto"/>
    </w:pPr>
    <w:rPr>
      <w:rFonts w:ascii="Arial" w:eastAsia="Times New Roman" w:hAnsi="Arial" w:cs="Arial"/>
      <w:b/>
      <w:bCs/>
      <w:color w:val="000000"/>
      <w:sz w:val="20"/>
      <w:szCs w:val="20"/>
      <w:lang w:eastAsia="en-AU"/>
    </w:rPr>
  </w:style>
  <w:style w:type="paragraph" w:customStyle="1" w:styleId="systemtitle">
    <w:name w:val="systemtitle"/>
    <w:basedOn w:val="Normal"/>
    <w:rsid w:val="000A2DA9"/>
    <w:pPr>
      <w:shd w:val="clear" w:color="auto" w:fill="FDFBF3"/>
      <w:spacing w:before="100" w:beforeAutospacing="1" w:after="100" w:afterAutospacing="1" w:line="240" w:lineRule="auto"/>
    </w:pPr>
    <w:rPr>
      <w:rFonts w:ascii="Arial" w:eastAsia="Times New Roman" w:hAnsi="Arial" w:cs="Arial"/>
      <w:b/>
      <w:bCs/>
      <w:color w:val="4F493B"/>
      <w:sz w:val="24"/>
      <w:szCs w:val="24"/>
      <w:lang w:eastAsia="en-AU"/>
    </w:rPr>
  </w:style>
  <w:style w:type="character" w:customStyle="1" w:styleId="systemtitle1">
    <w:name w:val="systemtitle1"/>
    <w:basedOn w:val="DefaultParagraphFont"/>
    <w:rsid w:val="000A2DA9"/>
    <w:rPr>
      <w:rFonts w:ascii="Arial" w:hAnsi="Arial" w:cs="Arial" w:hint="default"/>
      <w:b/>
      <w:bCs/>
      <w:i w:val="0"/>
      <w:iCs w:val="0"/>
      <w:color w:val="4F493B"/>
      <w:sz w:val="24"/>
      <w:szCs w:val="24"/>
      <w:shd w:val="clear" w:color="auto" w:fill="FDFBF3"/>
    </w:rPr>
  </w:style>
  <w:style w:type="character" w:customStyle="1" w:styleId="byline1">
    <w:name w:val="byline1"/>
    <w:basedOn w:val="DefaultParagraphFont"/>
    <w:rsid w:val="000A2DA9"/>
    <w:rPr>
      <w:rFonts w:ascii="Arial" w:hAnsi="Arial" w:cs="Arial" w:hint="default"/>
      <w:b/>
      <w:bCs/>
      <w:i w:val="0"/>
      <w:iCs w:val="0"/>
      <w:color w:val="000000"/>
      <w:sz w:val="20"/>
      <w:szCs w:val="20"/>
      <w:shd w:val="clear" w:color="auto" w:fill="FDFBF3"/>
    </w:rPr>
  </w:style>
  <w:style w:type="character" w:customStyle="1" w:styleId="FigureCaptionChar">
    <w:name w:val="Figure Caption Char"/>
    <w:basedOn w:val="DefaultParagraphFont"/>
    <w:link w:val="FigureCaption"/>
    <w:uiPriority w:val="99"/>
    <w:rsid w:val="00561B6D"/>
    <w:rPr>
      <w:b/>
    </w:rPr>
  </w:style>
  <w:style w:type="character" w:customStyle="1" w:styleId="FigureCaptionMultipleColumnChar">
    <w:name w:val="Figure Caption Multiple Column Char"/>
    <w:basedOn w:val="FigureCaptionChar"/>
    <w:link w:val="FigureCaptionMultipleColumn"/>
    <w:rsid w:val="00585FA7"/>
    <w:rPr>
      <w:rFonts w:ascii="Calibri" w:eastAsia="Times New Roman" w:hAnsi="Calibri" w:cs="Times New Roman"/>
      <w:b/>
      <w:szCs w:val="24"/>
      <w:lang w:eastAsia="en-AU"/>
    </w:rPr>
  </w:style>
  <w:style w:type="character" w:customStyle="1" w:styleId="highlight1">
    <w:name w:val="highlight1"/>
    <w:basedOn w:val="DefaultParagraphFont"/>
    <w:rsid w:val="00572296"/>
    <w:rPr>
      <w:shd w:val="clear" w:color="auto" w:fill="DBDDBA"/>
    </w:rPr>
  </w:style>
  <w:style w:type="character" w:customStyle="1" w:styleId="CABBackGroundChar1">
    <w:name w:val="CABBackGround Char1"/>
    <w:basedOn w:val="DefaultParagraphFont"/>
    <w:link w:val="CABBackGround"/>
    <w:locked/>
    <w:rsid w:val="00A846DF"/>
    <w:rPr>
      <w:rFonts w:ascii="Times New Roman" w:eastAsia="Times New Roman" w:hAnsi="Times New Roman" w:cs="Times New Roman"/>
      <w:sz w:val="24"/>
      <w:szCs w:val="20"/>
      <w:lang w:eastAsia="en-AU"/>
    </w:rPr>
  </w:style>
  <w:style w:type="paragraph" w:customStyle="1" w:styleId="CABBackGround">
    <w:name w:val="CABBackGround"/>
    <w:basedOn w:val="Normal"/>
    <w:link w:val="CABBackGroundChar1"/>
    <w:rsid w:val="00A846DF"/>
    <w:pPr>
      <w:spacing w:after="0" w:line="360" w:lineRule="auto"/>
    </w:pPr>
    <w:rPr>
      <w:rFonts w:ascii="Times New Roman" w:eastAsia="Times New Roman" w:hAnsi="Times New Roman" w:cs="Times New Roman"/>
      <w:sz w:val="24"/>
      <w:szCs w:val="20"/>
      <w:lang w:eastAsia="en-AU"/>
    </w:rPr>
  </w:style>
  <w:style w:type="paragraph" w:customStyle="1" w:styleId="SecBody">
    <w:name w:val="Sec Body"/>
    <w:basedOn w:val="Normal"/>
    <w:link w:val="SecBodyChar"/>
    <w:qFormat/>
    <w:rsid w:val="005057A6"/>
    <w:pPr>
      <w:spacing w:before="120" w:after="120"/>
    </w:pPr>
    <w:rPr>
      <w:rFonts w:ascii="Arial" w:eastAsiaTheme="minorHAnsi" w:hAnsi="Arial"/>
      <w:sz w:val="20"/>
    </w:rPr>
  </w:style>
  <w:style w:type="character" w:customStyle="1" w:styleId="SecBodyChar">
    <w:name w:val="Sec Body Char"/>
    <w:basedOn w:val="DefaultParagraphFont"/>
    <w:link w:val="SecBody"/>
    <w:rsid w:val="005057A6"/>
    <w:rPr>
      <w:rFonts w:ascii="Arial" w:eastAsiaTheme="minorHAnsi" w:hAnsi="Arial"/>
      <w:sz w:val="20"/>
    </w:rPr>
  </w:style>
  <w:style w:type="paragraph" w:customStyle="1" w:styleId="SecBullets">
    <w:name w:val="Sec Bullets"/>
    <w:basedOn w:val="SecBody"/>
    <w:next w:val="SecBody"/>
    <w:qFormat/>
    <w:rsid w:val="005057A6"/>
    <w:pPr>
      <w:numPr>
        <w:ilvl w:val="1"/>
        <w:numId w:val="16"/>
      </w:numPr>
      <w:tabs>
        <w:tab w:val="num" w:pos="360"/>
      </w:tabs>
      <w:ind w:left="709" w:hanging="567"/>
    </w:pPr>
  </w:style>
  <w:style w:type="paragraph" w:customStyle="1" w:styleId="Quote1">
    <w:name w:val="Quote1"/>
    <w:basedOn w:val="SecBody"/>
    <w:link w:val="Quote1Char"/>
    <w:qFormat/>
    <w:rsid w:val="005057A6"/>
    <w:pPr>
      <w:spacing w:before="80" w:after="160" w:line="240" w:lineRule="auto"/>
      <w:ind w:left="720" w:right="567"/>
    </w:pPr>
    <w:rPr>
      <w:i/>
    </w:rPr>
  </w:style>
  <w:style w:type="character" w:customStyle="1" w:styleId="Quote1Char">
    <w:name w:val="Quote1 Char"/>
    <w:basedOn w:val="SecBodyChar"/>
    <w:link w:val="Quote1"/>
    <w:rsid w:val="005057A6"/>
    <w:rPr>
      <w:rFonts w:ascii="Arial" w:eastAsiaTheme="minorHAnsi" w:hAnsi="Arial"/>
      <w:i/>
      <w:sz w:val="20"/>
    </w:rPr>
  </w:style>
  <w:style w:type="paragraph" w:customStyle="1" w:styleId="HeadingNoNumberBold">
    <w:name w:val="Heading No Number Bold"/>
    <w:basedOn w:val="Normal"/>
    <w:link w:val="HeadingNoNumberBoldChar"/>
    <w:qFormat/>
    <w:rsid w:val="005057A6"/>
    <w:pPr>
      <w:spacing w:before="120" w:after="120" w:line="300" w:lineRule="auto"/>
      <w:jc w:val="both"/>
    </w:pPr>
    <w:rPr>
      <w:rFonts w:eastAsia="Times New Roman" w:cs="Arial"/>
      <w:b/>
      <w:szCs w:val="20"/>
      <w:lang w:val="en-US"/>
    </w:rPr>
  </w:style>
  <w:style w:type="character" w:customStyle="1" w:styleId="HeadingNoNumberBoldChar">
    <w:name w:val="Heading No Number Bold Char"/>
    <w:basedOn w:val="DefaultParagraphFont"/>
    <w:link w:val="HeadingNoNumberBold"/>
    <w:rsid w:val="005057A6"/>
    <w:rPr>
      <w:rFonts w:eastAsia="Times New Roman" w:cs="Arial"/>
      <w:b/>
      <w:szCs w:val="20"/>
      <w:lang w:val="en-US"/>
    </w:rPr>
  </w:style>
  <w:style w:type="paragraph" w:customStyle="1" w:styleId="HeadingNoNumberBoldItalic">
    <w:name w:val="Heading No Number Bold Italic"/>
    <w:basedOn w:val="HeadingNoNumberBold"/>
    <w:link w:val="HeadingNoNumberBoldItalicChar"/>
    <w:qFormat/>
    <w:rsid w:val="005057A6"/>
    <w:rPr>
      <w:i/>
    </w:rPr>
  </w:style>
  <w:style w:type="character" w:customStyle="1" w:styleId="HeadingNoNumberBoldItalicChar">
    <w:name w:val="Heading No Number Bold Italic Char"/>
    <w:basedOn w:val="HeadingNoNumberBoldChar"/>
    <w:link w:val="HeadingNoNumberBoldItalic"/>
    <w:rsid w:val="005057A6"/>
    <w:rPr>
      <w:rFonts w:eastAsia="Times New Roman" w:cs="Arial"/>
      <w:b/>
      <w:i/>
      <w:szCs w:val="20"/>
      <w:lang w:val="en-US"/>
    </w:rPr>
  </w:style>
  <w:style w:type="paragraph" w:customStyle="1" w:styleId="BulletSingleSpace">
    <w:name w:val="Bullet Single Space"/>
    <w:basedOn w:val="Normal"/>
    <w:link w:val="BulletSingleSpaceChar"/>
    <w:qFormat/>
    <w:rsid w:val="005057A6"/>
    <w:pPr>
      <w:numPr>
        <w:numId w:val="17"/>
      </w:numPr>
      <w:spacing w:after="120" w:line="240" w:lineRule="auto"/>
      <w:ind w:left="284" w:hanging="284"/>
      <w:jc w:val="both"/>
    </w:pPr>
    <w:rPr>
      <w:rFonts w:ascii="Calibri" w:eastAsia="Times New Roman" w:hAnsi="Calibri" w:cs="Times New Roman"/>
      <w:szCs w:val="20"/>
      <w:lang w:val="en-US"/>
    </w:rPr>
  </w:style>
  <w:style w:type="character" w:customStyle="1" w:styleId="BulletSingleSpaceChar">
    <w:name w:val="Bullet Single Space Char"/>
    <w:basedOn w:val="DefaultParagraphFont"/>
    <w:link w:val="BulletSingleSpace"/>
    <w:rsid w:val="005057A6"/>
    <w:rPr>
      <w:rFonts w:ascii="Calibri" w:eastAsia="Times New Roman" w:hAnsi="Calibri" w:cs="Times New Roman"/>
      <w:szCs w:val="20"/>
      <w:lang w:val="en-US"/>
    </w:rPr>
  </w:style>
  <w:style w:type="paragraph" w:customStyle="1" w:styleId="L2">
    <w:name w:val="L2"/>
    <w:basedOn w:val="Heading2"/>
    <w:next w:val="Normal"/>
    <w:rsid w:val="007A5603"/>
    <w:pPr>
      <w:numPr>
        <w:ilvl w:val="1"/>
        <w:numId w:val="22"/>
      </w:numPr>
      <w:tabs>
        <w:tab w:val="clear" w:pos="1940"/>
        <w:tab w:val="left" w:pos="142"/>
        <w:tab w:val="num" w:pos="1067"/>
      </w:tabs>
      <w:spacing w:before="240" w:after="180" w:line="280" w:lineRule="exact"/>
      <w:ind w:left="1067" w:hanging="567"/>
      <w:outlineLvl w:val="9"/>
    </w:pPr>
    <w:rPr>
      <w:rFonts w:ascii="Arial" w:eastAsia="Times New Roman" w:hAnsi="Arial" w:cs="Times New Roman"/>
      <w:bCs w:val="0"/>
      <w:iCs/>
      <w:kern w:val="24"/>
      <w:szCs w:val="28"/>
    </w:rPr>
  </w:style>
  <w:style w:type="paragraph" w:customStyle="1" w:styleId="NumberedHeading1">
    <w:name w:val="Numbered Heading 1"/>
    <w:basedOn w:val="Normal"/>
    <w:uiPriority w:val="99"/>
    <w:rsid w:val="00842E7C"/>
    <w:pPr>
      <w:numPr>
        <w:numId w:val="25"/>
      </w:numPr>
      <w:spacing w:after="0" w:line="240" w:lineRule="auto"/>
    </w:pPr>
    <w:rPr>
      <w:rFonts w:ascii="Arial" w:eastAsia="Times New Roman" w:hAnsi="Arial" w:cs="Times New Roman"/>
      <w:b/>
      <w:szCs w:val="20"/>
    </w:rPr>
  </w:style>
  <w:style w:type="paragraph" w:customStyle="1" w:styleId="Numberedheading2">
    <w:name w:val="Numbered heading 2"/>
    <w:basedOn w:val="Normal"/>
    <w:uiPriority w:val="99"/>
    <w:rsid w:val="00842E7C"/>
    <w:pPr>
      <w:numPr>
        <w:ilvl w:val="1"/>
        <w:numId w:val="25"/>
      </w:numPr>
      <w:spacing w:before="120" w:after="120" w:line="240" w:lineRule="auto"/>
    </w:pPr>
    <w:rPr>
      <w:rFonts w:ascii="Arial" w:eastAsia="Times New Roman" w:hAnsi="Arial" w:cs="Times New Roman"/>
      <w:b/>
      <w:szCs w:val="20"/>
    </w:rPr>
  </w:style>
  <w:style w:type="paragraph" w:customStyle="1" w:styleId="DotPoint">
    <w:name w:val="Dot Point"/>
    <w:basedOn w:val="Normal"/>
    <w:link w:val="DotPointChar"/>
    <w:qFormat/>
    <w:rsid w:val="0052283F"/>
    <w:pPr>
      <w:keepLines/>
      <w:numPr>
        <w:numId w:val="26"/>
      </w:numPr>
      <w:suppressAutoHyphens/>
      <w:autoSpaceDE w:val="0"/>
      <w:autoSpaceDN w:val="0"/>
      <w:adjustRightInd w:val="0"/>
      <w:spacing w:before="60" w:after="60" w:line="264" w:lineRule="auto"/>
      <w:textAlignment w:val="center"/>
    </w:pPr>
    <w:rPr>
      <w:rFonts w:eastAsia="Times New Roman" w:cstheme="minorHAnsi"/>
      <w:sz w:val="24"/>
      <w:szCs w:val="24"/>
    </w:rPr>
  </w:style>
  <w:style w:type="character" w:customStyle="1" w:styleId="DotPointChar">
    <w:name w:val="Dot Point Char"/>
    <w:basedOn w:val="DefaultParagraphFont"/>
    <w:link w:val="DotPoint"/>
    <w:rsid w:val="0052283F"/>
    <w:rPr>
      <w:rFonts w:eastAsia="Times New Roman" w:cstheme="minorHAnsi"/>
      <w:sz w:val="24"/>
      <w:szCs w:val="24"/>
    </w:rPr>
  </w:style>
  <w:style w:type="character" w:customStyle="1" w:styleId="ya-q-full-text">
    <w:name w:val="ya-q-full-text"/>
    <w:basedOn w:val="DefaultParagraphFont"/>
    <w:rsid w:val="006C582C"/>
  </w:style>
  <w:style w:type="paragraph" w:customStyle="1" w:styleId="Heading1Num">
    <w:name w:val="Heading 1 Num"/>
    <w:basedOn w:val="Heading1"/>
    <w:next w:val="Normal"/>
    <w:qFormat/>
    <w:rsid w:val="006F1EE2"/>
    <w:pPr>
      <w:keepNext/>
      <w:keepLines/>
      <w:pageBreakBefore/>
      <w:numPr>
        <w:numId w:val="29"/>
      </w:numPr>
      <w:pBdr>
        <w:bottom w:val="single" w:sz="2" w:space="4" w:color="FF6600"/>
      </w:pBdr>
      <w:tabs>
        <w:tab w:val="left" w:pos="284"/>
      </w:tabs>
      <w:spacing w:before="120"/>
      <w:ind w:left="-567" w:firstLine="0"/>
      <w:contextualSpacing w:val="0"/>
    </w:pPr>
    <w:rPr>
      <w:rFonts w:ascii="Arial Bold" w:eastAsia="MS Gothic" w:hAnsi="Arial Bold" w:cs="Arial"/>
      <w:caps/>
      <w:color w:val="243C75"/>
      <w:sz w:val="26"/>
      <w:szCs w:val="26"/>
      <w:lang w:val="en-US" w:eastAsia="ja-JP"/>
    </w:rPr>
  </w:style>
  <w:style w:type="paragraph" w:customStyle="1" w:styleId="Heading2Num">
    <w:name w:val="Heading 2 Num"/>
    <w:basedOn w:val="Heading1Num"/>
    <w:next w:val="Normal"/>
    <w:qFormat/>
    <w:rsid w:val="006F1EE2"/>
    <w:pPr>
      <w:pageBreakBefore w:val="0"/>
      <w:numPr>
        <w:ilvl w:val="1"/>
      </w:numPr>
      <w:spacing w:before="0" w:after="120" w:line="360" w:lineRule="auto"/>
      <w:ind w:left="-397" w:firstLine="0"/>
      <w:outlineLvl w:val="1"/>
    </w:pPr>
    <w:rPr>
      <w:caps w:val="0"/>
      <w:smallCaps/>
    </w:rPr>
  </w:style>
  <w:style w:type="character" w:customStyle="1" w:styleId="apple-converted-space">
    <w:name w:val="apple-converted-space"/>
    <w:basedOn w:val="DefaultParagraphFont"/>
    <w:rsid w:val="0095154D"/>
  </w:style>
  <w:style w:type="paragraph" w:customStyle="1" w:styleId="BulletMA1">
    <w:name w:val="Bullet MA 1"/>
    <w:basedOn w:val="Normal"/>
    <w:link w:val="BulletMA1Char"/>
    <w:qFormat/>
    <w:rsid w:val="004B211E"/>
    <w:pPr>
      <w:numPr>
        <w:numId w:val="35"/>
      </w:numPr>
      <w:spacing w:before="60" w:after="60"/>
    </w:pPr>
    <w:rPr>
      <w:rFonts w:ascii="Arial" w:eastAsia="Times New Roman" w:hAnsi="Arial" w:cs="Arial"/>
      <w:sz w:val="24"/>
      <w:lang w:val="en-US" w:eastAsia="ja-JP"/>
    </w:rPr>
  </w:style>
  <w:style w:type="character" w:customStyle="1" w:styleId="BulletMA1Char">
    <w:name w:val="Bullet MA 1 Char"/>
    <w:link w:val="BulletMA1"/>
    <w:rsid w:val="004B211E"/>
    <w:rPr>
      <w:rFonts w:ascii="Arial" w:eastAsia="Times New Roman" w:hAnsi="Arial" w:cs="Arial"/>
      <w:sz w:val="24"/>
      <w:lang w:val="en-US" w:eastAsia="ja-JP"/>
    </w:rPr>
  </w:style>
  <w:style w:type="paragraph" w:customStyle="1" w:styleId="BulletMA2">
    <w:name w:val="Bullet MA 2"/>
    <w:basedOn w:val="BulletMA1"/>
    <w:link w:val="BulletMA2Char"/>
    <w:qFormat/>
    <w:rsid w:val="004B211E"/>
    <w:pPr>
      <w:numPr>
        <w:ilvl w:val="1"/>
      </w:numPr>
      <w:tabs>
        <w:tab w:val="clear" w:pos="3708"/>
        <w:tab w:val="num" w:pos="993"/>
      </w:tabs>
      <w:ind w:left="993" w:hanging="426"/>
    </w:pPr>
  </w:style>
  <w:style w:type="paragraph" w:customStyle="1" w:styleId="QuotationJCB">
    <w:name w:val="QuotationJCB"/>
    <w:basedOn w:val="Quote"/>
    <w:qFormat/>
    <w:rsid w:val="007D65F2"/>
    <w:pPr>
      <w:keepNext/>
      <w:spacing w:before="240" w:after="0"/>
      <w:ind w:left="567" w:right="805"/>
    </w:pPr>
    <w:rPr>
      <w:color w:val="000000" w:themeColor="text1"/>
    </w:rPr>
  </w:style>
  <w:style w:type="paragraph" w:customStyle="1" w:styleId="quopteJCB-source">
    <w:name w:val="quopteJCB-source"/>
    <w:basedOn w:val="QuotationJCB"/>
    <w:qFormat/>
    <w:rsid w:val="00CD44C4"/>
    <w:pPr>
      <w:keepNext w:val="0"/>
      <w:spacing w:after="60"/>
      <w:jc w:val="right"/>
    </w:pPr>
    <w:rPr>
      <w:i w:val="0"/>
      <w:color w:val="auto"/>
    </w:rPr>
  </w:style>
  <w:style w:type="character" w:customStyle="1" w:styleId="BulletMA2Char">
    <w:name w:val="Bullet MA 2 Char"/>
    <w:link w:val="BulletMA2"/>
    <w:rsid w:val="005B09B9"/>
    <w:rPr>
      <w:rFonts w:ascii="Arial" w:eastAsia="Times New Roman" w:hAnsi="Arial" w:cs="Arial"/>
      <w:sz w:val="24"/>
      <w:lang w:val="en-US" w:eastAsia="ja-JP"/>
    </w:rPr>
  </w:style>
  <w:style w:type="paragraph" w:customStyle="1" w:styleId="TableText0">
    <w:name w:val="Table Text"/>
    <w:basedOn w:val="Normal"/>
    <w:link w:val="TableTextChar0"/>
    <w:uiPriority w:val="99"/>
    <w:qFormat/>
    <w:rsid w:val="00FD1666"/>
    <w:pPr>
      <w:spacing w:before="40" w:after="40" w:line="240" w:lineRule="auto"/>
    </w:pPr>
    <w:rPr>
      <w:rFonts w:ascii="Century Gothic" w:eastAsia="Times New Roman" w:hAnsi="Century Gothic" w:cs="Arial"/>
      <w:noProof/>
      <w:sz w:val="18"/>
      <w:szCs w:val="20"/>
      <w:lang w:val="en-US"/>
    </w:rPr>
  </w:style>
  <w:style w:type="character" w:customStyle="1" w:styleId="TableTextChar0">
    <w:name w:val="Table Text Char"/>
    <w:basedOn w:val="DefaultParagraphFont"/>
    <w:link w:val="TableText0"/>
    <w:uiPriority w:val="99"/>
    <w:locked/>
    <w:rsid w:val="00FD1666"/>
    <w:rPr>
      <w:rFonts w:ascii="Century Gothic" w:eastAsia="Times New Roman" w:hAnsi="Century Gothic" w:cs="Arial"/>
      <w:noProof/>
      <w:sz w:val="18"/>
      <w:szCs w:val="20"/>
      <w:lang w:val="en-US"/>
    </w:rPr>
  </w:style>
  <w:style w:type="table" w:customStyle="1" w:styleId="TableGrid1">
    <w:name w:val="Table Grid1"/>
    <w:basedOn w:val="TableNormal"/>
    <w:next w:val="TableGrid"/>
    <w:uiPriority w:val="59"/>
    <w:rsid w:val="00D40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PSAccessibilitytable">
    <w:name w:val="APS Accessibility table"/>
    <w:basedOn w:val="TableNormal"/>
    <w:uiPriority w:val="99"/>
    <w:rsid w:val="00086E6F"/>
    <w:pPr>
      <w:spacing w:after="0" w:line="240" w:lineRule="auto"/>
      <w:jc w:val="center"/>
    </w:pPr>
    <w:rPr>
      <w:rFonts w:eastAsiaTheme="minorHAnsi"/>
    </w:rPr>
    <w:tblPr>
      <w:tblStyleRowBandSize w:val="1"/>
    </w:tblPr>
    <w:tcPr>
      <w:vAlign w:val="bottom"/>
    </w:tcPr>
    <w:tblStylePr w:type="firstRow">
      <w:pPr>
        <w:jc w:val="center"/>
      </w:pPr>
      <w:rPr>
        <w:b/>
      </w:rPr>
      <w:tblPr/>
      <w:tcPr>
        <w:shd w:val="clear" w:color="auto" w:fill="1E3D6B"/>
        <w:vAlign w:val="center"/>
      </w:tcPr>
    </w:tblStylePr>
    <w:tblStylePr w:type="firstCol">
      <w:pPr>
        <w:jc w:val="left"/>
      </w:pPr>
      <w:tblPr/>
      <w:tcPr>
        <w:vAlign w:val="center"/>
      </w:tcPr>
    </w:tblStylePr>
    <w:tblStylePr w:type="band2Horz">
      <w:tblPr/>
      <w:tcPr>
        <w:shd w:val="clear" w:color="auto" w:fill="787878" w:themeFill="background1" w:themeFillShade="F2"/>
      </w:tcPr>
    </w:tblStylePr>
  </w:style>
  <w:style w:type="numbering" w:customStyle="1" w:styleId="Style3">
    <w:name w:val="Style3"/>
    <w:uiPriority w:val="99"/>
    <w:rsid w:val="0020303A"/>
    <w:pPr>
      <w:numPr>
        <w:numId w:val="75"/>
      </w:numPr>
    </w:pPr>
  </w:style>
  <w:style w:type="paragraph" w:customStyle="1" w:styleId="Bullets1">
    <w:name w:val="Bullets 1"/>
    <w:basedOn w:val="Normal"/>
    <w:qFormat/>
    <w:rsid w:val="00B33F81"/>
    <w:pPr>
      <w:numPr>
        <w:numId w:val="103"/>
      </w:numPr>
      <w:spacing w:before="120" w:after="120" w:line="300" w:lineRule="auto"/>
    </w:pPr>
    <w:rPr>
      <w:rFonts w:ascii="Arial" w:eastAsia="Times New Roman" w:hAnsi="Arial" w:cs="Times New Roman"/>
      <w:sz w:val="20"/>
      <w:szCs w:val="20"/>
    </w:rPr>
  </w:style>
  <w:style w:type="paragraph" w:customStyle="1" w:styleId="Bullets2">
    <w:name w:val="Bullets 2"/>
    <w:basedOn w:val="Normal"/>
    <w:autoRedefine/>
    <w:qFormat/>
    <w:rsid w:val="00B33F81"/>
    <w:pPr>
      <w:numPr>
        <w:ilvl w:val="1"/>
        <w:numId w:val="103"/>
      </w:numPr>
      <w:spacing w:before="120" w:after="120" w:line="300" w:lineRule="auto"/>
      <w:jc w:val="both"/>
    </w:pPr>
    <w:rPr>
      <w:rFonts w:ascii="Arial" w:eastAsia="Times New Roman" w:hAnsi="Arial" w:cs="Times New Roman"/>
      <w:sz w:val="20"/>
      <w:szCs w:val="20"/>
    </w:rPr>
  </w:style>
  <w:style w:type="paragraph" w:customStyle="1" w:styleId="Bullets3">
    <w:name w:val="Bullets 3"/>
    <w:basedOn w:val="Normal"/>
    <w:qFormat/>
    <w:rsid w:val="00B33F81"/>
    <w:pPr>
      <w:numPr>
        <w:ilvl w:val="2"/>
        <w:numId w:val="103"/>
      </w:numPr>
      <w:spacing w:before="120" w:after="120" w:line="300" w:lineRule="auto"/>
      <w:jc w:val="both"/>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4106">
      <w:bodyDiv w:val="1"/>
      <w:marLeft w:val="0"/>
      <w:marRight w:val="0"/>
      <w:marTop w:val="0"/>
      <w:marBottom w:val="0"/>
      <w:divBdr>
        <w:top w:val="none" w:sz="0" w:space="0" w:color="auto"/>
        <w:left w:val="none" w:sz="0" w:space="0" w:color="auto"/>
        <w:bottom w:val="none" w:sz="0" w:space="0" w:color="auto"/>
        <w:right w:val="none" w:sz="0" w:space="0" w:color="auto"/>
      </w:divBdr>
    </w:div>
    <w:div w:id="18943670">
      <w:bodyDiv w:val="1"/>
      <w:marLeft w:val="0"/>
      <w:marRight w:val="0"/>
      <w:marTop w:val="0"/>
      <w:marBottom w:val="0"/>
      <w:divBdr>
        <w:top w:val="none" w:sz="0" w:space="0" w:color="auto"/>
        <w:left w:val="none" w:sz="0" w:space="0" w:color="auto"/>
        <w:bottom w:val="none" w:sz="0" w:space="0" w:color="auto"/>
        <w:right w:val="none" w:sz="0" w:space="0" w:color="auto"/>
      </w:divBdr>
    </w:div>
    <w:div w:id="29502859">
      <w:bodyDiv w:val="1"/>
      <w:marLeft w:val="0"/>
      <w:marRight w:val="0"/>
      <w:marTop w:val="0"/>
      <w:marBottom w:val="0"/>
      <w:divBdr>
        <w:top w:val="none" w:sz="0" w:space="0" w:color="auto"/>
        <w:left w:val="none" w:sz="0" w:space="0" w:color="auto"/>
        <w:bottom w:val="none" w:sz="0" w:space="0" w:color="auto"/>
        <w:right w:val="none" w:sz="0" w:space="0" w:color="auto"/>
      </w:divBdr>
    </w:div>
    <w:div w:id="44524414">
      <w:bodyDiv w:val="1"/>
      <w:marLeft w:val="0"/>
      <w:marRight w:val="0"/>
      <w:marTop w:val="0"/>
      <w:marBottom w:val="0"/>
      <w:divBdr>
        <w:top w:val="none" w:sz="0" w:space="0" w:color="auto"/>
        <w:left w:val="none" w:sz="0" w:space="0" w:color="auto"/>
        <w:bottom w:val="none" w:sz="0" w:space="0" w:color="auto"/>
        <w:right w:val="none" w:sz="0" w:space="0" w:color="auto"/>
      </w:divBdr>
    </w:div>
    <w:div w:id="48774901">
      <w:bodyDiv w:val="1"/>
      <w:marLeft w:val="0"/>
      <w:marRight w:val="0"/>
      <w:marTop w:val="0"/>
      <w:marBottom w:val="0"/>
      <w:divBdr>
        <w:top w:val="none" w:sz="0" w:space="0" w:color="auto"/>
        <w:left w:val="none" w:sz="0" w:space="0" w:color="auto"/>
        <w:bottom w:val="none" w:sz="0" w:space="0" w:color="auto"/>
        <w:right w:val="none" w:sz="0" w:space="0" w:color="auto"/>
      </w:divBdr>
    </w:div>
    <w:div w:id="61609589">
      <w:bodyDiv w:val="1"/>
      <w:marLeft w:val="0"/>
      <w:marRight w:val="0"/>
      <w:marTop w:val="0"/>
      <w:marBottom w:val="0"/>
      <w:divBdr>
        <w:top w:val="none" w:sz="0" w:space="0" w:color="auto"/>
        <w:left w:val="none" w:sz="0" w:space="0" w:color="auto"/>
        <w:bottom w:val="none" w:sz="0" w:space="0" w:color="auto"/>
        <w:right w:val="none" w:sz="0" w:space="0" w:color="auto"/>
      </w:divBdr>
    </w:div>
    <w:div w:id="90394481">
      <w:bodyDiv w:val="1"/>
      <w:marLeft w:val="0"/>
      <w:marRight w:val="0"/>
      <w:marTop w:val="0"/>
      <w:marBottom w:val="0"/>
      <w:divBdr>
        <w:top w:val="none" w:sz="0" w:space="0" w:color="auto"/>
        <w:left w:val="none" w:sz="0" w:space="0" w:color="auto"/>
        <w:bottom w:val="none" w:sz="0" w:space="0" w:color="auto"/>
        <w:right w:val="none" w:sz="0" w:space="0" w:color="auto"/>
      </w:divBdr>
    </w:div>
    <w:div w:id="132918390">
      <w:bodyDiv w:val="1"/>
      <w:marLeft w:val="120"/>
      <w:marRight w:val="120"/>
      <w:marTop w:val="0"/>
      <w:marBottom w:val="0"/>
      <w:divBdr>
        <w:top w:val="none" w:sz="0" w:space="0" w:color="auto"/>
        <w:left w:val="none" w:sz="0" w:space="0" w:color="auto"/>
        <w:bottom w:val="none" w:sz="0" w:space="0" w:color="auto"/>
        <w:right w:val="none" w:sz="0" w:space="0" w:color="auto"/>
      </w:divBdr>
    </w:div>
    <w:div w:id="158275625">
      <w:bodyDiv w:val="1"/>
      <w:marLeft w:val="0"/>
      <w:marRight w:val="0"/>
      <w:marTop w:val="0"/>
      <w:marBottom w:val="0"/>
      <w:divBdr>
        <w:top w:val="none" w:sz="0" w:space="0" w:color="auto"/>
        <w:left w:val="none" w:sz="0" w:space="0" w:color="auto"/>
        <w:bottom w:val="none" w:sz="0" w:space="0" w:color="auto"/>
        <w:right w:val="none" w:sz="0" w:space="0" w:color="auto"/>
      </w:divBdr>
    </w:div>
    <w:div w:id="161773745">
      <w:bodyDiv w:val="1"/>
      <w:marLeft w:val="0"/>
      <w:marRight w:val="0"/>
      <w:marTop w:val="0"/>
      <w:marBottom w:val="0"/>
      <w:divBdr>
        <w:top w:val="none" w:sz="0" w:space="0" w:color="auto"/>
        <w:left w:val="none" w:sz="0" w:space="0" w:color="auto"/>
        <w:bottom w:val="none" w:sz="0" w:space="0" w:color="auto"/>
        <w:right w:val="none" w:sz="0" w:space="0" w:color="auto"/>
      </w:divBdr>
    </w:div>
    <w:div w:id="169567493">
      <w:bodyDiv w:val="1"/>
      <w:marLeft w:val="0"/>
      <w:marRight w:val="0"/>
      <w:marTop w:val="0"/>
      <w:marBottom w:val="0"/>
      <w:divBdr>
        <w:top w:val="none" w:sz="0" w:space="0" w:color="auto"/>
        <w:left w:val="none" w:sz="0" w:space="0" w:color="auto"/>
        <w:bottom w:val="none" w:sz="0" w:space="0" w:color="auto"/>
        <w:right w:val="none" w:sz="0" w:space="0" w:color="auto"/>
      </w:divBdr>
    </w:div>
    <w:div w:id="178546020">
      <w:bodyDiv w:val="1"/>
      <w:marLeft w:val="0"/>
      <w:marRight w:val="0"/>
      <w:marTop w:val="0"/>
      <w:marBottom w:val="0"/>
      <w:divBdr>
        <w:top w:val="none" w:sz="0" w:space="0" w:color="auto"/>
        <w:left w:val="none" w:sz="0" w:space="0" w:color="auto"/>
        <w:bottom w:val="none" w:sz="0" w:space="0" w:color="auto"/>
        <w:right w:val="none" w:sz="0" w:space="0" w:color="auto"/>
      </w:divBdr>
    </w:div>
    <w:div w:id="178547731">
      <w:bodyDiv w:val="1"/>
      <w:marLeft w:val="0"/>
      <w:marRight w:val="0"/>
      <w:marTop w:val="0"/>
      <w:marBottom w:val="0"/>
      <w:divBdr>
        <w:top w:val="none" w:sz="0" w:space="0" w:color="auto"/>
        <w:left w:val="none" w:sz="0" w:space="0" w:color="auto"/>
        <w:bottom w:val="none" w:sz="0" w:space="0" w:color="auto"/>
        <w:right w:val="none" w:sz="0" w:space="0" w:color="auto"/>
      </w:divBdr>
    </w:div>
    <w:div w:id="184365507">
      <w:bodyDiv w:val="1"/>
      <w:marLeft w:val="0"/>
      <w:marRight w:val="0"/>
      <w:marTop w:val="0"/>
      <w:marBottom w:val="0"/>
      <w:divBdr>
        <w:top w:val="none" w:sz="0" w:space="0" w:color="auto"/>
        <w:left w:val="none" w:sz="0" w:space="0" w:color="auto"/>
        <w:bottom w:val="none" w:sz="0" w:space="0" w:color="auto"/>
        <w:right w:val="none" w:sz="0" w:space="0" w:color="auto"/>
      </w:divBdr>
    </w:div>
    <w:div w:id="194462312">
      <w:bodyDiv w:val="1"/>
      <w:marLeft w:val="0"/>
      <w:marRight w:val="0"/>
      <w:marTop w:val="0"/>
      <w:marBottom w:val="0"/>
      <w:divBdr>
        <w:top w:val="none" w:sz="0" w:space="0" w:color="auto"/>
        <w:left w:val="none" w:sz="0" w:space="0" w:color="auto"/>
        <w:bottom w:val="none" w:sz="0" w:space="0" w:color="auto"/>
        <w:right w:val="none" w:sz="0" w:space="0" w:color="auto"/>
      </w:divBdr>
    </w:div>
    <w:div w:id="221599018">
      <w:bodyDiv w:val="1"/>
      <w:marLeft w:val="0"/>
      <w:marRight w:val="0"/>
      <w:marTop w:val="0"/>
      <w:marBottom w:val="0"/>
      <w:divBdr>
        <w:top w:val="none" w:sz="0" w:space="0" w:color="auto"/>
        <w:left w:val="none" w:sz="0" w:space="0" w:color="auto"/>
        <w:bottom w:val="none" w:sz="0" w:space="0" w:color="auto"/>
        <w:right w:val="none" w:sz="0" w:space="0" w:color="auto"/>
      </w:divBdr>
    </w:div>
    <w:div w:id="224873720">
      <w:bodyDiv w:val="1"/>
      <w:marLeft w:val="0"/>
      <w:marRight w:val="0"/>
      <w:marTop w:val="0"/>
      <w:marBottom w:val="0"/>
      <w:divBdr>
        <w:top w:val="none" w:sz="0" w:space="0" w:color="auto"/>
        <w:left w:val="none" w:sz="0" w:space="0" w:color="auto"/>
        <w:bottom w:val="none" w:sz="0" w:space="0" w:color="auto"/>
        <w:right w:val="none" w:sz="0" w:space="0" w:color="auto"/>
      </w:divBdr>
    </w:div>
    <w:div w:id="239873615">
      <w:bodyDiv w:val="1"/>
      <w:marLeft w:val="0"/>
      <w:marRight w:val="0"/>
      <w:marTop w:val="0"/>
      <w:marBottom w:val="0"/>
      <w:divBdr>
        <w:top w:val="none" w:sz="0" w:space="0" w:color="auto"/>
        <w:left w:val="none" w:sz="0" w:space="0" w:color="auto"/>
        <w:bottom w:val="none" w:sz="0" w:space="0" w:color="auto"/>
        <w:right w:val="none" w:sz="0" w:space="0" w:color="auto"/>
      </w:divBdr>
    </w:div>
    <w:div w:id="252203661">
      <w:bodyDiv w:val="1"/>
      <w:marLeft w:val="0"/>
      <w:marRight w:val="0"/>
      <w:marTop w:val="0"/>
      <w:marBottom w:val="0"/>
      <w:divBdr>
        <w:top w:val="none" w:sz="0" w:space="0" w:color="auto"/>
        <w:left w:val="none" w:sz="0" w:space="0" w:color="auto"/>
        <w:bottom w:val="none" w:sz="0" w:space="0" w:color="auto"/>
        <w:right w:val="none" w:sz="0" w:space="0" w:color="auto"/>
      </w:divBdr>
    </w:div>
    <w:div w:id="257832491">
      <w:bodyDiv w:val="1"/>
      <w:marLeft w:val="0"/>
      <w:marRight w:val="0"/>
      <w:marTop w:val="0"/>
      <w:marBottom w:val="0"/>
      <w:divBdr>
        <w:top w:val="none" w:sz="0" w:space="0" w:color="auto"/>
        <w:left w:val="none" w:sz="0" w:space="0" w:color="auto"/>
        <w:bottom w:val="none" w:sz="0" w:space="0" w:color="auto"/>
        <w:right w:val="none" w:sz="0" w:space="0" w:color="auto"/>
      </w:divBdr>
    </w:div>
    <w:div w:id="260377900">
      <w:bodyDiv w:val="1"/>
      <w:marLeft w:val="0"/>
      <w:marRight w:val="0"/>
      <w:marTop w:val="0"/>
      <w:marBottom w:val="0"/>
      <w:divBdr>
        <w:top w:val="none" w:sz="0" w:space="0" w:color="auto"/>
        <w:left w:val="none" w:sz="0" w:space="0" w:color="auto"/>
        <w:bottom w:val="none" w:sz="0" w:space="0" w:color="auto"/>
        <w:right w:val="none" w:sz="0" w:space="0" w:color="auto"/>
      </w:divBdr>
    </w:div>
    <w:div w:id="267396385">
      <w:bodyDiv w:val="1"/>
      <w:marLeft w:val="0"/>
      <w:marRight w:val="0"/>
      <w:marTop w:val="0"/>
      <w:marBottom w:val="0"/>
      <w:divBdr>
        <w:top w:val="none" w:sz="0" w:space="0" w:color="auto"/>
        <w:left w:val="none" w:sz="0" w:space="0" w:color="auto"/>
        <w:bottom w:val="none" w:sz="0" w:space="0" w:color="auto"/>
        <w:right w:val="none" w:sz="0" w:space="0" w:color="auto"/>
      </w:divBdr>
    </w:div>
    <w:div w:id="269246153">
      <w:bodyDiv w:val="1"/>
      <w:marLeft w:val="0"/>
      <w:marRight w:val="0"/>
      <w:marTop w:val="0"/>
      <w:marBottom w:val="0"/>
      <w:divBdr>
        <w:top w:val="none" w:sz="0" w:space="0" w:color="auto"/>
        <w:left w:val="none" w:sz="0" w:space="0" w:color="auto"/>
        <w:bottom w:val="none" w:sz="0" w:space="0" w:color="auto"/>
        <w:right w:val="none" w:sz="0" w:space="0" w:color="auto"/>
      </w:divBdr>
    </w:div>
    <w:div w:id="297149450">
      <w:bodyDiv w:val="1"/>
      <w:marLeft w:val="120"/>
      <w:marRight w:val="120"/>
      <w:marTop w:val="0"/>
      <w:marBottom w:val="0"/>
      <w:divBdr>
        <w:top w:val="none" w:sz="0" w:space="0" w:color="auto"/>
        <w:left w:val="none" w:sz="0" w:space="0" w:color="auto"/>
        <w:bottom w:val="none" w:sz="0" w:space="0" w:color="auto"/>
        <w:right w:val="none" w:sz="0" w:space="0" w:color="auto"/>
      </w:divBdr>
    </w:div>
    <w:div w:id="313678402">
      <w:bodyDiv w:val="1"/>
      <w:marLeft w:val="0"/>
      <w:marRight w:val="0"/>
      <w:marTop w:val="0"/>
      <w:marBottom w:val="0"/>
      <w:divBdr>
        <w:top w:val="none" w:sz="0" w:space="0" w:color="auto"/>
        <w:left w:val="none" w:sz="0" w:space="0" w:color="auto"/>
        <w:bottom w:val="none" w:sz="0" w:space="0" w:color="auto"/>
        <w:right w:val="none" w:sz="0" w:space="0" w:color="auto"/>
      </w:divBdr>
    </w:div>
    <w:div w:id="314183795">
      <w:bodyDiv w:val="1"/>
      <w:marLeft w:val="0"/>
      <w:marRight w:val="0"/>
      <w:marTop w:val="0"/>
      <w:marBottom w:val="0"/>
      <w:divBdr>
        <w:top w:val="none" w:sz="0" w:space="0" w:color="auto"/>
        <w:left w:val="none" w:sz="0" w:space="0" w:color="auto"/>
        <w:bottom w:val="none" w:sz="0" w:space="0" w:color="auto"/>
        <w:right w:val="none" w:sz="0" w:space="0" w:color="auto"/>
      </w:divBdr>
    </w:div>
    <w:div w:id="316957480">
      <w:bodyDiv w:val="1"/>
      <w:marLeft w:val="0"/>
      <w:marRight w:val="0"/>
      <w:marTop w:val="0"/>
      <w:marBottom w:val="0"/>
      <w:divBdr>
        <w:top w:val="none" w:sz="0" w:space="0" w:color="auto"/>
        <w:left w:val="none" w:sz="0" w:space="0" w:color="auto"/>
        <w:bottom w:val="none" w:sz="0" w:space="0" w:color="auto"/>
        <w:right w:val="none" w:sz="0" w:space="0" w:color="auto"/>
      </w:divBdr>
    </w:div>
    <w:div w:id="323360858">
      <w:bodyDiv w:val="1"/>
      <w:marLeft w:val="0"/>
      <w:marRight w:val="0"/>
      <w:marTop w:val="0"/>
      <w:marBottom w:val="0"/>
      <w:divBdr>
        <w:top w:val="none" w:sz="0" w:space="0" w:color="auto"/>
        <w:left w:val="none" w:sz="0" w:space="0" w:color="auto"/>
        <w:bottom w:val="none" w:sz="0" w:space="0" w:color="auto"/>
        <w:right w:val="none" w:sz="0" w:space="0" w:color="auto"/>
      </w:divBdr>
    </w:div>
    <w:div w:id="328796950">
      <w:bodyDiv w:val="1"/>
      <w:marLeft w:val="0"/>
      <w:marRight w:val="0"/>
      <w:marTop w:val="0"/>
      <w:marBottom w:val="0"/>
      <w:divBdr>
        <w:top w:val="none" w:sz="0" w:space="0" w:color="auto"/>
        <w:left w:val="none" w:sz="0" w:space="0" w:color="auto"/>
        <w:bottom w:val="none" w:sz="0" w:space="0" w:color="auto"/>
        <w:right w:val="none" w:sz="0" w:space="0" w:color="auto"/>
      </w:divBdr>
    </w:div>
    <w:div w:id="328872203">
      <w:bodyDiv w:val="1"/>
      <w:marLeft w:val="120"/>
      <w:marRight w:val="120"/>
      <w:marTop w:val="0"/>
      <w:marBottom w:val="0"/>
      <w:divBdr>
        <w:top w:val="none" w:sz="0" w:space="0" w:color="auto"/>
        <w:left w:val="none" w:sz="0" w:space="0" w:color="auto"/>
        <w:bottom w:val="none" w:sz="0" w:space="0" w:color="auto"/>
        <w:right w:val="none" w:sz="0" w:space="0" w:color="auto"/>
      </w:divBdr>
    </w:div>
    <w:div w:id="331488619">
      <w:bodyDiv w:val="1"/>
      <w:marLeft w:val="0"/>
      <w:marRight w:val="0"/>
      <w:marTop w:val="0"/>
      <w:marBottom w:val="0"/>
      <w:divBdr>
        <w:top w:val="none" w:sz="0" w:space="0" w:color="auto"/>
        <w:left w:val="none" w:sz="0" w:space="0" w:color="auto"/>
        <w:bottom w:val="none" w:sz="0" w:space="0" w:color="auto"/>
        <w:right w:val="none" w:sz="0" w:space="0" w:color="auto"/>
      </w:divBdr>
    </w:div>
    <w:div w:id="336881551">
      <w:bodyDiv w:val="1"/>
      <w:marLeft w:val="0"/>
      <w:marRight w:val="0"/>
      <w:marTop w:val="0"/>
      <w:marBottom w:val="0"/>
      <w:divBdr>
        <w:top w:val="none" w:sz="0" w:space="0" w:color="auto"/>
        <w:left w:val="none" w:sz="0" w:space="0" w:color="auto"/>
        <w:bottom w:val="none" w:sz="0" w:space="0" w:color="auto"/>
        <w:right w:val="none" w:sz="0" w:space="0" w:color="auto"/>
      </w:divBdr>
    </w:div>
    <w:div w:id="338701500">
      <w:bodyDiv w:val="1"/>
      <w:marLeft w:val="0"/>
      <w:marRight w:val="0"/>
      <w:marTop w:val="0"/>
      <w:marBottom w:val="0"/>
      <w:divBdr>
        <w:top w:val="none" w:sz="0" w:space="0" w:color="auto"/>
        <w:left w:val="none" w:sz="0" w:space="0" w:color="auto"/>
        <w:bottom w:val="none" w:sz="0" w:space="0" w:color="auto"/>
        <w:right w:val="none" w:sz="0" w:space="0" w:color="auto"/>
      </w:divBdr>
    </w:div>
    <w:div w:id="349449579">
      <w:bodyDiv w:val="1"/>
      <w:marLeft w:val="0"/>
      <w:marRight w:val="0"/>
      <w:marTop w:val="0"/>
      <w:marBottom w:val="0"/>
      <w:divBdr>
        <w:top w:val="none" w:sz="0" w:space="0" w:color="auto"/>
        <w:left w:val="none" w:sz="0" w:space="0" w:color="auto"/>
        <w:bottom w:val="none" w:sz="0" w:space="0" w:color="auto"/>
        <w:right w:val="none" w:sz="0" w:space="0" w:color="auto"/>
      </w:divBdr>
    </w:div>
    <w:div w:id="361128279">
      <w:bodyDiv w:val="1"/>
      <w:marLeft w:val="0"/>
      <w:marRight w:val="0"/>
      <w:marTop w:val="0"/>
      <w:marBottom w:val="0"/>
      <w:divBdr>
        <w:top w:val="none" w:sz="0" w:space="0" w:color="auto"/>
        <w:left w:val="none" w:sz="0" w:space="0" w:color="auto"/>
        <w:bottom w:val="none" w:sz="0" w:space="0" w:color="auto"/>
        <w:right w:val="none" w:sz="0" w:space="0" w:color="auto"/>
      </w:divBdr>
    </w:div>
    <w:div w:id="363210738">
      <w:bodyDiv w:val="1"/>
      <w:marLeft w:val="0"/>
      <w:marRight w:val="0"/>
      <w:marTop w:val="0"/>
      <w:marBottom w:val="0"/>
      <w:divBdr>
        <w:top w:val="none" w:sz="0" w:space="0" w:color="auto"/>
        <w:left w:val="none" w:sz="0" w:space="0" w:color="auto"/>
        <w:bottom w:val="none" w:sz="0" w:space="0" w:color="auto"/>
        <w:right w:val="none" w:sz="0" w:space="0" w:color="auto"/>
      </w:divBdr>
    </w:div>
    <w:div w:id="371348786">
      <w:bodyDiv w:val="1"/>
      <w:marLeft w:val="0"/>
      <w:marRight w:val="0"/>
      <w:marTop w:val="0"/>
      <w:marBottom w:val="0"/>
      <w:divBdr>
        <w:top w:val="none" w:sz="0" w:space="0" w:color="auto"/>
        <w:left w:val="none" w:sz="0" w:space="0" w:color="auto"/>
        <w:bottom w:val="none" w:sz="0" w:space="0" w:color="auto"/>
        <w:right w:val="none" w:sz="0" w:space="0" w:color="auto"/>
      </w:divBdr>
    </w:div>
    <w:div w:id="381753950">
      <w:bodyDiv w:val="1"/>
      <w:marLeft w:val="0"/>
      <w:marRight w:val="0"/>
      <w:marTop w:val="0"/>
      <w:marBottom w:val="0"/>
      <w:divBdr>
        <w:top w:val="none" w:sz="0" w:space="0" w:color="auto"/>
        <w:left w:val="none" w:sz="0" w:space="0" w:color="auto"/>
        <w:bottom w:val="none" w:sz="0" w:space="0" w:color="auto"/>
        <w:right w:val="none" w:sz="0" w:space="0" w:color="auto"/>
      </w:divBdr>
    </w:div>
    <w:div w:id="382412803">
      <w:bodyDiv w:val="1"/>
      <w:marLeft w:val="0"/>
      <w:marRight w:val="0"/>
      <w:marTop w:val="0"/>
      <w:marBottom w:val="0"/>
      <w:divBdr>
        <w:top w:val="none" w:sz="0" w:space="0" w:color="auto"/>
        <w:left w:val="none" w:sz="0" w:space="0" w:color="auto"/>
        <w:bottom w:val="none" w:sz="0" w:space="0" w:color="auto"/>
        <w:right w:val="none" w:sz="0" w:space="0" w:color="auto"/>
      </w:divBdr>
    </w:div>
    <w:div w:id="387648776">
      <w:bodyDiv w:val="1"/>
      <w:marLeft w:val="0"/>
      <w:marRight w:val="0"/>
      <w:marTop w:val="0"/>
      <w:marBottom w:val="0"/>
      <w:divBdr>
        <w:top w:val="none" w:sz="0" w:space="0" w:color="auto"/>
        <w:left w:val="none" w:sz="0" w:space="0" w:color="auto"/>
        <w:bottom w:val="none" w:sz="0" w:space="0" w:color="auto"/>
        <w:right w:val="none" w:sz="0" w:space="0" w:color="auto"/>
      </w:divBdr>
    </w:div>
    <w:div w:id="390809747">
      <w:bodyDiv w:val="1"/>
      <w:marLeft w:val="0"/>
      <w:marRight w:val="0"/>
      <w:marTop w:val="0"/>
      <w:marBottom w:val="0"/>
      <w:divBdr>
        <w:top w:val="none" w:sz="0" w:space="0" w:color="auto"/>
        <w:left w:val="none" w:sz="0" w:space="0" w:color="auto"/>
        <w:bottom w:val="none" w:sz="0" w:space="0" w:color="auto"/>
        <w:right w:val="none" w:sz="0" w:space="0" w:color="auto"/>
      </w:divBdr>
    </w:div>
    <w:div w:id="401368944">
      <w:bodyDiv w:val="1"/>
      <w:marLeft w:val="0"/>
      <w:marRight w:val="0"/>
      <w:marTop w:val="0"/>
      <w:marBottom w:val="0"/>
      <w:divBdr>
        <w:top w:val="none" w:sz="0" w:space="0" w:color="auto"/>
        <w:left w:val="none" w:sz="0" w:space="0" w:color="auto"/>
        <w:bottom w:val="none" w:sz="0" w:space="0" w:color="auto"/>
        <w:right w:val="none" w:sz="0" w:space="0" w:color="auto"/>
      </w:divBdr>
    </w:div>
    <w:div w:id="404765040">
      <w:bodyDiv w:val="1"/>
      <w:marLeft w:val="0"/>
      <w:marRight w:val="0"/>
      <w:marTop w:val="0"/>
      <w:marBottom w:val="0"/>
      <w:divBdr>
        <w:top w:val="none" w:sz="0" w:space="0" w:color="auto"/>
        <w:left w:val="none" w:sz="0" w:space="0" w:color="auto"/>
        <w:bottom w:val="none" w:sz="0" w:space="0" w:color="auto"/>
        <w:right w:val="none" w:sz="0" w:space="0" w:color="auto"/>
      </w:divBdr>
    </w:div>
    <w:div w:id="416053543">
      <w:bodyDiv w:val="1"/>
      <w:marLeft w:val="120"/>
      <w:marRight w:val="120"/>
      <w:marTop w:val="0"/>
      <w:marBottom w:val="0"/>
      <w:divBdr>
        <w:top w:val="none" w:sz="0" w:space="0" w:color="auto"/>
        <w:left w:val="none" w:sz="0" w:space="0" w:color="auto"/>
        <w:bottom w:val="none" w:sz="0" w:space="0" w:color="auto"/>
        <w:right w:val="none" w:sz="0" w:space="0" w:color="auto"/>
      </w:divBdr>
    </w:div>
    <w:div w:id="444741223">
      <w:bodyDiv w:val="1"/>
      <w:marLeft w:val="120"/>
      <w:marRight w:val="120"/>
      <w:marTop w:val="0"/>
      <w:marBottom w:val="0"/>
      <w:divBdr>
        <w:top w:val="none" w:sz="0" w:space="0" w:color="auto"/>
        <w:left w:val="none" w:sz="0" w:space="0" w:color="auto"/>
        <w:bottom w:val="none" w:sz="0" w:space="0" w:color="auto"/>
        <w:right w:val="none" w:sz="0" w:space="0" w:color="auto"/>
      </w:divBdr>
    </w:div>
    <w:div w:id="472140510">
      <w:bodyDiv w:val="1"/>
      <w:marLeft w:val="0"/>
      <w:marRight w:val="0"/>
      <w:marTop w:val="0"/>
      <w:marBottom w:val="0"/>
      <w:divBdr>
        <w:top w:val="none" w:sz="0" w:space="0" w:color="auto"/>
        <w:left w:val="none" w:sz="0" w:space="0" w:color="auto"/>
        <w:bottom w:val="none" w:sz="0" w:space="0" w:color="auto"/>
        <w:right w:val="none" w:sz="0" w:space="0" w:color="auto"/>
      </w:divBdr>
    </w:div>
    <w:div w:id="477839147">
      <w:bodyDiv w:val="1"/>
      <w:marLeft w:val="0"/>
      <w:marRight w:val="0"/>
      <w:marTop w:val="0"/>
      <w:marBottom w:val="0"/>
      <w:divBdr>
        <w:top w:val="none" w:sz="0" w:space="0" w:color="auto"/>
        <w:left w:val="none" w:sz="0" w:space="0" w:color="auto"/>
        <w:bottom w:val="none" w:sz="0" w:space="0" w:color="auto"/>
        <w:right w:val="none" w:sz="0" w:space="0" w:color="auto"/>
      </w:divBdr>
    </w:div>
    <w:div w:id="483668043">
      <w:bodyDiv w:val="1"/>
      <w:marLeft w:val="0"/>
      <w:marRight w:val="0"/>
      <w:marTop w:val="0"/>
      <w:marBottom w:val="0"/>
      <w:divBdr>
        <w:top w:val="none" w:sz="0" w:space="0" w:color="auto"/>
        <w:left w:val="none" w:sz="0" w:space="0" w:color="auto"/>
        <w:bottom w:val="none" w:sz="0" w:space="0" w:color="auto"/>
        <w:right w:val="none" w:sz="0" w:space="0" w:color="auto"/>
      </w:divBdr>
    </w:div>
    <w:div w:id="507214202">
      <w:bodyDiv w:val="1"/>
      <w:marLeft w:val="0"/>
      <w:marRight w:val="0"/>
      <w:marTop w:val="0"/>
      <w:marBottom w:val="0"/>
      <w:divBdr>
        <w:top w:val="none" w:sz="0" w:space="0" w:color="auto"/>
        <w:left w:val="none" w:sz="0" w:space="0" w:color="auto"/>
        <w:bottom w:val="none" w:sz="0" w:space="0" w:color="auto"/>
        <w:right w:val="none" w:sz="0" w:space="0" w:color="auto"/>
      </w:divBdr>
    </w:div>
    <w:div w:id="508956442">
      <w:bodyDiv w:val="1"/>
      <w:marLeft w:val="0"/>
      <w:marRight w:val="0"/>
      <w:marTop w:val="0"/>
      <w:marBottom w:val="0"/>
      <w:divBdr>
        <w:top w:val="none" w:sz="0" w:space="0" w:color="auto"/>
        <w:left w:val="none" w:sz="0" w:space="0" w:color="auto"/>
        <w:bottom w:val="none" w:sz="0" w:space="0" w:color="auto"/>
        <w:right w:val="none" w:sz="0" w:space="0" w:color="auto"/>
      </w:divBdr>
    </w:div>
    <w:div w:id="524096368">
      <w:bodyDiv w:val="1"/>
      <w:marLeft w:val="0"/>
      <w:marRight w:val="0"/>
      <w:marTop w:val="0"/>
      <w:marBottom w:val="0"/>
      <w:divBdr>
        <w:top w:val="none" w:sz="0" w:space="0" w:color="auto"/>
        <w:left w:val="none" w:sz="0" w:space="0" w:color="auto"/>
        <w:bottom w:val="none" w:sz="0" w:space="0" w:color="auto"/>
        <w:right w:val="none" w:sz="0" w:space="0" w:color="auto"/>
      </w:divBdr>
    </w:div>
    <w:div w:id="545458927">
      <w:bodyDiv w:val="1"/>
      <w:marLeft w:val="0"/>
      <w:marRight w:val="0"/>
      <w:marTop w:val="0"/>
      <w:marBottom w:val="0"/>
      <w:divBdr>
        <w:top w:val="none" w:sz="0" w:space="0" w:color="auto"/>
        <w:left w:val="none" w:sz="0" w:space="0" w:color="auto"/>
        <w:bottom w:val="none" w:sz="0" w:space="0" w:color="auto"/>
        <w:right w:val="none" w:sz="0" w:space="0" w:color="auto"/>
      </w:divBdr>
    </w:div>
    <w:div w:id="562713217">
      <w:bodyDiv w:val="1"/>
      <w:marLeft w:val="0"/>
      <w:marRight w:val="0"/>
      <w:marTop w:val="0"/>
      <w:marBottom w:val="0"/>
      <w:divBdr>
        <w:top w:val="none" w:sz="0" w:space="0" w:color="auto"/>
        <w:left w:val="none" w:sz="0" w:space="0" w:color="auto"/>
        <w:bottom w:val="none" w:sz="0" w:space="0" w:color="auto"/>
        <w:right w:val="none" w:sz="0" w:space="0" w:color="auto"/>
      </w:divBdr>
    </w:div>
    <w:div w:id="562830971">
      <w:bodyDiv w:val="1"/>
      <w:marLeft w:val="0"/>
      <w:marRight w:val="0"/>
      <w:marTop w:val="0"/>
      <w:marBottom w:val="0"/>
      <w:divBdr>
        <w:top w:val="none" w:sz="0" w:space="0" w:color="auto"/>
        <w:left w:val="none" w:sz="0" w:space="0" w:color="auto"/>
        <w:bottom w:val="none" w:sz="0" w:space="0" w:color="auto"/>
        <w:right w:val="none" w:sz="0" w:space="0" w:color="auto"/>
      </w:divBdr>
    </w:div>
    <w:div w:id="577444579">
      <w:bodyDiv w:val="1"/>
      <w:marLeft w:val="0"/>
      <w:marRight w:val="0"/>
      <w:marTop w:val="0"/>
      <w:marBottom w:val="0"/>
      <w:divBdr>
        <w:top w:val="none" w:sz="0" w:space="0" w:color="auto"/>
        <w:left w:val="none" w:sz="0" w:space="0" w:color="auto"/>
        <w:bottom w:val="none" w:sz="0" w:space="0" w:color="auto"/>
        <w:right w:val="none" w:sz="0" w:space="0" w:color="auto"/>
      </w:divBdr>
    </w:div>
    <w:div w:id="579019553">
      <w:bodyDiv w:val="1"/>
      <w:marLeft w:val="0"/>
      <w:marRight w:val="0"/>
      <w:marTop w:val="0"/>
      <w:marBottom w:val="0"/>
      <w:divBdr>
        <w:top w:val="none" w:sz="0" w:space="0" w:color="auto"/>
        <w:left w:val="none" w:sz="0" w:space="0" w:color="auto"/>
        <w:bottom w:val="none" w:sz="0" w:space="0" w:color="auto"/>
        <w:right w:val="none" w:sz="0" w:space="0" w:color="auto"/>
      </w:divBdr>
    </w:div>
    <w:div w:id="591662634">
      <w:bodyDiv w:val="1"/>
      <w:marLeft w:val="120"/>
      <w:marRight w:val="120"/>
      <w:marTop w:val="0"/>
      <w:marBottom w:val="0"/>
      <w:divBdr>
        <w:top w:val="none" w:sz="0" w:space="0" w:color="auto"/>
        <w:left w:val="none" w:sz="0" w:space="0" w:color="auto"/>
        <w:bottom w:val="none" w:sz="0" w:space="0" w:color="auto"/>
        <w:right w:val="none" w:sz="0" w:space="0" w:color="auto"/>
      </w:divBdr>
    </w:div>
    <w:div w:id="608855424">
      <w:bodyDiv w:val="1"/>
      <w:marLeft w:val="0"/>
      <w:marRight w:val="0"/>
      <w:marTop w:val="0"/>
      <w:marBottom w:val="0"/>
      <w:divBdr>
        <w:top w:val="none" w:sz="0" w:space="0" w:color="auto"/>
        <w:left w:val="none" w:sz="0" w:space="0" w:color="auto"/>
        <w:bottom w:val="none" w:sz="0" w:space="0" w:color="auto"/>
        <w:right w:val="none" w:sz="0" w:space="0" w:color="auto"/>
      </w:divBdr>
    </w:div>
    <w:div w:id="609438144">
      <w:bodyDiv w:val="1"/>
      <w:marLeft w:val="0"/>
      <w:marRight w:val="0"/>
      <w:marTop w:val="0"/>
      <w:marBottom w:val="0"/>
      <w:divBdr>
        <w:top w:val="none" w:sz="0" w:space="0" w:color="auto"/>
        <w:left w:val="none" w:sz="0" w:space="0" w:color="auto"/>
        <w:bottom w:val="none" w:sz="0" w:space="0" w:color="auto"/>
        <w:right w:val="none" w:sz="0" w:space="0" w:color="auto"/>
      </w:divBdr>
    </w:div>
    <w:div w:id="610822103">
      <w:bodyDiv w:val="1"/>
      <w:marLeft w:val="120"/>
      <w:marRight w:val="120"/>
      <w:marTop w:val="0"/>
      <w:marBottom w:val="0"/>
      <w:divBdr>
        <w:top w:val="none" w:sz="0" w:space="0" w:color="auto"/>
        <w:left w:val="none" w:sz="0" w:space="0" w:color="auto"/>
        <w:bottom w:val="none" w:sz="0" w:space="0" w:color="auto"/>
        <w:right w:val="none" w:sz="0" w:space="0" w:color="auto"/>
      </w:divBdr>
    </w:div>
    <w:div w:id="611404208">
      <w:bodyDiv w:val="1"/>
      <w:marLeft w:val="0"/>
      <w:marRight w:val="0"/>
      <w:marTop w:val="0"/>
      <w:marBottom w:val="0"/>
      <w:divBdr>
        <w:top w:val="none" w:sz="0" w:space="0" w:color="auto"/>
        <w:left w:val="none" w:sz="0" w:space="0" w:color="auto"/>
        <w:bottom w:val="none" w:sz="0" w:space="0" w:color="auto"/>
        <w:right w:val="none" w:sz="0" w:space="0" w:color="auto"/>
      </w:divBdr>
    </w:div>
    <w:div w:id="615723850">
      <w:bodyDiv w:val="1"/>
      <w:marLeft w:val="120"/>
      <w:marRight w:val="120"/>
      <w:marTop w:val="0"/>
      <w:marBottom w:val="0"/>
      <w:divBdr>
        <w:top w:val="none" w:sz="0" w:space="0" w:color="auto"/>
        <w:left w:val="none" w:sz="0" w:space="0" w:color="auto"/>
        <w:bottom w:val="none" w:sz="0" w:space="0" w:color="auto"/>
        <w:right w:val="none" w:sz="0" w:space="0" w:color="auto"/>
      </w:divBdr>
    </w:div>
    <w:div w:id="616840562">
      <w:bodyDiv w:val="1"/>
      <w:marLeft w:val="120"/>
      <w:marRight w:val="120"/>
      <w:marTop w:val="0"/>
      <w:marBottom w:val="0"/>
      <w:divBdr>
        <w:top w:val="none" w:sz="0" w:space="0" w:color="auto"/>
        <w:left w:val="none" w:sz="0" w:space="0" w:color="auto"/>
        <w:bottom w:val="none" w:sz="0" w:space="0" w:color="auto"/>
        <w:right w:val="none" w:sz="0" w:space="0" w:color="auto"/>
      </w:divBdr>
    </w:div>
    <w:div w:id="632251830">
      <w:bodyDiv w:val="1"/>
      <w:marLeft w:val="0"/>
      <w:marRight w:val="0"/>
      <w:marTop w:val="0"/>
      <w:marBottom w:val="0"/>
      <w:divBdr>
        <w:top w:val="none" w:sz="0" w:space="0" w:color="auto"/>
        <w:left w:val="none" w:sz="0" w:space="0" w:color="auto"/>
        <w:bottom w:val="none" w:sz="0" w:space="0" w:color="auto"/>
        <w:right w:val="none" w:sz="0" w:space="0" w:color="auto"/>
      </w:divBdr>
    </w:div>
    <w:div w:id="637299722">
      <w:bodyDiv w:val="1"/>
      <w:marLeft w:val="120"/>
      <w:marRight w:val="120"/>
      <w:marTop w:val="0"/>
      <w:marBottom w:val="0"/>
      <w:divBdr>
        <w:top w:val="none" w:sz="0" w:space="0" w:color="auto"/>
        <w:left w:val="none" w:sz="0" w:space="0" w:color="auto"/>
        <w:bottom w:val="none" w:sz="0" w:space="0" w:color="auto"/>
        <w:right w:val="none" w:sz="0" w:space="0" w:color="auto"/>
      </w:divBdr>
    </w:div>
    <w:div w:id="645939943">
      <w:bodyDiv w:val="1"/>
      <w:marLeft w:val="0"/>
      <w:marRight w:val="0"/>
      <w:marTop w:val="0"/>
      <w:marBottom w:val="0"/>
      <w:divBdr>
        <w:top w:val="none" w:sz="0" w:space="0" w:color="auto"/>
        <w:left w:val="none" w:sz="0" w:space="0" w:color="auto"/>
        <w:bottom w:val="none" w:sz="0" w:space="0" w:color="auto"/>
        <w:right w:val="none" w:sz="0" w:space="0" w:color="auto"/>
      </w:divBdr>
    </w:div>
    <w:div w:id="650141346">
      <w:bodyDiv w:val="1"/>
      <w:marLeft w:val="0"/>
      <w:marRight w:val="0"/>
      <w:marTop w:val="0"/>
      <w:marBottom w:val="0"/>
      <w:divBdr>
        <w:top w:val="none" w:sz="0" w:space="0" w:color="auto"/>
        <w:left w:val="none" w:sz="0" w:space="0" w:color="auto"/>
        <w:bottom w:val="none" w:sz="0" w:space="0" w:color="auto"/>
        <w:right w:val="none" w:sz="0" w:space="0" w:color="auto"/>
      </w:divBdr>
    </w:div>
    <w:div w:id="656420295">
      <w:bodyDiv w:val="1"/>
      <w:marLeft w:val="0"/>
      <w:marRight w:val="0"/>
      <w:marTop w:val="0"/>
      <w:marBottom w:val="0"/>
      <w:divBdr>
        <w:top w:val="none" w:sz="0" w:space="0" w:color="auto"/>
        <w:left w:val="none" w:sz="0" w:space="0" w:color="auto"/>
        <w:bottom w:val="none" w:sz="0" w:space="0" w:color="auto"/>
        <w:right w:val="none" w:sz="0" w:space="0" w:color="auto"/>
      </w:divBdr>
    </w:div>
    <w:div w:id="683750962">
      <w:bodyDiv w:val="1"/>
      <w:marLeft w:val="0"/>
      <w:marRight w:val="0"/>
      <w:marTop w:val="0"/>
      <w:marBottom w:val="0"/>
      <w:divBdr>
        <w:top w:val="none" w:sz="0" w:space="0" w:color="auto"/>
        <w:left w:val="none" w:sz="0" w:space="0" w:color="auto"/>
        <w:bottom w:val="none" w:sz="0" w:space="0" w:color="auto"/>
        <w:right w:val="none" w:sz="0" w:space="0" w:color="auto"/>
      </w:divBdr>
    </w:div>
    <w:div w:id="688024560">
      <w:bodyDiv w:val="1"/>
      <w:marLeft w:val="0"/>
      <w:marRight w:val="0"/>
      <w:marTop w:val="0"/>
      <w:marBottom w:val="0"/>
      <w:divBdr>
        <w:top w:val="none" w:sz="0" w:space="0" w:color="auto"/>
        <w:left w:val="none" w:sz="0" w:space="0" w:color="auto"/>
        <w:bottom w:val="none" w:sz="0" w:space="0" w:color="auto"/>
        <w:right w:val="none" w:sz="0" w:space="0" w:color="auto"/>
      </w:divBdr>
    </w:div>
    <w:div w:id="695931220">
      <w:bodyDiv w:val="1"/>
      <w:marLeft w:val="0"/>
      <w:marRight w:val="0"/>
      <w:marTop w:val="0"/>
      <w:marBottom w:val="0"/>
      <w:divBdr>
        <w:top w:val="none" w:sz="0" w:space="0" w:color="auto"/>
        <w:left w:val="none" w:sz="0" w:space="0" w:color="auto"/>
        <w:bottom w:val="none" w:sz="0" w:space="0" w:color="auto"/>
        <w:right w:val="none" w:sz="0" w:space="0" w:color="auto"/>
      </w:divBdr>
    </w:div>
    <w:div w:id="700978808">
      <w:bodyDiv w:val="1"/>
      <w:marLeft w:val="0"/>
      <w:marRight w:val="0"/>
      <w:marTop w:val="0"/>
      <w:marBottom w:val="0"/>
      <w:divBdr>
        <w:top w:val="none" w:sz="0" w:space="0" w:color="auto"/>
        <w:left w:val="none" w:sz="0" w:space="0" w:color="auto"/>
        <w:bottom w:val="none" w:sz="0" w:space="0" w:color="auto"/>
        <w:right w:val="none" w:sz="0" w:space="0" w:color="auto"/>
      </w:divBdr>
    </w:div>
    <w:div w:id="703671346">
      <w:bodyDiv w:val="1"/>
      <w:marLeft w:val="0"/>
      <w:marRight w:val="0"/>
      <w:marTop w:val="0"/>
      <w:marBottom w:val="0"/>
      <w:divBdr>
        <w:top w:val="none" w:sz="0" w:space="0" w:color="auto"/>
        <w:left w:val="none" w:sz="0" w:space="0" w:color="auto"/>
        <w:bottom w:val="none" w:sz="0" w:space="0" w:color="auto"/>
        <w:right w:val="none" w:sz="0" w:space="0" w:color="auto"/>
      </w:divBdr>
    </w:div>
    <w:div w:id="706488918">
      <w:bodyDiv w:val="1"/>
      <w:marLeft w:val="0"/>
      <w:marRight w:val="0"/>
      <w:marTop w:val="0"/>
      <w:marBottom w:val="0"/>
      <w:divBdr>
        <w:top w:val="none" w:sz="0" w:space="0" w:color="auto"/>
        <w:left w:val="none" w:sz="0" w:space="0" w:color="auto"/>
        <w:bottom w:val="none" w:sz="0" w:space="0" w:color="auto"/>
        <w:right w:val="none" w:sz="0" w:space="0" w:color="auto"/>
      </w:divBdr>
    </w:div>
    <w:div w:id="716783105">
      <w:bodyDiv w:val="1"/>
      <w:marLeft w:val="0"/>
      <w:marRight w:val="0"/>
      <w:marTop w:val="0"/>
      <w:marBottom w:val="0"/>
      <w:divBdr>
        <w:top w:val="none" w:sz="0" w:space="0" w:color="auto"/>
        <w:left w:val="none" w:sz="0" w:space="0" w:color="auto"/>
        <w:bottom w:val="none" w:sz="0" w:space="0" w:color="auto"/>
        <w:right w:val="none" w:sz="0" w:space="0" w:color="auto"/>
      </w:divBdr>
    </w:div>
    <w:div w:id="726756549">
      <w:bodyDiv w:val="1"/>
      <w:marLeft w:val="0"/>
      <w:marRight w:val="0"/>
      <w:marTop w:val="0"/>
      <w:marBottom w:val="0"/>
      <w:divBdr>
        <w:top w:val="none" w:sz="0" w:space="0" w:color="auto"/>
        <w:left w:val="none" w:sz="0" w:space="0" w:color="auto"/>
        <w:bottom w:val="none" w:sz="0" w:space="0" w:color="auto"/>
        <w:right w:val="none" w:sz="0" w:space="0" w:color="auto"/>
      </w:divBdr>
    </w:div>
    <w:div w:id="734552123">
      <w:bodyDiv w:val="1"/>
      <w:marLeft w:val="120"/>
      <w:marRight w:val="120"/>
      <w:marTop w:val="0"/>
      <w:marBottom w:val="0"/>
      <w:divBdr>
        <w:top w:val="none" w:sz="0" w:space="0" w:color="auto"/>
        <w:left w:val="none" w:sz="0" w:space="0" w:color="auto"/>
        <w:bottom w:val="none" w:sz="0" w:space="0" w:color="auto"/>
        <w:right w:val="none" w:sz="0" w:space="0" w:color="auto"/>
      </w:divBdr>
    </w:div>
    <w:div w:id="748044560">
      <w:bodyDiv w:val="1"/>
      <w:marLeft w:val="0"/>
      <w:marRight w:val="0"/>
      <w:marTop w:val="0"/>
      <w:marBottom w:val="0"/>
      <w:divBdr>
        <w:top w:val="none" w:sz="0" w:space="0" w:color="auto"/>
        <w:left w:val="none" w:sz="0" w:space="0" w:color="auto"/>
        <w:bottom w:val="none" w:sz="0" w:space="0" w:color="auto"/>
        <w:right w:val="none" w:sz="0" w:space="0" w:color="auto"/>
      </w:divBdr>
    </w:div>
    <w:div w:id="765878883">
      <w:bodyDiv w:val="1"/>
      <w:marLeft w:val="0"/>
      <w:marRight w:val="0"/>
      <w:marTop w:val="0"/>
      <w:marBottom w:val="0"/>
      <w:divBdr>
        <w:top w:val="none" w:sz="0" w:space="0" w:color="auto"/>
        <w:left w:val="none" w:sz="0" w:space="0" w:color="auto"/>
        <w:bottom w:val="none" w:sz="0" w:space="0" w:color="auto"/>
        <w:right w:val="none" w:sz="0" w:space="0" w:color="auto"/>
      </w:divBdr>
    </w:div>
    <w:div w:id="765885760">
      <w:bodyDiv w:val="1"/>
      <w:marLeft w:val="0"/>
      <w:marRight w:val="0"/>
      <w:marTop w:val="0"/>
      <w:marBottom w:val="0"/>
      <w:divBdr>
        <w:top w:val="none" w:sz="0" w:space="0" w:color="auto"/>
        <w:left w:val="none" w:sz="0" w:space="0" w:color="auto"/>
        <w:bottom w:val="none" w:sz="0" w:space="0" w:color="auto"/>
        <w:right w:val="none" w:sz="0" w:space="0" w:color="auto"/>
      </w:divBdr>
    </w:div>
    <w:div w:id="769738617">
      <w:bodyDiv w:val="1"/>
      <w:marLeft w:val="0"/>
      <w:marRight w:val="0"/>
      <w:marTop w:val="0"/>
      <w:marBottom w:val="0"/>
      <w:divBdr>
        <w:top w:val="none" w:sz="0" w:space="0" w:color="auto"/>
        <w:left w:val="none" w:sz="0" w:space="0" w:color="auto"/>
        <w:bottom w:val="none" w:sz="0" w:space="0" w:color="auto"/>
        <w:right w:val="none" w:sz="0" w:space="0" w:color="auto"/>
      </w:divBdr>
    </w:div>
    <w:div w:id="771977432">
      <w:bodyDiv w:val="1"/>
      <w:marLeft w:val="0"/>
      <w:marRight w:val="0"/>
      <w:marTop w:val="0"/>
      <w:marBottom w:val="0"/>
      <w:divBdr>
        <w:top w:val="none" w:sz="0" w:space="0" w:color="auto"/>
        <w:left w:val="none" w:sz="0" w:space="0" w:color="auto"/>
        <w:bottom w:val="none" w:sz="0" w:space="0" w:color="auto"/>
        <w:right w:val="none" w:sz="0" w:space="0" w:color="auto"/>
      </w:divBdr>
    </w:div>
    <w:div w:id="772018085">
      <w:bodyDiv w:val="1"/>
      <w:marLeft w:val="0"/>
      <w:marRight w:val="0"/>
      <w:marTop w:val="0"/>
      <w:marBottom w:val="0"/>
      <w:divBdr>
        <w:top w:val="none" w:sz="0" w:space="0" w:color="auto"/>
        <w:left w:val="none" w:sz="0" w:space="0" w:color="auto"/>
        <w:bottom w:val="none" w:sz="0" w:space="0" w:color="auto"/>
        <w:right w:val="none" w:sz="0" w:space="0" w:color="auto"/>
      </w:divBdr>
      <w:divsChild>
        <w:div w:id="1127504520">
          <w:marLeft w:val="0"/>
          <w:marRight w:val="0"/>
          <w:marTop w:val="0"/>
          <w:marBottom w:val="0"/>
          <w:divBdr>
            <w:top w:val="none" w:sz="0" w:space="0" w:color="auto"/>
            <w:left w:val="none" w:sz="0" w:space="0" w:color="auto"/>
            <w:bottom w:val="none" w:sz="0" w:space="0" w:color="auto"/>
            <w:right w:val="none" w:sz="0" w:space="0" w:color="auto"/>
          </w:divBdr>
          <w:divsChild>
            <w:div w:id="530188450">
              <w:marLeft w:val="0"/>
              <w:marRight w:val="0"/>
              <w:marTop w:val="0"/>
              <w:marBottom w:val="0"/>
              <w:divBdr>
                <w:top w:val="none" w:sz="0" w:space="0" w:color="auto"/>
                <w:left w:val="none" w:sz="0" w:space="0" w:color="auto"/>
                <w:bottom w:val="none" w:sz="0" w:space="0" w:color="auto"/>
                <w:right w:val="none" w:sz="0" w:space="0" w:color="auto"/>
              </w:divBdr>
              <w:divsChild>
                <w:div w:id="1525561085">
                  <w:marLeft w:val="0"/>
                  <w:marRight w:val="0"/>
                  <w:marTop w:val="0"/>
                  <w:marBottom w:val="0"/>
                  <w:divBdr>
                    <w:top w:val="none" w:sz="0" w:space="0" w:color="auto"/>
                    <w:left w:val="none" w:sz="0" w:space="0" w:color="auto"/>
                    <w:bottom w:val="none" w:sz="0" w:space="0" w:color="auto"/>
                    <w:right w:val="none" w:sz="0" w:space="0" w:color="auto"/>
                  </w:divBdr>
                  <w:divsChild>
                    <w:div w:id="980112612">
                      <w:marLeft w:val="0"/>
                      <w:marRight w:val="0"/>
                      <w:marTop w:val="0"/>
                      <w:marBottom w:val="0"/>
                      <w:divBdr>
                        <w:top w:val="none" w:sz="0" w:space="0" w:color="auto"/>
                        <w:left w:val="none" w:sz="0" w:space="0" w:color="auto"/>
                        <w:bottom w:val="none" w:sz="0" w:space="0" w:color="auto"/>
                        <w:right w:val="none" w:sz="0" w:space="0" w:color="auto"/>
                      </w:divBdr>
                      <w:divsChild>
                        <w:div w:id="12718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282963">
      <w:bodyDiv w:val="1"/>
      <w:marLeft w:val="0"/>
      <w:marRight w:val="0"/>
      <w:marTop w:val="0"/>
      <w:marBottom w:val="0"/>
      <w:divBdr>
        <w:top w:val="none" w:sz="0" w:space="0" w:color="auto"/>
        <w:left w:val="none" w:sz="0" w:space="0" w:color="auto"/>
        <w:bottom w:val="none" w:sz="0" w:space="0" w:color="auto"/>
        <w:right w:val="none" w:sz="0" w:space="0" w:color="auto"/>
      </w:divBdr>
    </w:div>
    <w:div w:id="793210885">
      <w:bodyDiv w:val="1"/>
      <w:marLeft w:val="0"/>
      <w:marRight w:val="0"/>
      <w:marTop w:val="0"/>
      <w:marBottom w:val="0"/>
      <w:divBdr>
        <w:top w:val="none" w:sz="0" w:space="0" w:color="auto"/>
        <w:left w:val="none" w:sz="0" w:space="0" w:color="auto"/>
        <w:bottom w:val="none" w:sz="0" w:space="0" w:color="auto"/>
        <w:right w:val="none" w:sz="0" w:space="0" w:color="auto"/>
      </w:divBdr>
    </w:div>
    <w:div w:id="795412300">
      <w:bodyDiv w:val="1"/>
      <w:marLeft w:val="120"/>
      <w:marRight w:val="120"/>
      <w:marTop w:val="0"/>
      <w:marBottom w:val="0"/>
      <w:divBdr>
        <w:top w:val="none" w:sz="0" w:space="0" w:color="auto"/>
        <w:left w:val="none" w:sz="0" w:space="0" w:color="auto"/>
        <w:bottom w:val="none" w:sz="0" w:space="0" w:color="auto"/>
        <w:right w:val="none" w:sz="0" w:space="0" w:color="auto"/>
      </w:divBdr>
    </w:div>
    <w:div w:id="819541766">
      <w:bodyDiv w:val="1"/>
      <w:marLeft w:val="0"/>
      <w:marRight w:val="0"/>
      <w:marTop w:val="0"/>
      <w:marBottom w:val="0"/>
      <w:divBdr>
        <w:top w:val="none" w:sz="0" w:space="0" w:color="auto"/>
        <w:left w:val="none" w:sz="0" w:space="0" w:color="auto"/>
        <w:bottom w:val="none" w:sz="0" w:space="0" w:color="auto"/>
        <w:right w:val="none" w:sz="0" w:space="0" w:color="auto"/>
      </w:divBdr>
    </w:div>
    <w:div w:id="820999481">
      <w:bodyDiv w:val="1"/>
      <w:marLeft w:val="0"/>
      <w:marRight w:val="0"/>
      <w:marTop w:val="0"/>
      <w:marBottom w:val="0"/>
      <w:divBdr>
        <w:top w:val="none" w:sz="0" w:space="0" w:color="auto"/>
        <w:left w:val="none" w:sz="0" w:space="0" w:color="auto"/>
        <w:bottom w:val="none" w:sz="0" w:space="0" w:color="auto"/>
        <w:right w:val="none" w:sz="0" w:space="0" w:color="auto"/>
      </w:divBdr>
    </w:div>
    <w:div w:id="829712833">
      <w:bodyDiv w:val="1"/>
      <w:marLeft w:val="0"/>
      <w:marRight w:val="0"/>
      <w:marTop w:val="0"/>
      <w:marBottom w:val="0"/>
      <w:divBdr>
        <w:top w:val="none" w:sz="0" w:space="0" w:color="auto"/>
        <w:left w:val="none" w:sz="0" w:space="0" w:color="auto"/>
        <w:bottom w:val="none" w:sz="0" w:space="0" w:color="auto"/>
        <w:right w:val="none" w:sz="0" w:space="0" w:color="auto"/>
      </w:divBdr>
    </w:div>
    <w:div w:id="870073801">
      <w:bodyDiv w:val="1"/>
      <w:marLeft w:val="0"/>
      <w:marRight w:val="0"/>
      <w:marTop w:val="0"/>
      <w:marBottom w:val="0"/>
      <w:divBdr>
        <w:top w:val="none" w:sz="0" w:space="0" w:color="auto"/>
        <w:left w:val="none" w:sz="0" w:space="0" w:color="auto"/>
        <w:bottom w:val="none" w:sz="0" w:space="0" w:color="auto"/>
        <w:right w:val="none" w:sz="0" w:space="0" w:color="auto"/>
      </w:divBdr>
    </w:div>
    <w:div w:id="881212001">
      <w:bodyDiv w:val="1"/>
      <w:marLeft w:val="0"/>
      <w:marRight w:val="0"/>
      <w:marTop w:val="0"/>
      <w:marBottom w:val="0"/>
      <w:divBdr>
        <w:top w:val="none" w:sz="0" w:space="0" w:color="auto"/>
        <w:left w:val="none" w:sz="0" w:space="0" w:color="auto"/>
        <w:bottom w:val="none" w:sz="0" w:space="0" w:color="auto"/>
        <w:right w:val="none" w:sz="0" w:space="0" w:color="auto"/>
      </w:divBdr>
    </w:div>
    <w:div w:id="888802252">
      <w:bodyDiv w:val="1"/>
      <w:marLeft w:val="0"/>
      <w:marRight w:val="0"/>
      <w:marTop w:val="0"/>
      <w:marBottom w:val="0"/>
      <w:divBdr>
        <w:top w:val="none" w:sz="0" w:space="0" w:color="auto"/>
        <w:left w:val="none" w:sz="0" w:space="0" w:color="auto"/>
        <w:bottom w:val="none" w:sz="0" w:space="0" w:color="auto"/>
        <w:right w:val="none" w:sz="0" w:space="0" w:color="auto"/>
      </w:divBdr>
    </w:div>
    <w:div w:id="893388172">
      <w:bodyDiv w:val="1"/>
      <w:marLeft w:val="0"/>
      <w:marRight w:val="0"/>
      <w:marTop w:val="0"/>
      <w:marBottom w:val="0"/>
      <w:divBdr>
        <w:top w:val="none" w:sz="0" w:space="0" w:color="auto"/>
        <w:left w:val="none" w:sz="0" w:space="0" w:color="auto"/>
        <w:bottom w:val="none" w:sz="0" w:space="0" w:color="auto"/>
        <w:right w:val="none" w:sz="0" w:space="0" w:color="auto"/>
      </w:divBdr>
    </w:div>
    <w:div w:id="898326885">
      <w:bodyDiv w:val="1"/>
      <w:marLeft w:val="0"/>
      <w:marRight w:val="0"/>
      <w:marTop w:val="0"/>
      <w:marBottom w:val="0"/>
      <w:divBdr>
        <w:top w:val="none" w:sz="0" w:space="0" w:color="auto"/>
        <w:left w:val="none" w:sz="0" w:space="0" w:color="auto"/>
        <w:bottom w:val="none" w:sz="0" w:space="0" w:color="auto"/>
        <w:right w:val="none" w:sz="0" w:space="0" w:color="auto"/>
      </w:divBdr>
    </w:div>
    <w:div w:id="912472124">
      <w:bodyDiv w:val="1"/>
      <w:marLeft w:val="0"/>
      <w:marRight w:val="0"/>
      <w:marTop w:val="0"/>
      <w:marBottom w:val="0"/>
      <w:divBdr>
        <w:top w:val="none" w:sz="0" w:space="0" w:color="auto"/>
        <w:left w:val="none" w:sz="0" w:space="0" w:color="auto"/>
        <w:bottom w:val="none" w:sz="0" w:space="0" w:color="auto"/>
        <w:right w:val="none" w:sz="0" w:space="0" w:color="auto"/>
      </w:divBdr>
    </w:div>
    <w:div w:id="920217875">
      <w:bodyDiv w:val="1"/>
      <w:marLeft w:val="0"/>
      <w:marRight w:val="0"/>
      <w:marTop w:val="0"/>
      <w:marBottom w:val="0"/>
      <w:divBdr>
        <w:top w:val="none" w:sz="0" w:space="0" w:color="auto"/>
        <w:left w:val="none" w:sz="0" w:space="0" w:color="auto"/>
        <w:bottom w:val="none" w:sz="0" w:space="0" w:color="auto"/>
        <w:right w:val="none" w:sz="0" w:space="0" w:color="auto"/>
      </w:divBdr>
    </w:div>
    <w:div w:id="960036996">
      <w:bodyDiv w:val="1"/>
      <w:marLeft w:val="120"/>
      <w:marRight w:val="120"/>
      <w:marTop w:val="0"/>
      <w:marBottom w:val="0"/>
      <w:divBdr>
        <w:top w:val="none" w:sz="0" w:space="0" w:color="auto"/>
        <w:left w:val="none" w:sz="0" w:space="0" w:color="auto"/>
        <w:bottom w:val="none" w:sz="0" w:space="0" w:color="auto"/>
        <w:right w:val="none" w:sz="0" w:space="0" w:color="auto"/>
      </w:divBdr>
    </w:div>
    <w:div w:id="971983534">
      <w:bodyDiv w:val="1"/>
      <w:marLeft w:val="0"/>
      <w:marRight w:val="0"/>
      <w:marTop w:val="0"/>
      <w:marBottom w:val="0"/>
      <w:divBdr>
        <w:top w:val="none" w:sz="0" w:space="0" w:color="auto"/>
        <w:left w:val="none" w:sz="0" w:space="0" w:color="auto"/>
        <w:bottom w:val="none" w:sz="0" w:space="0" w:color="auto"/>
        <w:right w:val="none" w:sz="0" w:space="0" w:color="auto"/>
      </w:divBdr>
    </w:div>
    <w:div w:id="984698043">
      <w:bodyDiv w:val="1"/>
      <w:marLeft w:val="0"/>
      <w:marRight w:val="0"/>
      <w:marTop w:val="0"/>
      <w:marBottom w:val="0"/>
      <w:divBdr>
        <w:top w:val="none" w:sz="0" w:space="0" w:color="auto"/>
        <w:left w:val="none" w:sz="0" w:space="0" w:color="auto"/>
        <w:bottom w:val="none" w:sz="0" w:space="0" w:color="auto"/>
        <w:right w:val="none" w:sz="0" w:space="0" w:color="auto"/>
      </w:divBdr>
    </w:div>
    <w:div w:id="993223544">
      <w:bodyDiv w:val="1"/>
      <w:marLeft w:val="0"/>
      <w:marRight w:val="0"/>
      <w:marTop w:val="0"/>
      <w:marBottom w:val="0"/>
      <w:divBdr>
        <w:top w:val="none" w:sz="0" w:space="0" w:color="auto"/>
        <w:left w:val="none" w:sz="0" w:space="0" w:color="auto"/>
        <w:bottom w:val="none" w:sz="0" w:space="0" w:color="auto"/>
        <w:right w:val="none" w:sz="0" w:space="0" w:color="auto"/>
      </w:divBdr>
    </w:div>
    <w:div w:id="995380609">
      <w:bodyDiv w:val="1"/>
      <w:marLeft w:val="0"/>
      <w:marRight w:val="0"/>
      <w:marTop w:val="0"/>
      <w:marBottom w:val="0"/>
      <w:divBdr>
        <w:top w:val="none" w:sz="0" w:space="0" w:color="auto"/>
        <w:left w:val="none" w:sz="0" w:space="0" w:color="auto"/>
        <w:bottom w:val="none" w:sz="0" w:space="0" w:color="auto"/>
        <w:right w:val="none" w:sz="0" w:space="0" w:color="auto"/>
      </w:divBdr>
    </w:div>
    <w:div w:id="996149155">
      <w:bodyDiv w:val="1"/>
      <w:marLeft w:val="0"/>
      <w:marRight w:val="0"/>
      <w:marTop w:val="0"/>
      <w:marBottom w:val="0"/>
      <w:divBdr>
        <w:top w:val="none" w:sz="0" w:space="0" w:color="auto"/>
        <w:left w:val="none" w:sz="0" w:space="0" w:color="auto"/>
        <w:bottom w:val="none" w:sz="0" w:space="0" w:color="auto"/>
        <w:right w:val="none" w:sz="0" w:space="0" w:color="auto"/>
      </w:divBdr>
    </w:div>
    <w:div w:id="1037655802">
      <w:bodyDiv w:val="1"/>
      <w:marLeft w:val="0"/>
      <w:marRight w:val="0"/>
      <w:marTop w:val="0"/>
      <w:marBottom w:val="0"/>
      <w:divBdr>
        <w:top w:val="none" w:sz="0" w:space="0" w:color="auto"/>
        <w:left w:val="none" w:sz="0" w:space="0" w:color="auto"/>
        <w:bottom w:val="none" w:sz="0" w:space="0" w:color="auto"/>
        <w:right w:val="none" w:sz="0" w:space="0" w:color="auto"/>
      </w:divBdr>
    </w:div>
    <w:div w:id="1045299841">
      <w:bodyDiv w:val="1"/>
      <w:marLeft w:val="0"/>
      <w:marRight w:val="0"/>
      <w:marTop w:val="0"/>
      <w:marBottom w:val="0"/>
      <w:divBdr>
        <w:top w:val="none" w:sz="0" w:space="0" w:color="auto"/>
        <w:left w:val="none" w:sz="0" w:space="0" w:color="auto"/>
        <w:bottom w:val="none" w:sz="0" w:space="0" w:color="auto"/>
        <w:right w:val="none" w:sz="0" w:space="0" w:color="auto"/>
      </w:divBdr>
    </w:div>
    <w:div w:id="1064915382">
      <w:bodyDiv w:val="1"/>
      <w:marLeft w:val="0"/>
      <w:marRight w:val="0"/>
      <w:marTop w:val="0"/>
      <w:marBottom w:val="0"/>
      <w:divBdr>
        <w:top w:val="none" w:sz="0" w:space="0" w:color="auto"/>
        <w:left w:val="none" w:sz="0" w:space="0" w:color="auto"/>
        <w:bottom w:val="none" w:sz="0" w:space="0" w:color="auto"/>
        <w:right w:val="none" w:sz="0" w:space="0" w:color="auto"/>
      </w:divBdr>
    </w:div>
    <w:div w:id="1088312013">
      <w:bodyDiv w:val="1"/>
      <w:marLeft w:val="0"/>
      <w:marRight w:val="0"/>
      <w:marTop w:val="0"/>
      <w:marBottom w:val="0"/>
      <w:divBdr>
        <w:top w:val="none" w:sz="0" w:space="0" w:color="auto"/>
        <w:left w:val="none" w:sz="0" w:space="0" w:color="auto"/>
        <w:bottom w:val="none" w:sz="0" w:space="0" w:color="auto"/>
        <w:right w:val="none" w:sz="0" w:space="0" w:color="auto"/>
      </w:divBdr>
    </w:div>
    <w:div w:id="1088841958">
      <w:bodyDiv w:val="1"/>
      <w:marLeft w:val="0"/>
      <w:marRight w:val="0"/>
      <w:marTop w:val="0"/>
      <w:marBottom w:val="0"/>
      <w:divBdr>
        <w:top w:val="none" w:sz="0" w:space="0" w:color="auto"/>
        <w:left w:val="none" w:sz="0" w:space="0" w:color="auto"/>
        <w:bottom w:val="none" w:sz="0" w:space="0" w:color="auto"/>
        <w:right w:val="none" w:sz="0" w:space="0" w:color="auto"/>
      </w:divBdr>
    </w:div>
    <w:div w:id="1094588509">
      <w:bodyDiv w:val="1"/>
      <w:marLeft w:val="0"/>
      <w:marRight w:val="0"/>
      <w:marTop w:val="0"/>
      <w:marBottom w:val="0"/>
      <w:divBdr>
        <w:top w:val="none" w:sz="0" w:space="0" w:color="auto"/>
        <w:left w:val="none" w:sz="0" w:space="0" w:color="auto"/>
        <w:bottom w:val="none" w:sz="0" w:space="0" w:color="auto"/>
        <w:right w:val="none" w:sz="0" w:space="0" w:color="auto"/>
      </w:divBdr>
    </w:div>
    <w:div w:id="1094664776">
      <w:bodyDiv w:val="1"/>
      <w:marLeft w:val="0"/>
      <w:marRight w:val="0"/>
      <w:marTop w:val="0"/>
      <w:marBottom w:val="0"/>
      <w:divBdr>
        <w:top w:val="none" w:sz="0" w:space="0" w:color="auto"/>
        <w:left w:val="none" w:sz="0" w:space="0" w:color="auto"/>
        <w:bottom w:val="none" w:sz="0" w:space="0" w:color="auto"/>
        <w:right w:val="none" w:sz="0" w:space="0" w:color="auto"/>
      </w:divBdr>
    </w:div>
    <w:div w:id="1096292087">
      <w:bodyDiv w:val="1"/>
      <w:marLeft w:val="0"/>
      <w:marRight w:val="0"/>
      <w:marTop w:val="0"/>
      <w:marBottom w:val="0"/>
      <w:divBdr>
        <w:top w:val="none" w:sz="0" w:space="0" w:color="auto"/>
        <w:left w:val="none" w:sz="0" w:space="0" w:color="auto"/>
        <w:bottom w:val="none" w:sz="0" w:space="0" w:color="auto"/>
        <w:right w:val="none" w:sz="0" w:space="0" w:color="auto"/>
      </w:divBdr>
    </w:div>
    <w:div w:id="1109544911">
      <w:bodyDiv w:val="1"/>
      <w:marLeft w:val="120"/>
      <w:marRight w:val="120"/>
      <w:marTop w:val="0"/>
      <w:marBottom w:val="0"/>
      <w:divBdr>
        <w:top w:val="none" w:sz="0" w:space="0" w:color="auto"/>
        <w:left w:val="none" w:sz="0" w:space="0" w:color="auto"/>
        <w:bottom w:val="none" w:sz="0" w:space="0" w:color="auto"/>
        <w:right w:val="none" w:sz="0" w:space="0" w:color="auto"/>
      </w:divBdr>
    </w:div>
    <w:div w:id="1121190780">
      <w:bodyDiv w:val="1"/>
      <w:marLeft w:val="0"/>
      <w:marRight w:val="0"/>
      <w:marTop w:val="0"/>
      <w:marBottom w:val="0"/>
      <w:divBdr>
        <w:top w:val="none" w:sz="0" w:space="0" w:color="auto"/>
        <w:left w:val="none" w:sz="0" w:space="0" w:color="auto"/>
        <w:bottom w:val="none" w:sz="0" w:space="0" w:color="auto"/>
        <w:right w:val="none" w:sz="0" w:space="0" w:color="auto"/>
      </w:divBdr>
    </w:div>
    <w:div w:id="1127234260">
      <w:bodyDiv w:val="1"/>
      <w:marLeft w:val="0"/>
      <w:marRight w:val="0"/>
      <w:marTop w:val="0"/>
      <w:marBottom w:val="0"/>
      <w:divBdr>
        <w:top w:val="none" w:sz="0" w:space="0" w:color="auto"/>
        <w:left w:val="none" w:sz="0" w:space="0" w:color="auto"/>
        <w:bottom w:val="none" w:sz="0" w:space="0" w:color="auto"/>
        <w:right w:val="none" w:sz="0" w:space="0" w:color="auto"/>
      </w:divBdr>
    </w:div>
    <w:div w:id="1140729792">
      <w:bodyDiv w:val="1"/>
      <w:marLeft w:val="0"/>
      <w:marRight w:val="0"/>
      <w:marTop w:val="0"/>
      <w:marBottom w:val="0"/>
      <w:divBdr>
        <w:top w:val="none" w:sz="0" w:space="0" w:color="auto"/>
        <w:left w:val="none" w:sz="0" w:space="0" w:color="auto"/>
        <w:bottom w:val="none" w:sz="0" w:space="0" w:color="auto"/>
        <w:right w:val="none" w:sz="0" w:space="0" w:color="auto"/>
      </w:divBdr>
    </w:div>
    <w:div w:id="1146968346">
      <w:bodyDiv w:val="1"/>
      <w:marLeft w:val="0"/>
      <w:marRight w:val="0"/>
      <w:marTop w:val="0"/>
      <w:marBottom w:val="0"/>
      <w:divBdr>
        <w:top w:val="none" w:sz="0" w:space="0" w:color="auto"/>
        <w:left w:val="none" w:sz="0" w:space="0" w:color="auto"/>
        <w:bottom w:val="none" w:sz="0" w:space="0" w:color="auto"/>
        <w:right w:val="none" w:sz="0" w:space="0" w:color="auto"/>
      </w:divBdr>
    </w:div>
    <w:div w:id="1155731068">
      <w:bodyDiv w:val="1"/>
      <w:marLeft w:val="0"/>
      <w:marRight w:val="0"/>
      <w:marTop w:val="0"/>
      <w:marBottom w:val="0"/>
      <w:divBdr>
        <w:top w:val="none" w:sz="0" w:space="0" w:color="auto"/>
        <w:left w:val="none" w:sz="0" w:space="0" w:color="auto"/>
        <w:bottom w:val="none" w:sz="0" w:space="0" w:color="auto"/>
        <w:right w:val="none" w:sz="0" w:space="0" w:color="auto"/>
      </w:divBdr>
    </w:div>
    <w:div w:id="1163811120">
      <w:bodyDiv w:val="1"/>
      <w:marLeft w:val="0"/>
      <w:marRight w:val="0"/>
      <w:marTop w:val="0"/>
      <w:marBottom w:val="0"/>
      <w:divBdr>
        <w:top w:val="none" w:sz="0" w:space="0" w:color="auto"/>
        <w:left w:val="none" w:sz="0" w:space="0" w:color="auto"/>
        <w:bottom w:val="none" w:sz="0" w:space="0" w:color="auto"/>
        <w:right w:val="none" w:sz="0" w:space="0" w:color="auto"/>
      </w:divBdr>
    </w:div>
    <w:div w:id="1165126282">
      <w:bodyDiv w:val="1"/>
      <w:marLeft w:val="0"/>
      <w:marRight w:val="0"/>
      <w:marTop w:val="0"/>
      <w:marBottom w:val="0"/>
      <w:divBdr>
        <w:top w:val="none" w:sz="0" w:space="0" w:color="auto"/>
        <w:left w:val="none" w:sz="0" w:space="0" w:color="auto"/>
        <w:bottom w:val="none" w:sz="0" w:space="0" w:color="auto"/>
        <w:right w:val="none" w:sz="0" w:space="0" w:color="auto"/>
      </w:divBdr>
    </w:div>
    <w:div w:id="1176724088">
      <w:bodyDiv w:val="1"/>
      <w:marLeft w:val="0"/>
      <w:marRight w:val="0"/>
      <w:marTop w:val="0"/>
      <w:marBottom w:val="0"/>
      <w:divBdr>
        <w:top w:val="none" w:sz="0" w:space="0" w:color="auto"/>
        <w:left w:val="none" w:sz="0" w:space="0" w:color="auto"/>
        <w:bottom w:val="none" w:sz="0" w:space="0" w:color="auto"/>
        <w:right w:val="none" w:sz="0" w:space="0" w:color="auto"/>
      </w:divBdr>
    </w:div>
    <w:div w:id="1179268931">
      <w:bodyDiv w:val="1"/>
      <w:marLeft w:val="0"/>
      <w:marRight w:val="0"/>
      <w:marTop w:val="0"/>
      <w:marBottom w:val="0"/>
      <w:divBdr>
        <w:top w:val="none" w:sz="0" w:space="0" w:color="auto"/>
        <w:left w:val="none" w:sz="0" w:space="0" w:color="auto"/>
        <w:bottom w:val="none" w:sz="0" w:space="0" w:color="auto"/>
        <w:right w:val="none" w:sz="0" w:space="0" w:color="auto"/>
      </w:divBdr>
    </w:div>
    <w:div w:id="1196121127">
      <w:bodyDiv w:val="1"/>
      <w:marLeft w:val="0"/>
      <w:marRight w:val="0"/>
      <w:marTop w:val="0"/>
      <w:marBottom w:val="0"/>
      <w:divBdr>
        <w:top w:val="none" w:sz="0" w:space="0" w:color="auto"/>
        <w:left w:val="none" w:sz="0" w:space="0" w:color="auto"/>
        <w:bottom w:val="none" w:sz="0" w:space="0" w:color="auto"/>
        <w:right w:val="none" w:sz="0" w:space="0" w:color="auto"/>
      </w:divBdr>
    </w:div>
    <w:div w:id="1201236860">
      <w:bodyDiv w:val="1"/>
      <w:marLeft w:val="0"/>
      <w:marRight w:val="0"/>
      <w:marTop w:val="0"/>
      <w:marBottom w:val="0"/>
      <w:divBdr>
        <w:top w:val="none" w:sz="0" w:space="0" w:color="auto"/>
        <w:left w:val="none" w:sz="0" w:space="0" w:color="auto"/>
        <w:bottom w:val="none" w:sz="0" w:space="0" w:color="auto"/>
        <w:right w:val="none" w:sz="0" w:space="0" w:color="auto"/>
      </w:divBdr>
    </w:div>
    <w:div w:id="1209880265">
      <w:bodyDiv w:val="1"/>
      <w:marLeft w:val="0"/>
      <w:marRight w:val="0"/>
      <w:marTop w:val="0"/>
      <w:marBottom w:val="0"/>
      <w:divBdr>
        <w:top w:val="none" w:sz="0" w:space="0" w:color="auto"/>
        <w:left w:val="none" w:sz="0" w:space="0" w:color="auto"/>
        <w:bottom w:val="none" w:sz="0" w:space="0" w:color="auto"/>
        <w:right w:val="none" w:sz="0" w:space="0" w:color="auto"/>
      </w:divBdr>
    </w:div>
    <w:div w:id="1210458823">
      <w:bodyDiv w:val="1"/>
      <w:marLeft w:val="0"/>
      <w:marRight w:val="0"/>
      <w:marTop w:val="0"/>
      <w:marBottom w:val="0"/>
      <w:divBdr>
        <w:top w:val="none" w:sz="0" w:space="0" w:color="auto"/>
        <w:left w:val="none" w:sz="0" w:space="0" w:color="auto"/>
        <w:bottom w:val="none" w:sz="0" w:space="0" w:color="auto"/>
        <w:right w:val="none" w:sz="0" w:space="0" w:color="auto"/>
      </w:divBdr>
    </w:div>
    <w:div w:id="1221021647">
      <w:bodyDiv w:val="1"/>
      <w:marLeft w:val="120"/>
      <w:marRight w:val="120"/>
      <w:marTop w:val="0"/>
      <w:marBottom w:val="0"/>
      <w:divBdr>
        <w:top w:val="none" w:sz="0" w:space="0" w:color="auto"/>
        <w:left w:val="none" w:sz="0" w:space="0" w:color="auto"/>
        <w:bottom w:val="none" w:sz="0" w:space="0" w:color="auto"/>
        <w:right w:val="none" w:sz="0" w:space="0" w:color="auto"/>
      </w:divBdr>
    </w:div>
    <w:div w:id="1224415284">
      <w:bodyDiv w:val="1"/>
      <w:marLeft w:val="0"/>
      <w:marRight w:val="0"/>
      <w:marTop w:val="0"/>
      <w:marBottom w:val="0"/>
      <w:divBdr>
        <w:top w:val="none" w:sz="0" w:space="0" w:color="auto"/>
        <w:left w:val="none" w:sz="0" w:space="0" w:color="auto"/>
        <w:bottom w:val="none" w:sz="0" w:space="0" w:color="auto"/>
        <w:right w:val="none" w:sz="0" w:space="0" w:color="auto"/>
      </w:divBdr>
    </w:div>
    <w:div w:id="1229027146">
      <w:bodyDiv w:val="1"/>
      <w:marLeft w:val="0"/>
      <w:marRight w:val="0"/>
      <w:marTop w:val="0"/>
      <w:marBottom w:val="0"/>
      <w:divBdr>
        <w:top w:val="none" w:sz="0" w:space="0" w:color="auto"/>
        <w:left w:val="none" w:sz="0" w:space="0" w:color="auto"/>
        <w:bottom w:val="none" w:sz="0" w:space="0" w:color="auto"/>
        <w:right w:val="none" w:sz="0" w:space="0" w:color="auto"/>
      </w:divBdr>
    </w:div>
    <w:div w:id="1248922017">
      <w:bodyDiv w:val="1"/>
      <w:marLeft w:val="0"/>
      <w:marRight w:val="0"/>
      <w:marTop w:val="0"/>
      <w:marBottom w:val="0"/>
      <w:divBdr>
        <w:top w:val="none" w:sz="0" w:space="0" w:color="auto"/>
        <w:left w:val="none" w:sz="0" w:space="0" w:color="auto"/>
        <w:bottom w:val="none" w:sz="0" w:space="0" w:color="auto"/>
        <w:right w:val="none" w:sz="0" w:space="0" w:color="auto"/>
      </w:divBdr>
    </w:div>
    <w:div w:id="1264462044">
      <w:bodyDiv w:val="1"/>
      <w:marLeft w:val="0"/>
      <w:marRight w:val="0"/>
      <w:marTop w:val="0"/>
      <w:marBottom w:val="0"/>
      <w:divBdr>
        <w:top w:val="none" w:sz="0" w:space="0" w:color="auto"/>
        <w:left w:val="none" w:sz="0" w:space="0" w:color="auto"/>
        <w:bottom w:val="none" w:sz="0" w:space="0" w:color="auto"/>
        <w:right w:val="none" w:sz="0" w:space="0" w:color="auto"/>
      </w:divBdr>
    </w:div>
    <w:div w:id="1273129631">
      <w:bodyDiv w:val="1"/>
      <w:marLeft w:val="0"/>
      <w:marRight w:val="0"/>
      <w:marTop w:val="0"/>
      <w:marBottom w:val="0"/>
      <w:divBdr>
        <w:top w:val="none" w:sz="0" w:space="0" w:color="auto"/>
        <w:left w:val="none" w:sz="0" w:space="0" w:color="auto"/>
        <w:bottom w:val="none" w:sz="0" w:space="0" w:color="auto"/>
        <w:right w:val="none" w:sz="0" w:space="0" w:color="auto"/>
      </w:divBdr>
    </w:div>
    <w:div w:id="1282803259">
      <w:bodyDiv w:val="1"/>
      <w:marLeft w:val="120"/>
      <w:marRight w:val="120"/>
      <w:marTop w:val="0"/>
      <w:marBottom w:val="0"/>
      <w:divBdr>
        <w:top w:val="none" w:sz="0" w:space="0" w:color="auto"/>
        <w:left w:val="none" w:sz="0" w:space="0" w:color="auto"/>
        <w:bottom w:val="none" w:sz="0" w:space="0" w:color="auto"/>
        <w:right w:val="none" w:sz="0" w:space="0" w:color="auto"/>
      </w:divBdr>
    </w:div>
    <w:div w:id="1301808361">
      <w:bodyDiv w:val="1"/>
      <w:marLeft w:val="0"/>
      <w:marRight w:val="0"/>
      <w:marTop w:val="0"/>
      <w:marBottom w:val="0"/>
      <w:divBdr>
        <w:top w:val="none" w:sz="0" w:space="0" w:color="auto"/>
        <w:left w:val="none" w:sz="0" w:space="0" w:color="auto"/>
        <w:bottom w:val="none" w:sz="0" w:space="0" w:color="auto"/>
        <w:right w:val="none" w:sz="0" w:space="0" w:color="auto"/>
      </w:divBdr>
    </w:div>
    <w:div w:id="1309941702">
      <w:bodyDiv w:val="1"/>
      <w:marLeft w:val="0"/>
      <w:marRight w:val="0"/>
      <w:marTop w:val="0"/>
      <w:marBottom w:val="0"/>
      <w:divBdr>
        <w:top w:val="none" w:sz="0" w:space="0" w:color="auto"/>
        <w:left w:val="none" w:sz="0" w:space="0" w:color="auto"/>
        <w:bottom w:val="none" w:sz="0" w:space="0" w:color="auto"/>
        <w:right w:val="none" w:sz="0" w:space="0" w:color="auto"/>
      </w:divBdr>
    </w:div>
    <w:div w:id="1317876902">
      <w:bodyDiv w:val="1"/>
      <w:marLeft w:val="120"/>
      <w:marRight w:val="120"/>
      <w:marTop w:val="0"/>
      <w:marBottom w:val="0"/>
      <w:divBdr>
        <w:top w:val="none" w:sz="0" w:space="0" w:color="auto"/>
        <w:left w:val="none" w:sz="0" w:space="0" w:color="auto"/>
        <w:bottom w:val="none" w:sz="0" w:space="0" w:color="auto"/>
        <w:right w:val="none" w:sz="0" w:space="0" w:color="auto"/>
      </w:divBdr>
    </w:div>
    <w:div w:id="1326520330">
      <w:bodyDiv w:val="1"/>
      <w:marLeft w:val="0"/>
      <w:marRight w:val="0"/>
      <w:marTop w:val="0"/>
      <w:marBottom w:val="0"/>
      <w:divBdr>
        <w:top w:val="none" w:sz="0" w:space="0" w:color="auto"/>
        <w:left w:val="none" w:sz="0" w:space="0" w:color="auto"/>
        <w:bottom w:val="none" w:sz="0" w:space="0" w:color="auto"/>
        <w:right w:val="none" w:sz="0" w:space="0" w:color="auto"/>
      </w:divBdr>
    </w:div>
    <w:div w:id="1335112007">
      <w:bodyDiv w:val="1"/>
      <w:marLeft w:val="0"/>
      <w:marRight w:val="0"/>
      <w:marTop w:val="0"/>
      <w:marBottom w:val="0"/>
      <w:divBdr>
        <w:top w:val="none" w:sz="0" w:space="0" w:color="auto"/>
        <w:left w:val="none" w:sz="0" w:space="0" w:color="auto"/>
        <w:bottom w:val="none" w:sz="0" w:space="0" w:color="auto"/>
        <w:right w:val="none" w:sz="0" w:space="0" w:color="auto"/>
      </w:divBdr>
    </w:div>
    <w:div w:id="1349794062">
      <w:bodyDiv w:val="1"/>
      <w:marLeft w:val="0"/>
      <w:marRight w:val="0"/>
      <w:marTop w:val="0"/>
      <w:marBottom w:val="0"/>
      <w:divBdr>
        <w:top w:val="none" w:sz="0" w:space="0" w:color="auto"/>
        <w:left w:val="none" w:sz="0" w:space="0" w:color="auto"/>
        <w:bottom w:val="none" w:sz="0" w:space="0" w:color="auto"/>
        <w:right w:val="none" w:sz="0" w:space="0" w:color="auto"/>
      </w:divBdr>
    </w:div>
    <w:div w:id="1351176637">
      <w:bodyDiv w:val="1"/>
      <w:marLeft w:val="0"/>
      <w:marRight w:val="0"/>
      <w:marTop w:val="0"/>
      <w:marBottom w:val="0"/>
      <w:divBdr>
        <w:top w:val="none" w:sz="0" w:space="0" w:color="auto"/>
        <w:left w:val="none" w:sz="0" w:space="0" w:color="auto"/>
        <w:bottom w:val="none" w:sz="0" w:space="0" w:color="auto"/>
        <w:right w:val="none" w:sz="0" w:space="0" w:color="auto"/>
      </w:divBdr>
    </w:div>
    <w:div w:id="1352994599">
      <w:bodyDiv w:val="1"/>
      <w:marLeft w:val="0"/>
      <w:marRight w:val="0"/>
      <w:marTop w:val="0"/>
      <w:marBottom w:val="0"/>
      <w:divBdr>
        <w:top w:val="none" w:sz="0" w:space="0" w:color="auto"/>
        <w:left w:val="none" w:sz="0" w:space="0" w:color="auto"/>
        <w:bottom w:val="none" w:sz="0" w:space="0" w:color="auto"/>
        <w:right w:val="none" w:sz="0" w:space="0" w:color="auto"/>
      </w:divBdr>
    </w:div>
    <w:div w:id="1355839891">
      <w:bodyDiv w:val="1"/>
      <w:marLeft w:val="0"/>
      <w:marRight w:val="0"/>
      <w:marTop w:val="0"/>
      <w:marBottom w:val="0"/>
      <w:divBdr>
        <w:top w:val="none" w:sz="0" w:space="0" w:color="auto"/>
        <w:left w:val="none" w:sz="0" w:space="0" w:color="auto"/>
        <w:bottom w:val="none" w:sz="0" w:space="0" w:color="auto"/>
        <w:right w:val="none" w:sz="0" w:space="0" w:color="auto"/>
      </w:divBdr>
    </w:div>
    <w:div w:id="1359283463">
      <w:bodyDiv w:val="1"/>
      <w:marLeft w:val="120"/>
      <w:marRight w:val="120"/>
      <w:marTop w:val="0"/>
      <w:marBottom w:val="0"/>
      <w:divBdr>
        <w:top w:val="none" w:sz="0" w:space="0" w:color="auto"/>
        <w:left w:val="none" w:sz="0" w:space="0" w:color="auto"/>
        <w:bottom w:val="none" w:sz="0" w:space="0" w:color="auto"/>
        <w:right w:val="none" w:sz="0" w:space="0" w:color="auto"/>
      </w:divBdr>
    </w:div>
    <w:div w:id="1360275685">
      <w:bodyDiv w:val="1"/>
      <w:marLeft w:val="0"/>
      <w:marRight w:val="0"/>
      <w:marTop w:val="0"/>
      <w:marBottom w:val="0"/>
      <w:divBdr>
        <w:top w:val="none" w:sz="0" w:space="0" w:color="auto"/>
        <w:left w:val="none" w:sz="0" w:space="0" w:color="auto"/>
        <w:bottom w:val="none" w:sz="0" w:space="0" w:color="auto"/>
        <w:right w:val="none" w:sz="0" w:space="0" w:color="auto"/>
      </w:divBdr>
    </w:div>
    <w:div w:id="1361396660">
      <w:bodyDiv w:val="1"/>
      <w:marLeft w:val="0"/>
      <w:marRight w:val="0"/>
      <w:marTop w:val="0"/>
      <w:marBottom w:val="0"/>
      <w:divBdr>
        <w:top w:val="none" w:sz="0" w:space="0" w:color="auto"/>
        <w:left w:val="none" w:sz="0" w:space="0" w:color="auto"/>
        <w:bottom w:val="none" w:sz="0" w:space="0" w:color="auto"/>
        <w:right w:val="none" w:sz="0" w:space="0" w:color="auto"/>
      </w:divBdr>
    </w:div>
    <w:div w:id="1367489921">
      <w:bodyDiv w:val="1"/>
      <w:marLeft w:val="0"/>
      <w:marRight w:val="0"/>
      <w:marTop w:val="0"/>
      <w:marBottom w:val="0"/>
      <w:divBdr>
        <w:top w:val="none" w:sz="0" w:space="0" w:color="auto"/>
        <w:left w:val="none" w:sz="0" w:space="0" w:color="auto"/>
        <w:bottom w:val="none" w:sz="0" w:space="0" w:color="auto"/>
        <w:right w:val="none" w:sz="0" w:space="0" w:color="auto"/>
      </w:divBdr>
    </w:div>
    <w:div w:id="1372263375">
      <w:bodyDiv w:val="1"/>
      <w:marLeft w:val="0"/>
      <w:marRight w:val="0"/>
      <w:marTop w:val="0"/>
      <w:marBottom w:val="0"/>
      <w:divBdr>
        <w:top w:val="none" w:sz="0" w:space="0" w:color="auto"/>
        <w:left w:val="none" w:sz="0" w:space="0" w:color="auto"/>
        <w:bottom w:val="none" w:sz="0" w:space="0" w:color="auto"/>
        <w:right w:val="none" w:sz="0" w:space="0" w:color="auto"/>
      </w:divBdr>
    </w:div>
    <w:div w:id="1373116127">
      <w:bodyDiv w:val="1"/>
      <w:marLeft w:val="0"/>
      <w:marRight w:val="0"/>
      <w:marTop w:val="0"/>
      <w:marBottom w:val="0"/>
      <w:divBdr>
        <w:top w:val="none" w:sz="0" w:space="0" w:color="auto"/>
        <w:left w:val="none" w:sz="0" w:space="0" w:color="auto"/>
        <w:bottom w:val="none" w:sz="0" w:space="0" w:color="auto"/>
        <w:right w:val="none" w:sz="0" w:space="0" w:color="auto"/>
      </w:divBdr>
    </w:div>
    <w:div w:id="1385981258">
      <w:bodyDiv w:val="1"/>
      <w:marLeft w:val="0"/>
      <w:marRight w:val="0"/>
      <w:marTop w:val="0"/>
      <w:marBottom w:val="0"/>
      <w:divBdr>
        <w:top w:val="none" w:sz="0" w:space="0" w:color="auto"/>
        <w:left w:val="none" w:sz="0" w:space="0" w:color="auto"/>
        <w:bottom w:val="none" w:sz="0" w:space="0" w:color="auto"/>
        <w:right w:val="none" w:sz="0" w:space="0" w:color="auto"/>
      </w:divBdr>
    </w:div>
    <w:div w:id="1390616815">
      <w:bodyDiv w:val="1"/>
      <w:marLeft w:val="120"/>
      <w:marRight w:val="120"/>
      <w:marTop w:val="0"/>
      <w:marBottom w:val="0"/>
      <w:divBdr>
        <w:top w:val="none" w:sz="0" w:space="0" w:color="auto"/>
        <w:left w:val="none" w:sz="0" w:space="0" w:color="auto"/>
        <w:bottom w:val="none" w:sz="0" w:space="0" w:color="auto"/>
        <w:right w:val="none" w:sz="0" w:space="0" w:color="auto"/>
      </w:divBdr>
    </w:div>
    <w:div w:id="1397166048">
      <w:bodyDiv w:val="1"/>
      <w:marLeft w:val="120"/>
      <w:marRight w:val="120"/>
      <w:marTop w:val="0"/>
      <w:marBottom w:val="0"/>
      <w:divBdr>
        <w:top w:val="none" w:sz="0" w:space="0" w:color="auto"/>
        <w:left w:val="none" w:sz="0" w:space="0" w:color="auto"/>
        <w:bottom w:val="none" w:sz="0" w:space="0" w:color="auto"/>
        <w:right w:val="none" w:sz="0" w:space="0" w:color="auto"/>
      </w:divBdr>
    </w:div>
    <w:div w:id="1448158405">
      <w:bodyDiv w:val="1"/>
      <w:marLeft w:val="0"/>
      <w:marRight w:val="0"/>
      <w:marTop w:val="0"/>
      <w:marBottom w:val="0"/>
      <w:divBdr>
        <w:top w:val="none" w:sz="0" w:space="0" w:color="auto"/>
        <w:left w:val="none" w:sz="0" w:space="0" w:color="auto"/>
        <w:bottom w:val="none" w:sz="0" w:space="0" w:color="auto"/>
        <w:right w:val="none" w:sz="0" w:space="0" w:color="auto"/>
      </w:divBdr>
    </w:div>
    <w:div w:id="1465582015">
      <w:bodyDiv w:val="1"/>
      <w:marLeft w:val="0"/>
      <w:marRight w:val="0"/>
      <w:marTop w:val="0"/>
      <w:marBottom w:val="0"/>
      <w:divBdr>
        <w:top w:val="none" w:sz="0" w:space="0" w:color="auto"/>
        <w:left w:val="none" w:sz="0" w:space="0" w:color="auto"/>
        <w:bottom w:val="none" w:sz="0" w:space="0" w:color="auto"/>
        <w:right w:val="none" w:sz="0" w:space="0" w:color="auto"/>
      </w:divBdr>
    </w:div>
    <w:div w:id="1468280637">
      <w:bodyDiv w:val="1"/>
      <w:marLeft w:val="0"/>
      <w:marRight w:val="0"/>
      <w:marTop w:val="0"/>
      <w:marBottom w:val="0"/>
      <w:divBdr>
        <w:top w:val="none" w:sz="0" w:space="0" w:color="auto"/>
        <w:left w:val="none" w:sz="0" w:space="0" w:color="auto"/>
        <w:bottom w:val="none" w:sz="0" w:space="0" w:color="auto"/>
        <w:right w:val="none" w:sz="0" w:space="0" w:color="auto"/>
      </w:divBdr>
    </w:div>
    <w:div w:id="1487015632">
      <w:bodyDiv w:val="1"/>
      <w:marLeft w:val="0"/>
      <w:marRight w:val="0"/>
      <w:marTop w:val="0"/>
      <w:marBottom w:val="0"/>
      <w:divBdr>
        <w:top w:val="none" w:sz="0" w:space="0" w:color="auto"/>
        <w:left w:val="none" w:sz="0" w:space="0" w:color="auto"/>
        <w:bottom w:val="none" w:sz="0" w:space="0" w:color="auto"/>
        <w:right w:val="none" w:sz="0" w:space="0" w:color="auto"/>
      </w:divBdr>
    </w:div>
    <w:div w:id="1494878606">
      <w:bodyDiv w:val="1"/>
      <w:marLeft w:val="0"/>
      <w:marRight w:val="0"/>
      <w:marTop w:val="0"/>
      <w:marBottom w:val="0"/>
      <w:divBdr>
        <w:top w:val="none" w:sz="0" w:space="0" w:color="auto"/>
        <w:left w:val="none" w:sz="0" w:space="0" w:color="auto"/>
        <w:bottom w:val="none" w:sz="0" w:space="0" w:color="auto"/>
        <w:right w:val="none" w:sz="0" w:space="0" w:color="auto"/>
      </w:divBdr>
    </w:div>
    <w:div w:id="1496415590">
      <w:bodyDiv w:val="1"/>
      <w:marLeft w:val="120"/>
      <w:marRight w:val="120"/>
      <w:marTop w:val="0"/>
      <w:marBottom w:val="0"/>
      <w:divBdr>
        <w:top w:val="none" w:sz="0" w:space="0" w:color="auto"/>
        <w:left w:val="none" w:sz="0" w:space="0" w:color="auto"/>
        <w:bottom w:val="none" w:sz="0" w:space="0" w:color="auto"/>
        <w:right w:val="none" w:sz="0" w:space="0" w:color="auto"/>
      </w:divBdr>
    </w:div>
    <w:div w:id="1519537527">
      <w:bodyDiv w:val="1"/>
      <w:marLeft w:val="0"/>
      <w:marRight w:val="0"/>
      <w:marTop w:val="0"/>
      <w:marBottom w:val="0"/>
      <w:divBdr>
        <w:top w:val="none" w:sz="0" w:space="0" w:color="auto"/>
        <w:left w:val="none" w:sz="0" w:space="0" w:color="auto"/>
        <w:bottom w:val="none" w:sz="0" w:space="0" w:color="auto"/>
        <w:right w:val="none" w:sz="0" w:space="0" w:color="auto"/>
      </w:divBdr>
    </w:div>
    <w:div w:id="1519807437">
      <w:bodyDiv w:val="1"/>
      <w:marLeft w:val="0"/>
      <w:marRight w:val="0"/>
      <w:marTop w:val="0"/>
      <w:marBottom w:val="0"/>
      <w:divBdr>
        <w:top w:val="none" w:sz="0" w:space="0" w:color="auto"/>
        <w:left w:val="none" w:sz="0" w:space="0" w:color="auto"/>
        <w:bottom w:val="none" w:sz="0" w:space="0" w:color="auto"/>
        <w:right w:val="none" w:sz="0" w:space="0" w:color="auto"/>
      </w:divBdr>
    </w:div>
    <w:div w:id="1524438052">
      <w:bodyDiv w:val="1"/>
      <w:marLeft w:val="0"/>
      <w:marRight w:val="0"/>
      <w:marTop w:val="0"/>
      <w:marBottom w:val="0"/>
      <w:divBdr>
        <w:top w:val="none" w:sz="0" w:space="0" w:color="auto"/>
        <w:left w:val="none" w:sz="0" w:space="0" w:color="auto"/>
        <w:bottom w:val="none" w:sz="0" w:space="0" w:color="auto"/>
        <w:right w:val="none" w:sz="0" w:space="0" w:color="auto"/>
      </w:divBdr>
    </w:div>
    <w:div w:id="1547831599">
      <w:bodyDiv w:val="1"/>
      <w:marLeft w:val="0"/>
      <w:marRight w:val="0"/>
      <w:marTop w:val="0"/>
      <w:marBottom w:val="0"/>
      <w:divBdr>
        <w:top w:val="none" w:sz="0" w:space="0" w:color="auto"/>
        <w:left w:val="none" w:sz="0" w:space="0" w:color="auto"/>
        <w:bottom w:val="none" w:sz="0" w:space="0" w:color="auto"/>
        <w:right w:val="none" w:sz="0" w:space="0" w:color="auto"/>
      </w:divBdr>
    </w:div>
    <w:div w:id="1549610445">
      <w:bodyDiv w:val="1"/>
      <w:marLeft w:val="0"/>
      <w:marRight w:val="0"/>
      <w:marTop w:val="0"/>
      <w:marBottom w:val="0"/>
      <w:divBdr>
        <w:top w:val="none" w:sz="0" w:space="0" w:color="auto"/>
        <w:left w:val="none" w:sz="0" w:space="0" w:color="auto"/>
        <w:bottom w:val="none" w:sz="0" w:space="0" w:color="auto"/>
        <w:right w:val="none" w:sz="0" w:space="0" w:color="auto"/>
      </w:divBdr>
    </w:div>
    <w:div w:id="1560164999">
      <w:bodyDiv w:val="1"/>
      <w:marLeft w:val="0"/>
      <w:marRight w:val="0"/>
      <w:marTop w:val="0"/>
      <w:marBottom w:val="0"/>
      <w:divBdr>
        <w:top w:val="none" w:sz="0" w:space="0" w:color="auto"/>
        <w:left w:val="none" w:sz="0" w:space="0" w:color="auto"/>
        <w:bottom w:val="none" w:sz="0" w:space="0" w:color="auto"/>
        <w:right w:val="none" w:sz="0" w:space="0" w:color="auto"/>
      </w:divBdr>
    </w:div>
    <w:div w:id="1615360275">
      <w:bodyDiv w:val="1"/>
      <w:marLeft w:val="0"/>
      <w:marRight w:val="0"/>
      <w:marTop w:val="0"/>
      <w:marBottom w:val="0"/>
      <w:divBdr>
        <w:top w:val="none" w:sz="0" w:space="0" w:color="auto"/>
        <w:left w:val="none" w:sz="0" w:space="0" w:color="auto"/>
        <w:bottom w:val="none" w:sz="0" w:space="0" w:color="auto"/>
        <w:right w:val="none" w:sz="0" w:space="0" w:color="auto"/>
      </w:divBdr>
    </w:div>
    <w:div w:id="1618638369">
      <w:bodyDiv w:val="1"/>
      <w:marLeft w:val="120"/>
      <w:marRight w:val="120"/>
      <w:marTop w:val="0"/>
      <w:marBottom w:val="0"/>
      <w:divBdr>
        <w:top w:val="none" w:sz="0" w:space="0" w:color="auto"/>
        <w:left w:val="none" w:sz="0" w:space="0" w:color="auto"/>
        <w:bottom w:val="none" w:sz="0" w:space="0" w:color="auto"/>
        <w:right w:val="none" w:sz="0" w:space="0" w:color="auto"/>
      </w:divBdr>
    </w:div>
    <w:div w:id="1685092465">
      <w:bodyDiv w:val="1"/>
      <w:marLeft w:val="120"/>
      <w:marRight w:val="120"/>
      <w:marTop w:val="0"/>
      <w:marBottom w:val="0"/>
      <w:divBdr>
        <w:top w:val="none" w:sz="0" w:space="0" w:color="auto"/>
        <w:left w:val="none" w:sz="0" w:space="0" w:color="auto"/>
        <w:bottom w:val="none" w:sz="0" w:space="0" w:color="auto"/>
        <w:right w:val="none" w:sz="0" w:space="0" w:color="auto"/>
      </w:divBdr>
    </w:div>
    <w:div w:id="1687293246">
      <w:bodyDiv w:val="1"/>
      <w:marLeft w:val="120"/>
      <w:marRight w:val="120"/>
      <w:marTop w:val="0"/>
      <w:marBottom w:val="0"/>
      <w:divBdr>
        <w:top w:val="none" w:sz="0" w:space="0" w:color="auto"/>
        <w:left w:val="none" w:sz="0" w:space="0" w:color="auto"/>
        <w:bottom w:val="none" w:sz="0" w:space="0" w:color="auto"/>
        <w:right w:val="none" w:sz="0" w:space="0" w:color="auto"/>
      </w:divBdr>
    </w:div>
    <w:div w:id="1698309700">
      <w:bodyDiv w:val="1"/>
      <w:marLeft w:val="0"/>
      <w:marRight w:val="0"/>
      <w:marTop w:val="0"/>
      <w:marBottom w:val="0"/>
      <w:divBdr>
        <w:top w:val="none" w:sz="0" w:space="0" w:color="auto"/>
        <w:left w:val="none" w:sz="0" w:space="0" w:color="auto"/>
        <w:bottom w:val="none" w:sz="0" w:space="0" w:color="auto"/>
        <w:right w:val="none" w:sz="0" w:space="0" w:color="auto"/>
      </w:divBdr>
    </w:div>
    <w:div w:id="1718120142">
      <w:bodyDiv w:val="1"/>
      <w:marLeft w:val="120"/>
      <w:marRight w:val="120"/>
      <w:marTop w:val="0"/>
      <w:marBottom w:val="0"/>
      <w:divBdr>
        <w:top w:val="none" w:sz="0" w:space="0" w:color="auto"/>
        <w:left w:val="none" w:sz="0" w:space="0" w:color="auto"/>
        <w:bottom w:val="none" w:sz="0" w:space="0" w:color="auto"/>
        <w:right w:val="none" w:sz="0" w:space="0" w:color="auto"/>
      </w:divBdr>
    </w:div>
    <w:div w:id="1725912598">
      <w:bodyDiv w:val="1"/>
      <w:marLeft w:val="0"/>
      <w:marRight w:val="0"/>
      <w:marTop w:val="0"/>
      <w:marBottom w:val="0"/>
      <w:divBdr>
        <w:top w:val="none" w:sz="0" w:space="0" w:color="auto"/>
        <w:left w:val="none" w:sz="0" w:space="0" w:color="auto"/>
        <w:bottom w:val="none" w:sz="0" w:space="0" w:color="auto"/>
        <w:right w:val="none" w:sz="0" w:space="0" w:color="auto"/>
      </w:divBdr>
    </w:div>
    <w:div w:id="1743412043">
      <w:bodyDiv w:val="1"/>
      <w:marLeft w:val="0"/>
      <w:marRight w:val="0"/>
      <w:marTop w:val="0"/>
      <w:marBottom w:val="0"/>
      <w:divBdr>
        <w:top w:val="none" w:sz="0" w:space="0" w:color="auto"/>
        <w:left w:val="none" w:sz="0" w:space="0" w:color="auto"/>
        <w:bottom w:val="none" w:sz="0" w:space="0" w:color="auto"/>
        <w:right w:val="none" w:sz="0" w:space="0" w:color="auto"/>
      </w:divBdr>
    </w:div>
    <w:div w:id="1750688680">
      <w:bodyDiv w:val="1"/>
      <w:marLeft w:val="0"/>
      <w:marRight w:val="0"/>
      <w:marTop w:val="0"/>
      <w:marBottom w:val="0"/>
      <w:divBdr>
        <w:top w:val="none" w:sz="0" w:space="0" w:color="auto"/>
        <w:left w:val="none" w:sz="0" w:space="0" w:color="auto"/>
        <w:bottom w:val="none" w:sz="0" w:space="0" w:color="auto"/>
        <w:right w:val="none" w:sz="0" w:space="0" w:color="auto"/>
      </w:divBdr>
    </w:div>
    <w:div w:id="1780106363">
      <w:bodyDiv w:val="1"/>
      <w:marLeft w:val="0"/>
      <w:marRight w:val="0"/>
      <w:marTop w:val="0"/>
      <w:marBottom w:val="0"/>
      <w:divBdr>
        <w:top w:val="none" w:sz="0" w:space="0" w:color="auto"/>
        <w:left w:val="none" w:sz="0" w:space="0" w:color="auto"/>
        <w:bottom w:val="none" w:sz="0" w:space="0" w:color="auto"/>
        <w:right w:val="none" w:sz="0" w:space="0" w:color="auto"/>
      </w:divBdr>
    </w:div>
    <w:div w:id="1789469029">
      <w:bodyDiv w:val="1"/>
      <w:marLeft w:val="0"/>
      <w:marRight w:val="0"/>
      <w:marTop w:val="0"/>
      <w:marBottom w:val="0"/>
      <w:divBdr>
        <w:top w:val="none" w:sz="0" w:space="0" w:color="auto"/>
        <w:left w:val="none" w:sz="0" w:space="0" w:color="auto"/>
        <w:bottom w:val="none" w:sz="0" w:space="0" w:color="auto"/>
        <w:right w:val="none" w:sz="0" w:space="0" w:color="auto"/>
      </w:divBdr>
    </w:div>
    <w:div w:id="1790661981">
      <w:bodyDiv w:val="1"/>
      <w:marLeft w:val="0"/>
      <w:marRight w:val="0"/>
      <w:marTop w:val="0"/>
      <w:marBottom w:val="0"/>
      <w:divBdr>
        <w:top w:val="none" w:sz="0" w:space="0" w:color="auto"/>
        <w:left w:val="none" w:sz="0" w:space="0" w:color="auto"/>
        <w:bottom w:val="none" w:sz="0" w:space="0" w:color="auto"/>
        <w:right w:val="none" w:sz="0" w:space="0" w:color="auto"/>
      </w:divBdr>
    </w:div>
    <w:div w:id="1796872785">
      <w:bodyDiv w:val="1"/>
      <w:marLeft w:val="0"/>
      <w:marRight w:val="0"/>
      <w:marTop w:val="0"/>
      <w:marBottom w:val="0"/>
      <w:divBdr>
        <w:top w:val="none" w:sz="0" w:space="0" w:color="auto"/>
        <w:left w:val="none" w:sz="0" w:space="0" w:color="auto"/>
        <w:bottom w:val="none" w:sz="0" w:space="0" w:color="auto"/>
        <w:right w:val="none" w:sz="0" w:space="0" w:color="auto"/>
      </w:divBdr>
    </w:div>
    <w:div w:id="1797068784">
      <w:bodyDiv w:val="1"/>
      <w:marLeft w:val="0"/>
      <w:marRight w:val="0"/>
      <w:marTop w:val="0"/>
      <w:marBottom w:val="0"/>
      <w:divBdr>
        <w:top w:val="none" w:sz="0" w:space="0" w:color="auto"/>
        <w:left w:val="none" w:sz="0" w:space="0" w:color="auto"/>
        <w:bottom w:val="none" w:sz="0" w:space="0" w:color="auto"/>
        <w:right w:val="none" w:sz="0" w:space="0" w:color="auto"/>
      </w:divBdr>
    </w:div>
    <w:div w:id="1832477098">
      <w:bodyDiv w:val="1"/>
      <w:marLeft w:val="0"/>
      <w:marRight w:val="0"/>
      <w:marTop w:val="0"/>
      <w:marBottom w:val="0"/>
      <w:divBdr>
        <w:top w:val="none" w:sz="0" w:space="0" w:color="auto"/>
        <w:left w:val="none" w:sz="0" w:space="0" w:color="auto"/>
        <w:bottom w:val="none" w:sz="0" w:space="0" w:color="auto"/>
        <w:right w:val="none" w:sz="0" w:space="0" w:color="auto"/>
      </w:divBdr>
    </w:div>
    <w:div w:id="1861429161">
      <w:bodyDiv w:val="1"/>
      <w:marLeft w:val="0"/>
      <w:marRight w:val="0"/>
      <w:marTop w:val="0"/>
      <w:marBottom w:val="0"/>
      <w:divBdr>
        <w:top w:val="none" w:sz="0" w:space="0" w:color="auto"/>
        <w:left w:val="none" w:sz="0" w:space="0" w:color="auto"/>
        <w:bottom w:val="none" w:sz="0" w:space="0" w:color="auto"/>
        <w:right w:val="none" w:sz="0" w:space="0" w:color="auto"/>
      </w:divBdr>
    </w:div>
    <w:div w:id="1861819789">
      <w:bodyDiv w:val="1"/>
      <w:marLeft w:val="120"/>
      <w:marRight w:val="120"/>
      <w:marTop w:val="0"/>
      <w:marBottom w:val="0"/>
      <w:divBdr>
        <w:top w:val="none" w:sz="0" w:space="0" w:color="auto"/>
        <w:left w:val="none" w:sz="0" w:space="0" w:color="auto"/>
        <w:bottom w:val="none" w:sz="0" w:space="0" w:color="auto"/>
        <w:right w:val="none" w:sz="0" w:space="0" w:color="auto"/>
      </w:divBdr>
    </w:div>
    <w:div w:id="1869490977">
      <w:bodyDiv w:val="1"/>
      <w:marLeft w:val="0"/>
      <w:marRight w:val="0"/>
      <w:marTop w:val="0"/>
      <w:marBottom w:val="0"/>
      <w:divBdr>
        <w:top w:val="none" w:sz="0" w:space="0" w:color="auto"/>
        <w:left w:val="none" w:sz="0" w:space="0" w:color="auto"/>
        <w:bottom w:val="none" w:sz="0" w:space="0" w:color="auto"/>
        <w:right w:val="none" w:sz="0" w:space="0" w:color="auto"/>
      </w:divBdr>
    </w:div>
    <w:div w:id="1894465949">
      <w:bodyDiv w:val="1"/>
      <w:marLeft w:val="0"/>
      <w:marRight w:val="0"/>
      <w:marTop w:val="0"/>
      <w:marBottom w:val="0"/>
      <w:divBdr>
        <w:top w:val="none" w:sz="0" w:space="0" w:color="auto"/>
        <w:left w:val="none" w:sz="0" w:space="0" w:color="auto"/>
        <w:bottom w:val="none" w:sz="0" w:space="0" w:color="auto"/>
        <w:right w:val="none" w:sz="0" w:space="0" w:color="auto"/>
      </w:divBdr>
    </w:div>
    <w:div w:id="1900283266">
      <w:bodyDiv w:val="1"/>
      <w:marLeft w:val="0"/>
      <w:marRight w:val="0"/>
      <w:marTop w:val="0"/>
      <w:marBottom w:val="0"/>
      <w:divBdr>
        <w:top w:val="none" w:sz="0" w:space="0" w:color="auto"/>
        <w:left w:val="none" w:sz="0" w:space="0" w:color="auto"/>
        <w:bottom w:val="none" w:sz="0" w:space="0" w:color="auto"/>
        <w:right w:val="none" w:sz="0" w:space="0" w:color="auto"/>
      </w:divBdr>
    </w:div>
    <w:div w:id="1902983509">
      <w:bodyDiv w:val="1"/>
      <w:marLeft w:val="120"/>
      <w:marRight w:val="120"/>
      <w:marTop w:val="0"/>
      <w:marBottom w:val="0"/>
      <w:divBdr>
        <w:top w:val="none" w:sz="0" w:space="0" w:color="auto"/>
        <w:left w:val="none" w:sz="0" w:space="0" w:color="auto"/>
        <w:bottom w:val="none" w:sz="0" w:space="0" w:color="auto"/>
        <w:right w:val="none" w:sz="0" w:space="0" w:color="auto"/>
      </w:divBdr>
    </w:div>
    <w:div w:id="1928683857">
      <w:bodyDiv w:val="1"/>
      <w:marLeft w:val="0"/>
      <w:marRight w:val="0"/>
      <w:marTop w:val="0"/>
      <w:marBottom w:val="0"/>
      <w:divBdr>
        <w:top w:val="none" w:sz="0" w:space="0" w:color="auto"/>
        <w:left w:val="none" w:sz="0" w:space="0" w:color="auto"/>
        <w:bottom w:val="none" w:sz="0" w:space="0" w:color="auto"/>
        <w:right w:val="none" w:sz="0" w:space="0" w:color="auto"/>
      </w:divBdr>
      <w:divsChild>
        <w:div w:id="1547374382">
          <w:marLeft w:val="0"/>
          <w:marRight w:val="0"/>
          <w:marTop w:val="0"/>
          <w:marBottom w:val="0"/>
          <w:divBdr>
            <w:top w:val="none" w:sz="0" w:space="0" w:color="auto"/>
            <w:left w:val="none" w:sz="0" w:space="0" w:color="auto"/>
            <w:bottom w:val="none" w:sz="0" w:space="0" w:color="auto"/>
            <w:right w:val="none" w:sz="0" w:space="0" w:color="auto"/>
          </w:divBdr>
          <w:divsChild>
            <w:div w:id="1956013943">
              <w:marLeft w:val="0"/>
              <w:marRight w:val="0"/>
              <w:marTop w:val="0"/>
              <w:marBottom w:val="0"/>
              <w:divBdr>
                <w:top w:val="none" w:sz="0" w:space="0" w:color="auto"/>
                <w:left w:val="none" w:sz="0" w:space="0" w:color="auto"/>
                <w:bottom w:val="none" w:sz="0" w:space="0" w:color="auto"/>
                <w:right w:val="none" w:sz="0" w:space="0" w:color="auto"/>
              </w:divBdr>
              <w:divsChild>
                <w:div w:id="1935243656">
                  <w:marLeft w:val="0"/>
                  <w:marRight w:val="0"/>
                  <w:marTop w:val="0"/>
                  <w:marBottom w:val="0"/>
                  <w:divBdr>
                    <w:top w:val="none" w:sz="0" w:space="0" w:color="auto"/>
                    <w:left w:val="none" w:sz="0" w:space="0" w:color="auto"/>
                    <w:bottom w:val="none" w:sz="0" w:space="0" w:color="auto"/>
                    <w:right w:val="none" w:sz="0" w:space="0" w:color="auto"/>
                  </w:divBdr>
                  <w:divsChild>
                    <w:div w:id="1660309306">
                      <w:marLeft w:val="0"/>
                      <w:marRight w:val="0"/>
                      <w:marTop w:val="0"/>
                      <w:marBottom w:val="0"/>
                      <w:divBdr>
                        <w:top w:val="none" w:sz="0" w:space="0" w:color="auto"/>
                        <w:left w:val="none" w:sz="0" w:space="0" w:color="auto"/>
                        <w:bottom w:val="none" w:sz="0" w:space="0" w:color="auto"/>
                        <w:right w:val="none" w:sz="0" w:space="0" w:color="auto"/>
                      </w:divBdr>
                      <w:divsChild>
                        <w:div w:id="1943486267">
                          <w:marLeft w:val="0"/>
                          <w:marRight w:val="0"/>
                          <w:marTop w:val="45"/>
                          <w:marBottom w:val="0"/>
                          <w:divBdr>
                            <w:top w:val="none" w:sz="0" w:space="0" w:color="auto"/>
                            <w:left w:val="none" w:sz="0" w:space="0" w:color="auto"/>
                            <w:bottom w:val="none" w:sz="0" w:space="0" w:color="auto"/>
                            <w:right w:val="none" w:sz="0" w:space="0" w:color="auto"/>
                          </w:divBdr>
                          <w:divsChild>
                            <w:div w:id="1504516801">
                              <w:marLeft w:val="0"/>
                              <w:marRight w:val="0"/>
                              <w:marTop w:val="0"/>
                              <w:marBottom w:val="0"/>
                              <w:divBdr>
                                <w:top w:val="none" w:sz="0" w:space="0" w:color="auto"/>
                                <w:left w:val="none" w:sz="0" w:space="0" w:color="auto"/>
                                <w:bottom w:val="none" w:sz="0" w:space="0" w:color="auto"/>
                                <w:right w:val="none" w:sz="0" w:space="0" w:color="auto"/>
                              </w:divBdr>
                              <w:divsChild>
                                <w:div w:id="433131410">
                                  <w:marLeft w:val="2070"/>
                                  <w:marRight w:val="3810"/>
                                  <w:marTop w:val="0"/>
                                  <w:marBottom w:val="0"/>
                                  <w:divBdr>
                                    <w:top w:val="none" w:sz="0" w:space="0" w:color="auto"/>
                                    <w:left w:val="none" w:sz="0" w:space="0" w:color="auto"/>
                                    <w:bottom w:val="none" w:sz="0" w:space="0" w:color="auto"/>
                                    <w:right w:val="none" w:sz="0" w:space="0" w:color="auto"/>
                                  </w:divBdr>
                                  <w:divsChild>
                                    <w:div w:id="533923711">
                                      <w:marLeft w:val="0"/>
                                      <w:marRight w:val="0"/>
                                      <w:marTop w:val="0"/>
                                      <w:marBottom w:val="0"/>
                                      <w:divBdr>
                                        <w:top w:val="none" w:sz="0" w:space="0" w:color="auto"/>
                                        <w:left w:val="none" w:sz="0" w:space="0" w:color="auto"/>
                                        <w:bottom w:val="none" w:sz="0" w:space="0" w:color="auto"/>
                                        <w:right w:val="none" w:sz="0" w:space="0" w:color="auto"/>
                                      </w:divBdr>
                                      <w:divsChild>
                                        <w:div w:id="1226061165">
                                          <w:marLeft w:val="0"/>
                                          <w:marRight w:val="0"/>
                                          <w:marTop w:val="0"/>
                                          <w:marBottom w:val="0"/>
                                          <w:divBdr>
                                            <w:top w:val="none" w:sz="0" w:space="0" w:color="auto"/>
                                            <w:left w:val="none" w:sz="0" w:space="0" w:color="auto"/>
                                            <w:bottom w:val="none" w:sz="0" w:space="0" w:color="auto"/>
                                            <w:right w:val="none" w:sz="0" w:space="0" w:color="auto"/>
                                          </w:divBdr>
                                          <w:divsChild>
                                            <w:div w:id="1840152296">
                                              <w:marLeft w:val="0"/>
                                              <w:marRight w:val="0"/>
                                              <w:marTop w:val="0"/>
                                              <w:marBottom w:val="0"/>
                                              <w:divBdr>
                                                <w:top w:val="none" w:sz="0" w:space="0" w:color="auto"/>
                                                <w:left w:val="none" w:sz="0" w:space="0" w:color="auto"/>
                                                <w:bottom w:val="none" w:sz="0" w:space="0" w:color="auto"/>
                                                <w:right w:val="none" w:sz="0" w:space="0" w:color="auto"/>
                                              </w:divBdr>
                                              <w:divsChild>
                                                <w:div w:id="1506095721">
                                                  <w:marLeft w:val="0"/>
                                                  <w:marRight w:val="0"/>
                                                  <w:marTop w:val="90"/>
                                                  <w:marBottom w:val="0"/>
                                                  <w:divBdr>
                                                    <w:top w:val="none" w:sz="0" w:space="0" w:color="auto"/>
                                                    <w:left w:val="none" w:sz="0" w:space="0" w:color="auto"/>
                                                    <w:bottom w:val="none" w:sz="0" w:space="0" w:color="auto"/>
                                                    <w:right w:val="none" w:sz="0" w:space="0" w:color="auto"/>
                                                  </w:divBdr>
                                                  <w:divsChild>
                                                    <w:div w:id="1679768155">
                                                      <w:marLeft w:val="0"/>
                                                      <w:marRight w:val="0"/>
                                                      <w:marTop w:val="0"/>
                                                      <w:marBottom w:val="0"/>
                                                      <w:divBdr>
                                                        <w:top w:val="none" w:sz="0" w:space="0" w:color="auto"/>
                                                        <w:left w:val="none" w:sz="0" w:space="0" w:color="auto"/>
                                                        <w:bottom w:val="none" w:sz="0" w:space="0" w:color="auto"/>
                                                        <w:right w:val="none" w:sz="0" w:space="0" w:color="auto"/>
                                                      </w:divBdr>
                                                      <w:divsChild>
                                                        <w:div w:id="2111005979">
                                                          <w:marLeft w:val="0"/>
                                                          <w:marRight w:val="0"/>
                                                          <w:marTop w:val="0"/>
                                                          <w:marBottom w:val="0"/>
                                                          <w:divBdr>
                                                            <w:top w:val="none" w:sz="0" w:space="0" w:color="auto"/>
                                                            <w:left w:val="none" w:sz="0" w:space="0" w:color="auto"/>
                                                            <w:bottom w:val="none" w:sz="0" w:space="0" w:color="auto"/>
                                                            <w:right w:val="none" w:sz="0" w:space="0" w:color="auto"/>
                                                          </w:divBdr>
                                                          <w:divsChild>
                                                            <w:div w:id="1956519718">
                                                              <w:marLeft w:val="0"/>
                                                              <w:marRight w:val="0"/>
                                                              <w:marTop w:val="0"/>
                                                              <w:marBottom w:val="0"/>
                                                              <w:divBdr>
                                                                <w:top w:val="none" w:sz="0" w:space="0" w:color="auto"/>
                                                                <w:left w:val="none" w:sz="0" w:space="0" w:color="auto"/>
                                                                <w:bottom w:val="none" w:sz="0" w:space="0" w:color="auto"/>
                                                                <w:right w:val="none" w:sz="0" w:space="0" w:color="auto"/>
                                                              </w:divBdr>
                                                              <w:divsChild>
                                                                <w:div w:id="1523980886">
                                                                  <w:marLeft w:val="0"/>
                                                                  <w:marRight w:val="0"/>
                                                                  <w:marTop w:val="0"/>
                                                                  <w:marBottom w:val="390"/>
                                                                  <w:divBdr>
                                                                    <w:top w:val="none" w:sz="0" w:space="0" w:color="auto"/>
                                                                    <w:left w:val="none" w:sz="0" w:space="0" w:color="auto"/>
                                                                    <w:bottom w:val="none" w:sz="0" w:space="0" w:color="auto"/>
                                                                    <w:right w:val="none" w:sz="0" w:space="0" w:color="auto"/>
                                                                  </w:divBdr>
                                                                  <w:divsChild>
                                                                    <w:div w:id="109713739">
                                                                      <w:marLeft w:val="0"/>
                                                                      <w:marRight w:val="0"/>
                                                                      <w:marTop w:val="0"/>
                                                                      <w:marBottom w:val="0"/>
                                                                      <w:divBdr>
                                                                        <w:top w:val="none" w:sz="0" w:space="0" w:color="auto"/>
                                                                        <w:left w:val="none" w:sz="0" w:space="0" w:color="auto"/>
                                                                        <w:bottom w:val="none" w:sz="0" w:space="0" w:color="auto"/>
                                                                        <w:right w:val="none" w:sz="0" w:space="0" w:color="auto"/>
                                                                      </w:divBdr>
                                                                      <w:divsChild>
                                                                        <w:div w:id="230506090">
                                                                          <w:marLeft w:val="0"/>
                                                                          <w:marRight w:val="0"/>
                                                                          <w:marTop w:val="0"/>
                                                                          <w:marBottom w:val="0"/>
                                                                          <w:divBdr>
                                                                            <w:top w:val="none" w:sz="0" w:space="0" w:color="auto"/>
                                                                            <w:left w:val="none" w:sz="0" w:space="0" w:color="auto"/>
                                                                            <w:bottom w:val="none" w:sz="0" w:space="0" w:color="auto"/>
                                                                            <w:right w:val="none" w:sz="0" w:space="0" w:color="auto"/>
                                                                          </w:divBdr>
                                                                          <w:divsChild>
                                                                            <w:div w:id="848787828">
                                                                              <w:marLeft w:val="0"/>
                                                                              <w:marRight w:val="0"/>
                                                                              <w:marTop w:val="0"/>
                                                                              <w:marBottom w:val="0"/>
                                                                              <w:divBdr>
                                                                                <w:top w:val="none" w:sz="0" w:space="0" w:color="auto"/>
                                                                                <w:left w:val="none" w:sz="0" w:space="0" w:color="auto"/>
                                                                                <w:bottom w:val="none" w:sz="0" w:space="0" w:color="auto"/>
                                                                                <w:right w:val="none" w:sz="0" w:space="0" w:color="auto"/>
                                                                              </w:divBdr>
                                                                              <w:divsChild>
                                                                                <w:div w:id="1853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4589281">
      <w:bodyDiv w:val="1"/>
      <w:marLeft w:val="0"/>
      <w:marRight w:val="0"/>
      <w:marTop w:val="0"/>
      <w:marBottom w:val="0"/>
      <w:divBdr>
        <w:top w:val="none" w:sz="0" w:space="0" w:color="auto"/>
        <w:left w:val="none" w:sz="0" w:space="0" w:color="auto"/>
        <w:bottom w:val="none" w:sz="0" w:space="0" w:color="auto"/>
        <w:right w:val="none" w:sz="0" w:space="0" w:color="auto"/>
      </w:divBdr>
    </w:div>
    <w:div w:id="1978217797">
      <w:bodyDiv w:val="1"/>
      <w:marLeft w:val="0"/>
      <w:marRight w:val="0"/>
      <w:marTop w:val="0"/>
      <w:marBottom w:val="0"/>
      <w:divBdr>
        <w:top w:val="none" w:sz="0" w:space="0" w:color="auto"/>
        <w:left w:val="none" w:sz="0" w:space="0" w:color="auto"/>
        <w:bottom w:val="none" w:sz="0" w:space="0" w:color="auto"/>
        <w:right w:val="none" w:sz="0" w:space="0" w:color="auto"/>
      </w:divBdr>
    </w:div>
    <w:div w:id="1980762735">
      <w:bodyDiv w:val="1"/>
      <w:marLeft w:val="0"/>
      <w:marRight w:val="0"/>
      <w:marTop w:val="0"/>
      <w:marBottom w:val="0"/>
      <w:divBdr>
        <w:top w:val="none" w:sz="0" w:space="0" w:color="auto"/>
        <w:left w:val="none" w:sz="0" w:space="0" w:color="auto"/>
        <w:bottom w:val="none" w:sz="0" w:space="0" w:color="auto"/>
        <w:right w:val="none" w:sz="0" w:space="0" w:color="auto"/>
      </w:divBdr>
    </w:div>
    <w:div w:id="1988312958">
      <w:bodyDiv w:val="1"/>
      <w:marLeft w:val="0"/>
      <w:marRight w:val="0"/>
      <w:marTop w:val="0"/>
      <w:marBottom w:val="0"/>
      <w:divBdr>
        <w:top w:val="none" w:sz="0" w:space="0" w:color="auto"/>
        <w:left w:val="none" w:sz="0" w:space="0" w:color="auto"/>
        <w:bottom w:val="none" w:sz="0" w:space="0" w:color="auto"/>
        <w:right w:val="none" w:sz="0" w:space="0" w:color="auto"/>
      </w:divBdr>
    </w:div>
    <w:div w:id="1989899801">
      <w:bodyDiv w:val="1"/>
      <w:marLeft w:val="0"/>
      <w:marRight w:val="0"/>
      <w:marTop w:val="0"/>
      <w:marBottom w:val="0"/>
      <w:divBdr>
        <w:top w:val="none" w:sz="0" w:space="0" w:color="auto"/>
        <w:left w:val="none" w:sz="0" w:space="0" w:color="auto"/>
        <w:bottom w:val="none" w:sz="0" w:space="0" w:color="auto"/>
        <w:right w:val="none" w:sz="0" w:space="0" w:color="auto"/>
      </w:divBdr>
    </w:div>
    <w:div w:id="1989942956">
      <w:bodyDiv w:val="1"/>
      <w:marLeft w:val="0"/>
      <w:marRight w:val="0"/>
      <w:marTop w:val="0"/>
      <w:marBottom w:val="0"/>
      <w:divBdr>
        <w:top w:val="none" w:sz="0" w:space="0" w:color="auto"/>
        <w:left w:val="none" w:sz="0" w:space="0" w:color="auto"/>
        <w:bottom w:val="none" w:sz="0" w:space="0" w:color="auto"/>
        <w:right w:val="none" w:sz="0" w:space="0" w:color="auto"/>
      </w:divBdr>
    </w:div>
    <w:div w:id="1999376887">
      <w:bodyDiv w:val="1"/>
      <w:marLeft w:val="0"/>
      <w:marRight w:val="0"/>
      <w:marTop w:val="0"/>
      <w:marBottom w:val="0"/>
      <w:divBdr>
        <w:top w:val="none" w:sz="0" w:space="0" w:color="auto"/>
        <w:left w:val="none" w:sz="0" w:space="0" w:color="auto"/>
        <w:bottom w:val="none" w:sz="0" w:space="0" w:color="auto"/>
        <w:right w:val="none" w:sz="0" w:space="0" w:color="auto"/>
      </w:divBdr>
    </w:div>
    <w:div w:id="2003581412">
      <w:bodyDiv w:val="1"/>
      <w:marLeft w:val="0"/>
      <w:marRight w:val="0"/>
      <w:marTop w:val="0"/>
      <w:marBottom w:val="0"/>
      <w:divBdr>
        <w:top w:val="none" w:sz="0" w:space="0" w:color="auto"/>
        <w:left w:val="none" w:sz="0" w:space="0" w:color="auto"/>
        <w:bottom w:val="none" w:sz="0" w:space="0" w:color="auto"/>
        <w:right w:val="none" w:sz="0" w:space="0" w:color="auto"/>
      </w:divBdr>
    </w:div>
    <w:div w:id="2016883358">
      <w:bodyDiv w:val="1"/>
      <w:marLeft w:val="0"/>
      <w:marRight w:val="0"/>
      <w:marTop w:val="0"/>
      <w:marBottom w:val="0"/>
      <w:divBdr>
        <w:top w:val="none" w:sz="0" w:space="0" w:color="auto"/>
        <w:left w:val="none" w:sz="0" w:space="0" w:color="auto"/>
        <w:bottom w:val="none" w:sz="0" w:space="0" w:color="auto"/>
        <w:right w:val="none" w:sz="0" w:space="0" w:color="auto"/>
      </w:divBdr>
    </w:div>
    <w:div w:id="2024280430">
      <w:bodyDiv w:val="1"/>
      <w:marLeft w:val="0"/>
      <w:marRight w:val="0"/>
      <w:marTop w:val="0"/>
      <w:marBottom w:val="0"/>
      <w:divBdr>
        <w:top w:val="none" w:sz="0" w:space="0" w:color="auto"/>
        <w:left w:val="none" w:sz="0" w:space="0" w:color="auto"/>
        <w:bottom w:val="none" w:sz="0" w:space="0" w:color="auto"/>
        <w:right w:val="none" w:sz="0" w:space="0" w:color="auto"/>
      </w:divBdr>
    </w:div>
    <w:div w:id="2030377000">
      <w:bodyDiv w:val="1"/>
      <w:marLeft w:val="0"/>
      <w:marRight w:val="0"/>
      <w:marTop w:val="0"/>
      <w:marBottom w:val="0"/>
      <w:divBdr>
        <w:top w:val="none" w:sz="0" w:space="0" w:color="auto"/>
        <w:left w:val="none" w:sz="0" w:space="0" w:color="auto"/>
        <w:bottom w:val="none" w:sz="0" w:space="0" w:color="auto"/>
        <w:right w:val="none" w:sz="0" w:space="0" w:color="auto"/>
      </w:divBdr>
    </w:div>
    <w:div w:id="2035379676">
      <w:bodyDiv w:val="1"/>
      <w:marLeft w:val="0"/>
      <w:marRight w:val="0"/>
      <w:marTop w:val="0"/>
      <w:marBottom w:val="0"/>
      <w:divBdr>
        <w:top w:val="none" w:sz="0" w:space="0" w:color="auto"/>
        <w:left w:val="none" w:sz="0" w:space="0" w:color="auto"/>
        <w:bottom w:val="none" w:sz="0" w:space="0" w:color="auto"/>
        <w:right w:val="none" w:sz="0" w:space="0" w:color="auto"/>
      </w:divBdr>
    </w:div>
    <w:div w:id="2055543964">
      <w:bodyDiv w:val="1"/>
      <w:marLeft w:val="0"/>
      <w:marRight w:val="0"/>
      <w:marTop w:val="0"/>
      <w:marBottom w:val="0"/>
      <w:divBdr>
        <w:top w:val="none" w:sz="0" w:space="0" w:color="auto"/>
        <w:left w:val="none" w:sz="0" w:space="0" w:color="auto"/>
        <w:bottom w:val="none" w:sz="0" w:space="0" w:color="auto"/>
        <w:right w:val="none" w:sz="0" w:space="0" w:color="auto"/>
      </w:divBdr>
    </w:div>
    <w:div w:id="2062515886">
      <w:bodyDiv w:val="1"/>
      <w:marLeft w:val="0"/>
      <w:marRight w:val="0"/>
      <w:marTop w:val="0"/>
      <w:marBottom w:val="0"/>
      <w:divBdr>
        <w:top w:val="none" w:sz="0" w:space="0" w:color="auto"/>
        <w:left w:val="none" w:sz="0" w:space="0" w:color="auto"/>
        <w:bottom w:val="none" w:sz="0" w:space="0" w:color="auto"/>
        <w:right w:val="none" w:sz="0" w:space="0" w:color="auto"/>
      </w:divBdr>
    </w:div>
    <w:div w:id="2069107742">
      <w:bodyDiv w:val="1"/>
      <w:marLeft w:val="0"/>
      <w:marRight w:val="0"/>
      <w:marTop w:val="0"/>
      <w:marBottom w:val="0"/>
      <w:divBdr>
        <w:top w:val="none" w:sz="0" w:space="0" w:color="auto"/>
        <w:left w:val="none" w:sz="0" w:space="0" w:color="auto"/>
        <w:bottom w:val="none" w:sz="0" w:space="0" w:color="auto"/>
        <w:right w:val="none" w:sz="0" w:space="0" w:color="auto"/>
      </w:divBdr>
    </w:div>
    <w:div w:id="2078819693">
      <w:bodyDiv w:val="1"/>
      <w:marLeft w:val="0"/>
      <w:marRight w:val="0"/>
      <w:marTop w:val="0"/>
      <w:marBottom w:val="0"/>
      <w:divBdr>
        <w:top w:val="none" w:sz="0" w:space="0" w:color="auto"/>
        <w:left w:val="none" w:sz="0" w:space="0" w:color="auto"/>
        <w:bottom w:val="none" w:sz="0" w:space="0" w:color="auto"/>
        <w:right w:val="none" w:sz="0" w:space="0" w:color="auto"/>
      </w:divBdr>
    </w:div>
    <w:div w:id="2094010470">
      <w:bodyDiv w:val="1"/>
      <w:marLeft w:val="0"/>
      <w:marRight w:val="0"/>
      <w:marTop w:val="0"/>
      <w:marBottom w:val="0"/>
      <w:divBdr>
        <w:top w:val="none" w:sz="0" w:space="0" w:color="auto"/>
        <w:left w:val="none" w:sz="0" w:space="0" w:color="auto"/>
        <w:bottom w:val="none" w:sz="0" w:space="0" w:color="auto"/>
        <w:right w:val="none" w:sz="0" w:space="0" w:color="auto"/>
      </w:divBdr>
    </w:div>
    <w:div w:id="2108236361">
      <w:bodyDiv w:val="1"/>
      <w:marLeft w:val="0"/>
      <w:marRight w:val="0"/>
      <w:marTop w:val="0"/>
      <w:marBottom w:val="0"/>
      <w:divBdr>
        <w:top w:val="none" w:sz="0" w:space="0" w:color="auto"/>
        <w:left w:val="none" w:sz="0" w:space="0" w:color="auto"/>
        <w:bottom w:val="none" w:sz="0" w:space="0" w:color="auto"/>
        <w:right w:val="none" w:sz="0" w:space="0" w:color="auto"/>
      </w:divBdr>
    </w:div>
    <w:div w:id="2121298806">
      <w:bodyDiv w:val="1"/>
      <w:marLeft w:val="0"/>
      <w:marRight w:val="0"/>
      <w:marTop w:val="0"/>
      <w:marBottom w:val="0"/>
      <w:divBdr>
        <w:top w:val="none" w:sz="0" w:space="0" w:color="auto"/>
        <w:left w:val="none" w:sz="0" w:space="0" w:color="auto"/>
        <w:bottom w:val="none" w:sz="0" w:space="0" w:color="auto"/>
        <w:right w:val="none" w:sz="0" w:space="0" w:color="auto"/>
      </w:divBdr>
    </w:div>
    <w:div w:id="212226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8.emf"/><Relationship Id="rId39" Type="http://schemas.openxmlformats.org/officeDocument/2006/relationships/image" Target="media/image21.emf"/><Relationship Id="rId21" Type="http://schemas.openxmlformats.org/officeDocument/2006/relationships/hyperlink" Target="http://creativecommons.org/licenses/by/3.0/au/legalcode" TargetMode="External"/><Relationship Id="rId34" Type="http://schemas.openxmlformats.org/officeDocument/2006/relationships/image" Target="media/image16.emf"/><Relationship Id="rId42" Type="http://schemas.openxmlformats.org/officeDocument/2006/relationships/image" Target="media/image24.emf"/><Relationship Id="rId47" Type="http://schemas.openxmlformats.org/officeDocument/2006/relationships/image" Target="media/image29.emf"/><Relationship Id="rId50" Type="http://schemas.openxmlformats.org/officeDocument/2006/relationships/hyperlink" Target="http://www.health.gov.au/internet/publications/publishing.nsf/Content/drugtreat-pubs-front9-wk-toc~drugtreat-pubs-front9-wk-secb~drugtreat-pubs-front9-wk-secb-3~drugtreat-pubs-front9-wk-secb-3-3" TargetMode="External"/><Relationship Id="rId55" Type="http://schemas.openxmlformats.org/officeDocument/2006/relationships/image" Target="media/image32.PNG"/><Relationship Id="rId63" Type="http://schemas.openxmlformats.org/officeDocument/2006/relationships/header" Target="header7.xml"/><Relationship Id="rId68" Type="http://schemas.openxmlformats.org/officeDocument/2006/relationships/header" Target="header11.xml"/><Relationship Id="rId76"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eader" Target="header13.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11.emf"/><Relationship Id="rId11" Type="http://schemas.openxmlformats.org/officeDocument/2006/relationships/image" Target="media/image1.jpeg"/><Relationship Id="rId24" Type="http://schemas.openxmlformats.org/officeDocument/2006/relationships/image" Target="media/image6.emf"/><Relationship Id="rId32" Type="http://schemas.openxmlformats.org/officeDocument/2006/relationships/image" Target="media/image14.emf"/><Relationship Id="rId37" Type="http://schemas.openxmlformats.org/officeDocument/2006/relationships/image" Target="media/image19.emf"/><Relationship Id="rId40" Type="http://schemas.openxmlformats.org/officeDocument/2006/relationships/image" Target="media/image22.emf"/><Relationship Id="rId45" Type="http://schemas.openxmlformats.org/officeDocument/2006/relationships/image" Target="media/image27.emf"/><Relationship Id="rId53" Type="http://schemas.openxmlformats.org/officeDocument/2006/relationships/hyperlink" Target="http://www.cpe.vt.edu/gttc/presentations/8eStagesofChange.pdf" TargetMode="External"/><Relationship Id="rId58" Type="http://schemas.openxmlformats.org/officeDocument/2006/relationships/hyperlink" Target="https://www.mailman.columbia.edu/research/population-health-methods/difference-difference-estimation" TargetMode="External"/><Relationship Id="rId66" Type="http://schemas.openxmlformats.org/officeDocument/2006/relationships/header" Target="header9.xml"/><Relationship Id="rId74" Type="http://schemas.openxmlformats.org/officeDocument/2006/relationships/header" Target="header15.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image" Target="media/image18.emf"/><Relationship Id="rId49" Type="http://schemas.openxmlformats.org/officeDocument/2006/relationships/hyperlink" Target="https://www.mailman.columbia.edu/research/population-health-methods/difference-difference-estimation" TargetMode="External"/><Relationship Id="rId57" Type="http://schemas.openxmlformats.org/officeDocument/2006/relationships/image" Target="media/image34.png"/><Relationship Id="rId61"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cid:image001.png@01CC5B5E.C6C84990" TargetMode="External"/><Relationship Id="rId31" Type="http://schemas.openxmlformats.org/officeDocument/2006/relationships/image" Target="media/image13.emf"/><Relationship Id="rId44" Type="http://schemas.openxmlformats.org/officeDocument/2006/relationships/image" Target="media/image26.emf"/><Relationship Id="rId52" Type="http://schemas.openxmlformats.org/officeDocument/2006/relationships/hyperlink" Target="http://www.behaviorlab.org/Papers/Hyperbolic.pdf" TargetMode="External"/><Relationship Id="rId60" Type="http://schemas.openxmlformats.org/officeDocument/2006/relationships/header" Target="header5.xml"/><Relationship Id="rId65" Type="http://schemas.openxmlformats.org/officeDocument/2006/relationships/footer" Target="footer4.xml"/><Relationship Id="rId73"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emf"/><Relationship Id="rId27" Type="http://schemas.openxmlformats.org/officeDocument/2006/relationships/image" Target="media/image9.png"/><Relationship Id="rId30" Type="http://schemas.openxmlformats.org/officeDocument/2006/relationships/image" Target="media/image12.emf"/><Relationship Id="rId35" Type="http://schemas.openxmlformats.org/officeDocument/2006/relationships/image" Target="media/image17.emf"/><Relationship Id="rId43" Type="http://schemas.openxmlformats.org/officeDocument/2006/relationships/image" Target="media/image25.emf"/><Relationship Id="rId48" Type="http://schemas.openxmlformats.org/officeDocument/2006/relationships/image" Target="media/image30.png"/><Relationship Id="rId56" Type="http://schemas.openxmlformats.org/officeDocument/2006/relationships/image" Target="media/image33.PNG"/><Relationship Id="rId64" Type="http://schemas.openxmlformats.org/officeDocument/2006/relationships/header" Target="header8.xml"/><Relationship Id="rId69"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yperlink" Target="https://www.prochange.com/transtheoretical-model-of-behavior-change" TargetMode="External"/><Relationship Id="rId72" Type="http://schemas.openxmlformats.org/officeDocument/2006/relationships/header" Target="header14.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image" Target="media/image7.emf"/><Relationship Id="rId33" Type="http://schemas.openxmlformats.org/officeDocument/2006/relationships/image" Target="media/image15.emf"/><Relationship Id="rId38" Type="http://schemas.openxmlformats.org/officeDocument/2006/relationships/image" Target="media/image20.emf"/><Relationship Id="rId46" Type="http://schemas.openxmlformats.org/officeDocument/2006/relationships/image" Target="media/image28.emf"/><Relationship Id="rId59" Type="http://schemas.openxmlformats.org/officeDocument/2006/relationships/header" Target="header4.xml"/><Relationship Id="rId67" Type="http://schemas.openxmlformats.org/officeDocument/2006/relationships/header" Target="header10.xml"/><Relationship Id="rId20" Type="http://schemas.openxmlformats.org/officeDocument/2006/relationships/hyperlink" Target="http://creativecommons.org/licenses/by/3.0/au/" TargetMode="External"/><Relationship Id="rId41" Type="http://schemas.openxmlformats.org/officeDocument/2006/relationships/image" Target="media/image23.emf"/><Relationship Id="rId54" Type="http://schemas.openxmlformats.org/officeDocument/2006/relationships/image" Target="media/image31.png"/><Relationship Id="rId62" Type="http://schemas.openxmlformats.org/officeDocument/2006/relationships/header" Target="header6.xml"/><Relationship Id="rId70" Type="http://schemas.openxmlformats.org/officeDocument/2006/relationships/header" Target="header12.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DEEWR">
      <a:dk1>
        <a:sysClr val="windowText" lastClr="000000"/>
      </a:dk1>
      <a:lt1>
        <a:srgbClr val="7F7F7F"/>
      </a:lt1>
      <a:dk2>
        <a:srgbClr val="165788"/>
      </a:dk2>
      <a:lt2>
        <a:srgbClr val="FFFFFF"/>
      </a:lt2>
      <a:accent1>
        <a:srgbClr val="165788"/>
      </a:accent1>
      <a:accent2>
        <a:srgbClr val="593674"/>
      </a:accent2>
      <a:accent3>
        <a:srgbClr val="478A57"/>
      </a:accent3>
      <a:accent4>
        <a:srgbClr val="969A52"/>
      </a:accent4>
      <a:accent5>
        <a:srgbClr val="CF9A3E"/>
      </a:accent5>
      <a:accent6>
        <a:srgbClr val="A75534"/>
      </a:accent6>
      <a:hlink>
        <a:srgbClr val="165788"/>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DMS Document" ma:contentTypeID="0x010100266966F133664895A6EE3632470D45F500A2E4E012010AE14FBE6D02A22E741E37" ma:contentTypeVersion="" ma:contentTypeDescription="PDMS Document Site Content Type" ma:contentTypeScope="" ma:versionID="507e87d51ff4a65a138ee2febf163f30">
  <xsd:schema xmlns:xsd="http://www.w3.org/2001/XMLSchema" xmlns:xs="http://www.w3.org/2001/XMLSchema" xmlns:p="http://schemas.microsoft.com/office/2006/metadata/properties" xmlns:ns2="8EB72077-7FB1-4ACC-870C-E19A52E92638" targetNamespace="http://schemas.microsoft.com/office/2006/metadata/properties" ma:root="true" ma:fieldsID="61440c1faad65bfb00bb514f6629a692" ns2:_="">
    <xsd:import namespace="8EB72077-7FB1-4ACC-870C-E19A52E92638"/>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B72077-7FB1-4ACC-870C-E19A52E92638"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urityClassification xmlns="8EB72077-7FB1-4ACC-870C-E19A52E92638" xsi:nil="true"/>
  </documentManagement>
</p:properties>
</file>

<file path=customXml/item4.xml><?xml version="1.0" encoding="utf-8"?>
<b:Sources xmlns:b="http://schemas.openxmlformats.org/officeDocument/2006/bibliography" xmlns="http://schemas.openxmlformats.org/officeDocument/2006/bibliography" SelectedStyle="\APA.XSL" StyleName="APA">
  <b:Source>
    <b:Tag>Bud08</b:Tag>
    <b:SourceType>Report</b:SourceType>
    <b:Guid>{DBDABDC6-F006-43A0-A0C0-0A451E4E4184}</b:Guid>
    <b:Title>Transitions from Casual Employment in Australia</b:Title>
    <b:Year>2008</b:Year>
    <b:Publisher>University of Melbourne</b:Publisher>
    <b:City>Melbourne</b:City>
    <b:Department>Melbourne Institute of Applied Economic and Social Research Working Papaer No. 7/08</b:Department>
    <b:Author>
      <b:Author>
        <b:NameList>
          <b:Person>
            <b:Last>Buddelmeyer</b:Last>
            <b:First>H</b:First>
          </b:Person>
          <b:Person>
            <b:Last>Wooden</b:Last>
            <b:First>M</b:First>
          </b:Person>
        </b:NameList>
      </b:Author>
    </b:Author>
    <b:RefOrder>5</b:RefOrder>
  </b:Source>
</b:Sources>
</file>

<file path=customXml/itemProps1.xml><?xml version="1.0" encoding="utf-8"?>
<ds:datastoreItem xmlns:ds="http://schemas.openxmlformats.org/officeDocument/2006/customXml" ds:itemID="{97C922AF-4880-406D-A792-5B533EB5C4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B72077-7FB1-4ACC-870C-E19A52E926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FB8B9B-03E3-4E41-BAD1-B23BB24FE30A}">
  <ds:schemaRefs>
    <ds:schemaRef ds:uri="http://schemas.microsoft.com/sharepoint/v3/contenttype/forms"/>
  </ds:schemaRefs>
</ds:datastoreItem>
</file>

<file path=customXml/itemProps3.xml><?xml version="1.0" encoding="utf-8"?>
<ds:datastoreItem xmlns:ds="http://schemas.openxmlformats.org/officeDocument/2006/customXml" ds:itemID="{75FCD586-9613-4839-82F4-87A5165AB6FD}">
  <ds:schemaRef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8EB72077-7FB1-4ACC-870C-E19A52E92638"/>
    <ds:schemaRef ds:uri="http://purl.org/dc/terms/"/>
    <ds:schemaRef ds:uri="http://www.w3.org/XML/1998/namespace"/>
  </ds:schemaRefs>
</ds:datastoreItem>
</file>

<file path=customXml/itemProps4.xml><?xml version="1.0" encoding="utf-8"?>
<ds:datastoreItem xmlns:ds="http://schemas.openxmlformats.org/officeDocument/2006/customXml" ds:itemID="{BF819EB7-30A4-480D-94FC-B870A63D4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319A2898.dotm</Template>
  <TotalTime>12</TotalTime>
  <Pages>151</Pages>
  <Words>41771</Words>
  <Characters>238096</Characters>
  <Application>Microsoft Office Word</Application>
  <DocSecurity>0</DocSecurity>
  <Lines>1984</Lines>
  <Paragraphs>558</Paragraphs>
  <ScaleCrop>false</ScaleCrop>
  <HeadingPairs>
    <vt:vector size="2" baseType="variant">
      <vt:variant>
        <vt:lpstr>Title</vt:lpstr>
      </vt:variant>
      <vt:variant>
        <vt:i4>1</vt:i4>
      </vt:variant>
    </vt:vector>
  </HeadingPairs>
  <TitlesOfParts>
    <vt:vector size="1" baseType="lpstr">
      <vt:lpstr>)</vt:lpstr>
    </vt:vector>
  </TitlesOfParts>
  <Company>Australian Government</Company>
  <LinksUpToDate>false</LinksUpToDate>
  <CharactersWithSpaces>279309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Commitment Bonus for Young Australians Evaluation</dc:title>
  <dc:creator/>
  <cp:lastModifiedBy>HELIOS,George</cp:lastModifiedBy>
  <cp:revision>6</cp:revision>
  <cp:lastPrinted>2018-02-28T05:52:00Z</cp:lastPrinted>
  <dcterms:created xsi:type="dcterms:W3CDTF">2019-02-11T04:16:00Z</dcterms:created>
  <dcterms:modified xsi:type="dcterms:W3CDTF">2019-02-12T04:44:00Z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0x010100266966F133664895A6EE3632470D45F500A2E4E012010AE14FBE6D02A22E741E37</vt:lpwstr>
  </property>
  <property fmtid="{D5CDD505-2E9C-101B-9397-08002B2CF9AE}" pid="3" name="Order">
    <vt:r8>69600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ies>
</file>