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4855" w14:textId="77777777" w:rsidR="00130923" w:rsidRDefault="005C7F63" w:rsidP="005C7F63">
      <w:pPr>
        <w:spacing w:before="0"/>
        <w:ind w:left="-426"/>
      </w:pPr>
      <w:r>
        <w:rPr>
          <w:noProof/>
          <w:sz w:val="32"/>
          <w:szCs w:val="32"/>
          <w:lang w:eastAsia="en-AU"/>
        </w:rPr>
        <w:drawing>
          <wp:anchor distT="0" distB="0" distL="114300" distR="114300" simplePos="0" relativeHeight="251659264" behindDoc="1" locked="0" layoutInCell="1" allowOverlap="1" wp14:anchorId="1FA3BE00" wp14:editId="67BCD7BF">
            <wp:simplePos x="0" y="0"/>
            <wp:positionH relativeFrom="page">
              <wp:posOffset>3114675</wp:posOffset>
            </wp:positionH>
            <wp:positionV relativeFrom="paragraph">
              <wp:posOffset>-635635</wp:posOffset>
            </wp:positionV>
            <wp:extent cx="4447777" cy="1613891"/>
            <wp:effectExtent l="0" t="0" r="0" b="5715"/>
            <wp:wrapNone/>
            <wp:docPr id="7" name="Picture 7"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SB18_0291 Update Corporate Templates_01_header.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4447777" cy="16138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7AE">
        <w:softHyphen/>
      </w:r>
      <w:r w:rsidR="000F3874" w:rsidRPr="000F3874">
        <w:rPr>
          <w:noProof/>
          <w:lang w:eastAsia="en-AU"/>
        </w:rPr>
        <w:drawing>
          <wp:inline distT="0" distB="0" distL="0" distR="0" wp14:anchorId="52AD9ABE" wp14:editId="69165B7D">
            <wp:extent cx="2457450" cy="615983"/>
            <wp:effectExtent l="0" t="0" r="0" b="0"/>
            <wp:docPr id="3" name="Picture 3" descr="Australian Government. Department of Employment, Skills, Small and Family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t Jobs and Small Business_Inline.jpg"/>
                    <pic:cNvPicPr/>
                  </pic:nvPicPr>
                  <pic:blipFill>
                    <a:blip r:embed="rId9">
                      <a:extLst>
                        <a:ext uri="{28A0092B-C50C-407E-A947-70E740481C1C}">
                          <a14:useLocalDpi xmlns:a14="http://schemas.microsoft.com/office/drawing/2010/main" val="0"/>
                        </a:ext>
                      </a:extLst>
                    </a:blip>
                    <a:stretch>
                      <a:fillRect/>
                    </a:stretch>
                  </pic:blipFill>
                  <pic:spPr>
                    <a:xfrm>
                      <a:off x="0" y="0"/>
                      <a:ext cx="2457450" cy="615983"/>
                    </a:xfrm>
                    <a:prstGeom prst="rect">
                      <a:avLst/>
                    </a:prstGeom>
                  </pic:spPr>
                </pic:pic>
              </a:graphicData>
            </a:graphic>
          </wp:inline>
        </w:drawing>
      </w:r>
    </w:p>
    <w:p w14:paraId="6F97CAC7" w14:textId="6178D926" w:rsidR="00B72B92" w:rsidRPr="00B72B92" w:rsidRDefault="007A4DA7" w:rsidP="007A4DA7">
      <w:pPr>
        <w:spacing w:line="400" w:lineRule="exact"/>
        <w:ind w:left="567"/>
        <w:rPr>
          <w:b/>
          <w:color w:val="FFFFFF" w:themeColor="background1"/>
          <w:sz w:val="40"/>
          <w:szCs w:val="40"/>
        </w:rPr>
        <w:sectPr w:rsidR="00B72B92" w:rsidRPr="00B72B92" w:rsidSect="00B72B92">
          <w:headerReference w:type="even" r:id="rId10"/>
          <w:headerReference w:type="default" r:id="rId11"/>
          <w:footerReference w:type="even" r:id="rId12"/>
          <w:footerReference w:type="default" r:id="rId13"/>
          <w:headerReference w:type="first" r:id="rId14"/>
          <w:footerReference w:type="first" r:id="rId15"/>
          <w:type w:val="continuous"/>
          <w:pgSz w:w="11906" w:h="16838"/>
          <w:pgMar w:top="709" w:right="1440" w:bottom="1440" w:left="1440" w:header="708" w:footer="708" w:gutter="0"/>
          <w:cols w:num="2" w:space="708"/>
          <w:docGrid w:linePitch="360"/>
        </w:sectPr>
      </w:pPr>
      <w:r>
        <w:rPr>
          <w:b/>
          <w:color w:val="FFFFFF" w:themeColor="background1"/>
          <w:sz w:val="40"/>
          <w:szCs w:val="40"/>
        </w:rPr>
        <w:t xml:space="preserve">Key </w:t>
      </w:r>
      <w:r w:rsidR="00734805">
        <w:rPr>
          <w:b/>
          <w:color w:val="FFFFFF" w:themeColor="background1"/>
          <w:sz w:val="40"/>
          <w:szCs w:val="40"/>
        </w:rPr>
        <w:t>f</w:t>
      </w:r>
      <w:r>
        <w:rPr>
          <w:b/>
          <w:color w:val="FFFFFF" w:themeColor="background1"/>
          <w:sz w:val="40"/>
          <w:szCs w:val="40"/>
        </w:rPr>
        <w:t>indings</w:t>
      </w:r>
      <w:r w:rsidR="00B72B92">
        <w:rPr>
          <w:b/>
          <w:color w:val="FFFFFF" w:themeColor="background1"/>
          <w:sz w:val="40"/>
          <w:szCs w:val="40"/>
        </w:rPr>
        <w:t xml:space="preserve"> </w:t>
      </w:r>
      <w:r w:rsidR="00B72B92">
        <w:rPr>
          <w:b/>
          <w:noProof/>
          <w:color w:val="FFFFFF" w:themeColor="background1"/>
          <w:sz w:val="40"/>
          <w:szCs w:val="40"/>
          <w:lang w:eastAsia="en-AU"/>
        </w:rPr>
        <mc:AlternateContent>
          <mc:Choice Requires="wps">
            <w:drawing>
              <wp:inline distT="0" distB="0" distL="0" distR="0" wp14:anchorId="19C0BCE7" wp14:editId="121BB260">
                <wp:extent cx="114300" cy="114300"/>
                <wp:effectExtent l="0" t="0" r="0" b="0"/>
                <wp:docPr id="8" name="Right Triangle 8" descr="Decorative"/>
                <wp:cNvGraphicFramePr/>
                <a:graphic xmlns:a="http://schemas.openxmlformats.org/drawingml/2006/main">
                  <a:graphicData uri="http://schemas.microsoft.com/office/word/2010/wordprocessingShape">
                    <wps:wsp>
                      <wps:cNvSpPr/>
                      <wps:spPr>
                        <a:xfrm>
                          <a:off x="0" y="0"/>
                          <a:ext cx="114300" cy="11430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2BBF0A6" id="_x0000_t6" coordsize="21600,21600" o:spt="6" path="m,l,21600r21600,xe">
                <v:stroke joinstyle="miter"/>
                <v:path gradientshapeok="t" o:connecttype="custom" o:connectlocs="0,0;0,10800;0,21600;10800,21600;21600,21600;10800,10800" textboxrect="1800,12600,12600,19800"/>
              </v:shapetype>
              <v:shape id="Right Triangle 8" o:spid="_x0000_s1026" type="#_x0000_t6" alt="Decorative"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" fillcolor="white [3212]" stroked="f" strokeweight="2pt">
                <w10:anchorlock/>
              </v:shape>
            </w:pict>
          </mc:Fallback>
        </mc:AlternateContent>
      </w:r>
      <w:r w:rsidR="00B72B92">
        <w:rPr>
          <w:b/>
          <w:color w:val="FFFFFF" w:themeColor="background1"/>
          <w:sz w:val="40"/>
          <w:szCs w:val="40"/>
        </w:rPr>
        <w:t xml:space="preserve"> </w:t>
      </w:r>
    </w:p>
    <w:p w14:paraId="2D4B35B2" w14:textId="77777777" w:rsidR="00312E10" w:rsidRDefault="007A4DA7" w:rsidP="00973B7E">
      <w:pPr>
        <w:pStyle w:val="Title"/>
        <w:spacing w:before="480"/>
      </w:pPr>
      <w:r>
        <w:t>Transition to Work Interim Evaluation Report</w:t>
      </w:r>
    </w:p>
    <w:p w14:paraId="3957BBD1" w14:textId="742F843B" w:rsidR="007A4DA7" w:rsidRDefault="007A4DA7" w:rsidP="00973B7E">
      <w:pPr>
        <w:pStyle w:val="Subtitle"/>
        <w:spacing w:before="240"/>
        <w:rPr>
          <w:szCs w:val="36"/>
        </w:rPr>
      </w:pPr>
      <w:r w:rsidRPr="00312E10">
        <w:rPr>
          <w:rStyle w:val="SubtitleChar"/>
        </w:rPr>
        <w:t xml:space="preserve">Key </w:t>
      </w:r>
      <w:r w:rsidR="00734805">
        <w:rPr>
          <w:rStyle w:val="SubtitleChar"/>
        </w:rPr>
        <w:t>f</w:t>
      </w:r>
      <w:r w:rsidRPr="00312E10">
        <w:rPr>
          <w:rStyle w:val="SubtitleChar"/>
        </w:rPr>
        <w:t>indings</w:t>
      </w:r>
    </w:p>
    <w:p w14:paraId="75CD05B5" w14:textId="77777777" w:rsidR="007A4DA7" w:rsidRDefault="007A4DA7" w:rsidP="007A4DA7">
      <w:r>
        <w:t xml:space="preserve">The Department of </w:t>
      </w:r>
      <w:r w:rsidR="00CE76F8">
        <w:t>Employment, Skills, Small and Family Business</w:t>
      </w:r>
      <w:r>
        <w:t xml:space="preserve"> (the department) has completed an interim evaluation of the Transition to Work (</w:t>
      </w:r>
      <w:proofErr w:type="spellStart"/>
      <w:r>
        <w:t>TtW</w:t>
      </w:r>
      <w:proofErr w:type="spellEnd"/>
      <w:r>
        <w:t>) service and released the Transition to Work Interim Evaluation Report</w:t>
      </w:r>
      <w:r w:rsidRPr="001F5144">
        <w:t xml:space="preserve"> </w:t>
      </w:r>
      <w:r>
        <w:t xml:space="preserve">on its </w:t>
      </w:r>
      <w:r w:rsidRPr="001F5144">
        <w:t xml:space="preserve">website. </w:t>
      </w:r>
    </w:p>
    <w:p w14:paraId="5560E737" w14:textId="77777777" w:rsidR="007A4DA7" w:rsidRPr="00CE76F8" w:rsidRDefault="007A4DA7" w:rsidP="00312E10">
      <w:pPr>
        <w:pStyle w:val="Heading1"/>
      </w:pPr>
      <w:r w:rsidRPr="00CE76F8">
        <w:t xml:space="preserve">About </w:t>
      </w:r>
      <w:proofErr w:type="spellStart"/>
      <w:r w:rsidRPr="003D7634">
        <w:t>TtW</w:t>
      </w:r>
      <w:proofErr w:type="spellEnd"/>
    </w:p>
    <w:p w14:paraId="01930991" w14:textId="5DF0CE2F" w:rsidR="007A4DA7" w:rsidRDefault="007A4DA7" w:rsidP="007A4DA7">
      <w:proofErr w:type="spellStart"/>
      <w:r w:rsidRPr="00C73F52">
        <w:t>TtW</w:t>
      </w:r>
      <w:proofErr w:type="spellEnd"/>
      <w:r w:rsidRPr="00C73F52">
        <w:t xml:space="preserve"> is an </w:t>
      </w:r>
      <w:r>
        <w:t>integral component of the Youth Employment Strategy and was rolled out between February and May 2016</w:t>
      </w:r>
      <w:r w:rsidRPr="00C73F52">
        <w:t xml:space="preserve">. </w:t>
      </w:r>
      <w:r>
        <w:t xml:space="preserve">The </w:t>
      </w:r>
      <w:proofErr w:type="spellStart"/>
      <w:r>
        <w:t>TtW</w:t>
      </w:r>
      <w:proofErr w:type="spellEnd"/>
      <w:r>
        <w:t xml:space="preserve"> service aims to increase the work-readiness of early school leavers, aged 15 to 21,</w:t>
      </w:r>
      <w:r w:rsidR="00894BAA">
        <w:rPr>
          <w:rStyle w:val="FootnoteReference"/>
        </w:rPr>
        <w:footnoteReference w:id="1"/>
      </w:r>
      <w:r>
        <w:t xml:space="preserve"> who are finding it difficult to move from education into work. </w:t>
      </w:r>
      <w:proofErr w:type="spellStart"/>
      <w:r>
        <w:t>TtW</w:t>
      </w:r>
      <w:proofErr w:type="spellEnd"/>
      <w:r>
        <w:t xml:space="preserve"> provides intensive pre-employment support to help young people into work (including apprenticeships and traineeships) or education. The service also has a strong focus on helping young people to understand and develop the skills, attitudes and behaviours employers expect.</w:t>
      </w:r>
    </w:p>
    <w:p w14:paraId="00E2B853" w14:textId="77777777" w:rsidR="007A4DA7" w:rsidRDefault="007A4DA7" w:rsidP="007A4DA7">
      <w:proofErr w:type="spellStart"/>
      <w:r>
        <w:t>TtW</w:t>
      </w:r>
      <w:proofErr w:type="spellEnd"/>
      <w:r>
        <w:t xml:space="preserve"> targets three groups of young people most at risk of long-term unemployment:</w:t>
      </w:r>
      <w:r>
        <w:rPr>
          <w:rStyle w:val="FootnoteReference"/>
        </w:rPr>
        <w:footnoteReference w:id="2"/>
      </w:r>
    </w:p>
    <w:p w14:paraId="14C607EC" w14:textId="77777777" w:rsidR="007A4DA7" w:rsidRDefault="007A4DA7" w:rsidP="007A4DA7">
      <w:pPr>
        <w:pStyle w:val="ListBullet"/>
        <w:numPr>
          <w:ilvl w:val="0"/>
          <w:numId w:val="27"/>
        </w:numPr>
        <w:spacing w:before="0" w:after="0"/>
        <w:contextualSpacing w:val="0"/>
      </w:pPr>
      <w:r>
        <w:t xml:space="preserve">an early school leaver when applying for Youth Allowance (Other) — </w:t>
      </w:r>
      <w:r w:rsidRPr="00A724B0">
        <w:rPr>
          <w:b/>
        </w:rPr>
        <w:t xml:space="preserve">Group One </w:t>
      </w:r>
      <w:r w:rsidRPr="00AC0FB0">
        <w:t>or</w:t>
      </w:r>
    </w:p>
    <w:p w14:paraId="0C2A9774" w14:textId="77777777" w:rsidR="007A4DA7" w:rsidRDefault="007A4DA7" w:rsidP="007A4DA7">
      <w:pPr>
        <w:pStyle w:val="ListBullet"/>
        <w:numPr>
          <w:ilvl w:val="0"/>
          <w:numId w:val="27"/>
        </w:numPr>
        <w:spacing w:before="0" w:after="0"/>
        <w:contextualSpacing w:val="0"/>
      </w:pPr>
      <w:r>
        <w:t xml:space="preserve">those not engaged in employment or education for three months (or six months for those with Year 12) and not eligible for an income support payment — </w:t>
      </w:r>
      <w:r>
        <w:rPr>
          <w:b/>
        </w:rPr>
        <w:t>Group </w:t>
      </w:r>
      <w:r w:rsidRPr="00D1507B">
        <w:rPr>
          <w:b/>
        </w:rPr>
        <w:t>Two</w:t>
      </w:r>
      <w:r w:rsidRPr="00DC0CB3">
        <w:t xml:space="preserve"> or</w:t>
      </w:r>
    </w:p>
    <w:p w14:paraId="5900F67F" w14:textId="77777777" w:rsidR="007A4DA7" w:rsidRDefault="007A4DA7" w:rsidP="007A4DA7">
      <w:pPr>
        <w:pStyle w:val="ListBullet"/>
        <w:numPr>
          <w:ilvl w:val="0"/>
          <w:numId w:val="27"/>
        </w:numPr>
        <w:spacing w:before="0" w:after="0"/>
        <w:contextualSpacing w:val="0"/>
      </w:pPr>
      <w:r>
        <w:t xml:space="preserve">those participating in Stream C of </w:t>
      </w:r>
      <w:proofErr w:type="spellStart"/>
      <w:r>
        <w:t>jobactive</w:t>
      </w:r>
      <w:proofErr w:type="spellEnd"/>
      <w:r>
        <w:t xml:space="preserve"> and suitable for </w:t>
      </w:r>
      <w:proofErr w:type="spellStart"/>
      <w:r>
        <w:t>TtW</w:t>
      </w:r>
      <w:proofErr w:type="spellEnd"/>
      <w:r>
        <w:t xml:space="preserve"> — </w:t>
      </w:r>
      <w:r>
        <w:rPr>
          <w:b/>
        </w:rPr>
        <w:t>Group </w:t>
      </w:r>
      <w:r w:rsidRPr="00D1507B">
        <w:rPr>
          <w:b/>
        </w:rPr>
        <w:t>Three</w:t>
      </w:r>
      <w:r>
        <w:t>.</w:t>
      </w:r>
    </w:p>
    <w:p w14:paraId="14FD54EC" w14:textId="77777777" w:rsidR="007A4DA7" w:rsidRPr="003D7634" w:rsidRDefault="007A4DA7" w:rsidP="00312E10">
      <w:pPr>
        <w:pStyle w:val="Heading1"/>
        <w:rPr>
          <w:rFonts w:eastAsia="Calibri"/>
        </w:rPr>
      </w:pPr>
      <w:r w:rsidRPr="003D7634">
        <w:rPr>
          <w:rFonts w:eastAsia="Calibri"/>
        </w:rPr>
        <w:t>Evaluation approach</w:t>
      </w:r>
    </w:p>
    <w:p w14:paraId="55AF9762" w14:textId="77777777" w:rsidR="007A4DA7" w:rsidRDefault="007A4DA7" w:rsidP="007A4DA7">
      <w:r>
        <w:t xml:space="preserve">The evaluation of </w:t>
      </w:r>
      <w:proofErr w:type="spellStart"/>
      <w:r>
        <w:t>TtW</w:t>
      </w:r>
      <w:proofErr w:type="spellEnd"/>
      <w:r>
        <w:t xml:space="preserve"> has two stages: a formative stage (interim) and a summative stage (final). The formative stage focused on the phased rollout and early operation up to March 2017. The summative stage will be an in-depth assessment of the overall performance of </w:t>
      </w:r>
      <w:proofErr w:type="spellStart"/>
      <w:r>
        <w:t>TtW</w:t>
      </w:r>
      <w:proofErr w:type="spellEnd"/>
      <w:r>
        <w:t xml:space="preserve"> up to early 2018. </w:t>
      </w:r>
    </w:p>
    <w:p w14:paraId="4C4F668A" w14:textId="77777777" w:rsidR="007A4DA7" w:rsidRDefault="007A4DA7" w:rsidP="007A4DA7">
      <w:r>
        <w:t>This interim evaluation report outlines evaluation activities undertaken during the formative stage, with findings primarily focused on:</w:t>
      </w:r>
    </w:p>
    <w:p w14:paraId="1D1D911B" w14:textId="77777777" w:rsidR="007A4DA7" w:rsidRDefault="007A4DA7" w:rsidP="007A4DA7">
      <w:pPr>
        <w:pStyle w:val="ListBullet"/>
        <w:numPr>
          <w:ilvl w:val="0"/>
          <w:numId w:val="27"/>
        </w:numPr>
        <w:spacing w:before="0" w:after="0"/>
        <w:contextualSpacing w:val="0"/>
      </w:pPr>
      <w:r>
        <w:t xml:space="preserve">the early implementation and operation of the </w:t>
      </w:r>
      <w:proofErr w:type="spellStart"/>
      <w:r>
        <w:t>TtW</w:t>
      </w:r>
      <w:proofErr w:type="spellEnd"/>
      <w:r>
        <w:t xml:space="preserve"> service</w:t>
      </w:r>
    </w:p>
    <w:p w14:paraId="12546B8A" w14:textId="77777777" w:rsidR="007A4DA7" w:rsidRDefault="007A4DA7" w:rsidP="007A4DA7">
      <w:pPr>
        <w:pStyle w:val="ListBullet"/>
        <w:numPr>
          <w:ilvl w:val="0"/>
          <w:numId w:val="27"/>
        </w:numPr>
        <w:spacing w:before="0" w:after="0"/>
        <w:contextualSpacing w:val="0"/>
      </w:pPr>
      <w:r>
        <w:t xml:space="preserve">engagement and retention of participants in </w:t>
      </w:r>
      <w:proofErr w:type="spellStart"/>
      <w:r>
        <w:t>TtW</w:t>
      </w:r>
      <w:proofErr w:type="spellEnd"/>
    </w:p>
    <w:p w14:paraId="4BAE3F7C" w14:textId="77777777" w:rsidR="00CE76F8" w:rsidRDefault="007A4DA7" w:rsidP="00CE76F8">
      <w:pPr>
        <w:pStyle w:val="ListBullet"/>
        <w:numPr>
          <w:ilvl w:val="0"/>
          <w:numId w:val="27"/>
        </w:numPr>
        <w:spacing w:before="0"/>
        <w:contextualSpacing w:val="0"/>
      </w:pPr>
      <w:r>
        <w:t xml:space="preserve">early education, </w:t>
      </w:r>
      <w:proofErr w:type="gramStart"/>
      <w:r>
        <w:t>employment</w:t>
      </w:r>
      <w:proofErr w:type="gramEnd"/>
      <w:r>
        <w:t xml:space="preserve"> and labour market attachment outcomes.</w:t>
      </w:r>
    </w:p>
    <w:p w14:paraId="76C65448" w14:textId="77777777" w:rsidR="007A4DA7" w:rsidRDefault="007A4DA7" w:rsidP="00CE76F8">
      <w:pPr>
        <w:pStyle w:val="ListBullet"/>
        <w:numPr>
          <w:ilvl w:val="0"/>
          <w:numId w:val="0"/>
        </w:numPr>
        <w:spacing w:before="0"/>
        <w:contextualSpacing w:val="0"/>
      </w:pPr>
      <w:r>
        <w:lastRenderedPageBreak/>
        <w:t xml:space="preserve">The </w:t>
      </w:r>
      <w:proofErr w:type="spellStart"/>
      <w:r>
        <w:t>TtW</w:t>
      </w:r>
      <w:proofErr w:type="spellEnd"/>
      <w:r>
        <w:t xml:space="preserve"> evaluation team adopted a mixed methods approach. It involved collecting and analysing quantitative and qualitative data. Data sources included:</w:t>
      </w:r>
    </w:p>
    <w:p w14:paraId="319C3F00" w14:textId="1F7DB658" w:rsidR="007A4DA7" w:rsidRDefault="007A4DA7" w:rsidP="007A4DA7">
      <w:pPr>
        <w:pStyle w:val="ListBullet"/>
        <w:numPr>
          <w:ilvl w:val="0"/>
          <w:numId w:val="27"/>
        </w:numPr>
        <w:spacing w:before="0" w:after="0"/>
        <w:contextualSpacing w:val="0"/>
      </w:pPr>
      <w:r>
        <w:t xml:space="preserve">income support </w:t>
      </w:r>
      <w:r w:rsidRPr="00D563F7">
        <w:t xml:space="preserve">administrative data </w:t>
      </w:r>
      <w:r>
        <w:t xml:space="preserve">from </w:t>
      </w:r>
      <w:r w:rsidRPr="00D563F7">
        <w:t xml:space="preserve">the </w:t>
      </w:r>
      <w:r w:rsidRPr="000A38F1">
        <w:t>Department of Human Services (DHS)</w:t>
      </w:r>
      <w:r w:rsidRPr="00CB1708">
        <w:t xml:space="preserve"> </w:t>
      </w:r>
      <w:r w:rsidR="004E40A4">
        <w:t xml:space="preserve">(now Services Australia) </w:t>
      </w:r>
      <w:r>
        <w:t>captured in the department’s Research and Evaluation Dataset (RED)</w:t>
      </w:r>
    </w:p>
    <w:p w14:paraId="5229ABC1" w14:textId="77777777" w:rsidR="007A4DA7" w:rsidRDefault="007A4DA7" w:rsidP="007A4DA7">
      <w:pPr>
        <w:pStyle w:val="ListBullet"/>
        <w:numPr>
          <w:ilvl w:val="0"/>
          <w:numId w:val="27"/>
        </w:numPr>
        <w:spacing w:before="0" w:after="0"/>
        <w:contextualSpacing w:val="0"/>
      </w:pPr>
      <w:r>
        <w:t xml:space="preserve">employment services </w:t>
      </w:r>
      <w:r w:rsidRPr="00986A0A">
        <w:t xml:space="preserve">administrative data </w:t>
      </w:r>
      <w:r>
        <w:t>from the d</w:t>
      </w:r>
      <w:r w:rsidRPr="00D563F7">
        <w:t>epartment</w:t>
      </w:r>
    </w:p>
    <w:p w14:paraId="23AEF344" w14:textId="77777777" w:rsidR="007A4DA7" w:rsidRDefault="007A4DA7" w:rsidP="007A4DA7">
      <w:pPr>
        <w:pStyle w:val="ListBullet"/>
        <w:numPr>
          <w:ilvl w:val="0"/>
          <w:numId w:val="27"/>
        </w:numPr>
        <w:spacing w:before="0" w:after="0"/>
        <w:contextualSpacing w:val="0"/>
      </w:pPr>
      <w:r w:rsidRPr="00D563F7">
        <w:t>provider survey data from</w:t>
      </w:r>
      <w:r>
        <w:t xml:space="preserve"> a census of all </w:t>
      </w:r>
      <w:proofErr w:type="spellStart"/>
      <w:r>
        <w:t>TtW</w:t>
      </w:r>
      <w:proofErr w:type="spellEnd"/>
      <w:r>
        <w:t xml:space="preserve"> providers conducted by the d</w:t>
      </w:r>
      <w:r w:rsidRPr="00D563F7">
        <w:t xml:space="preserve">epartment </w:t>
      </w:r>
      <w:r>
        <w:t>in October and November 2016, and</w:t>
      </w:r>
    </w:p>
    <w:p w14:paraId="09B73D9D" w14:textId="77777777" w:rsidR="00CE76F8" w:rsidRDefault="007A4DA7" w:rsidP="00CE76F8">
      <w:pPr>
        <w:pStyle w:val="ListBullet"/>
        <w:numPr>
          <w:ilvl w:val="0"/>
          <w:numId w:val="27"/>
        </w:numPr>
        <w:spacing w:before="0"/>
        <w:contextualSpacing w:val="0"/>
      </w:pPr>
      <w:r>
        <w:t>q</w:t>
      </w:r>
      <w:r w:rsidRPr="00D563F7">
        <w:t xml:space="preserve">ualitative data </w:t>
      </w:r>
      <w:r>
        <w:t xml:space="preserve">collected </w:t>
      </w:r>
      <w:r w:rsidRPr="00D563F7">
        <w:t>from research with stakeholders</w:t>
      </w:r>
      <w:r>
        <w:t xml:space="preserve"> undertaken by the Social Research Centre on behalf of the department</w:t>
      </w:r>
      <w:r w:rsidRPr="00D563F7">
        <w:t>.</w:t>
      </w:r>
      <w:r>
        <w:t xml:space="preserve"> </w:t>
      </w:r>
    </w:p>
    <w:p w14:paraId="55C37591" w14:textId="77777777" w:rsidR="007A4DA7" w:rsidRPr="00B10FB2" w:rsidRDefault="007A4DA7" w:rsidP="00CE76F8">
      <w:pPr>
        <w:pStyle w:val="ListBullet"/>
        <w:numPr>
          <w:ilvl w:val="0"/>
          <w:numId w:val="0"/>
        </w:numPr>
        <w:spacing w:before="0"/>
        <w:contextualSpacing w:val="0"/>
      </w:pPr>
      <w:r>
        <w:t xml:space="preserve">Statistical methods used to analyse quantitative data included descriptive statistics and logistic regression modelling. The main study populations were matched inflow populations of young people referred to </w:t>
      </w:r>
      <w:proofErr w:type="spellStart"/>
      <w:r>
        <w:t>TtW</w:t>
      </w:r>
      <w:proofErr w:type="spellEnd"/>
      <w:r>
        <w:t xml:space="preserve"> and </w:t>
      </w:r>
      <w:proofErr w:type="spellStart"/>
      <w:r>
        <w:t>jobactive</w:t>
      </w:r>
      <w:proofErr w:type="spellEnd"/>
      <w:r>
        <w:t xml:space="preserve"> between 1 February 2016 and 31 July 2016. The evaluation tracked the matched populations for six months to assess their early education and labour market outcomes.</w:t>
      </w:r>
    </w:p>
    <w:p w14:paraId="46822B18" w14:textId="77777777" w:rsidR="007A4DA7" w:rsidRPr="003D7634" w:rsidRDefault="007A4DA7" w:rsidP="00312E10">
      <w:pPr>
        <w:pStyle w:val="Heading1"/>
        <w:rPr>
          <w:rFonts w:eastAsia="Calibri"/>
        </w:rPr>
      </w:pPr>
      <w:bookmarkStart w:id="0" w:name="_Toc516736832"/>
      <w:bookmarkStart w:id="1" w:name="_Toc518387741"/>
      <w:bookmarkStart w:id="2" w:name="_Toc524384957"/>
      <w:r w:rsidRPr="003D7634">
        <w:rPr>
          <w:rFonts w:eastAsia="Calibri"/>
        </w:rPr>
        <w:t>Key findings</w:t>
      </w:r>
      <w:bookmarkEnd w:id="0"/>
      <w:bookmarkEnd w:id="1"/>
      <w:bookmarkEnd w:id="2"/>
    </w:p>
    <w:p w14:paraId="0ABC1562" w14:textId="77777777" w:rsidR="007A4DA7" w:rsidRPr="00771064" w:rsidRDefault="007A4DA7" w:rsidP="00611853">
      <w:pPr>
        <w:pStyle w:val="Heading2"/>
      </w:pPr>
      <w:bookmarkStart w:id="3" w:name="_Toc521918392"/>
      <w:r>
        <w:t xml:space="preserve">Early </w:t>
      </w:r>
      <w:r w:rsidRPr="00611853">
        <w:t>implementation</w:t>
      </w:r>
      <w:r>
        <w:t xml:space="preserve"> and operation of </w:t>
      </w:r>
      <w:proofErr w:type="spellStart"/>
      <w:r>
        <w:t>TtW</w:t>
      </w:r>
      <w:proofErr w:type="spellEnd"/>
      <w:r>
        <w:t xml:space="preserve"> service</w:t>
      </w:r>
    </w:p>
    <w:p w14:paraId="6C8D0606" w14:textId="77777777" w:rsidR="007A4DA7" w:rsidRDefault="007A4DA7" w:rsidP="007A4DA7">
      <w:pPr>
        <w:pStyle w:val="ListBullet"/>
        <w:numPr>
          <w:ilvl w:val="0"/>
          <w:numId w:val="27"/>
        </w:numPr>
        <w:spacing w:before="0"/>
        <w:contextualSpacing w:val="0"/>
      </w:pPr>
      <w:r>
        <w:t xml:space="preserve">The qualitative research found that, with the rapid rollout of </w:t>
      </w:r>
      <w:proofErr w:type="spellStart"/>
      <w:r>
        <w:t>TtW</w:t>
      </w:r>
      <w:proofErr w:type="spellEnd"/>
      <w:r>
        <w:t xml:space="preserve">, </w:t>
      </w:r>
      <w:proofErr w:type="gramStart"/>
      <w:r>
        <w:t>a number of</w:t>
      </w:r>
      <w:proofErr w:type="gramEnd"/>
      <w:r>
        <w:t xml:space="preserve"> providers reported that it was challenging to find sites and train staff by their contract start date. Some providers also reported problems with initial caseloads, particularly with participant contact details and the suitability of early referrals from </w:t>
      </w:r>
      <w:proofErr w:type="spellStart"/>
      <w:r>
        <w:t>jobactive</w:t>
      </w:r>
      <w:proofErr w:type="spellEnd"/>
      <w:r>
        <w:t xml:space="preserve">. Providers, DHS staff and employers all reported that low initial awareness of </w:t>
      </w:r>
      <w:proofErr w:type="spellStart"/>
      <w:r>
        <w:t>TtW</w:t>
      </w:r>
      <w:proofErr w:type="spellEnd"/>
      <w:r>
        <w:t xml:space="preserve"> had contributed to early issues with the service. </w:t>
      </w:r>
    </w:p>
    <w:p w14:paraId="792D0192" w14:textId="77777777" w:rsidR="007A4DA7" w:rsidRDefault="007A4DA7" w:rsidP="007A4DA7">
      <w:pPr>
        <w:pStyle w:val="ListBullet"/>
        <w:numPr>
          <w:ilvl w:val="0"/>
          <w:numId w:val="27"/>
        </w:numPr>
        <w:spacing w:before="0"/>
        <w:contextualSpacing w:val="0"/>
      </w:pPr>
      <w:r>
        <w:t xml:space="preserve">A survey of providers by the department in November 2016 found that, while start-up issues were challenging, most had been largely resolved. Providers also reported that the service and support provided by the department during the rollout and early stages of </w:t>
      </w:r>
      <w:proofErr w:type="spellStart"/>
      <w:r>
        <w:t>TtW</w:t>
      </w:r>
      <w:proofErr w:type="spellEnd"/>
      <w:r>
        <w:t xml:space="preserve"> were of a high quality.</w:t>
      </w:r>
    </w:p>
    <w:p w14:paraId="4EA245BC" w14:textId="77777777" w:rsidR="007A4DA7" w:rsidRPr="00616743" w:rsidRDefault="007A4DA7" w:rsidP="007A4DA7">
      <w:pPr>
        <w:pStyle w:val="ListBullet"/>
        <w:numPr>
          <w:ilvl w:val="0"/>
          <w:numId w:val="27"/>
        </w:numPr>
        <w:spacing w:before="0"/>
        <w:contextualSpacing w:val="0"/>
      </w:pPr>
      <w:r>
        <w:t xml:space="preserve">Most providers and participants reported that they were satisfied with the flexibility of the </w:t>
      </w:r>
      <w:proofErr w:type="spellStart"/>
      <w:r>
        <w:t>TtW</w:t>
      </w:r>
      <w:proofErr w:type="spellEnd"/>
      <w:r>
        <w:t xml:space="preserve"> service</w:t>
      </w:r>
      <w:r w:rsidR="00631669">
        <w:t>,</w:t>
      </w:r>
      <w:r>
        <w:t xml:space="preserve"> which enabled a strong focus on participant engagement in activities and more time with individual participants to increase their work-readiness and chances of finding a job. Providers also regarded the </w:t>
      </w:r>
      <w:proofErr w:type="spellStart"/>
      <w:r>
        <w:t>TtW</w:t>
      </w:r>
      <w:proofErr w:type="spellEnd"/>
      <w:r>
        <w:t xml:space="preserve"> funding structure as sustainable, and the key performance indicators (KPIs) and Outcome Performance Targets as achievable.</w:t>
      </w:r>
    </w:p>
    <w:p w14:paraId="425A1556" w14:textId="77777777" w:rsidR="007A4DA7" w:rsidRPr="00616743" w:rsidRDefault="007A4DA7" w:rsidP="009A2FC9">
      <w:pPr>
        <w:pStyle w:val="Heading2"/>
      </w:pPr>
      <w:r w:rsidRPr="00E91F93">
        <w:t xml:space="preserve">Engagement and retention of participants in </w:t>
      </w:r>
      <w:proofErr w:type="spellStart"/>
      <w:r w:rsidRPr="00E91F93">
        <w:t>TtW</w:t>
      </w:r>
      <w:bookmarkEnd w:id="3"/>
      <w:proofErr w:type="spellEnd"/>
    </w:p>
    <w:p w14:paraId="14F16E7E" w14:textId="77777777" w:rsidR="007A4DA7" w:rsidRDefault="007A4DA7" w:rsidP="007A4DA7">
      <w:pPr>
        <w:pStyle w:val="ListBullet"/>
        <w:numPr>
          <w:ilvl w:val="0"/>
          <w:numId w:val="27"/>
        </w:numPr>
        <w:spacing w:before="0"/>
        <w:contextualSpacing w:val="0"/>
      </w:pPr>
      <w:r>
        <w:t xml:space="preserve">Utilisation of </w:t>
      </w:r>
      <w:proofErr w:type="spellStart"/>
      <w:r>
        <w:t>TtW</w:t>
      </w:r>
      <w:proofErr w:type="spellEnd"/>
      <w:r>
        <w:t xml:space="preserve"> places (</w:t>
      </w:r>
      <w:r w:rsidRPr="00616743">
        <w:t>Occupancy of A</w:t>
      </w:r>
      <w:r>
        <w:t>nnual Funded Places</w:t>
      </w:r>
      <w:r w:rsidRPr="00616743">
        <w:t xml:space="preserve">) increased over time, with the </w:t>
      </w:r>
      <w:proofErr w:type="spellStart"/>
      <w:r w:rsidRPr="00616743">
        <w:t>TtW</w:t>
      </w:r>
      <w:proofErr w:type="spellEnd"/>
      <w:r w:rsidRPr="00616743">
        <w:t xml:space="preserve"> caseload at 78 per cent of Annual Funded Places at the end of July 2016 and rising to 117 per cent six months later</w:t>
      </w:r>
      <w:r>
        <w:t>.</w:t>
      </w:r>
      <w:r w:rsidRPr="001E2AC3">
        <w:t xml:space="preserve"> </w:t>
      </w:r>
    </w:p>
    <w:p w14:paraId="0D28A0FB" w14:textId="77777777" w:rsidR="00AF548D" w:rsidRDefault="007A4DA7" w:rsidP="007A4DA7">
      <w:pPr>
        <w:pStyle w:val="ListBullet"/>
        <w:numPr>
          <w:ilvl w:val="0"/>
          <w:numId w:val="27"/>
        </w:numPr>
        <w:spacing w:before="0"/>
        <w:contextualSpacing w:val="0"/>
        <w:sectPr w:rsidR="00AF548D" w:rsidSect="00CA2884">
          <w:headerReference w:type="default" r:id="rId16"/>
          <w:footerReference w:type="default" r:id="rId17"/>
          <w:type w:val="continuous"/>
          <w:pgSz w:w="11906" w:h="16838"/>
          <w:pgMar w:top="1440" w:right="1440" w:bottom="1440" w:left="1440" w:header="709" w:footer="564" w:gutter="0"/>
          <w:cols w:space="708"/>
          <w:docGrid w:linePitch="360"/>
        </w:sectPr>
      </w:pPr>
      <w:proofErr w:type="spellStart"/>
      <w:r>
        <w:t>TtW</w:t>
      </w:r>
      <w:proofErr w:type="spellEnd"/>
      <w:r>
        <w:t xml:space="preserve"> providers achieved a higher commencement rate during the first 30 days after the participant’s referral to them (93 per cent, excluding Group Three transfers from </w:t>
      </w:r>
      <w:proofErr w:type="spellStart"/>
      <w:r>
        <w:t>jobactive</w:t>
      </w:r>
      <w:proofErr w:type="spellEnd"/>
      <w:r>
        <w:t xml:space="preserve">) than </w:t>
      </w:r>
      <w:proofErr w:type="spellStart"/>
      <w:r>
        <w:t>jobactive</w:t>
      </w:r>
      <w:proofErr w:type="spellEnd"/>
      <w:r>
        <w:t xml:space="preserve"> providers (83 per cent). Analysis for the final evaluation will seek to e</w:t>
      </w:r>
      <w:r w:rsidR="00AF548D">
        <w:t>stablish the reasons for this.</w:t>
      </w:r>
    </w:p>
    <w:p w14:paraId="6AB4826A" w14:textId="77777777" w:rsidR="007A4DA7" w:rsidRDefault="007A4DA7" w:rsidP="006D6F7E">
      <w:pPr>
        <w:pStyle w:val="ListBullet"/>
        <w:numPr>
          <w:ilvl w:val="0"/>
          <w:numId w:val="27"/>
        </w:numPr>
        <w:spacing w:before="0"/>
        <w:contextualSpacing w:val="0"/>
      </w:pPr>
      <w:r>
        <w:lastRenderedPageBreak/>
        <w:t xml:space="preserve">While the attendance rate at the first initial appointment was higher for </w:t>
      </w:r>
      <w:proofErr w:type="spellStart"/>
      <w:r>
        <w:t>TtW</w:t>
      </w:r>
      <w:proofErr w:type="spellEnd"/>
      <w:r>
        <w:t xml:space="preserve"> participants (77 per cent) than for young people in the </w:t>
      </w:r>
      <w:proofErr w:type="spellStart"/>
      <w:r>
        <w:t>jobactive</w:t>
      </w:r>
      <w:proofErr w:type="spellEnd"/>
      <w:r>
        <w:t xml:space="preserve"> comparison group (69 per cent), the attendance at contact appointments was lower (60 per cent for </w:t>
      </w:r>
      <w:proofErr w:type="spellStart"/>
      <w:r>
        <w:t>TtW</w:t>
      </w:r>
      <w:proofErr w:type="spellEnd"/>
      <w:r>
        <w:t xml:space="preserve">, compared with 63 per cent for the </w:t>
      </w:r>
      <w:proofErr w:type="spellStart"/>
      <w:r>
        <w:t>jobactive</w:t>
      </w:r>
      <w:proofErr w:type="spellEnd"/>
      <w:r>
        <w:t xml:space="preserve"> comparison group).</w:t>
      </w:r>
    </w:p>
    <w:p w14:paraId="29FC166B" w14:textId="77777777" w:rsidR="007A4DA7" w:rsidRDefault="007A4DA7" w:rsidP="007A4DA7">
      <w:pPr>
        <w:pStyle w:val="ListBullet"/>
        <w:numPr>
          <w:ilvl w:val="0"/>
          <w:numId w:val="27"/>
        </w:numPr>
        <w:spacing w:before="0"/>
        <w:contextualSpacing w:val="0"/>
      </w:pPr>
      <w:r>
        <w:t xml:space="preserve">During the early months, providers reported that they had difficulties in attracting disengaged young people (Group Two) but, once they were engaged, these participants had a high level of commitment to, and retention in, the </w:t>
      </w:r>
      <w:proofErr w:type="spellStart"/>
      <w:r>
        <w:t>TtW</w:t>
      </w:r>
      <w:proofErr w:type="spellEnd"/>
      <w:r>
        <w:t xml:space="preserve"> service.</w:t>
      </w:r>
    </w:p>
    <w:p w14:paraId="46F4CEA7" w14:textId="1EB0BF6F" w:rsidR="007A4DA7" w:rsidRPr="001E2AC3" w:rsidRDefault="007A4DA7" w:rsidP="007A4DA7">
      <w:pPr>
        <w:pStyle w:val="ListBullet"/>
        <w:numPr>
          <w:ilvl w:val="0"/>
          <w:numId w:val="27"/>
        </w:numPr>
        <w:spacing w:before="0"/>
        <w:contextualSpacing w:val="0"/>
      </w:pPr>
      <w:r w:rsidRPr="000B3D2B">
        <w:t xml:space="preserve">Consistent with the activity-based focus of </w:t>
      </w:r>
      <w:proofErr w:type="spellStart"/>
      <w:r w:rsidRPr="000B3D2B">
        <w:t>TtW</w:t>
      </w:r>
      <w:proofErr w:type="spellEnd"/>
      <w:r w:rsidRPr="000B3D2B">
        <w:t>, participants were required to undertake 25</w:t>
      </w:r>
      <w:r>
        <w:t> </w:t>
      </w:r>
      <w:r w:rsidRPr="000B3D2B">
        <w:t xml:space="preserve">hours per week of pre-employment activities. </w:t>
      </w:r>
      <w:r>
        <w:t>T</w:t>
      </w:r>
      <w:r w:rsidRPr="000B3D2B">
        <w:t xml:space="preserve">he proportion of young people participating in activities was higher </w:t>
      </w:r>
      <w:r>
        <w:t xml:space="preserve">in </w:t>
      </w:r>
      <w:proofErr w:type="spellStart"/>
      <w:r>
        <w:t>TtW</w:t>
      </w:r>
      <w:proofErr w:type="spellEnd"/>
      <w:r>
        <w:t xml:space="preserve"> </w:t>
      </w:r>
      <w:r w:rsidRPr="000B3D2B">
        <w:t xml:space="preserve">(46 per cent, compared to 19 per cent for the </w:t>
      </w:r>
      <w:proofErr w:type="spellStart"/>
      <w:r w:rsidRPr="000B3D2B">
        <w:t>jobactive</w:t>
      </w:r>
      <w:proofErr w:type="spellEnd"/>
      <w:r w:rsidRPr="000B3D2B">
        <w:t xml:space="preserve"> comparison group) over their first six months in the service. </w:t>
      </w:r>
    </w:p>
    <w:p w14:paraId="38A8B6F5" w14:textId="77777777" w:rsidR="007A4DA7" w:rsidRPr="00AE70B1" w:rsidRDefault="007A4DA7" w:rsidP="00312E10">
      <w:pPr>
        <w:pStyle w:val="Heading2"/>
      </w:pPr>
      <w:bookmarkStart w:id="4" w:name="_Toc521918393"/>
      <w:r w:rsidRPr="00C94102">
        <w:t xml:space="preserve">Early education, </w:t>
      </w:r>
      <w:proofErr w:type="gramStart"/>
      <w:r w:rsidRPr="00C94102">
        <w:t>employment</w:t>
      </w:r>
      <w:proofErr w:type="gramEnd"/>
      <w:r w:rsidRPr="00C94102">
        <w:t xml:space="preserve"> and labour market attachment outcomes</w:t>
      </w:r>
      <w:bookmarkEnd w:id="4"/>
    </w:p>
    <w:p w14:paraId="3B7FAA20" w14:textId="77777777" w:rsidR="007A4DA7" w:rsidRDefault="007A4DA7" w:rsidP="007A4DA7">
      <w:pPr>
        <w:pStyle w:val="ListBullet"/>
        <w:numPr>
          <w:ilvl w:val="0"/>
          <w:numId w:val="27"/>
        </w:numPr>
        <w:spacing w:before="0"/>
        <w:contextualSpacing w:val="0"/>
      </w:pPr>
      <w:r>
        <w:t xml:space="preserve">Approved outcomes in </w:t>
      </w:r>
      <w:proofErr w:type="spellStart"/>
      <w:r>
        <w:t>TtW</w:t>
      </w:r>
      <w:proofErr w:type="spellEnd"/>
      <w:r>
        <w:t xml:space="preserve"> include education, employment or a combination of education and employment outcomes, depending on the participant’s income status and Mutual Obligation Requirements. </w:t>
      </w:r>
      <w:r w:rsidRPr="00F25CBF">
        <w:t>At the end of March 2017</w:t>
      </w:r>
      <w:r>
        <w:t xml:space="preserve">, employment outcomes achieved through </w:t>
      </w:r>
      <w:proofErr w:type="spellStart"/>
      <w:r>
        <w:t>TtW</w:t>
      </w:r>
      <w:proofErr w:type="spellEnd"/>
      <w:r>
        <w:t xml:space="preserve"> comprised 79 per cent of all </w:t>
      </w:r>
      <w:proofErr w:type="spellStart"/>
      <w:r>
        <w:t>TtW</w:t>
      </w:r>
      <w:proofErr w:type="spellEnd"/>
      <w:r>
        <w:t xml:space="preserve"> outcomes, and the </w:t>
      </w:r>
      <w:r w:rsidRPr="00F25CBF">
        <w:t>March 2017 quarterly</w:t>
      </w:r>
      <w:r>
        <w:t xml:space="preserve"> Outcome Performance Targets were met for </w:t>
      </w:r>
      <w:r w:rsidRPr="000F176E">
        <w:t>5</w:t>
      </w:r>
      <w:r>
        <w:t>0 </w:t>
      </w:r>
      <w:r w:rsidRPr="000F176E">
        <w:t xml:space="preserve">per cent of all </w:t>
      </w:r>
      <w:r>
        <w:t xml:space="preserve">provider </w:t>
      </w:r>
      <w:r w:rsidRPr="000F176E">
        <w:t>contracts.</w:t>
      </w:r>
    </w:p>
    <w:p w14:paraId="2BAE4E4A" w14:textId="77777777" w:rsidR="007A4DA7" w:rsidRPr="000678AA" w:rsidRDefault="007A4DA7" w:rsidP="007A4DA7">
      <w:pPr>
        <w:pStyle w:val="ListParagraph"/>
        <w:numPr>
          <w:ilvl w:val="0"/>
          <w:numId w:val="27"/>
        </w:numPr>
        <w:spacing w:before="0"/>
      </w:pPr>
      <w:r>
        <w:t>The l</w:t>
      </w:r>
      <w:r w:rsidRPr="000678AA">
        <w:t>abour market attachment</w:t>
      </w:r>
      <w:r>
        <w:t xml:space="preserve"> rate,</w:t>
      </w:r>
      <w:r w:rsidRPr="000678AA">
        <w:t xml:space="preserve"> which </w:t>
      </w:r>
      <w:r>
        <w:t>measures</w:t>
      </w:r>
      <w:r w:rsidRPr="000678AA">
        <w:t xml:space="preserve"> </w:t>
      </w:r>
      <w:r>
        <w:t xml:space="preserve">engagement in some paid employment, was higher over </w:t>
      </w:r>
      <w:r w:rsidRPr="000A38F1">
        <w:t>the study period</w:t>
      </w:r>
      <w:r w:rsidRPr="000678AA">
        <w:t xml:space="preserve"> </w:t>
      </w:r>
      <w:r>
        <w:t>for</w:t>
      </w:r>
      <w:r w:rsidRPr="000678AA">
        <w:t xml:space="preserve"> </w:t>
      </w:r>
      <w:proofErr w:type="spellStart"/>
      <w:r w:rsidRPr="000678AA">
        <w:t>TtW</w:t>
      </w:r>
      <w:proofErr w:type="spellEnd"/>
      <w:r w:rsidRPr="000678AA">
        <w:t xml:space="preserve"> participants </w:t>
      </w:r>
      <w:r>
        <w:t>(</w:t>
      </w:r>
      <w:r w:rsidRPr="000678AA">
        <w:t>3</w:t>
      </w:r>
      <w:r>
        <w:t>3 </w:t>
      </w:r>
      <w:r w:rsidRPr="000678AA">
        <w:t>per cent</w:t>
      </w:r>
      <w:r>
        <w:t xml:space="preserve">) than for the </w:t>
      </w:r>
      <w:proofErr w:type="spellStart"/>
      <w:r>
        <w:t>jobactive</w:t>
      </w:r>
      <w:proofErr w:type="spellEnd"/>
      <w:r>
        <w:t xml:space="preserve"> comparison group participants</w:t>
      </w:r>
      <w:r w:rsidRPr="000678AA">
        <w:t xml:space="preserve"> </w:t>
      </w:r>
      <w:r>
        <w:t>(</w:t>
      </w:r>
      <w:r w:rsidRPr="000678AA">
        <w:t>2</w:t>
      </w:r>
      <w:r>
        <w:t>8 </w:t>
      </w:r>
      <w:r w:rsidRPr="000678AA">
        <w:t>per cent</w:t>
      </w:r>
      <w:r>
        <w:t>)</w:t>
      </w:r>
      <w:r w:rsidRPr="000678AA">
        <w:t>.</w:t>
      </w:r>
      <w:r>
        <w:t xml:space="preserve"> Employment indicators used for this measure included earnings reported to DHS, reduction in income support payment, participation in casual or part-time employment, and confirmed job placements.</w:t>
      </w:r>
    </w:p>
    <w:p w14:paraId="58FE3D5B" w14:textId="77777777" w:rsidR="007A4DA7" w:rsidRPr="000678AA" w:rsidRDefault="007A4DA7" w:rsidP="007A4DA7">
      <w:pPr>
        <w:pStyle w:val="ListBullet"/>
        <w:numPr>
          <w:ilvl w:val="0"/>
          <w:numId w:val="27"/>
        </w:numPr>
        <w:spacing w:before="0"/>
        <w:contextualSpacing w:val="0"/>
      </w:pPr>
      <w:r w:rsidRPr="000678AA">
        <w:t>The positive outcome measure</w:t>
      </w:r>
      <w:r>
        <w:t>,</w:t>
      </w:r>
      <w:r w:rsidRPr="000678AA">
        <w:t xml:space="preserve"> which includes </w:t>
      </w:r>
      <w:r>
        <w:t>study</w:t>
      </w:r>
      <w:r w:rsidRPr="000678AA">
        <w:t xml:space="preserve"> in education courses qualifying for an outcome payment as well as the employment indicators</w:t>
      </w:r>
      <w:r>
        <w:t>,</w:t>
      </w:r>
      <w:r w:rsidRPr="000678AA">
        <w:t xml:space="preserve"> was considerably higher for </w:t>
      </w:r>
      <w:proofErr w:type="spellStart"/>
      <w:r w:rsidRPr="000678AA">
        <w:t>TtW</w:t>
      </w:r>
      <w:proofErr w:type="spellEnd"/>
      <w:r w:rsidRPr="000678AA">
        <w:t xml:space="preserve"> participants (4</w:t>
      </w:r>
      <w:r>
        <w:t>2 </w:t>
      </w:r>
      <w:r w:rsidRPr="000678AA">
        <w:t>per cent</w:t>
      </w:r>
      <w:r>
        <w:t>)</w:t>
      </w:r>
      <w:r w:rsidRPr="000678AA">
        <w:t xml:space="preserve"> </w:t>
      </w:r>
      <w:r>
        <w:t xml:space="preserve">than for the </w:t>
      </w:r>
      <w:proofErr w:type="spellStart"/>
      <w:r>
        <w:t>jobactive</w:t>
      </w:r>
      <w:proofErr w:type="spellEnd"/>
      <w:r w:rsidRPr="000678AA">
        <w:t xml:space="preserve"> </w:t>
      </w:r>
      <w:r>
        <w:t>comparison group participants (</w:t>
      </w:r>
      <w:r w:rsidRPr="000678AA">
        <w:t>3</w:t>
      </w:r>
      <w:r>
        <w:t>3 </w:t>
      </w:r>
      <w:r w:rsidRPr="000678AA">
        <w:t xml:space="preserve">per cent). </w:t>
      </w:r>
    </w:p>
    <w:p w14:paraId="2C84A90C" w14:textId="77777777" w:rsidR="007A4DA7" w:rsidRPr="003D7634" w:rsidRDefault="007A4DA7" w:rsidP="00312E10">
      <w:pPr>
        <w:pStyle w:val="Heading1"/>
        <w:rPr>
          <w:rFonts w:eastAsia="Calibri"/>
        </w:rPr>
      </w:pPr>
      <w:bookmarkStart w:id="5" w:name="_Toc509402560"/>
      <w:bookmarkStart w:id="6" w:name="_Toc521918394"/>
      <w:r w:rsidRPr="003D7634">
        <w:rPr>
          <w:rFonts w:eastAsia="Calibri"/>
        </w:rPr>
        <w:t>Conclusion</w:t>
      </w:r>
      <w:bookmarkEnd w:id="5"/>
      <w:bookmarkEnd w:id="6"/>
    </w:p>
    <w:p w14:paraId="7855F4CB" w14:textId="77777777" w:rsidR="007A4DA7" w:rsidRDefault="007A4DA7" w:rsidP="007A4DA7">
      <w:pPr>
        <w:rPr>
          <w:rFonts w:cstheme="minorHAnsi"/>
        </w:rPr>
      </w:pPr>
      <w:r w:rsidRPr="00F56087">
        <w:t xml:space="preserve">Overall, </w:t>
      </w:r>
      <w:proofErr w:type="spellStart"/>
      <w:r>
        <w:t>TtW</w:t>
      </w:r>
      <w:proofErr w:type="spellEnd"/>
      <w:r w:rsidRPr="00F56087">
        <w:t xml:space="preserve"> </w:t>
      </w:r>
      <w:r>
        <w:t xml:space="preserve">is an </w:t>
      </w:r>
      <w:r w:rsidRPr="00F56087">
        <w:t xml:space="preserve">appropriate </w:t>
      </w:r>
      <w:r>
        <w:t xml:space="preserve">and well-received service </w:t>
      </w:r>
      <w:r w:rsidRPr="00F56087">
        <w:t>for young people</w:t>
      </w:r>
      <w:r>
        <w:t>. It</w:t>
      </w:r>
      <w:r w:rsidRPr="00F56087">
        <w:t xml:space="preserve"> deliver</w:t>
      </w:r>
      <w:r>
        <w:t>s</w:t>
      </w:r>
      <w:r w:rsidRPr="00F56087">
        <w:t xml:space="preserve"> high-quality services to </w:t>
      </w:r>
      <w:r>
        <w:t>the identified target groups</w:t>
      </w:r>
      <w:r w:rsidRPr="00F56087">
        <w:t xml:space="preserve"> in a flexible </w:t>
      </w:r>
      <w:r>
        <w:t>and effective manner</w:t>
      </w:r>
      <w:r w:rsidRPr="00F56087">
        <w:t xml:space="preserve">. </w:t>
      </w:r>
      <w:r>
        <w:t xml:space="preserve">Despite some initial issues with </w:t>
      </w:r>
      <w:r w:rsidRPr="00365FB6">
        <w:rPr>
          <w:rFonts w:cstheme="minorHAnsi"/>
        </w:rPr>
        <w:t xml:space="preserve">the implementation of </w:t>
      </w:r>
      <w:proofErr w:type="spellStart"/>
      <w:r w:rsidRPr="00365FB6">
        <w:rPr>
          <w:rFonts w:cstheme="minorHAnsi"/>
        </w:rPr>
        <w:t>TtW</w:t>
      </w:r>
      <w:proofErr w:type="spellEnd"/>
      <w:r>
        <w:rPr>
          <w:rFonts w:cstheme="minorHAnsi"/>
        </w:rPr>
        <w:t xml:space="preserve">, </w:t>
      </w:r>
      <w:r w:rsidRPr="004D13C2">
        <w:rPr>
          <w:rFonts w:cstheme="minorHAnsi"/>
        </w:rPr>
        <w:t>the</w:t>
      </w:r>
      <w:r>
        <w:rPr>
          <w:rFonts w:cstheme="minorHAnsi"/>
        </w:rPr>
        <w:t xml:space="preserve"> service’s</w:t>
      </w:r>
      <w:r w:rsidRPr="004D13C2">
        <w:rPr>
          <w:rFonts w:cstheme="minorHAnsi"/>
        </w:rPr>
        <w:t xml:space="preserve"> operational processes</w:t>
      </w:r>
      <w:r>
        <w:rPr>
          <w:rFonts w:cstheme="minorHAnsi"/>
        </w:rPr>
        <w:t xml:space="preserve"> appear sound. </w:t>
      </w:r>
      <w:r w:rsidRPr="00F56087">
        <w:t xml:space="preserve">The </w:t>
      </w:r>
      <w:r>
        <w:t>strong</w:t>
      </w:r>
      <w:r w:rsidRPr="00F56087">
        <w:t xml:space="preserve"> evidence-</w:t>
      </w:r>
      <w:r>
        <w:t xml:space="preserve">based design </w:t>
      </w:r>
      <w:r>
        <w:rPr>
          <w:rFonts w:cstheme="minorHAnsi"/>
        </w:rPr>
        <w:t>underpinning</w:t>
      </w:r>
      <w:r>
        <w:t xml:space="preserve"> </w:t>
      </w:r>
      <w:proofErr w:type="spellStart"/>
      <w:r>
        <w:t>TtW</w:t>
      </w:r>
      <w:proofErr w:type="spellEnd"/>
      <w:r>
        <w:t>, together with funding arrangements that support intensive servicing</w:t>
      </w:r>
      <w:r w:rsidR="00631669">
        <w:t>,</w:t>
      </w:r>
      <w:r>
        <w:t xml:space="preserve"> presumably contributed to the </w:t>
      </w:r>
      <w:r w:rsidRPr="00F56087">
        <w:t>positive outcomes</w:t>
      </w:r>
      <w:r>
        <w:t xml:space="preserve"> achieved to date.</w:t>
      </w:r>
    </w:p>
    <w:p w14:paraId="149CFBDF" w14:textId="77777777" w:rsidR="007A4DA7" w:rsidRPr="009E193A" w:rsidRDefault="007A4DA7" w:rsidP="007A4DA7"/>
    <w:sectPr w:rsidR="007A4DA7" w:rsidRPr="009E193A" w:rsidSect="00312E10">
      <w:footerReference w:type="default" r:id="rId18"/>
      <w:pgSz w:w="11906" w:h="16838"/>
      <w:pgMar w:top="1440" w:right="1440" w:bottom="1440" w:left="1440" w:header="709" w:footer="5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CCC1B" w14:textId="77777777" w:rsidR="007A4DA7" w:rsidRDefault="007A4DA7" w:rsidP="00130923">
      <w:pPr>
        <w:spacing w:after="0" w:line="240" w:lineRule="auto"/>
      </w:pPr>
      <w:r>
        <w:separator/>
      </w:r>
    </w:p>
  </w:endnote>
  <w:endnote w:type="continuationSeparator" w:id="0">
    <w:p w14:paraId="30E1B2DC" w14:textId="77777777" w:rsidR="007A4DA7" w:rsidRDefault="007A4DA7" w:rsidP="0013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F4018" w14:textId="77777777" w:rsidR="00543FCC" w:rsidRDefault="00543F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34A9" w14:textId="77777777" w:rsidR="003242B9" w:rsidRDefault="003242B9" w:rsidP="003242B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0F49" w14:textId="77777777" w:rsidR="00543FCC" w:rsidRDefault="00543F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B852" w14:textId="77777777" w:rsidR="003A55ED" w:rsidRPr="00312E10" w:rsidRDefault="003A55ED" w:rsidP="00312E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EE4B" w14:textId="77777777" w:rsidR="00312E10" w:rsidRPr="00232789" w:rsidRDefault="00312E10" w:rsidP="003A55ED">
    <w:pPr>
      <w:pStyle w:val="Footer"/>
      <w:ind w:left="4678"/>
    </w:pPr>
    <w:r>
      <w:rPr>
        <w:noProof/>
        <w:lang w:eastAsia="en-AU"/>
      </w:rPr>
      <w:drawing>
        <wp:anchor distT="0" distB="0" distL="114300" distR="114300" simplePos="0" relativeHeight="251661312" behindDoc="1" locked="0" layoutInCell="1" allowOverlap="1" wp14:anchorId="5C0FE86F" wp14:editId="6954CE93">
          <wp:simplePos x="0" y="0"/>
          <wp:positionH relativeFrom="page">
            <wp:posOffset>2628900</wp:posOffset>
          </wp:positionH>
          <wp:positionV relativeFrom="paragraph">
            <wp:posOffset>-330835</wp:posOffset>
          </wp:positionV>
          <wp:extent cx="4924570" cy="1206136"/>
          <wp:effectExtent l="0" t="0" r="0" b="0"/>
          <wp:wrapNone/>
          <wp:docPr id="1"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B18_0291 Update Corporate Templates_01_footer.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4924570" cy="12061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For more information visit:</w:t>
    </w:r>
    <w:r>
      <w:br/>
    </w:r>
    <w:r w:rsidRPr="003A55ED">
      <w:rPr>
        <w:sz w:val="36"/>
        <w:szCs w:val="36"/>
      </w:rPr>
      <w:t>www.</w:t>
    </w:r>
    <w:r w:rsidRPr="003A55ED">
      <w:rPr>
        <w:b/>
        <w:sz w:val="36"/>
        <w:szCs w:val="36"/>
      </w:rPr>
      <w:t>employment</w:t>
    </w:r>
    <w:r w:rsidRPr="003A55ED">
      <w:rPr>
        <w:sz w:val="36"/>
        <w:szCs w:val="36"/>
      </w:rPr>
      <w:t>.gov.au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20550" w14:textId="77777777" w:rsidR="007A4DA7" w:rsidRDefault="007A4DA7" w:rsidP="00130923">
      <w:pPr>
        <w:spacing w:after="0" w:line="240" w:lineRule="auto"/>
      </w:pPr>
      <w:r>
        <w:separator/>
      </w:r>
    </w:p>
  </w:footnote>
  <w:footnote w:type="continuationSeparator" w:id="0">
    <w:p w14:paraId="546B6429" w14:textId="77777777" w:rsidR="007A4DA7" w:rsidRDefault="007A4DA7" w:rsidP="00130923">
      <w:pPr>
        <w:spacing w:after="0" w:line="240" w:lineRule="auto"/>
      </w:pPr>
      <w:r>
        <w:continuationSeparator/>
      </w:r>
    </w:p>
  </w:footnote>
  <w:footnote w:id="1">
    <w:p w14:paraId="7585DEF3" w14:textId="0BC5D1F1" w:rsidR="00894BAA" w:rsidRDefault="00894BAA" w:rsidP="00894BAA">
      <w:pPr>
        <w:pStyle w:val="FootnoteText"/>
      </w:pPr>
      <w:r>
        <w:rPr>
          <w:rStyle w:val="FootnoteReference"/>
        </w:rPr>
        <w:footnoteRef/>
      </w:r>
      <w:r w:rsidR="00701D1E">
        <w:t xml:space="preserve"> Effective 1 January 2020</w:t>
      </w:r>
      <w:r>
        <w:t xml:space="preserve">, eligibility requirements </w:t>
      </w:r>
      <w:r w:rsidR="00701D1E">
        <w:t>will</w:t>
      </w:r>
      <w:r>
        <w:t xml:space="preserve"> </w:t>
      </w:r>
      <w:r w:rsidR="00701D1E">
        <w:t xml:space="preserve">be </w:t>
      </w:r>
      <w:r>
        <w:t xml:space="preserve">expanded to include </w:t>
      </w:r>
      <w:r w:rsidR="00701D1E">
        <w:t>22</w:t>
      </w:r>
      <w:r w:rsidR="00611853">
        <w:t>–</w:t>
      </w:r>
      <w:proofErr w:type="gramStart"/>
      <w:r w:rsidR="00701D1E">
        <w:t>24 year old</w:t>
      </w:r>
      <w:proofErr w:type="gramEnd"/>
      <w:r>
        <w:t xml:space="preserve"> young people.</w:t>
      </w:r>
    </w:p>
  </w:footnote>
  <w:footnote w:id="2">
    <w:p w14:paraId="2BC712A7" w14:textId="77777777" w:rsidR="007A4DA7" w:rsidRDefault="007A4DA7" w:rsidP="007A4DA7">
      <w:pPr>
        <w:pStyle w:val="FootnoteText"/>
      </w:pPr>
      <w:r>
        <w:rPr>
          <w:rStyle w:val="FootnoteReference"/>
        </w:rPr>
        <w:footnoteRef/>
      </w:r>
      <w:r>
        <w:t xml:space="preserve"> Effective 1 January 2018, eligibility requirements were expanded to include Aboriginal or Torres Strait Islander young people irrespective of whether they have completed Year 12 or a Certificate III or higher.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DF56" w14:textId="77777777" w:rsidR="00543FCC" w:rsidRDefault="00543F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6A9F0" w14:textId="77777777" w:rsidR="000F3874" w:rsidRPr="000F3874" w:rsidRDefault="000F3874" w:rsidP="00965862">
    <w:pPr>
      <w:pStyle w:val="Header"/>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D5F6" w14:textId="77777777" w:rsidR="00543FCC" w:rsidRDefault="00543F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B8B69" w14:textId="77777777" w:rsidR="00560CA0" w:rsidRDefault="00560CA0" w:rsidP="00560CA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ACE6F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2C02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D08C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42CF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BA18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8686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840E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FE1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001698"/>
    <w:lvl w:ilvl="0">
      <w:start w:val="1"/>
      <w:numFmt w:val="decimal"/>
      <w:lvlText w:val="%1."/>
      <w:lvlJc w:val="left"/>
      <w:pPr>
        <w:tabs>
          <w:tab w:val="num" w:pos="360"/>
        </w:tabs>
        <w:ind w:left="360" w:hanging="360"/>
      </w:pPr>
    </w:lvl>
  </w:abstractNum>
  <w:abstractNum w:abstractNumId="9" w15:restartNumberingAfterBreak="0">
    <w:nsid w:val="02CD28AC"/>
    <w:multiLevelType w:val="hybridMultilevel"/>
    <w:tmpl w:val="02E0AF20"/>
    <w:lvl w:ilvl="0" w:tplc="08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6702084"/>
    <w:multiLevelType w:val="hybridMultilevel"/>
    <w:tmpl w:val="651EB53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80F485D"/>
    <w:multiLevelType w:val="hybridMultilevel"/>
    <w:tmpl w:val="5BE4D756"/>
    <w:lvl w:ilvl="0" w:tplc="1A4409F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4E12691"/>
    <w:multiLevelType w:val="hybridMultilevel"/>
    <w:tmpl w:val="87F08D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4" w15:restartNumberingAfterBreak="0">
    <w:nsid w:val="1FBA5C77"/>
    <w:multiLevelType w:val="multilevel"/>
    <w:tmpl w:val="91E0A57C"/>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2B1927E8"/>
    <w:multiLevelType w:val="hybridMultilevel"/>
    <w:tmpl w:val="4336FA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0732AD"/>
    <w:multiLevelType w:val="multilevel"/>
    <w:tmpl w:val="F6DA8B3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51B73210"/>
    <w:multiLevelType w:val="multilevel"/>
    <w:tmpl w:val="1A7C826C"/>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59CF1710"/>
    <w:multiLevelType w:val="multilevel"/>
    <w:tmpl w:val="835A880C"/>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76BE2999"/>
    <w:multiLevelType w:val="hybridMultilevel"/>
    <w:tmpl w:val="BE9A9BF0"/>
    <w:lvl w:ilvl="0" w:tplc="CC821152">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7D0E53D4"/>
    <w:multiLevelType w:val="multilevel"/>
    <w:tmpl w:val="9D9E4B96"/>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8"/>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9"/>
  </w:num>
  <w:num w:numId="15">
    <w:abstractNumId w:val="12"/>
  </w:num>
  <w:num w:numId="16">
    <w:abstractNumId w:val="1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3"/>
  </w:num>
  <w:num w:numId="21">
    <w:abstractNumId w:val="16"/>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7A4DA7"/>
    <w:rsid w:val="00002721"/>
    <w:rsid w:val="0002469D"/>
    <w:rsid w:val="00024E24"/>
    <w:rsid w:val="00034EAA"/>
    <w:rsid w:val="00053E03"/>
    <w:rsid w:val="00080F24"/>
    <w:rsid w:val="000861A6"/>
    <w:rsid w:val="000E7E7B"/>
    <w:rsid w:val="000F3874"/>
    <w:rsid w:val="000F3BA2"/>
    <w:rsid w:val="001175BF"/>
    <w:rsid w:val="00130923"/>
    <w:rsid w:val="001414F3"/>
    <w:rsid w:val="00141A65"/>
    <w:rsid w:val="00143FCD"/>
    <w:rsid w:val="00165376"/>
    <w:rsid w:val="001B0CCF"/>
    <w:rsid w:val="001B6467"/>
    <w:rsid w:val="001E0572"/>
    <w:rsid w:val="001F1C07"/>
    <w:rsid w:val="00210DE0"/>
    <w:rsid w:val="00220A9D"/>
    <w:rsid w:val="0022144F"/>
    <w:rsid w:val="00223EB1"/>
    <w:rsid w:val="00232789"/>
    <w:rsid w:val="00236917"/>
    <w:rsid w:val="00243D6B"/>
    <w:rsid w:val="00266BBE"/>
    <w:rsid w:val="002936DE"/>
    <w:rsid w:val="002B06E6"/>
    <w:rsid w:val="002C7B35"/>
    <w:rsid w:val="002D271F"/>
    <w:rsid w:val="002D6386"/>
    <w:rsid w:val="00305B35"/>
    <w:rsid w:val="00312E10"/>
    <w:rsid w:val="003166C5"/>
    <w:rsid w:val="00322394"/>
    <w:rsid w:val="003242B9"/>
    <w:rsid w:val="003542BA"/>
    <w:rsid w:val="0037327B"/>
    <w:rsid w:val="003A55ED"/>
    <w:rsid w:val="003C2EEE"/>
    <w:rsid w:val="003D41D4"/>
    <w:rsid w:val="003D67FC"/>
    <w:rsid w:val="00406E5A"/>
    <w:rsid w:val="0042518D"/>
    <w:rsid w:val="00435B7B"/>
    <w:rsid w:val="00455B34"/>
    <w:rsid w:val="0048762C"/>
    <w:rsid w:val="004A760F"/>
    <w:rsid w:val="004B256F"/>
    <w:rsid w:val="004E40A4"/>
    <w:rsid w:val="004E6DDE"/>
    <w:rsid w:val="005113B6"/>
    <w:rsid w:val="005129AA"/>
    <w:rsid w:val="00531817"/>
    <w:rsid w:val="00542D43"/>
    <w:rsid w:val="00543FCC"/>
    <w:rsid w:val="0054508B"/>
    <w:rsid w:val="005501BD"/>
    <w:rsid w:val="00560CA0"/>
    <w:rsid w:val="0056236F"/>
    <w:rsid w:val="005624F3"/>
    <w:rsid w:val="005811EF"/>
    <w:rsid w:val="00591A54"/>
    <w:rsid w:val="005B0878"/>
    <w:rsid w:val="005C15C0"/>
    <w:rsid w:val="005C7F63"/>
    <w:rsid w:val="005E1673"/>
    <w:rsid w:val="005F03D1"/>
    <w:rsid w:val="00610654"/>
    <w:rsid w:val="00611853"/>
    <w:rsid w:val="006129EF"/>
    <w:rsid w:val="006172EB"/>
    <w:rsid w:val="00631669"/>
    <w:rsid w:val="006318B9"/>
    <w:rsid w:val="00636DD3"/>
    <w:rsid w:val="0067026C"/>
    <w:rsid w:val="00692776"/>
    <w:rsid w:val="00692E2A"/>
    <w:rsid w:val="006C4962"/>
    <w:rsid w:val="006D27EB"/>
    <w:rsid w:val="006E2D49"/>
    <w:rsid w:val="00701D1E"/>
    <w:rsid w:val="00725D2F"/>
    <w:rsid w:val="00734805"/>
    <w:rsid w:val="007468FC"/>
    <w:rsid w:val="007500CC"/>
    <w:rsid w:val="00756759"/>
    <w:rsid w:val="0077220B"/>
    <w:rsid w:val="00792CA3"/>
    <w:rsid w:val="007A3C0C"/>
    <w:rsid w:val="007A4DA7"/>
    <w:rsid w:val="007B2FDD"/>
    <w:rsid w:val="007C13A9"/>
    <w:rsid w:val="007C6FB8"/>
    <w:rsid w:val="007D58FB"/>
    <w:rsid w:val="007F2872"/>
    <w:rsid w:val="007F57AE"/>
    <w:rsid w:val="00804665"/>
    <w:rsid w:val="0083468A"/>
    <w:rsid w:val="00842D43"/>
    <w:rsid w:val="00856D1C"/>
    <w:rsid w:val="00874DBB"/>
    <w:rsid w:val="00876AC0"/>
    <w:rsid w:val="008924EC"/>
    <w:rsid w:val="00894BAA"/>
    <w:rsid w:val="008C2978"/>
    <w:rsid w:val="008F775D"/>
    <w:rsid w:val="00903408"/>
    <w:rsid w:val="009116EA"/>
    <w:rsid w:val="00933671"/>
    <w:rsid w:val="00933C0C"/>
    <w:rsid w:val="0096483F"/>
    <w:rsid w:val="00965862"/>
    <w:rsid w:val="0096779D"/>
    <w:rsid w:val="00972BF7"/>
    <w:rsid w:val="00972DD5"/>
    <w:rsid w:val="00973B7E"/>
    <w:rsid w:val="00984879"/>
    <w:rsid w:val="00985632"/>
    <w:rsid w:val="0099143C"/>
    <w:rsid w:val="00991B63"/>
    <w:rsid w:val="009A2FC9"/>
    <w:rsid w:val="009B2428"/>
    <w:rsid w:val="009B4507"/>
    <w:rsid w:val="009B5522"/>
    <w:rsid w:val="009B5CB7"/>
    <w:rsid w:val="009C5738"/>
    <w:rsid w:val="009C61E7"/>
    <w:rsid w:val="009F5CF5"/>
    <w:rsid w:val="00A21FB0"/>
    <w:rsid w:val="00A2225A"/>
    <w:rsid w:val="00A2727A"/>
    <w:rsid w:val="00A31242"/>
    <w:rsid w:val="00A35435"/>
    <w:rsid w:val="00A52530"/>
    <w:rsid w:val="00A551BF"/>
    <w:rsid w:val="00A70524"/>
    <w:rsid w:val="00A73406"/>
    <w:rsid w:val="00A9672C"/>
    <w:rsid w:val="00AA4BA4"/>
    <w:rsid w:val="00AC65DA"/>
    <w:rsid w:val="00AD06D8"/>
    <w:rsid w:val="00AE10EA"/>
    <w:rsid w:val="00AF548D"/>
    <w:rsid w:val="00B17DB5"/>
    <w:rsid w:val="00B2722A"/>
    <w:rsid w:val="00B42FA8"/>
    <w:rsid w:val="00B566DB"/>
    <w:rsid w:val="00B618BA"/>
    <w:rsid w:val="00B72B92"/>
    <w:rsid w:val="00B75F36"/>
    <w:rsid w:val="00BA282D"/>
    <w:rsid w:val="00BB6260"/>
    <w:rsid w:val="00BD02EE"/>
    <w:rsid w:val="00BF10F4"/>
    <w:rsid w:val="00C05E74"/>
    <w:rsid w:val="00C10C19"/>
    <w:rsid w:val="00C143B8"/>
    <w:rsid w:val="00C169F7"/>
    <w:rsid w:val="00C17D02"/>
    <w:rsid w:val="00C22472"/>
    <w:rsid w:val="00C24AA9"/>
    <w:rsid w:val="00C45A8B"/>
    <w:rsid w:val="00C5649C"/>
    <w:rsid w:val="00C75486"/>
    <w:rsid w:val="00C8202C"/>
    <w:rsid w:val="00C92A5B"/>
    <w:rsid w:val="00CA2884"/>
    <w:rsid w:val="00CA46EC"/>
    <w:rsid w:val="00CC3EE9"/>
    <w:rsid w:val="00CE76F8"/>
    <w:rsid w:val="00CF5A00"/>
    <w:rsid w:val="00D05B29"/>
    <w:rsid w:val="00D1394D"/>
    <w:rsid w:val="00D3290B"/>
    <w:rsid w:val="00D47740"/>
    <w:rsid w:val="00D6708F"/>
    <w:rsid w:val="00D756C0"/>
    <w:rsid w:val="00D812B9"/>
    <w:rsid w:val="00D8690C"/>
    <w:rsid w:val="00D903FD"/>
    <w:rsid w:val="00D91CBF"/>
    <w:rsid w:val="00D94BC5"/>
    <w:rsid w:val="00D96B09"/>
    <w:rsid w:val="00D96C08"/>
    <w:rsid w:val="00DA4492"/>
    <w:rsid w:val="00DC3052"/>
    <w:rsid w:val="00DC76D7"/>
    <w:rsid w:val="00DE4415"/>
    <w:rsid w:val="00DF46C4"/>
    <w:rsid w:val="00E1745E"/>
    <w:rsid w:val="00E61B9F"/>
    <w:rsid w:val="00EA381E"/>
    <w:rsid w:val="00EC64C4"/>
    <w:rsid w:val="00EC78E7"/>
    <w:rsid w:val="00ED43D2"/>
    <w:rsid w:val="00EE3B8C"/>
    <w:rsid w:val="00EF4A38"/>
    <w:rsid w:val="00EF4B93"/>
    <w:rsid w:val="00F11B8F"/>
    <w:rsid w:val="00F2438F"/>
    <w:rsid w:val="00F427EE"/>
    <w:rsid w:val="00F540BE"/>
    <w:rsid w:val="00F74011"/>
    <w:rsid w:val="00F975AB"/>
    <w:rsid w:val="00FB02E0"/>
    <w:rsid w:val="00FB10CB"/>
    <w:rsid w:val="00FD784B"/>
    <w:rsid w:val="00FF106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CD5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872"/>
    <w:pPr>
      <w:spacing w:before="60" w:after="120"/>
    </w:pPr>
    <w:rPr>
      <w14:ligatures w14:val="standard"/>
    </w:rPr>
  </w:style>
  <w:style w:type="paragraph" w:styleId="Heading1">
    <w:name w:val="heading 1"/>
    <w:basedOn w:val="Normal"/>
    <w:next w:val="Normal"/>
    <w:link w:val="Heading1Char"/>
    <w:uiPriority w:val="2"/>
    <w:qFormat/>
    <w:rsid w:val="007500CC"/>
    <w:pPr>
      <w:spacing w:before="240" w:after="40" w:line="240" w:lineRule="auto"/>
      <w:outlineLvl w:val="0"/>
    </w:pPr>
    <w:rPr>
      <w:rFonts w:ascii="Calibri" w:eastAsiaTheme="majorEastAsia" w:hAnsi="Calibri" w:cstheme="majorBidi"/>
      <w:b/>
      <w:bCs/>
      <w:color w:val="287BB3"/>
      <w:sz w:val="44"/>
      <w:szCs w:val="44"/>
    </w:rPr>
  </w:style>
  <w:style w:type="paragraph" w:styleId="Heading2">
    <w:name w:val="heading 2"/>
    <w:basedOn w:val="Normal"/>
    <w:next w:val="Normal"/>
    <w:link w:val="Heading2Char"/>
    <w:uiPriority w:val="2"/>
    <w:qFormat/>
    <w:rsid w:val="0077220B"/>
    <w:pPr>
      <w:spacing w:before="240" w:after="0"/>
      <w:outlineLvl w:val="1"/>
    </w:pPr>
    <w:rPr>
      <w:rFonts w:eastAsiaTheme="majorEastAsia" w:cstheme="minorHAnsi"/>
      <w:bCs/>
      <w:color w:val="287BB3"/>
      <w:sz w:val="36"/>
      <w:szCs w:val="36"/>
    </w:rPr>
  </w:style>
  <w:style w:type="paragraph" w:styleId="Heading3">
    <w:name w:val="heading 3"/>
    <w:basedOn w:val="Normal"/>
    <w:next w:val="Normal"/>
    <w:link w:val="Heading3Char"/>
    <w:uiPriority w:val="2"/>
    <w:qFormat/>
    <w:rsid w:val="00D3290B"/>
    <w:pPr>
      <w:spacing w:before="240" w:after="0"/>
      <w:outlineLvl w:val="2"/>
    </w:pPr>
    <w:rPr>
      <w:rFonts w:eastAsiaTheme="majorEastAsia" w:cstheme="minorHAnsi"/>
      <w:b/>
      <w:bCs/>
      <w:sz w:val="28"/>
    </w:rPr>
  </w:style>
  <w:style w:type="paragraph" w:styleId="Heading4">
    <w:name w:val="heading 4"/>
    <w:basedOn w:val="Normal"/>
    <w:next w:val="Normal"/>
    <w:link w:val="Heading4Char"/>
    <w:uiPriority w:val="2"/>
    <w:qFormat/>
    <w:rsid w:val="0077220B"/>
    <w:pPr>
      <w:spacing w:before="240" w:after="0"/>
      <w:outlineLvl w:val="3"/>
    </w:pPr>
    <w:rPr>
      <w:rFonts w:ascii="Calibri" w:eastAsiaTheme="majorEastAsia" w:hAnsi="Calibri" w:cstheme="majorBidi"/>
      <w:bCs/>
      <w:iCs/>
      <w:sz w:val="28"/>
      <w:szCs w:val="28"/>
    </w:rPr>
  </w:style>
  <w:style w:type="paragraph" w:styleId="Heading5">
    <w:name w:val="heading 5"/>
    <w:basedOn w:val="Normal"/>
    <w:next w:val="Normal"/>
    <w:link w:val="Heading5Char"/>
    <w:uiPriority w:val="2"/>
    <w:qFormat/>
    <w:rsid w:val="005C7F63"/>
    <w:pPr>
      <w:spacing w:before="200" w:after="0"/>
      <w:outlineLvl w:val="4"/>
    </w:pPr>
    <w:rPr>
      <w:rFonts w:ascii="Calibri" w:eastAsiaTheme="majorEastAsia" w:hAnsi="Calibri" w:cstheme="majorBidi"/>
      <w:b/>
      <w:bCs/>
      <w:color w:val="565656"/>
      <w:sz w:val="28"/>
      <w:szCs w:val="28"/>
    </w:rPr>
  </w:style>
  <w:style w:type="paragraph" w:styleId="Heading6">
    <w:name w:val="heading 6"/>
    <w:basedOn w:val="Normal"/>
    <w:next w:val="Normal"/>
    <w:link w:val="Heading6Char"/>
    <w:uiPriority w:val="2"/>
    <w:qFormat/>
    <w:rsid w:val="005C7F63"/>
    <w:pPr>
      <w:spacing w:before="200" w:after="0"/>
      <w:outlineLvl w:val="5"/>
    </w:pPr>
    <w:rPr>
      <w:rFonts w:ascii="Calibri" w:eastAsiaTheme="majorEastAsia" w:hAnsi="Calibri" w:cstheme="majorBidi"/>
      <w:bCs/>
      <w:iCs/>
      <w:color w:val="565656"/>
      <w:sz w:val="24"/>
    </w:rPr>
  </w:style>
  <w:style w:type="paragraph" w:styleId="Heading7">
    <w:name w:val="heading 7"/>
    <w:basedOn w:val="Normal"/>
    <w:next w:val="Normal"/>
    <w:link w:val="Heading7Char"/>
    <w:uiPriority w:val="9"/>
    <w:semiHidden/>
    <w:unhideWhenUsed/>
    <w:rsid w:val="006129EF"/>
    <w:pPr>
      <w:spacing w:after="0"/>
      <w:outlineLvl w:val="6"/>
    </w:pPr>
    <w:rPr>
      <w:rFonts w:ascii="Calibri" w:eastAsiaTheme="majorEastAsia" w:hAnsi="Calibri" w:cstheme="majorBidi"/>
      <w:iCs/>
      <w:sz w:val="20"/>
    </w:rPr>
  </w:style>
  <w:style w:type="paragraph" w:styleId="Heading8">
    <w:name w:val="heading 8"/>
    <w:basedOn w:val="Normal"/>
    <w:next w:val="Normal"/>
    <w:link w:val="Heading8Char"/>
    <w:uiPriority w:val="9"/>
    <w:semiHidden/>
    <w:unhideWhenUsed/>
    <w:qFormat/>
    <w:rsid w:val="00AC65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8"/>
    <w:qFormat/>
    <w:rsid w:val="00AC65DA"/>
    <w:rPr>
      <w:b/>
      <w:bCs/>
    </w:rPr>
  </w:style>
  <w:style w:type="character" w:styleId="Emphasis">
    <w:name w:val="Emphasis"/>
    <w:uiPriority w:val="8"/>
    <w:qFormat/>
    <w:rsid w:val="001F1C07"/>
    <w:rPr>
      <w:b w:val="0"/>
      <w:bCs/>
      <w:i/>
      <w:iCs/>
      <w:spacing w:val="10"/>
      <w:bdr w:val="none" w:sz="0" w:space="0" w:color="auto"/>
      <w:shd w:val="clear" w:color="auto" w:fill="auto"/>
    </w:rPr>
  </w:style>
  <w:style w:type="character" w:styleId="BookTitle">
    <w:name w:val="Book Title"/>
    <w:uiPriority w:val="33"/>
    <w:rsid w:val="009116EA"/>
    <w:rPr>
      <w:i/>
      <w:iCs/>
      <w:caps w:val="0"/>
      <w:smallCaps w:val="0"/>
      <w:spacing w:val="5"/>
    </w:rPr>
  </w:style>
  <w:style w:type="character" w:styleId="Hyperlink">
    <w:name w:val="Hyperlink"/>
    <w:basedOn w:val="DefaultParagraphFont"/>
    <w:uiPriority w:val="99"/>
    <w:unhideWhenUsed/>
    <w:qFormat/>
    <w:rsid w:val="00C10C19"/>
    <w:rPr>
      <w:color w:val="287BB3" w:themeColor="hyperlink"/>
      <w:u w:val="single"/>
    </w:rPr>
  </w:style>
  <w:style w:type="paragraph" w:styleId="Quote">
    <w:name w:val="Quote"/>
    <w:basedOn w:val="Normal"/>
    <w:next w:val="Normal"/>
    <w:link w:val="QuoteChar"/>
    <w:uiPriority w:val="29"/>
    <w:qFormat/>
    <w:rsid w:val="00C05E74"/>
    <w:pPr>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2"/>
    <w:rsid w:val="007500CC"/>
    <w:rPr>
      <w:rFonts w:ascii="Calibri" w:eastAsiaTheme="majorEastAsia" w:hAnsi="Calibri" w:cstheme="majorBidi"/>
      <w:b/>
      <w:bCs/>
      <w:color w:val="287BB3"/>
      <w:sz w:val="44"/>
      <w:szCs w:val="44"/>
    </w:rPr>
  </w:style>
  <w:style w:type="character" w:customStyle="1" w:styleId="Heading2Char">
    <w:name w:val="Heading 2 Char"/>
    <w:basedOn w:val="DefaultParagraphFont"/>
    <w:link w:val="Heading2"/>
    <w:uiPriority w:val="2"/>
    <w:rsid w:val="0077220B"/>
    <w:rPr>
      <w:rFonts w:eastAsiaTheme="majorEastAsia" w:cstheme="minorHAnsi"/>
      <w:bCs/>
      <w:color w:val="287BB3"/>
      <w:sz w:val="36"/>
      <w:szCs w:val="36"/>
    </w:rPr>
  </w:style>
  <w:style w:type="character" w:customStyle="1" w:styleId="Heading3Char">
    <w:name w:val="Heading 3 Char"/>
    <w:basedOn w:val="DefaultParagraphFont"/>
    <w:link w:val="Heading3"/>
    <w:uiPriority w:val="2"/>
    <w:rsid w:val="00D3290B"/>
    <w:rPr>
      <w:rFonts w:eastAsiaTheme="majorEastAsia" w:cstheme="minorHAnsi"/>
      <w:b/>
      <w:bCs/>
      <w:sz w:val="28"/>
    </w:rPr>
  </w:style>
  <w:style w:type="character" w:customStyle="1" w:styleId="Heading4Char">
    <w:name w:val="Heading 4 Char"/>
    <w:basedOn w:val="DefaultParagraphFont"/>
    <w:link w:val="Heading4"/>
    <w:uiPriority w:val="2"/>
    <w:rsid w:val="0077220B"/>
    <w:rPr>
      <w:rFonts w:ascii="Calibri" w:eastAsiaTheme="majorEastAsia" w:hAnsi="Calibri" w:cstheme="majorBidi"/>
      <w:bCs/>
      <w:iCs/>
      <w:sz w:val="28"/>
      <w:szCs w:val="28"/>
    </w:rPr>
  </w:style>
  <w:style w:type="character" w:customStyle="1" w:styleId="Heading5Char">
    <w:name w:val="Heading 5 Char"/>
    <w:basedOn w:val="DefaultParagraphFont"/>
    <w:link w:val="Heading5"/>
    <w:uiPriority w:val="2"/>
    <w:rsid w:val="005C7F63"/>
    <w:rPr>
      <w:rFonts w:ascii="Calibri" w:eastAsiaTheme="majorEastAsia" w:hAnsi="Calibri" w:cstheme="majorBidi"/>
      <w:b/>
      <w:bCs/>
      <w:color w:val="565656"/>
      <w:sz w:val="28"/>
      <w:szCs w:val="28"/>
      <w14:ligatures w14:val="standard"/>
    </w:rPr>
  </w:style>
  <w:style w:type="character" w:customStyle="1" w:styleId="Heading6Char">
    <w:name w:val="Heading 6 Char"/>
    <w:basedOn w:val="DefaultParagraphFont"/>
    <w:link w:val="Heading6"/>
    <w:uiPriority w:val="2"/>
    <w:rsid w:val="005C7F63"/>
    <w:rPr>
      <w:rFonts w:ascii="Calibri" w:eastAsiaTheme="majorEastAsia" w:hAnsi="Calibri" w:cstheme="majorBidi"/>
      <w:bCs/>
      <w:iCs/>
      <w:color w:val="565656"/>
      <w:sz w:val="24"/>
      <w14:ligatures w14:val="standard"/>
    </w:rPr>
  </w:style>
  <w:style w:type="character" w:customStyle="1" w:styleId="Heading7Char">
    <w:name w:val="Heading 7 Char"/>
    <w:basedOn w:val="DefaultParagraphFont"/>
    <w:link w:val="Heading7"/>
    <w:uiPriority w:val="9"/>
    <w:semiHidden/>
    <w:rsid w:val="006129EF"/>
    <w:rPr>
      <w:rFonts w:ascii="Calibri" w:eastAsiaTheme="majorEastAsia" w:hAnsi="Calibri" w:cstheme="majorBidi"/>
      <w:iCs/>
      <w:sz w:val="20"/>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5C7F63"/>
    <w:pPr>
      <w:spacing w:before="840" w:after="0" w:line="240" w:lineRule="auto"/>
      <w:contextualSpacing/>
    </w:pPr>
    <w:rPr>
      <w:rFonts w:ascii="Calibri" w:eastAsiaTheme="majorEastAsia" w:hAnsi="Calibri" w:cstheme="majorBidi"/>
      <w:b/>
      <w:color w:val="287BB3"/>
      <w:spacing w:val="5"/>
      <w:sz w:val="60"/>
      <w:szCs w:val="60"/>
    </w:rPr>
  </w:style>
  <w:style w:type="character" w:customStyle="1" w:styleId="TitleChar">
    <w:name w:val="Title Char"/>
    <w:basedOn w:val="DefaultParagraphFont"/>
    <w:link w:val="Title"/>
    <w:rsid w:val="005C7F63"/>
    <w:rPr>
      <w:rFonts w:ascii="Calibri" w:eastAsiaTheme="majorEastAsia" w:hAnsi="Calibri" w:cstheme="majorBidi"/>
      <w:b/>
      <w:color w:val="287BB3"/>
      <w:spacing w:val="5"/>
      <w:sz w:val="60"/>
      <w:szCs w:val="60"/>
      <w14:ligatures w14:val="standard"/>
    </w:rPr>
  </w:style>
  <w:style w:type="paragraph" w:styleId="Subtitle">
    <w:name w:val="Subtitle"/>
    <w:basedOn w:val="Normal"/>
    <w:next w:val="Normal"/>
    <w:link w:val="SubtitleChar"/>
    <w:uiPriority w:val="1"/>
    <w:qFormat/>
    <w:rsid w:val="005C7F63"/>
    <w:pPr>
      <w:spacing w:before="0" w:after="200"/>
    </w:pPr>
    <w:rPr>
      <w:rFonts w:ascii="Calibri" w:eastAsiaTheme="majorEastAsia" w:hAnsi="Calibri" w:cstheme="majorBidi"/>
      <w:iCs/>
      <w:color w:val="000000" w:themeColor="text1"/>
      <w:spacing w:val="13"/>
      <w:sz w:val="36"/>
      <w:szCs w:val="40"/>
    </w:rPr>
  </w:style>
  <w:style w:type="character" w:customStyle="1" w:styleId="SubtitleChar">
    <w:name w:val="Subtitle Char"/>
    <w:basedOn w:val="DefaultParagraphFont"/>
    <w:link w:val="Subtitle"/>
    <w:uiPriority w:val="1"/>
    <w:rsid w:val="005C7F63"/>
    <w:rPr>
      <w:rFonts w:ascii="Calibri" w:eastAsiaTheme="majorEastAsia" w:hAnsi="Calibri" w:cstheme="majorBidi"/>
      <w:iCs/>
      <w:color w:val="000000" w:themeColor="text1"/>
      <w:spacing w:val="13"/>
      <w:sz w:val="36"/>
      <w:szCs w:val="40"/>
      <w14:ligatures w14:val="standard"/>
    </w:rPr>
  </w:style>
  <w:style w:type="paragraph" w:styleId="NoSpacing">
    <w:name w:val="No Spacing"/>
    <w:basedOn w:val="Normal"/>
    <w:link w:val="NoSpacingChar"/>
    <w:uiPriority w:val="1"/>
    <w:rsid w:val="00AC65DA"/>
    <w:pPr>
      <w:spacing w:after="0" w:line="240" w:lineRule="auto"/>
    </w:pPr>
  </w:style>
  <w:style w:type="paragraph" w:styleId="ListParagraph">
    <w:name w:val="List Paragraph"/>
    <w:aliases w:val="List Paragraph1,Recommendation,List Paragraph11,Bullet Point,L,Bullet points,Content descriptions,Bulletr List Paragraph,FooterText,List Paragraph2,List Paragraph21,Listeafsnit1,NFP GP Bulleted List,Paragraphe de liste1,Body Bullets 1"/>
    <w:basedOn w:val="Normal"/>
    <w:link w:val="ListParagraphChar"/>
    <w:uiPriority w:val="34"/>
    <w:qFormat/>
    <w:rsid w:val="00AC65DA"/>
    <w:pPr>
      <w:ind w:left="720"/>
      <w:contextualSpacing/>
    </w:pPr>
  </w:style>
  <w:style w:type="paragraph" w:styleId="IntenseQuote">
    <w:name w:val="Intense Quote"/>
    <w:basedOn w:val="Normal"/>
    <w:next w:val="Normal"/>
    <w:link w:val="IntenseQuoteChar"/>
    <w:uiPriority w:val="30"/>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rsid w:val="00AC65DA"/>
    <w:rPr>
      <w:i/>
      <w:iCs/>
    </w:rPr>
  </w:style>
  <w:style w:type="character" w:styleId="IntenseEmphasis">
    <w:name w:val="Intense Emphasis"/>
    <w:uiPriority w:val="21"/>
    <w:rsid w:val="001F1C07"/>
    <w:rPr>
      <w:b/>
      <w:bCs/>
      <w:i/>
    </w:rPr>
  </w:style>
  <w:style w:type="character" w:styleId="SubtleReference">
    <w:name w:val="Subtle Reference"/>
    <w:uiPriority w:val="31"/>
    <w:rsid w:val="00AC65DA"/>
    <w:rPr>
      <w:smallCaps/>
    </w:rPr>
  </w:style>
  <w:style w:type="character" w:styleId="IntenseReference">
    <w:name w:val="Intense Reference"/>
    <w:uiPriority w:val="32"/>
    <w:rsid w:val="00AC65DA"/>
    <w:rPr>
      <w:smallCaps/>
      <w:spacing w:val="5"/>
      <w:u w:val="single"/>
    </w:rPr>
  </w:style>
  <w:style w:type="paragraph" w:styleId="TOCHeading">
    <w:name w:val="TOC Heading"/>
    <w:basedOn w:val="Heading1"/>
    <w:next w:val="Normal"/>
    <w:uiPriority w:val="39"/>
    <w:semiHidden/>
    <w:unhideWhenUsed/>
    <w:qFormat/>
    <w:rsid w:val="00AC65DA"/>
    <w:pPr>
      <w:outlineLvl w:val="9"/>
    </w:pPr>
    <w:rPr>
      <w:lang w:bidi="en-US"/>
    </w:rPr>
  </w:style>
  <w:style w:type="paragraph" w:styleId="ListNumber">
    <w:name w:val="List Number"/>
    <w:basedOn w:val="Normal"/>
    <w:uiPriority w:val="99"/>
    <w:unhideWhenUsed/>
    <w:qFormat/>
    <w:rsid w:val="00DC76D7"/>
    <w:pPr>
      <w:numPr>
        <w:numId w:val="21"/>
      </w:numPr>
      <w:contextualSpacing/>
    </w:pPr>
  </w:style>
  <w:style w:type="paragraph" w:styleId="ListNumber2">
    <w:name w:val="List Number 2"/>
    <w:basedOn w:val="Normal"/>
    <w:uiPriority w:val="99"/>
    <w:unhideWhenUsed/>
    <w:qFormat/>
    <w:rsid w:val="00DC76D7"/>
    <w:pPr>
      <w:numPr>
        <w:ilvl w:val="1"/>
        <w:numId w:val="21"/>
      </w:numPr>
      <w:tabs>
        <w:tab w:val="left" w:pos="1134"/>
      </w:tabs>
      <w:contextualSpacing/>
    </w:pPr>
  </w:style>
  <w:style w:type="paragraph" w:styleId="ListNumber3">
    <w:name w:val="List Number 3"/>
    <w:basedOn w:val="Normal"/>
    <w:uiPriority w:val="99"/>
    <w:unhideWhenUsed/>
    <w:qFormat/>
    <w:rsid w:val="00DC76D7"/>
    <w:pPr>
      <w:numPr>
        <w:ilvl w:val="2"/>
        <w:numId w:val="21"/>
      </w:numPr>
      <w:contextualSpacing/>
    </w:pPr>
  </w:style>
  <w:style w:type="paragraph" w:styleId="ListNumber4">
    <w:name w:val="List Number 4"/>
    <w:basedOn w:val="Normal"/>
    <w:uiPriority w:val="99"/>
    <w:unhideWhenUsed/>
    <w:qFormat/>
    <w:rsid w:val="00DC76D7"/>
    <w:pPr>
      <w:numPr>
        <w:ilvl w:val="3"/>
        <w:numId w:val="21"/>
      </w:numPr>
      <w:contextualSpacing/>
    </w:pPr>
  </w:style>
  <w:style w:type="paragraph" w:styleId="ListBullet">
    <w:name w:val="List Bullet"/>
    <w:basedOn w:val="Normal"/>
    <w:uiPriority w:val="99"/>
    <w:unhideWhenUsed/>
    <w:qFormat/>
    <w:rsid w:val="00EC64C4"/>
    <w:pPr>
      <w:numPr>
        <w:numId w:val="23"/>
      </w:numPr>
      <w:contextualSpacing/>
    </w:pPr>
  </w:style>
  <w:style w:type="paragraph" w:styleId="ListBullet2">
    <w:name w:val="List Bullet 2"/>
    <w:basedOn w:val="Normal"/>
    <w:uiPriority w:val="99"/>
    <w:unhideWhenUsed/>
    <w:qFormat/>
    <w:rsid w:val="00EC64C4"/>
    <w:pPr>
      <w:numPr>
        <w:ilvl w:val="1"/>
        <w:numId w:val="23"/>
      </w:numPr>
      <w:contextualSpacing/>
    </w:pPr>
  </w:style>
  <w:style w:type="paragraph" w:styleId="ListBullet3">
    <w:name w:val="List Bullet 3"/>
    <w:basedOn w:val="Normal"/>
    <w:uiPriority w:val="99"/>
    <w:unhideWhenUsed/>
    <w:qFormat/>
    <w:rsid w:val="00EC64C4"/>
    <w:pPr>
      <w:numPr>
        <w:ilvl w:val="2"/>
        <w:numId w:val="23"/>
      </w:numPr>
      <w:contextualSpacing/>
    </w:pPr>
  </w:style>
  <w:style w:type="paragraph" w:styleId="ListBullet4">
    <w:name w:val="List Bullet 4"/>
    <w:basedOn w:val="Normal"/>
    <w:uiPriority w:val="99"/>
    <w:unhideWhenUsed/>
    <w:qFormat/>
    <w:rsid w:val="00EC64C4"/>
    <w:pPr>
      <w:numPr>
        <w:ilvl w:val="3"/>
        <w:numId w:val="23"/>
      </w:numPr>
      <w:contextualSpacing/>
    </w:pPr>
  </w:style>
  <w:style w:type="table" w:styleId="TableGrid">
    <w:name w:val="Table Grid"/>
    <w:basedOn w:val="TableNormal"/>
    <w:uiPriority w:val="5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2F2F2"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line="240"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8"/>
      </w:numPr>
      <w:spacing w:after="0" w:line="240"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qFormat/>
    <w:rsid w:val="00591A54"/>
    <w:rPr>
      <w:b/>
      <w:sz w:val="22"/>
    </w:rPr>
  </w:style>
  <w:style w:type="paragraph" w:customStyle="1" w:styleId="Source">
    <w:name w:val="Source"/>
    <w:basedOn w:val="Normal"/>
    <w:uiPriority w:val="9"/>
    <w:qFormat/>
    <w:rsid w:val="006129EF"/>
    <w:rPr>
      <w:rFonts w:cstheme="minorHAnsi"/>
      <w:sz w:val="18"/>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rsid w:val="00141A65"/>
    <w:rPr>
      <w:color w:val="287BB3"/>
    </w:rPr>
  </w:style>
  <w:style w:type="numbering" w:customStyle="1" w:styleId="NumberedList">
    <w:name w:val="Numbered List"/>
    <w:uiPriority w:val="99"/>
    <w:rsid w:val="00DC76D7"/>
    <w:pPr>
      <w:numPr>
        <w:numId w:val="21"/>
      </w:numPr>
    </w:pPr>
  </w:style>
  <w:style w:type="numbering" w:customStyle="1" w:styleId="BulletList">
    <w:name w:val="Bullet List"/>
    <w:uiPriority w:val="99"/>
    <w:rsid w:val="00EC64C4"/>
    <w:pPr>
      <w:numPr>
        <w:numId w:val="23"/>
      </w:numPr>
    </w:pPr>
  </w:style>
  <w:style w:type="paragraph" w:styleId="ListNumber5">
    <w:name w:val="List Number 5"/>
    <w:basedOn w:val="Normal"/>
    <w:uiPriority w:val="99"/>
    <w:semiHidden/>
    <w:unhideWhenUsed/>
    <w:rsid w:val="00DC76D7"/>
    <w:pPr>
      <w:numPr>
        <w:ilvl w:val="4"/>
        <w:numId w:val="21"/>
      </w:numPr>
      <w:contextualSpacing/>
    </w:pPr>
  </w:style>
  <w:style w:type="paragraph" w:styleId="ListBullet5">
    <w:name w:val="List Bullet 5"/>
    <w:basedOn w:val="Normal"/>
    <w:uiPriority w:val="99"/>
    <w:unhideWhenUsed/>
    <w:rsid w:val="00EC64C4"/>
    <w:pPr>
      <w:numPr>
        <w:ilvl w:val="4"/>
        <w:numId w:val="23"/>
      </w:numPr>
      <w:contextualSpacing/>
    </w:pPr>
  </w:style>
  <w:style w:type="paragraph" w:styleId="List">
    <w:name w:val="List"/>
    <w:basedOn w:val="Normal"/>
    <w:uiPriority w:val="99"/>
    <w:unhideWhenUsed/>
    <w:rsid w:val="006129EF"/>
    <w:pPr>
      <w:ind w:left="283" w:hanging="283"/>
      <w:contextualSpacing/>
    </w:pPr>
  </w:style>
  <w:style w:type="paragraph" w:styleId="List2">
    <w:name w:val="List 2"/>
    <w:basedOn w:val="Normal"/>
    <w:uiPriority w:val="99"/>
    <w:unhideWhenUsed/>
    <w:rsid w:val="006129EF"/>
    <w:pPr>
      <w:ind w:left="566" w:hanging="283"/>
      <w:contextualSpacing/>
    </w:pPr>
  </w:style>
  <w:style w:type="paragraph" w:styleId="List3">
    <w:name w:val="List 3"/>
    <w:basedOn w:val="Normal"/>
    <w:uiPriority w:val="99"/>
    <w:unhideWhenUsed/>
    <w:rsid w:val="006129EF"/>
    <w:pPr>
      <w:ind w:left="849" w:hanging="283"/>
      <w:contextualSpacing/>
    </w:pPr>
  </w:style>
  <w:style w:type="paragraph" w:styleId="List4">
    <w:name w:val="List 4"/>
    <w:basedOn w:val="Normal"/>
    <w:uiPriority w:val="99"/>
    <w:unhideWhenUsed/>
    <w:rsid w:val="006129EF"/>
    <w:pPr>
      <w:ind w:left="1132" w:hanging="283"/>
      <w:contextualSpacing/>
    </w:pPr>
  </w:style>
  <w:style w:type="paragraph" w:styleId="List5">
    <w:name w:val="List 5"/>
    <w:basedOn w:val="Normal"/>
    <w:uiPriority w:val="99"/>
    <w:unhideWhenUsed/>
    <w:rsid w:val="006129EF"/>
    <w:pPr>
      <w:ind w:left="1415" w:hanging="283"/>
      <w:contextualSpacing/>
    </w:pPr>
  </w:style>
  <w:style w:type="table" w:styleId="ListTable3-Accent1">
    <w:name w:val="List Table 3 Accent 1"/>
    <w:basedOn w:val="TableNormal"/>
    <w:uiPriority w:val="48"/>
    <w:rsid w:val="00DA4492"/>
    <w:pPr>
      <w:spacing w:after="0" w:line="240" w:lineRule="auto"/>
    </w:pPr>
    <w:tblPr>
      <w:tblStyleRowBandSize w:val="1"/>
      <w:tblStyleColBandSize w:val="1"/>
      <w:tblBorders>
        <w:top w:val="single" w:sz="4" w:space="0" w:color="287BB3" w:themeColor="accent1"/>
        <w:left w:val="single" w:sz="4" w:space="0" w:color="287BB3" w:themeColor="accent1"/>
        <w:bottom w:val="single" w:sz="4" w:space="0" w:color="287BB3" w:themeColor="accent1"/>
        <w:right w:val="single" w:sz="4" w:space="0" w:color="287BB3" w:themeColor="accent1"/>
      </w:tblBorders>
    </w:tblPr>
    <w:tblStylePr w:type="firstRow">
      <w:rPr>
        <w:b/>
        <w:bCs/>
        <w:color w:val="FFFFFF" w:themeColor="background1"/>
      </w:rPr>
      <w:tblPr/>
      <w:tcPr>
        <w:shd w:val="clear" w:color="auto" w:fill="287BB3" w:themeFill="accent1"/>
      </w:tcPr>
    </w:tblStylePr>
    <w:tblStylePr w:type="lastRow">
      <w:rPr>
        <w:b/>
        <w:bCs/>
      </w:rPr>
      <w:tblPr/>
      <w:tcPr>
        <w:tcBorders>
          <w:top w:val="double" w:sz="4" w:space="0" w:color="287B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7BB3" w:themeColor="accent1"/>
          <w:right w:val="single" w:sz="4" w:space="0" w:color="287BB3" w:themeColor="accent1"/>
        </w:tcBorders>
      </w:tcPr>
    </w:tblStylePr>
    <w:tblStylePr w:type="band1Horz">
      <w:tblPr/>
      <w:tcPr>
        <w:tcBorders>
          <w:top w:val="single" w:sz="4" w:space="0" w:color="287BB3" w:themeColor="accent1"/>
          <w:bottom w:val="single" w:sz="4" w:space="0" w:color="287B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7BB3" w:themeColor="accent1"/>
          <w:left w:val="nil"/>
        </w:tcBorders>
      </w:tcPr>
    </w:tblStylePr>
    <w:tblStylePr w:type="swCell">
      <w:tblPr/>
      <w:tcPr>
        <w:tcBorders>
          <w:top w:val="double" w:sz="4" w:space="0" w:color="287BB3" w:themeColor="accent1"/>
          <w:right w:val="nil"/>
        </w:tcBorders>
      </w:tcPr>
    </w:tblStylePr>
  </w:style>
  <w:style w:type="table" w:customStyle="1" w:styleId="JobsTable">
    <w:name w:val="Jobs Table"/>
    <w:basedOn w:val="TableNormal"/>
    <w:uiPriority w:val="99"/>
    <w:rsid w:val="00AA4BA4"/>
    <w:pPr>
      <w:spacing w:after="0" w:line="240" w:lineRule="auto"/>
    </w:pPr>
    <w:tblPr>
      <w:tblBorders>
        <w:bottom w:val="single" w:sz="4" w:space="0" w:color="1E3D6B"/>
      </w:tblBorders>
    </w:tblPr>
    <w:tblStylePr w:type="firstRow">
      <w:pPr>
        <w:jc w:val="left"/>
      </w:pPr>
      <w:rPr>
        <w:rFonts w:ascii="Calibri" w:hAnsi="Calibri"/>
        <w:b w:val="0"/>
        <w:color w:val="F2F2F2" w:themeColor="background2"/>
        <w:sz w:val="22"/>
      </w:rPr>
      <w:tblPr/>
      <w:tcPr>
        <w:shd w:val="clear" w:color="auto" w:fill="287BB3"/>
      </w:tcPr>
    </w:tblStylePr>
    <w:tblStylePr w:type="firstCol">
      <w:rPr>
        <w:b/>
      </w:rPr>
    </w:tblStylePr>
  </w:style>
  <w:style w:type="character" w:styleId="FollowedHyperlink">
    <w:name w:val="FollowedHyperlink"/>
    <w:basedOn w:val="DefaultParagraphFont"/>
    <w:uiPriority w:val="99"/>
    <w:semiHidden/>
    <w:unhideWhenUsed/>
    <w:rsid w:val="00BD02EE"/>
    <w:rPr>
      <w:color w:val="0E8743" w:themeColor="followedHyperlink"/>
      <w:u w:val="single"/>
    </w:rPr>
  </w:style>
  <w:style w:type="character" w:customStyle="1" w:styleId="ListParagraphChar">
    <w:name w:val="List Paragraph Char"/>
    <w:aliases w:val="List Paragraph1 Char,Recommendation Char,List Paragraph11 Char,Bullet Point Char,L Char,Bullet points Char,Content descriptions Char,Bulletr List Paragraph Char,FooterText Char,List Paragraph2 Char,List Paragraph21 Char"/>
    <w:basedOn w:val="DefaultParagraphFont"/>
    <w:link w:val="ListParagraph"/>
    <w:uiPriority w:val="34"/>
    <w:qFormat/>
    <w:locked/>
    <w:rsid w:val="007A4DA7"/>
    <w:rPr>
      <w14:ligatures w14:val="standard"/>
    </w:rPr>
  </w:style>
  <w:style w:type="character" w:styleId="FootnoteReference">
    <w:name w:val="footnote reference"/>
    <w:aliases w:val="AFPC Footnote Reference"/>
    <w:basedOn w:val="DefaultParagraphFont"/>
    <w:uiPriority w:val="99"/>
    <w:rsid w:val="007A4DA7"/>
    <w:rPr>
      <w:vertAlign w:val="superscript"/>
    </w:rPr>
  </w:style>
  <w:style w:type="paragraph" w:styleId="FootnoteText">
    <w:name w:val="footnote text"/>
    <w:aliases w:val="Footnote Text Char1 Char,Footnote Text Char Char Char,Footnote Text Char Char Char Char Char Char Char Char Char Char Char,Footnote Text Char Char Char Char Char Char Char Char,Footnote Text Char2 Char,Char,Footnote Text Char Char1 Char"/>
    <w:basedOn w:val="Normal"/>
    <w:link w:val="FootnoteTextChar"/>
    <w:uiPriority w:val="99"/>
    <w:unhideWhenUsed/>
    <w:qFormat/>
    <w:rsid w:val="007A4DA7"/>
    <w:pPr>
      <w:spacing w:before="0" w:after="0" w:line="240" w:lineRule="auto"/>
    </w:pPr>
    <w:rPr>
      <w:sz w:val="20"/>
      <w:szCs w:val="20"/>
      <w14:ligatures w14:val="none"/>
    </w:rPr>
  </w:style>
  <w:style w:type="character" w:customStyle="1" w:styleId="FootnoteTextChar">
    <w:name w:val="Footnote Text Char"/>
    <w:aliases w:val="Footnote Text Char1 Char Char,Footnote Text Char Char Char Char,Footnote Text Char Char Char Char Char Char Char Char Char Char Char Char,Footnote Text Char Char Char Char Char Char Char Char Char,Footnote Text Char2 Char Char"/>
    <w:basedOn w:val="DefaultParagraphFont"/>
    <w:link w:val="FootnoteText"/>
    <w:uiPriority w:val="99"/>
    <w:rsid w:val="007A4DA7"/>
    <w:rPr>
      <w:sz w:val="20"/>
      <w:szCs w:val="20"/>
    </w:rPr>
  </w:style>
  <w:style w:type="character" w:styleId="CommentReference">
    <w:name w:val="annotation reference"/>
    <w:basedOn w:val="DefaultParagraphFont"/>
    <w:uiPriority w:val="99"/>
    <w:semiHidden/>
    <w:unhideWhenUsed/>
    <w:rsid w:val="00611853"/>
    <w:rPr>
      <w:sz w:val="16"/>
      <w:szCs w:val="16"/>
    </w:rPr>
  </w:style>
  <w:style w:type="paragraph" w:styleId="CommentText">
    <w:name w:val="annotation text"/>
    <w:basedOn w:val="Normal"/>
    <w:link w:val="CommentTextChar"/>
    <w:uiPriority w:val="99"/>
    <w:semiHidden/>
    <w:unhideWhenUsed/>
    <w:rsid w:val="00611853"/>
    <w:pPr>
      <w:spacing w:line="240" w:lineRule="auto"/>
    </w:pPr>
    <w:rPr>
      <w:sz w:val="20"/>
      <w:szCs w:val="20"/>
    </w:rPr>
  </w:style>
  <w:style w:type="character" w:customStyle="1" w:styleId="CommentTextChar">
    <w:name w:val="Comment Text Char"/>
    <w:basedOn w:val="DefaultParagraphFont"/>
    <w:link w:val="CommentText"/>
    <w:uiPriority w:val="99"/>
    <w:semiHidden/>
    <w:rsid w:val="00611853"/>
    <w:rPr>
      <w:sz w:val="20"/>
      <w:szCs w:val="20"/>
      <w14:ligatures w14:val="standard"/>
    </w:rPr>
  </w:style>
  <w:style w:type="paragraph" w:styleId="CommentSubject">
    <w:name w:val="annotation subject"/>
    <w:basedOn w:val="CommentText"/>
    <w:next w:val="CommentText"/>
    <w:link w:val="CommentSubjectChar"/>
    <w:uiPriority w:val="99"/>
    <w:semiHidden/>
    <w:unhideWhenUsed/>
    <w:rsid w:val="00611853"/>
    <w:rPr>
      <w:b/>
      <w:bCs/>
    </w:rPr>
  </w:style>
  <w:style w:type="character" w:customStyle="1" w:styleId="CommentSubjectChar">
    <w:name w:val="Comment Subject Char"/>
    <w:basedOn w:val="CommentTextChar"/>
    <w:link w:val="CommentSubject"/>
    <w:uiPriority w:val="99"/>
    <w:semiHidden/>
    <w:rsid w:val="00611853"/>
    <w:rPr>
      <w:b/>
      <w:bCs/>
      <w:sz w:val="20"/>
      <w:szCs w:val="20"/>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Dept Employment, Skills, Small and Family Business">
      <a:dk1>
        <a:sysClr val="windowText" lastClr="000000"/>
      </a:dk1>
      <a:lt1>
        <a:srgbClr val="FFFFFF"/>
      </a:lt1>
      <a:dk2>
        <a:srgbClr val="1E3D6B"/>
      </a:dk2>
      <a:lt2>
        <a:srgbClr val="F2F2F2"/>
      </a:lt2>
      <a:accent1>
        <a:srgbClr val="287BB3"/>
      </a:accent1>
      <a:accent2>
        <a:srgbClr val="A1CD3A"/>
      </a:accent2>
      <a:accent3>
        <a:srgbClr val="EE337B"/>
      </a:accent3>
      <a:accent4>
        <a:srgbClr val="0E8743"/>
      </a:accent4>
      <a:accent5>
        <a:srgbClr val="D9E027"/>
      </a:accent5>
      <a:accent6>
        <a:srgbClr val="5BBE82"/>
      </a:accent6>
      <a:hlink>
        <a:srgbClr val="287BB3"/>
      </a:hlink>
      <a:folHlink>
        <a:srgbClr val="0E87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CCCC-5161-4DD1-9844-5695297BF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to Work Interim Evaluation Key Findings</dc:title>
  <dc:creator/>
  <cp:lastModifiedBy/>
  <cp:revision>1</cp:revision>
  <dcterms:created xsi:type="dcterms:W3CDTF">2023-03-20T05:02:00Z</dcterms:created>
  <dcterms:modified xsi:type="dcterms:W3CDTF">2023-03-20T05:03:00Z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2023-03-20T05:03:19Z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f5eee650-d84e-431a-b594-a601c14fd347</vt:lpwstr>
  </property>
  <property fmtid="{D5CDD505-2E9C-101B-9397-08002B2CF9AE}" pid="8" name="MSIP_Label_79d889eb-932f-4752-8739-64d25806ef64_ContentBits">
    <vt:lpwstr>0</vt:lpwstr>
  </property>
</Properties>
</file>