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732" w14:textId="77777777" w:rsidR="00130923" w:rsidRDefault="005C7F63" w:rsidP="005C7F63">
      <w:pPr>
        <w:spacing w:before="0"/>
        <w:ind w:left="-426"/>
      </w:pP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59264" behindDoc="1" locked="0" layoutInCell="1" allowOverlap="1" wp14:anchorId="118DAB44" wp14:editId="02F012D8">
            <wp:simplePos x="0" y="0"/>
            <wp:positionH relativeFrom="page">
              <wp:posOffset>3114675</wp:posOffset>
            </wp:positionH>
            <wp:positionV relativeFrom="paragraph">
              <wp:posOffset>-635635</wp:posOffset>
            </wp:positionV>
            <wp:extent cx="4447777" cy="1613891"/>
            <wp:effectExtent l="0" t="0" r="0" b="5715"/>
            <wp:wrapNone/>
            <wp:docPr id="7" name="Picture 7" descr="Decorat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B18_0291 Update Corporate Templates_01_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777" cy="161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7AE">
        <w:softHyphen/>
      </w:r>
      <w:r w:rsidR="000F3874" w:rsidRPr="000F3874">
        <w:rPr>
          <w:noProof/>
          <w:lang w:eastAsia="en-AU"/>
        </w:rPr>
        <w:drawing>
          <wp:inline distT="0" distB="0" distL="0" distR="0" wp14:anchorId="4F0F925A" wp14:editId="236E7525">
            <wp:extent cx="2457450" cy="615983"/>
            <wp:effectExtent l="0" t="0" r="0" b="0"/>
            <wp:docPr id="3" name="Picture 3" descr="Australian Government. Department of Employment, Skills, Small and Family Busin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 Jobs and Small Business_Inl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C61" w14:textId="77777777" w:rsidR="00B72B92" w:rsidRPr="00B72B92" w:rsidRDefault="004C2DD6" w:rsidP="005C7F63">
      <w:pPr>
        <w:spacing w:line="400" w:lineRule="exact"/>
        <w:ind w:left="567"/>
        <w:rPr>
          <w:b/>
          <w:color w:val="FFFFFF" w:themeColor="background1"/>
          <w:sz w:val="40"/>
          <w:szCs w:val="40"/>
        </w:rPr>
        <w:sectPr w:rsidR="00B72B92" w:rsidRPr="00B72B92" w:rsidSect="00B72B9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  <w:r w:rsidRPr="004C2DD6">
        <w:rPr>
          <w:b/>
          <w:color w:val="FFFFFF" w:themeColor="background1"/>
          <w:sz w:val="40"/>
          <w:szCs w:val="40"/>
        </w:rPr>
        <w:t xml:space="preserve">Departmental response </w:t>
      </w:r>
      <w:r w:rsidR="00B72B92">
        <w:rPr>
          <w:b/>
          <w:noProof/>
          <w:color w:val="FFFFFF" w:themeColor="background1"/>
          <w:sz w:val="40"/>
          <w:szCs w:val="40"/>
          <w:lang w:eastAsia="en-AU"/>
        </w:rPr>
        <mc:AlternateContent>
          <mc:Choice Requires="wps">
            <w:drawing>
              <wp:inline distT="0" distB="0" distL="0" distR="0" wp14:anchorId="5F90CCE1" wp14:editId="5110B5AB">
                <wp:extent cx="114300" cy="114300"/>
                <wp:effectExtent l="0" t="0" r="0" b="0"/>
                <wp:docPr id="8" name="Right Triangle 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1632E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alt="Decorative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" fillcolor="white [3212]" stroked="f" strokeweight="2pt">
                <w10:anchorlock/>
              </v:shape>
            </w:pict>
          </mc:Fallback>
        </mc:AlternateContent>
      </w:r>
      <w:r w:rsidR="00B72B92">
        <w:rPr>
          <w:b/>
          <w:color w:val="FFFFFF" w:themeColor="background1"/>
          <w:sz w:val="40"/>
          <w:szCs w:val="40"/>
        </w:rPr>
        <w:t xml:space="preserve"> </w:t>
      </w:r>
    </w:p>
    <w:p w14:paraId="2C434618" w14:textId="77777777" w:rsidR="004C2DD6" w:rsidRDefault="004C2DD6" w:rsidP="00F25D3C">
      <w:pPr>
        <w:pStyle w:val="Title"/>
        <w:rPr>
          <w:iCs/>
        </w:rPr>
      </w:pPr>
      <w:r w:rsidRPr="004C2DD6">
        <w:t>Transition to Work Interim Evaluation Report</w:t>
      </w:r>
    </w:p>
    <w:p w14:paraId="2BE4CAAE" w14:textId="77777777" w:rsidR="004C2DD6" w:rsidRDefault="004C2DD6" w:rsidP="004C2DD6">
      <w:pPr>
        <w:pStyle w:val="Subtitle"/>
        <w:rPr>
          <w:b/>
          <w:bCs/>
        </w:rPr>
      </w:pPr>
      <w:bookmarkStart w:id="0" w:name="_Toc364946114"/>
      <w:r w:rsidRPr="004C2DD6">
        <w:t xml:space="preserve">Departmental response to findings </w:t>
      </w:r>
    </w:p>
    <w:p w14:paraId="03404563" w14:textId="77777777" w:rsidR="004C2DD6" w:rsidRDefault="004C2DD6" w:rsidP="004C2DD6">
      <w:bookmarkStart w:id="1" w:name="_Toc364946115"/>
      <w:bookmarkEnd w:id="0"/>
      <w:r w:rsidRPr="00F0141F">
        <w:t>The Department</w:t>
      </w:r>
      <w:r>
        <w:t xml:space="preserve"> of Employment, Skills, Small and Family Business</w:t>
      </w:r>
      <w:r w:rsidRPr="00F0141F">
        <w:t xml:space="preserve"> will</w:t>
      </w:r>
      <w:r>
        <w:t xml:space="preserve"> use</w:t>
      </w:r>
      <w:r w:rsidRPr="00F0141F">
        <w:t xml:space="preserve"> </w:t>
      </w:r>
      <w:r>
        <w:t xml:space="preserve">the </w:t>
      </w:r>
      <w:r w:rsidRPr="00F0141F">
        <w:t xml:space="preserve">findings from the </w:t>
      </w:r>
      <w:r>
        <w:t>Transition to Work (</w:t>
      </w:r>
      <w:proofErr w:type="spellStart"/>
      <w:r>
        <w:t>TtW</w:t>
      </w:r>
      <w:proofErr w:type="spellEnd"/>
      <w:r>
        <w:t>) Interim Evaluation Report</w:t>
      </w:r>
      <w:r w:rsidRPr="00F0141F">
        <w:t xml:space="preserve"> to inform </w:t>
      </w:r>
      <w:r>
        <w:t>ongoing</w:t>
      </w:r>
      <w:r w:rsidRPr="00F0141F">
        <w:t xml:space="preserve"> policy</w:t>
      </w:r>
      <w:r>
        <w:t xml:space="preserve"> and program development</w:t>
      </w:r>
      <w:r w:rsidRPr="00F0141F">
        <w:t>.</w:t>
      </w:r>
    </w:p>
    <w:tbl>
      <w:tblPr>
        <w:tblStyle w:val="JobsTable"/>
        <w:tblW w:w="0" w:type="auto"/>
        <w:tblLook w:val="04A0" w:firstRow="1" w:lastRow="0" w:firstColumn="1" w:lastColumn="0" w:noHBand="0" w:noVBand="1"/>
      </w:tblPr>
      <w:tblGrid>
        <w:gridCol w:w="4528"/>
        <w:gridCol w:w="4352"/>
      </w:tblGrid>
      <w:tr w:rsidR="004C2DD6" w14:paraId="3E739BB3" w14:textId="77777777" w:rsidTr="0035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nil"/>
            </w:tcBorders>
          </w:tcPr>
          <w:bookmarkEnd w:id="1"/>
          <w:p w14:paraId="53B2A814" w14:textId="77777777" w:rsidR="004C2DD6" w:rsidRPr="002D4A2A" w:rsidRDefault="004C2DD6" w:rsidP="00C10C19">
            <w:pPr>
              <w:rPr>
                <w:b/>
              </w:rPr>
            </w:pPr>
            <w:r w:rsidRPr="002D4A2A">
              <w:rPr>
                <w:b/>
              </w:rPr>
              <w:t xml:space="preserve">Finding </w:t>
            </w:r>
          </w:p>
        </w:tc>
        <w:tc>
          <w:tcPr>
            <w:tcW w:w="4352" w:type="dxa"/>
            <w:tcBorders>
              <w:bottom w:val="nil"/>
            </w:tcBorders>
          </w:tcPr>
          <w:p w14:paraId="07E6DB31" w14:textId="77777777" w:rsidR="004C2DD6" w:rsidRPr="002D4A2A" w:rsidRDefault="004C2DD6" w:rsidP="00876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D4A2A">
              <w:rPr>
                <w:b/>
              </w:rPr>
              <w:t>Response</w:t>
            </w:r>
          </w:p>
        </w:tc>
      </w:tr>
      <w:tr w:rsidR="004C2DD6" w14:paraId="1A25AAD8" w14:textId="77777777" w:rsidTr="00350F0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4" w:space="0" w:color="auto"/>
            </w:tcBorders>
          </w:tcPr>
          <w:p w14:paraId="74290501" w14:textId="77777777" w:rsidR="004C2DD6" w:rsidRPr="00F0141F" w:rsidRDefault="004C2DD6" w:rsidP="004C2DD6">
            <w:pPr>
              <w:spacing w:after="60"/>
            </w:pPr>
            <w:r>
              <w:t xml:space="preserve">Implementation issues that affected uptake and the efficiency of initial service delivery have largely been resolved. </w:t>
            </w:r>
          </w:p>
        </w:tc>
        <w:tc>
          <w:tcPr>
            <w:tcW w:w="4352" w:type="dxa"/>
            <w:tcBorders>
              <w:bottom w:val="single" w:sz="4" w:space="0" w:color="auto"/>
            </w:tcBorders>
          </w:tcPr>
          <w:p w14:paraId="64B1F58A" w14:textId="77777777" w:rsidR="004C2DD6" w:rsidRDefault="004C2DD6" w:rsidP="004C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</w:t>
            </w:r>
            <w:r w:rsidRPr="00781109">
              <w:t xml:space="preserve">epartment </w:t>
            </w:r>
            <w:r>
              <w:t xml:space="preserve">has worked with stakeholders to address several implementation issues identified in this report. This included system, </w:t>
            </w:r>
            <w:proofErr w:type="gramStart"/>
            <w:r>
              <w:t>referral</w:t>
            </w:r>
            <w:proofErr w:type="gramEnd"/>
            <w:r>
              <w:t xml:space="preserve"> and participant identification issues. The department continues to work with stakeholders to monitor and respond to program management issues, including promoting awareness of the </w:t>
            </w:r>
            <w:proofErr w:type="spellStart"/>
            <w:r>
              <w:t>TtW</w:t>
            </w:r>
            <w:proofErr w:type="spellEnd"/>
            <w:r>
              <w:t xml:space="preserve"> service to key stakeholders.</w:t>
            </w:r>
          </w:p>
        </w:tc>
      </w:tr>
      <w:tr w:rsidR="004C2DD6" w14:paraId="3AB193C5" w14:textId="77777777" w:rsidTr="00350F0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14:paraId="3217CFAD" w14:textId="77777777" w:rsidR="004C2DD6" w:rsidRPr="00F0141F" w:rsidRDefault="004C2DD6" w:rsidP="004C2DD6">
            <w:pPr>
              <w:spacing w:after="60"/>
            </w:pPr>
            <w:r>
              <w:t xml:space="preserve">Utilisation of Annual Funded Places, on average, exceeded 100 per cent by the conclusion of the evaluation period.  </w:t>
            </w:r>
          </w:p>
        </w:tc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</w:tcPr>
          <w:p w14:paraId="5686E3F5" w14:textId="77777777" w:rsidR="004C2DD6" w:rsidRDefault="004C2DD6" w:rsidP="004C2DD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finding reflected higher than expected demand for the service.</w:t>
            </w:r>
          </w:p>
          <w:p w14:paraId="0FE40C1E" w14:textId="53E0D618" w:rsidR="004C2DD6" w:rsidRDefault="004C2DD6" w:rsidP="004C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announced in the 2018</w:t>
            </w:r>
            <w:r w:rsidR="006C3AC1">
              <w:t>–</w:t>
            </w:r>
            <w:r>
              <w:t xml:space="preserve">19 Budget, from 1 July 2018 funding for the </w:t>
            </w:r>
            <w:proofErr w:type="spellStart"/>
            <w:r>
              <w:t>TtW</w:t>
            </w:r>
            <w:proofErr w:type="spellEnd"/>
            <w:r>
              <w:t xml:space="preserve"> service changed from a capped funding model to a demand driven model. This change will enable the service to respond to demand.</w:t>
            </w:r>
          </w:p>
        </w:tc>
      </w:tr>
      <w:tr w:rsidR="004C2DD6" w14:paraId="79769212" w14:textId="77777777" w:rsidTr="00350F0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4" w:space="0" w:color="auto"/>
              <w:bottom w:val="nil"/>
            </w:tcBorders>
          </w:tcPr>
          <w:p w14:paraId="497EC13C" w14:textId="77777777" w:rsidR="004C2DD6" w:rsidRDefault="004C2DD6" w:rsidP="004C2DD6">
            <w:pPr>
              <w:spacing w:after="60"/>
            </w:pPr>
            <w:r>
              <w:t xml:space="preserve">The </w:t>
            </w:r>
            <w:proofErr w:type="spellStart"/>
            <w:r>
              <w:t>TtW</w:t>
            </w:r>
            <w:proofErr w:type="spellEnd"/>
            <w:r>
              <w:t xml:space="preserve"> service is achieving positive outcomes for young people. </w:t>
            </w:r>
          </w:p>
        </w:tc>
        <w:tc>
          <w:tcPr>
            <w:tcW w:w="4352" w:type="dxa"/>
            <w:tcBorders>
              <w:top w:val="single" w:sz="4" w:space="0" w:color="auto"/>
              <w:bottom w:val="nil"/>
            </w:tcBorders>
          </w:tcPr>
          <w:p w14:paraId="1EC7FE61" w14:textId="77777777" w:rsidR="004C2DD6" w:rsidRDefault="004C2DD6" w:rsidP="004C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Early results suggest that the </w:t>
            </w:r>
            <w:proofErr w:type="spellStart"/>
            <w:r>
              <w:t>TtW</w:t>
            </w:r>
            <w:proofErr w:type="spellEnd"/>
            <w:r>
              <w:t xml:space="preserve"> service is delivering strong outcomes, successfully helping young people move into employment or education. Young people are highly engaged in the </w:t>
            </w:r>
            <w:proofErr w:type="gramStart"/>
            <w:r>
              <w:t>service</w:t>
            </w:r>
            <w:proofErr w:type="gramEnd"/>
            <w:r>
              <w:t xml:space="preserve"> and this is leading to strong labour market attachment rates for participants. The department continues to ensure</w:t>
            </w:r>
            <w:r w:rsidR="006C3AC1">
              <w:t xml:space="preserve"> that</w:t>
            </w:r>
            <w:r>
              <w:t xml:space="preserve"> </w:t>
            </w:r>
            <w:r w:rsidRPr="00634132">
              <w:t xml:space="preserve">program parameters </w:t>
            </w:r>
            <w:r>
              <w:t>and contract management support</w:t>
            </w:r>
            <w:r w:rsidRPr="00634132">
              <w:t xml:space="preserve"> providers to </w:t>
            </w:r>
            <w:r>
              <w:t>provide intensive support for young people to improve their work readiness and help them into work or education.</w:t>
            </w:r>
          </w:p>
        </w:tc>
      </w:tr>
      <w:tr w:rsidR="004C2DD6" w14:paraId="1678A8D3" w14:textId="77777777" w:rsidTr="00350F0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4" w:space="0" w:color="auto"/>
            </w:tcBorders>
          </w:tcPr>
          <w:p w14:paraId="54CEBDA4" w14:textId="77777777" w:rsidR="004C2DD6" w:rsidRDefault="004C2DD6" w:rsidP="004C2DD6">
            <w:r>
              <w:lastRenderedPageBreak/>
              <w:t xml:space="preserve">Providers and participants suggested </w:t>
            </w:r>
            <w:proofErr w:type="gramStart"/>
            <w:r>
              <w:t>a number of</w:t>
            </w:r>
            <w:proofErr w:type="gramEnd"/>
            <w:r>
              <w:t xml:space="preserve"> changes to expand the eligibility for and participation in the </w:t>
            </w:r>
            <w:proofErr w:type="spellStart"/>
            <w:r>
              <w:t>TtW</w:t>
            </w:r>
            <w:proofErr w:type="spellEnd"/>
            <w:r>
              <w:t xml:space="preserve"> service, including:</w:t>
            </w:r>
          </w:p>
          <w:p w14:paraId="1A4E1539" w14:textId="77777777" w:rsidR="004C2DD6" w:rsidRPr="004C2DD6" w:rsidRDefault="004C2DD6" w:rsidP="004C2DD6">
            <w:pPr>
              <w:pStyle w:val="ListBullet"/>
            </w:pPr>
            <w:r w:rsidRPr="004C2DD6">
              <w:t>extending the service delivery time beyond 12 months</w:t>
            </w:r>
          </w:p>
          <w:p w14:paraId="4090DA9D" w14:textId="77777777" w:rsidR="004C2DD6" w:rsidRPr="00182349" w:rsidRDefault="004C2DD6" w:rsidP="004C2DD6">
            <w:pPr>
              <w:pStyle w:val="ListBullet"/>
            </w:pPr>
            <w:r w:rsidRPr="004C2DD6">
              <w:t>increasing compliance requirements for participants during the early weeks of engagement</w:t>
            </w:r>
            <w:r w:rsidR="006C3AC1">
              <w:t>.</w:t>
            </w:r>
          </w:p>
        </w:tc>
        <w:tc>
          <w:tcPr>
            <w:tcW w:w="4352" w:type="dxa"/>
            <w:tcBorders>
              <w:bottom w:val="single" w:sz="4" w:space="0" w:color="auto"/>
            </w:tcBorders>
          </w:tcPr>
          <w:p w14:paraId="101F87A3" w14:textId="42A48090" w:rsidR="004C2DD6" w:rsidRDefault="004C2DD6" w:rsidP="004C2DD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department continues to consider policy and program responses that will have the greatest benefit </w:t>
            </w:r>
            <w:r w:rsidR="006C3AC1">
              <w:t xml:space="preserve">for </w:t>
            </w:r>
            <w:r>
              <w:t xml:space="preserve">the </w:t>
            </w:r>
            <w:proofErr w:type="gramStart"/>
            <w:r>
              <w:t>most young</w:t>
            </w:r>
            <w:proofErr w:type="gramEnd"/>
            <w:r>
              <w:t xml:space="preserve"> people. This includes suggested changes to </w:t>
            </w:r>
            <w:proofErr w:type="spellStart"/>
            <w:r>
              <w:t>TtW</w:t>
            </w:r>
            <w:proofErr w:type="spellEnd"/>
            <w:r>
              <w:t>, and how best to provide services to young people more generally, such as through eligibility and participation.</w:t>
            </w:r>
          </w:p>
          <w:p w14:paraId="24A34073" w14:textId="3BE4EDDA" w:rsidR="004C2DD6" w:rsidRDefault="004C2DD6" w:rsidP="004C2DD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Regarding some of the specific suggestions detailed in in the </w:t>
            </w:r>
            <w:r w:rsidR="006C3AC1">
              <w:t>r</w:t>
            </w:r>
            <w:r>
              <w:t>eport:</w:t>
            </w:r>
          </w:p>
          <w:p w14:paraId="25EC3327" w14:textId="77777777" w:rsidR="004C2DD6" w:rsidRDefault="004C2DD6" w:rsidP="004C2DD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 program settings allow, in exceptional circumstances, for an extension to a </w:t>
            </w:r>
            <w:proofErr w:type="spellStart"/>
            <w:r>
              <w:t>TtW</w:t>
            </w:r>
            <w:proofErr w:type="spellEnd"/>
            <w:r>
              <w:t xml:space="preserve"> participant’s 12-month service period where the participant is engaged on a pathway towards employment and ceasing </w:t>
            </w:r>
            <w:proofErr w:type="spellStart"/>
            <w:r>
              <w:t>TtW</w:t>
            </w:r>
            <w:proofErr w:type="spellEnd"/>
            <w:r>
              <w:t xml:space="preserve"> may be a disadvantage to the participant.</w:t>
            </w:r>
          </w:p>
          <w:p w14:paraId="71731B8F" w14:textId="77777777" w:rsidR="004C2DD6" w:rsidRDefault="004C2DD6" w:rsidP="004C2DD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department believes compliance </w:t>
            </w:r>
            <w:proofErr w:type="gramStart"/>
            <w:r>
              <w:t>settings  for</w:t>
            </w:r>
            <w:proofErr w:type="gramEnd"/>
            <w:r>
              <w:t xml:space="preserve"> </w:t>
            </w:r>
            <w:proofErr w:type="spellStart"/>
            <w:r>
              <w:t>TtW</w:t>
            </w:r>
            <w:proofErr w:type="spellEnd"/>
            <w:r>
              <w:t xml:space="preserve"> are suitable, evidenced by high levels of participant engagement and positive outcomes being achieved.</w:t>
            </w:r>
          </w:p>
          <w:p w14:paraId="67F52639" w14:textId="131A0790" w:rsidR="004C2DD6" w:rsidRDefault="004C2DD6" w:rsidP="004C2DD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TtW</w:t>
            </w:r>
            <w:proofErr w:type="spellEnd"/>
            <w:r>
              <w:t xml:space="preserve"> providers monitor participation to ensure all young people in </w:t>
            </w:r>
            <w:proofErr w:type="spellStart"/>
            <w:r>
              <w:t>TtW</w:t>
            </w:r>
            <w:proofErr w:type="spellEnd"/>
            <w:r>
              <w:t xml:space="preserve"> meet their mutual obligations. Any participant </w:t>
            </w:r>
            <w:r w:rsidR="006C3AC1">
              <w:t xml:space="preserve">who </w:t>
            </w:r>
            <w:r>
              <w:t>fails to meet requirements must be exited and</w:t>
            </w:r>
            <w:r w:rsidR="006C3AC1">
              <w:t>,</w:t>
            </w:r>
            <w:r>
              <w:t xml:space="preserve"> if on income support, be referred to </w:t>
            </w:r>
            <w:proofErr w:type="spellStart"/>
            <w:r>
              <w:t>jobactive</w:t>
            </w:r>
            <w:proofErr w:type="spellEnd"/>
            <w:r>
              <w:t>.</w:t>
            </w:r>
          </w:p>
          <w:p w14:paraId="42C83A7D" w14:textId="07E91011" w:rsidR="004C2DD6" w:rsidRDefault="006C3AC1" w:rsidP="006C3AC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  <w:r w:rsidR="004C2DD6">
              <w:t xml:space="preserve"> the new Targeted Compliance Framework implemented</w:t>
            </w:r>
            <w:r>
              <w:t xml:space="preserve"> in July 2018,</w:t>
            </w:r>
            <w:r w:rsidR="004C2DD6">
              <w:t xml:space="preserve"> providers must also identify Work Refusal Failures or Unemployment Failures.</w:t>
            </w:r>
          </w:p>
        </w:tc>
      </w:tr>
      <w:tr w:rsidR="004C2DD6" w14:paraId="1B1DC4E9" w14:textId="77777777" w:rsidTr="00350F0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4" w:space="0" w:color="auto"/>
            </w:tcBorders>
            <w:shd w:val="clear" w:color="auto" w:fill="auto"/>
          </w:tcPr>
          <w:p w14:paraId="2DF17135" w14:textId="68A0D94E" w:rsidR="004C2DD6" w:rsidRDefault="004C2DD6" w:rsidP="004C2DD6">
            <w:pPr>
              <w:pStyle w:val="ListBullet"/>
              <w:numPr>
                <w:ilvl w:val="0"/>
                <w:numId w:val="0"/>
              </w:numPr>
              <w:spacing w:before="0"/>
              <w:contextualSpacing w:val="0"/>
            </w:pPr>
            <w:r>
              <w:t xml:space="preserve">Providers also recommended that the </w:t>
            </w:r>
            <w:r w:rsidR="006C3AC1">
              <w:t>d</w:t>
            </w:r>
            <w:r w:rsidRPr="004C2DD6">
              <w:t>epartment</w:t>
            </w:r>
            <w:r>
              <w:t xml:space="preserve"> could improve the delivery of </w:t>
            </w:r>
            <w:proofErr w:type="spellStart"/>
            <w:r>
              <w:t>TtW</w:t>
            </w:r>
            <w:proofErr w:type="spellEnd"/>
            <w:r>
              <w:t xml:space="preserve"> by: </w:t>
            </w:r>
          </w:p>
          <w:p w14:paraId="2290CDD4" w14:textId="77777777" w:rsidR="004C2DD6" w:rsidRPr="004C2DD6" w:rsidRDefault="004C2DD6" w:rsidP="004C2DD6">
            <w:pPr>
              <w:pStyle w:val="ListBullet"/>
            </w:pPr>
            <w:r w:rsidRPr="004C2DD6">
              <w:t>offering providers more ESS Web training</w:t>
            </w:r>
          </w:p>
          <w:p w14:paraId="2835141C" w14:textId="77777777" w:rsidR="004C2DD6" w:rsidRPr="004C2DD6" w:rsidRDefault="004C2DD6" w:rsidP="004C2DD6">
            <w:pPr>
              <w:pStyle w:val="ListBullet"/>
            </w:pPr>
            <w:r w:rsidRPr="004C2DD6">
              <w:t>providing more regular feedback to providers</w:t>
            </w:r>
            <w:r w:rsidR="006C3AC1">
              <w:t xml:space="preserve"> </w:t>
            </w:r>
            <w:r w:rsidRPr="004C2DD6">
              <w:t>on their performance, and</w:t>
            </w:r>
          </w:p>
          <w:p w14:paraId="175144B3" w14:textId="0EED7689" w:rsidR="004C2DD6" w:rsidRPr="004C2DD6" w:rsidRDefault="004C2DD6" w:rsidP="004C2DD6">
            <w:pPr>
              <w:pStyle w:val="ListBullet"/>
            </w:pPr>
            <w:r w:rsidRPr="004C2DD6">
              <w:t xml:space="preserve">encouraging greater interaction between the </w:t>
            </w:r>
            <w:r w:rsidR="006C3AC1">
              <w:t>d</w:t>
            </w:r>
            <w:r w:rsidRPr="004C2DD6">
              <w:t xml:space="preserve">epartment, </w:t>
            </w:r>
            <w:proofErr w:type="gramStart"/>
            <w:r w:rsidRPr="004C2DD6">
              <w:t>providers</w:t>
            </w:r>
            <w:proofErr w:type="gramEnd"/>
            <w:r w:rsidRPr="004C2DD6">
              <w:t xml:space="preserve"> and DHS</w:t>
            </w:r>
            <w:r w:rsidR="002D4A2A">
              <w:t xml:space="preserve"> (now Services Australia)</w:t>
            </w:r>
            <w:r w:rsidRPr="004C2DD6">
              <w:t>.</w:t>
            </w:r>
          </w:p>
        </w:tc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</w:tcPr>
          <w:p w14:paraId="23C5484B" w14:textId="46E92BFA" w:rsidR="004C2DD6" w:rsidRPr="004C2DD6" w:rsidRDefault="004C2DD6" w:rsidP="004C2DD6">
            <w:pPr>
              <w:pStyle w:val="ListBullet"/>
              <w:numPr>
                <w:ilvl w:val="0"/>
                <w:numId w:val="0"/>
              </w:num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During the initial rollout of </w:t>
            </w:r>
            <w:proofErr w:type="spellStart"/>
            <w:r>
              <w:t>TtW</w:t>
            </w:r>
            <w:proofErr w:type="spellEnd"/>
            <w:r>
              <w:t xml:space="preserve">, the department offered training on how to use ESS Web to new providers. The Learning Centre continues to provide a range of courses, </w:t>
            </w:r>
            <w:proofErr w:type="gramStart"/>
            <w:r>
              <w:t>webinars</w:t>
            </w:r>
            <w:proofErr w:type="gramEnd"/>
            <w:r>
              <w:t xml:space="preserve"> and resources to assist provid</w:t>
            </w:r>
            <w:r w:rsidRPr="0025197C">
              <w:t>ers in addressing their training needs.</w:t>
            </w:r>
            <w:r>
              <w:t xml:space="preserve"> </w:t>
            </w:r>
          </w:p>
          <w:p w14:paraId="627320BD" w14:textId="7A48F739" w:rsidR="004C2DD6" w:rsidRDefault="004C2DD6" w:rsidP="004C2DD6">
            <w:pPr>
              <w:pStyle w:val="ListBullet"/>
              <w:numPr>
                <w:ilvl w:val="0"/>
                <w:numId w:val="0"/>
              </w:num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department provides regular feedback to providers on their performance via Qlik Reports and ES Reporting. These reports monitor and analyse individual provider performance and compare performance against national</w:t>
            </w:r>
            <w:r w:rsidR="00B2603A">
              <w:t>-</w:t>
            </w:r>
            <w:r>
              <w:t>level data. Providers also receive individualised Annual Performance Reports outlining their performance against Key Performance Indicators.</w:t>
            </w:r>
          </w:p>
          <w:p w14:paraId="75BBD50A" w14:textId="77777777" w:rsidR="004C2DD6" w:rsidRDefault="004C2DD6" w:rsidP="004C2DD6">
            <w:pPr>
              <w:pStyle w:val="ListBullet"/>
              <w:numPr>
                <w:ilvl w:val="0"/>
                <w:numId w:val="0"/>
              </w:num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addition, following any program assurance activities</w:t>
            </w:r>
            <w:r w:rsidR="00B2603A">
              <w:t>,</w:t>
            </w:r>
            <w:r>
              <w:t xml:space="preserve"> providers receive feedback in </w:t>
            </w:r>
            <w:r>
              <w:lastRenderedPageBreak/>
              <w:t xml:space="preserve">relation to provider performance and compliance with service requirements. </w:t>
            </w:r>
          </w:p>
          <w:p w14:paraId="41E8CD6E" w14:textId="0C953A0E" w:rsidR="004C2DD6" w:rsidRDefault="004C2DD6" w:rsidP="004C2DD6">
            <w:pPr>
              <w:pStyle w:val="ListBullet"/>
              <w:numPr>
                <w:ilvl w:val="0"/>
                <w:numId w:val="0"/>
              </w:num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department continues to emphasise the importance of providers maintaining strong connections with their DHS </w:t>
            </w:r>
            <w:r w:rsidR="002D4A2A">
              <w:t xml:space="preserve">(now Services Australia) </w:t>
            </w:r>
            <w:r>
              <w:t xml:space="preserve">contacts at a local level. The department liaises regularly between providers and DHS </w:t>
            </w:r>
            <w:r w:rsidR="002D4A2A">
              <w:t xml:space="preserve">(now Services Australia) </w:t>
            </w:r>
            <w:r>
              <w:t xml:space="preserve">National Office to convey and address provider issues and concerns. As required, the department also uses the Employment Service Provider Liaison Meetings as a mechanism to support ongoing communication between DHS and </w:t>
            </w:r>
            <w:proofErr w:type="spellStart"/>
            <w:r>
              <w:t>TtW</w:t>
            </w:r>
            <w:proofErr w:type="spellEnd"/>
            <w:r>
              <w:t xml:space="preserve"> providers.</w:t>
            </w:r>
          </w:p>
        </w:tc>
      </w:tr>
    </w:tbl>
    <w:p w14:paraId="6017F137" w14:textId="77777777" w:rsidR="000F3874" w:rsidRDefault="000F3874" w:rsidP="004C2DD6">
      <w:pPr>
        <w:pStyle w:val="Source"/>
      </w:pPr>
    </w:p>
    <w:sectPr w:rsidR="000F3874" w:rsidSect="00CA2884">
      <w:headerReference w:type="default" r:id="rId16"/>
      <w:footerReference w:type="default" r:id="rId17"/>
      <w:type w:val="continuous"/>
      <w:pgSz w:w="11906" w:h="16838"/>
      <w:pgMar w:top="1440" w:right="1440" w:bottom="1440" w:left="1440" w:header="709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B3F4" w14:textId="77777777" w:rsidR="004C2DD6" w:rsidRDefault="004C2DD6" w:rsidP="00130923">
      <w:pPr>
        <w:spacing w:after="0" w:line="240" w:lineRule="auto"/>
      </w:pPr>
      <w:r>
        <w:separator/>
      </w:r>
    </w:p>
  </w:endnote>
  <w:endnote w:type="continuationSeparator" w:id="0">
    <w:p w14:paraId="681271AD" w14:textId="77777777" w:rsidR="004C2DD6" w:rsidRDefault="004C2DD6" w:rsidP="001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9571" w14:textId="77777777" w:rsidR="0010110A" w:rsidRDefault="00101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45DB" w14:textId="77777777" w:rsidR="003242B9" w:rsidRDefault="003242B9" w:rsidP="003242B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D7F" w14:textId="77777777" w:rsidR="0010110A" w:rsidRDefault="001011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B378" w14:textId="77777777" w:rsidR="003A55ED" w:rsidRPr="00232789" w:rsidRDefault="000F3874" w:rsidP="003A55ED">
    <w:pPr>
      <w:pStyle w:val="Footer"/>
      <w:ind w:left="4678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5156110A" wp14:editId="6DD8881E">
          <wp:simplePos x="0" y="0"/>
          <wp:positionH relativeFrom="page">
            <wp:posOffset>2628900</wp:posOffset>
          </wp:positionH>
          <wp:positionV relativeFrom="paragraph">
            <wp:posOffset>-330835</wp:posOffset>
          </wp:positionV>
          <wp:extent cx="4924570" cy="1206136"/>
          <wp:effectExtent l="0" t="0" r="0" b="0"/>
          <wp:wrapNone/>
          <wp:docPr id="6" name="Picture 6" descr="Decor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SB18_0291 Update Corporate Templates_01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4570" cy="12061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55ED">
      <w:t>For more information visit:</w:t>
    </w:r>
    <w:r w:rsidR="003A55ED">
      <w:br/>
    </w:r>
    <w:r w:rsidR="003A55ED" w:rsidRPr="003A55ED">
      <w:rPr>
        <w:sz w:val="36"/>
        <w:szCs w:val="36"/>
      </w:rPr>
      <w:t>www.</w:t>
    </w:r>
    <w:r w:rsidR="003A55ED" w:rsidRPr="003A55ED">
      <w:rPr>
        <w:b/>
        <w:sz w:val="36"/>
        <w:szCs w:val="36"/>
      </w:rPr>
      <w:t>employment</w:t>
    </w:r>
    <w:r w:rsidR="003A55ED" w:rsidRPr="003A55ED">
      <w:rPr>
        <w:sz w:val="36"/>
        <w:szCs w:val="36"/>
      </w:rPr>
      <w:t>.gov.au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0837" w14:textId="77777777" w:rsidR="004C2DD6" w:rsidRDefault="004C2DD6" w:rsidP="00130923">
      <w:pPr>
        <w:spacing w:after="0" w:line="240" w:lineRule="auto"/>
      </w:pPr>
      <w:r>
        <w:separator/>
      </w:r>
    </w:p>
  </w:footnote>
  <w:footnote w:type="continuationSeparator" w:id="0">
    <w:p w14:paraId="3144CFE1" w14:textId="77777777" w:rsidR="004C2DD6" w:rsidRDefault="004C2DD6" w:rsidP="0013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C905" w14:textId="77777777" w:rsidR="0010110A" w:rsidRDefault="00101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9665" w14:textId="77777777" w:rsidR="000F3874" w:rsidRPr="000F3874" w:rsidRDefault="000F3874" w:rsidP="00965862">
    <w:pPr>
      <w:pStyle w:val="Header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8CCF" w14:textId="77777777" w:rsidR="0010110A" w:rsidRDefault="001011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FF0A" w14:textId="77777777" w:rsidR="00560CA0" w:rsidRDefault="00560CA0" w:rsidP="00560C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CE6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2C0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08C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BA18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868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840E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E1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702084"/>
    <w:multiLevelType w:val="hybridMultilevel"/>
    <w:tmpl w:val="651EB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F485D"/>
    <w:multiLevelType w:val="hybridMultilevel"/>
    <w:tmpl w:val="5BE4D756"/>
    <w:lvl w:ilvl="0" w:tplc="1A440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12691"/>
    <w:multiLevelType w:val="hybridMultilevel"/>
    <w:tmpl w:val="87F08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A5C77"/>
    <w:multiLevelType w:val="multilevel"/>
    <w:tmpl w:val="91E0A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1927E8"/>
    <w:multiLevelType w:val="hybridMultilevel"/>
    <w:tmpl w:val="4336F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732AD"/>
    <w:multiLevelType w:val="multilevel"/>
    <w:tmpl w:val="F6DA8B3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1B73210"/>
    <w:multiLevelType w:val="multilevel"/>
    <w:tmpl w:val="1A7C82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CF1710"/>
    <w:multiLevelType w:val="multilevel"/>
    <w:tmpl w:val="835A8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6BE2999"/>
    <w:multiLevelType w:val="hybridMultilevel"/>
    <w:tmpl w:val="BE9A9BF0"/>
    <w:lvl w:ilvl="0" w:tplc="CC82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0E53D4"/>
    <w:multiLevelType w:val="multilevel"/>
    <w:tmpl w:val="9D9E4B96"/>
    <w:styleLink w:val="Bullet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647286">
    <w:abstractNumId w:val="17"/>
  </w:num>
  <w:num w:numId="2" w16cid:durableId="1656837317">
    <w:abstractNumId w:val="7"/>
  </w:num>
  <w:num w:numId="3" w16cid:durableId="46683840">
    <w:abstractNumId w:val="6"/>
  </w:num>
  <w:num w:numId="4" w16cid:durableId="1915166995">
    <w:abstractNumId w:val="5"/>
  </w:num>
  <w:num w:numId="5" w16cid:durableId="732658466">
    <w:abstractNumId w:val="4"/>
  </w:num>
  <w:num w:numId="6" w16cid:durableId="541407718">
    <w:abstractNumId w:val="8"/>
  </w:num>
  <w:num w:numId="7" w16cid:durableId="892229619">
    <w:abstractNumId w:val="3"/>
  </w:num>
  <w:num w:numId="8" w16cid:durableId="1743141816">
    <w:abstractNumId w:val="2"/>
  </w:num>
  <w:num w:numId="9" w16cid:durableId="2038578924">
    <w:abstractNumId w:val="1"/>
  </w:num>
  <w:num w:numId="10" w16cid:durableId="1018434107">
    <w:abstractNumId w:val="0"/>
  </w:num>
  <w:num w:numId="11" w16cid:durableId="1713460067">
    <w:abstractNumId w:val="13"/>
  </w:num>
  <w:num w:numId="12" w16cid:durableId="16443154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28574921">
    <w:abstractNumId w:val="10"/>
  </w:num>
  <w:num w:numId="14" w16cid:durableId="538469703">
    <w:abstractNumId w:val="18"/>
  </w:num>
  <w:num w:numId="15" w16cid:durableId="65734963">
    <w:abstractNumId w:val="11"/>
  </w:num>
  <w:num w:numId="16" w16cid:durableId="1153133804">
    <w:abstractNumId w:val="16"/>
  </w:num>
  <w:num w:numId="17" w16cid:durableId="8670647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52772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1938766">
    <w:abstractNumId w:val="16"/>
  </w:num>
  <w:num w:numId="20" w16cid:durableId="1606965139">
    <w:abstractNumId w:val="12"/>
  </w:num>
  <w:num w:numId="21" w16cid:durableId="1392730353">
    <w:abstractNumId w:val="15"/>
  </w:num>
  <w:num w:numId="22" w16cid:durableId="17784033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61799998">
    <w:abstractNumId w:val="19"/>
  </w:num>
  <w:num w:numId="24" w16cid:durableId="3087503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85273878">
    <w:abstractNumId w:val="9"/>
  </w:num>
  <w:num w:numId="26" w16cid:durableId="317391751">
    <w:abstractNumId w:val="14"/>
  </w:num>
  <w:num w:numId="27" w16cid:durableId="13374238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markup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4C2DD6"/>
    <w:rsid w:val="00002721"/>
    <w:rsid w:val="0002469D"/>
    <w:rsid w:val="00024E24"/>
    <w:rsid w:val="00034EAA"/>
    <w:rsid w:val="00053E03"/>
    <w:rsid w:val="00080F24"/>
    <w:rsid w:val="000861A6"/>
    <w:rsid w:val="000E7E7B"/>
    <w:rsid w:val="000F3874"/>
    <w:rsid w:val="000F3BA2"/>
    <w:rsid w:val="0010110A"/>
    <w:rsid w:val="001175BF"/>
    <w:rsid w:val="00130923"/>
    <w:rsid w:val="001414F3"/>
    <w:rsid w:val="00141A65"/>
    <w:rsid w:val="00143FCD"/>
    <w:rsid w:val="00165376"/>
    <w:rsid w:val="001A215B"/>
    <w:rsid w:val="001B0CCF"/>
    <w:rsid w:val="001B6467"/>
    <w:rsid w:val="001E0572"/>
    <w:rsid w:val="001F1C07"/>
    <w:rsid w:val="00210DE0"/>
    <w:rsid w:val="00220A9D"/>
    <w:rsid w:val="0022144F"/>
    <w:rsid w:val="00223EB1"/>
    <w:rsid w:val="00232789"/>
    <w:rsid w:val="00236917"/>
    <w:rsid w:val="00243D6B"/>
    <w:rsid w:val="00266BBE"/>
    <w:rsid w:val="002936DE"/>
    <w:rsid w:val="002B06E6"/>
    <w:rsid w:val="002C7B35"/>
    <w:rsid w:val="002D271F"/>
    <w:rsid w:val="002D4A2A"/>
    <w:rsid w:val="002D6386"/>
    <w:rsid w:val="00305B35"/>
    <w:rsid w:val="003166C5"/>
    <w:rsid w:val="00322394"/>
    <w:rsid w:val="003242B9"/>
    <w:rsid w:val="00350F05"/>
    <w:rsid w:val="003542BA"/>
    <w:rsid w:val="0037327B"/>
    <w:rsid w:val="003A55ED"/>
    <w:rsid w:val="003D41D4"/>
    <w:rsid w:val="003D67FC"/>
    <w:rsid w:val="00406E5A"/>
    <w:rsid w:val="0042518D"/>
    <w:rsid w:val="00435B7B"/>
    <w:rsid w:val="00455B34"/>
    <w:rsid w:val="0048762C"/>
    <w:rsid w:val="004A760F"/>
    <w:rsid w:val="004B256F"/>
    <w:rsid w:val="004C2DD6"/>
    <w:rsid w:val="004E6DDE"/>
    <w:rsid w:val="005113B6"/>
    <w:rsid w:val="005129AA"/>
    <w:rsid w:val="00531817"/>
    <w:rsid w:val="00542D43"/>
    <w:rsid w:val="005501BD"/>
    <w:rsid w:val="00560CA0"/>
    <w:rsid w:val="0056236F"/>
    <w:rsid w:val="005624F3"/>
    <w:rsid w:val="005811EF"/>
    <w:rsid w:val="00591A54"/>
    <w:rsid w:val="005B0878"/>
    <w:rsid w:val="005C15C0"/>
    <w:rsid w:val="005C7F63"/>
    <w:rsid w:val="005E1673"/>
    <w:rsid w:val="005F03D1"/>
    <w:rsid w:val="00610654"/>
    <w:rsid w:val="006129EF"/>
    <w:rsid w:val="006172EB"/>
    <w:rsid w:val="006318B9"/>
    <w:rsid w:val="00636DD3"/>
    <w:rsid w:val="0067026C"/>
    <w:rsid w:val="00692776"/>
    <w:rsid w:val="00692E2A"/>
    <w:rsid w:val="006C3AC1"/>
    <w:rsid w:val="006C4962"/>
    <w:rsid w:val="006D27EB"/>
    <w:rsid w:val="006E2D49"/>
    <w:rsid w:val="00725D2F"/>
    <w:rsid w:val="007402B3"/>
    <w:rsid w:val="007468FC"/>
    <w:rsid w:val="007500CC"/>
    <w:rsid w:val="00756759"/>
    <w:rsid w:val="0077220B"/>
    <w:rsid w:val="00792CA3"/>
    <w:rsid w:val="007A3C0C"/>
    <w:rsid w:val="007B2FDD"/>
    <w:rsid w:val="007C13A9"/>
    <w:rsid w:val="007C6FB8"/>
    <w:rsid w:val="007D58FB"/>
    <w:rsid w:val="007F2872"/>
    <w:rsid w:val="007F57AE"/>
    <w:rsid w:val="00804665"/>
    <w:rsid w:val="0083468A"/>
    <w:rsid w:val="00842D43"/>
    <w:rsid w:val="00856D1C"/>
    <w:rsid w:val="00874DBB"/>
    <w:rsid w:val="00876AC0"/>
    <w:rsid w:val="008924EC"/>
    <w:rsid w:val="008C2978"/>
    <w:rsid w:val="008F775D"/>
    <w:rsid w:val="00903408"/>
    <w:rsid w:val="009116EA"/>
    <w:rsid w:val="00933671"/>
    <w:rsid w:val="00933C0C"/>
    <w:rsid w:val="00935DC4"/>
    <w:rsid w:val="0096483F"/>
    <w:rsid w:val="00965862"/>
    <w:rsid w:val="0096779D"/>
    <w:rsid w:val="00972BF7"/>
    <w:rsid w:val="00972DD5"/>
    <w:rsid w:val="00984879"/>
    <w:rsid w:val="00985632"/>
    <w:rsid w:val="0099143C"/>
    <w:rsid w:val="00991B63"/>
    <w:rsid w:val="009B2428"/>
    <w:rsid w:val="009B4507"/>
    <w:rsid w:val="009B5522"/>
    <w:rsid w:val="009B5CB7"/>
    <w:rsid w:val="009C5738"/>
    <w:rsid w:val="009C61E7"/>
    <w:rsid w:val="009F5CF5"/>
    <w:rsid w:val="00A21FB0"/>
    <w:rsid w:val="00A2225A"/>
    <w:rsid w:val="00A2727A"/>
    <w:rsid w:val="00A31242"/>
    <w:rsid w:val="00A35435"/>
    <w:rsid w:val="00A52530"/>
    <w:rsid w:val="00A551BF"/>
    <w:rsid w:val="00A70524"/>
    <w:rsid w:val="00A73406"/>
    <w:rsid w:val="00A852EE"/>
    <w:rsid w:val="00A9672C"/>
    <w:rsid w:val="00AA4BA4"/>
    <w:rsid w:val="00AC65DA"/>
    <w:rsid w:val="00AD06D8"/>
    <w:rsid w:val="00AE10EA"/>
    <w:rsid w:val="00B17DB5"/>
    <w:rsid w:val="00B2603A"/>
    <w:rsid w:val="00B2722A"/>
    <w:rsid w:val="00B566DB"/>
    <w:rsid w:val="00B618BA"/>
    <w:rsid w:val="00B72B92"/>
    <w:rsid w:val="00B75F36"/>
    <w:rsid w:val="00BA282D"/>
    <w:rsid w:val="00BB6260"/>
    <w:rsid w:val="00BD02EE"/>
    <w:rsid w:val="00BF10F4"/>
    <w:rsid w:val="00C05E74"/>
    <w:rsid w:val="00C10C19"/>
    <w:rsid w:val="00C143B8"/>
    <w:rsid w:val="00C169F7"/>
    <w:rsid w:val="00C17D02"/>
    <w:rsid w:val="00C22472"/>
    <w:rsid w:val="00C45A8B"/>
    <w:rsid w:val="00C5649C"/>
    <w:rsid w:val="00C75486"/>
    <w:rsid w:val="00C8202C"/>
    <w:rsid w:val="00C92A5B"/>
    <w:rsid w:val="00CA2884"/>
    <w:rsid w:val="00CA46EC"/>
    <w:rsid w:val="00CC3EE9"/>
    <w:rsid w:val="00CF5A00"/>
    <w:rsid w:val="00D05B29"/>
    <w:rsid w:val="00D1394D"/>
    <w:rsid w:val="00D3290B"/>
    <w:rsid w:val="00D47740"/>
    <w:rsid w:val="00D6708F"/>
    <w:rsid w:val="00D756C0"/>
    <w:rsid w:val="00D812B9"/>
    <w:rsid w:val="00D8690C"/>
    <w:rsid w:val="00D903FD"/>
    <w:rsid w:val="00D91CBF"/>
    <w:rsid w:val="00D94BC5"/>
    <w:rsid w:val="00D96B09"/>
    <w:rsid w:val="00D96C08"/>
    <w:rsid w:val="00DA4492"/>
    <w:rsid w:val="00DC3052"/>
    <w:rsid w:val="00DC76D7"/>
    <w:rsid w:val="00DE4415"/>
    <w:rsid w:val="00DF46C4"/>
    <w:rsid w:val="00E61B9F"/>
    <w:rsid w:val="00EA381E"/>
    <w:rsid w:val="00EC64C4"/>
    <w:rsid w:val="00EC78E7"/>
    <w:rsid w:val="00ED43D2"/>
    <w:rsid w:val="00EE2667"/>
    <w:rsid w:val="00EE3B8C"/>
    <w:rsid w:val="00EF4A38"/>
    <w:rsid w:val="00EF4B93"/>
    <w:rsid w:val="00F11B8F"/>
    <w:rsid w:val="00F2438F"/>
    <w:rsid w:val="00F25D3C"/>
    <w:rsid w:val="00F427EE"/>
    <w:rsid w:val="00F540BE"/>
    <w:rsid w:val="00F74011"/>
    <w:rsid w:val="00F975AB"/>
    <w:rsid w:val="00FB02E0"/>
    <w:rsid w:val="00FB10CB"/>
    <w:rsid w:val="00FD784B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719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72"/>
    <w:pPr>
      <w:spacing w:before="60" w:after="120"/>
    </w:pPr>
    <w:rPr>
      <w14:ligatures w14:val="standard"/>
    </w:rPr>
  </w:style>
  <w:style w:type="paragraph" w:styleId="Heading1">
    <w:name w:val="heading 1"/>
    <w:basedOn w:val="Normal"/>
    <w:next w:val="Normal"/>
    <w:link w:val="Heading1Char"/>
    <w:uiPriority w:val="2"/>
    <w:qFormat/>
    <w:rsid w:val="007500CC"/>
    <w:pPr>
      <w:spacing w:before="240" w:after="40" w:line="240" w:lineRule="auto"/>
      <w:outlineLvl w:val="0"/>
    </w:pPr>
    <w:rPr>
      <w:rFonts w:ascii="Calibri" w:eastAsiaTheme="majorEastAsia" w:hAnsi="Calibri" w:cstheme="majorBidi"/>
      <w:b/>
      <w:bCs/>
      <w:color w:val="287BB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2"/>
    <w:qFormat/>
    <w:rsid w:val="0077220B"/>
    <w:pPr>
      <w:spacing w:before="240" w:after="0"/>
      <w:outlineLvl w:val="1"/>
    </w:pPr>
    <w:rPr>
      <w:rFonts w:eastAsiaTheme="majorEastAsia" w:cstheme="minorHAnsi"/>
      <w:bCs/>
      <w:color w:val="287BB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3290B"/>
    <w:pPr>
      <w:spacing w:before="240" w:after="0"/>
      <w:outlineLvl w:val="2"/>
    </w:pPr>
    <w:rPr>
      <w:rFonts w:eastAsiaTheme="majorEastAsia" w:cstheme="minorHAns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2"/>
    <w:qFormat/>
    <w:rsid w:val="0077220B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qFormat/>
    <w:rsid w:val="005C7F63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2"/>
    <w:qFormat/>
    <w:rsid w:val="005C7F63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129EF"/>
    <w:pPr>
      <w:spacing w:after="0"/>
      <w:outlineLvl w:val="6"/>
    </w:pPr>
    <w:rPr>
      <w:rFonts w:ascii="Calibri" w:eastAsiaTheme="majorEastAsia" w:hAnsi="Calibri" w:cstheme="majorBidi"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8"/>
    <w:qFormat/>
    <w:rsid w:val="00AC65DA"/>
    <w:rPr>
      <w:b/>
      <w:bCs/>
    </w:rPr>
  </w:style>
  <w:style w:type="character" w:styleId="Emphasis">
    <w:name w:val="Emphasis"/>
    <w:uiPriority w:val="8"/>
    <w:qFormat/>
    <w:rsid w:val="001F1C07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rsid w:val="009116EA"/>
    <w:rPr>
      <w:i/>
      <w:i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C10C19"/>
    <w:rPr>
      <w:color w:val="287BB3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05E74"/>
    <w:pPr>
      <w:ind w:left="369" w:right="369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E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2"/>
    <w:rsid w:val="007500CC"/>
    <w:rPr>
      <w:rFonts w:ascii="Calibri" w:eastAsiaTheme="majorEastAsia" w:hAnsi="Calibri" w:cstheme="majorBidi"/>
      <w:b/>
      <w:bCs/>
      <w:color w:val="287BB3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2"/>
    <w:rsid w:val="0077220B"/>
    <w:rPr>
      <w:rFonts w:eastAsiaTheme="majorEastAsia" w:cstheme="minorHAnsi"/>
      <w:bCs/>
      <w:color w:val="287BB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D3290B"/>
    <w:rPr>
      <w:rFonts w:eastAsiaTheme="majorEastAsia" w:cstheme="minorHAns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2"/>
    <w:rsid w:val="0077220B"/>
    <w:rPr>
      <w:rFonts w:ascii="Calibri" w:eastAsiaTheme="majorEastAsia" w:hAnsi="Calibri" w:cstheme="majorBidi"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5C7F63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5C7F63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EF"/>
    <w:rPr>
      <w:rFonts w:ascii="Calibri" w:eastAsiaTheme="majorEastAsia" w:hAnsi="Calibri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C7F63"/>
    <w:pPr>
      <w:spacing w:before="840" w:after="0" w:line="240" w:lineRule="auto"/>
      <w:contextualSpacing/>
    </w:pPr>
    <w:rPr>
      <w:rFonts w:ascii="Calibri" w:eastAsiaTheme="majorEastAsia" w:hAnsi="Calibri" w:cstheme="majorBidi"/>
      <w:b/>
      <w:color w:val="287BB3"/>
      <w:spacing w:val="5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5C7F63"/>
    <w:rPr>
      <w:rFonts w:ascii="Calibri" w:eastAsiaTheme="majorEastAsia" w:hAnsi="Calibri" w:cstheme="majorBidi"/>
      <w:b/>
      <w:color w:val="287BB3"/>
      <w:spacing w:val="5"/>
      <w:sz w:val="60"/>
      <w:szCs w:val="60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5C7F63"/>
    <w:pPr>
      <w:spacing w:before="0" w:after="200"/>
    </w:pPr>
    <w:rPr>
      <w:rFonts w:ascii="Calibri" w:eastAsiaTheme="majorEastAsia" w:hAnsi="Calibri" w:cstheme="majorBidi"/>
      <w:iCs/>
      <w:color w:val="000000" w:themeColor="text1"/>
      <w:spacing w:val="13"/>
      <w:sz w:val="36"/>
      <w:szCs w:val="40"/>
    </w:rPr>
  </w:style>
  <w:style w:type="character" w:customStyle="1" w:styleId="SubtitleChar">
    <w:name w:val="Subtitle Char"/>
    <w:basedOn w:val="DefaultParagraphFont"/>
    <w:link w:val="Subtitle"/>
    <w:uiPriority w:val="1"/>
    <w:rsid w:val="005C7F63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paragraph" w:styleId="NoSpacing">
    <w:name w:val="No Spacing"/>
    <w:basedOn w:val="Normal"/>
    <w:link w:val="NoSpacingChar"/>
    <w:uiPriority w:val="1"/>
    <w:rsid w:val="00AC65DA"/>
    <w:pPr>
      <w:spacing w:after="0" w:line="240" w:lineRule="auto"/>
    </w:pPr>
  </w:style>
  <w:style w:type="paragraph" w:styleId="ListParagraph">
    <w:name w:val="List Paragraph"/>
    <w:basedOn w:val="Normal"/>
    <w:uiPriority w:val="8"/>
    <w:qFormat/>
    <w:rsid w:val="00AC65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AC65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DA"/>
    <w:rPr>
      <w:b/>
      <w:bCs/>
      <w:i/>
      <w:iCs/>
    </w:rPr>
  </w:style>
  <w:style w:type="character" w:styleId="SubtleEmphasis">
    <w:name w:val="Subtle Emphasis"/>
    <w:uiPriority w:val="19"/>
    <w:rsid w:val="00AC65DA"/>
    <w:rPr>
      <w:i/>
      <w:iCs/>
    </w:rPr>
  </w:style>
  <w:style w:type="character" w:styleId="IntenseEmphasis">
    <w:name w:val="Intense Emphasis"/>
    <w:uiPriority w:val="21"/>
    <w:rsid w:val="001F1C07"/>
    <w:rPr>
      <w:b/>
      <w:bCs/>
      <w:i/>
    </w:rPr>
  </w:style>
  <w:style w:type="character" w:styleId="SubtleReference">
    <w:name w:val="Subtle Reference"/>
    <w:uiPriority w:val="31"/>
    <w:rsid w:val="00AC65DA"/>
    <w:rPr>
      <w:smallCaps/>
    </w:rPr>
  </w:style>
  <w:style w:type="character" w:styleId="IntenseReference">
    <w:name w:val="Intense Reference"/>
    <w:uiPriority w:val="32"/>
    <w:rsid w:val="00AC65D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5DA"/>
    <w:pPr>
      <w:outlineLvl w:val="9"/>
    </w:pPr>
    <w:rPr>
      <w:lang w:bidi="en-US"/>
    </w:rPr>
  </w:style>
  <w:style w:type="paragraph" w:styleId="ListNumber">
    <w:name w:val="List Number"/>
    <w:basedOn w:val="Normal"/>
    <w:uiPriority w:val="99"/>
    <w:unhideWhenUsed/>
    <w:qFormat/>
    <w:rsid w:val="00DC76D7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DC76D7"/>
    <w:pPr>
      <w:numPr>
        <w:ilvl w:val="1"/>
        <w:numId w:val="21"/>
      </w:numPr>
      <w:tabs>
        <w:tab w:val="left" w:pos="1134"/>
      </w:tabs>
      <w:contextualSpacing/>
    </w:pPr>
  </w:style>
  <w:style w:type="paragraph" w:styleId="ListNumber3">
    <w:name w:val="List Number 3"/>
    <w:basedOn w:val="Normal"/>
    <w:uiPriority w:val="99"/>
    <w:unhideWhenUsed/>
    <w:qFormat/>
    <w:rsid w:val="00DC76D7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qFormat/>
    <w:rsid w:val="00DC76D7"/>
    <w:pPr>
      <w:numPr>
        <w:ilvl w:val="3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EC64C4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EC64C4"/>
    <w:pPr>
      <w:numPr>
        <w:ilvl w:val="1"/>
        <w:numId w:val="23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EC64C4"/>
    <w:pPr>
      <w:numPr>
        <w:ilvl w:val="2"/>
        <w:numId w:val="23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EC64C4"/>
    <w:pPr>
      <w:numPr>
        <w:ilvl w:val="3"/>
        <w:numId w:val="23"/>
      </w:numPr>
      <w:contextualSpacing/>
    </w:pPr>
  </w:style>
  <w:style w:type="table" w:styleId="TableGrid">
    <w:name w:val="Table Grid"/>
    <w:basedOn w:val="TableNormal"/>
    <w:uiPriority w:val="59"/>
    <w:rsid w:val="007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EWRTable">
    <w:name w:val="DEEWR Table"/>
    <w:basedOn w:val="TableNormal"/>
    <w:uiPriority w:val="99"/>
    <w:rsid w:val="00903408"/>
    <w:pPr>
      <w:spacing w:after="0" w:line="240" w:lineRule="auto"/>
    </w:pPr>
    <w:rPr>
      <w:color w:val="000000" w:themeColor="text1"/>
      <w:sz w:val="20"/>
    </w:rPr>
    <w:tblPr>
      <w:tblStyleRowBandSize w:val="1"/>
      <w:tblBorders>
        <w:bottom w:val="single" w:sz="4" w:space="0" w:color="auto"/>
      </w:tblBorders>
    </w:tblPr>
    <w:trPr>
      <w:cantSplit/>
    </w:trPr>
    <w:tblStylePr w:type="firstRow">
      <w:pPr>
        <w:wordWrap/>
        <w:ind w:leftChars="0" w:left="0" w:rightChars="0" w:right="0"/>
        <w:jc w:val="left"/>
      </w:pPr>
      <w:rPr>
        <w:rFonts w:asciiTheme="minorHAnsi" w:hAnsiTheme="minorHAnsi"/>
        <w:b/>
        <w:color w:val="F2F2F2" w:themeColor="background2"/>
        <w:sz w:val="20"/>
      </w:rPr>
      <w:tblPr/>
      <w:trPr>
        <w:tblHeader/>
      </w:trPr>
      <w:tcPr>
        <w:shd w:val="clear" w:color="auto" w:fill="000000" w:themeFill="text1"/>
      </w:tcPr>
    </w:tblStylePr>
    <w:tblStylePr w:type="firstCol">
      <w:pPr>
        <w:jc w:val="left"/>
      </w:pPr>
      <w:rPr>
        <w:b/>
      </w:rPr>
    </w:tblStylePr>
  </w:style>
  <w:style w:type="paragraph" w:customStyle="1" w:styleId="Default">
    <w:name w:val="Default"/>
    <w:rsid w:val="001309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30923"/>
    <w:pPr>
      <w:spacing w:line="240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130923"/>
    <w:rPr>
      <w:rFonts w:eastAsia="Times New Roman" w:cs="Times New Roman"/>
      <w:szCs w:val="24"/>
      <w:lang w:eastAsia="en-AU"/>
    </w:rPr>
  </w:style>
  <w:style w:type="paragraph" w:customStyle="1" w:styleId="numberedpara">
    <w:name w:val="numbered para"/>
    <w:basedOn w:val="Normal"/>
    <w:rsid w:val="00130923"/>
    <w:pPr>
      <w:numPr>
        <w:numId w:val="18"/>
      </w:numPr>
      <w:spacing w:after="0" w:line="240" w:lineRule="auto"/>
    </w:pPr>
    <w:rPr>
      <w:rFonts w:ascii="Calibri" w:eastAsiaTheme="minorHAns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30923"/>
  </w:style>
  <w:style w:type="paragraph" w:styleId="Header">
    <w:name w:val="header"/>
    <w:basedOn w:val="Normal"/>
    <w:link w:val="Head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23"/>
  </w:style>
  <w:style w:type="paragraph" w:styleId="Footer">
    <w:name w:val="footer"/>
    <w:basedOn w:val="Normal"/>
    <w:link w:val="Foot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23"/>
  </w:style>
  <w:style w:type="paragraph" w:styleId="TOC1">
    <w:name w:val="toc 1"/>
    <w:basedOn w:val="Normal"/>
    <w:next w:val="Normal"/>
    <w:autoRedefine/>
    <w:uiPriority w:val="39"/>
    <w:unhideWhenUsed/>
    <w:rsid w:val="00EF4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A38"/>
    <w:pPr>
      <w:spacing w:after="100"/>
      <w:ind w:left="440"/>
    </w:pPr>
  </w:style>
  <w:style w:type="paragraph" w:styleId="Caption">
    <w:name w:val="caption"/>
    <w:basedOn w:val="Heading4"/>
    <w:next w:val="Normal"/>
    <w:uiPriority w:val="35"/>
    <w:qFormat/>
    <w:rsid w:val="00591A54"/>
    <w:rPr>
      <w:b/>
      <w:sz w:val="22"/>
    </w:rPr>
  </w:style>
  <w:style w:type="paragraph" w:customStyle="1" w:styleId="Source">
    <w:name w:val="Source"/>
    <w:basedOn w:val="Normal"/>
    <w:uiPriority w:val="9"/>
    <w:qFormat/>
    <w:rsid w:val="006129EF"/>
    <w:rPr>
      <w:rFonts w:cstheme="minorHAnsi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BA282D"/>
    <w:rPr>
      <w:color w:val="808080"/>
    </w:rPr>
  </w:style>
  <w:style w:type="paragraph" w:customStyle="1" w:styleId="DeleteText">
    <w:name w:val="Delete Text"/>
    <w:basedOn w:val="Normal"/>
    <w:rsid w:val="00141A65"/>
    <w:rPr>
      <w:color w:val="287BB3"/>
    </w:rPr>
  </w:style>
  <w:style w:type="numbering" w:customStyle="1" w:styleId="NumberedList">
    <w:name w:val="Numbered List"/>
    <w:uiPriority w:val="99"/>
    <w:rsid w:val="00DC76D7"/>
    <w:pPr>
      <w:numPr>
        <w:numId w:val="21"/>
      </w:numPr>
    </w:pPr>
  </w:style>
  <w:style w:type="numbering" w:customStyle="1" w:styleId="BulletList">
    <w:name w:val="Bullet List"/>
    <w:uiPriority w:val="99"/>
    <w:rsid w:val="00EC64C4"/>
    <w:pPr>
      <w:numPr>
        <w:numId w:val="23"/>
      </w:numPr>
    </w:pPr>
  </w:style>
  <w:style w:type="paragraph" w:styleId="ListNumber5">
    <w:name w:val="List Number 5"/>
    <w:basedOn w:val="Normal"/>
    <w:uiPriority w:val="99"/>
    <w:semiHidden/>
    <w:unhideWhenUsed/>
    <w:rsid w:val="00DC76D7"/>
    <w:pPr>
      <w:numPr>
        <w:ilvl w:val="4"/>
        <w:numId w:val="21"/>
      </w:numPr>
      <w:contextualSpacing/>
    </w:pPr>
  </w:style>
  <w:style w:type="paragraph" w:styleId="ListBullet5">
    <w:name w:val="List Bullet 5"/>
    <w:basedOn w:val="Normal"/>
    <w:uiPriority w:val="99"/>
    <w:unhideWhenUsed/>
    <w:rsid w:val="00EC64C4"/>
    <w:pPr>
      <w:numPr>
        <w:ilvl w:val="4"/>
        <w:numId w:val="23"/>
      </w:numPr>
      <w:contextualSpacing/>
    </w:pPr>
  </w:style>
  <w:style w:type="paragraph" w:styleId="List">
    <w:name w:val="List"/>
    <w:basedOn w:val="Normal"/>
    <w:uiPriority w:val="99"/>
    <w:unhideWhenUsed/>
    <w:rsid w:val="006129EF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129EF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6129EF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6129EF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6129EF"/>
    <w:pPr>
      <w:ind w:left="1415" w:hanging="283"/>
      <w:contextualSpacing/>
    </w:pPr>
  </w:style>
  <w:style w:type="table" w:styleId="ListTable3-Accent1">
    <w:name w:val="List Table 3 Accent 1"/>
    <w:basedOn w:val="TableNormal"/>
    <w:uiPriority w:val="48"/>
    <w:rsid w:val="00DA4492"/>
    <w:pPr>
      <w:spacing w:after="0" w:line="240" w:lineRule="auto"/>
    </w:pPr>
    <w:tblPr>
      <w:tblStyleRowBandSize w:val="1"/>
      <w:tblStyleColBandSize w:val="1"/>
      <w:tblBorders>
        <w:top w:val="single" w:sz="4" w:space="0" w:color="287BB3" w:themeColor="accent1"/>
        <w:left w:val="single" w:sz="4" w:space="0" w:color="287BB3" w:themeColor="accent1"/>
        <w:bottom w:val="single" w:sz="4" w:space="0" w:color="287BB3" w:themeColor="accent1"/>
        <w:right w:val="single" w:sz="4" w:space="0" w:color="287B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7BB3" w:themeFill="accent1"/>
      </w:tcPr>
    </w:tblStylePr>
    <w:tblStylePr w:type="lastRow">
      <w:rPr>
        <w:b/>
        <w:bCs/>
      </w:rPr>
      <w:tblPr/>
      <w:tcPr>
        <w:tcBorders>
          <w:top w:val="double" w:sz="4" w:space="0" w:color="287B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7BB3" w:themeColor="accent1"/>
          <w:right w:val="single" w:sz="4" w:space="0" w:color="287BB3" w:themeColor="accent1"/>
        </w:tcBorders>
      </w:tcPr>
    </w:tblStylePr>
    <w:tblStylePr w:type="band1Horz">
      <w:tblPr/>
      <w:tcPr>
        <w:tcBorders>
          <w:top w:val="single" w:sz="4" w:space="0" w:color="287BB3" w:themeColor="accent1"/>
          <w:bottom w:val="single" w:sz="4" w:space="0" w:color="287B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7BB3" w:themeColor="accent1"/>
          <w:left w:val="nil"/>
        </w:tcBorders>
      </w:tcPr>
    </w:tblStylePr>
    <w:tblStylePr w:type="swCell">
      <w:tblPr/>
      <w:tcPr>
        <w:tcBorders>
          <w:top w:val="double" w:sz="4" w:space="0" w:color="287BB3" w:themeColor="accent1"/>
          <w:right w:val="nil"/>
        </w:tcBorders>
      </w:tcPr>
    </w:tblStylePr>
  </w:style>
  <w:style w:type="table" w:customStyle="1" w:styleId="JobsTable">
    <w:name w:val="Jobs Table"/>
    <w:basedOn w:val="TableNormal"/>
    <w:uiPriority w:val="99"/>
    <w:rsid w:val="00AA4BA4"/>
    <w:pPr>
      <w:spacing w:after="0" w:line="240" w:lineRule="auto"/>
    </w:p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 w:themeColor="background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D02EE"/>
    <w:rPr>
      <w:color w:val="0E874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3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A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AC1"/>
    <w:rPr>
      <w:sz w:val="20"/>
      <w:szCs w:val="20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AC1"/>
    <w:rPr>
      <w:b/>
      <w:bCs/>
      <w:sz w:val="20"/>
      <w:szCs w:val="20"/>
      <w14:ligatures w14:val="standard"/>
    </w:rPr>
  </w:style>
  <w:style w:type="paragraph" w:styleId="Revision">
    <w:name w:val="Revision"/>
    <w:hidden/>
    <w:uiPriority w:val="99"/>
    <w:semiHidden/>
    <w:rsid w:val="00B2603A"/>
    <w:pPr>
      <w:spacing w:after="0" w:line="240" w:lineRule="auto"/>
    </w:pPr>
    <w:rPr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Dept Employment, Skills, Small and Family Business">
      <a:dk1>
        <a:sysClr val="windowText" lastClr="000000"/>
      </a:dk1>
      <a:lt1>
        <a:srgbClr val="FFFFFF"/>
      </a:lt1>
      <a:dk2>
        <a:srgbClr val="1E3D6B"/>
      </a:dk2>
      <a:lt2>
        <a:srgbClr val="F2F2F2"/>
      </a:lt2>
      <a:accent1>
        <a:srgbClr val="287BB3"/>
      </a:accent1>
      <a:accent2>
        <a:srgbClr val="A1CD3A"/>
      </a:accent2>
      <a:accent3>
        <a:srgbClr val="EE337B"/>
      </a:accent3>
      <a:accent4>
        <a:srgbClr val="0E8743"/>
      </a:accent4>
      <a:accent5>
        <a:srgbClr val="D9E027"/>
      </a:accent5>
      <a:accent6>
        <a:srgbClr val="5BBE82"/>
      </a:accent6>
      <a:hlink>
        <a:srgbClr val="287BB3"/>
      </a:hlink>
      <a:folHlink>
        <a:srgbClr val="0E87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2C4A-D3FA-4702-A47D-9EC89D12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4004</Characters>
  <Application>Microsoft Office Word</Application>
  <DocSecurity>0</DocSecurity>
  <Lines>128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to Work Interim Evaluation Departmental Response</dc:title>
  <dc:creator/>
  <cp:lastModifiedBy/>
  <cp:revision>1</cp:revision>
  <dcterms:created xsi:type="dcterms:W3CDTF">2023-03-22T07:35:00Z</dcterms:created>
  <dcterms:modified xsi:type="dcterms:W3CDTF">2023-03-22T07:35:00Z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2023-03-22T07:35:42Z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024d8c58-830f-44d5-ba48-90063a260c37</vt:lpwstr>
  </property>
  <property fmtid="{D5CDD505-2E9C-101B-9397-08002B2CF9AE}" pid="8" name="MSIP_Label_79d889eb-932f-4752-8739-64d25806ef64_ContentBits">
    <vt:lpwstr>0</vt:lpwstr>
  </property>
</Properties>
</file>