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2603C" w14:textId="64C435FD" w:rsidR="00A668BF" w:rsidRDefault="00C60222" w:rsidP="00414677">
      <w:pPr>
        <w:ind w:left="709"/>
        <w:sectPr w:rsidR="00A668BF" w:rsidSect="002A7840">
          <w:type w:val="continuous"/>
          <w:pgSz w:w="11906" w:h="16838"/>
          <w:pgMar w:top="567" w:right="720" w:bottom="720" w:left="720" w:header="708" w:footer="708" w:gutter="0"/>
          <w:cols w:space="708"/>
          <w:docGrid w:linePitch="360"/>
        </w:sectPr>
      </w:pPr>
      <w:r w:rsidRPr="00A668BF">
        <w:rPr>
          <w:noProof/>
          <w:lang w:eastAsia="en-AU"/>
        </w:rPr>
        <w:drawing>
          <wp:anchor distT="0" distB="0" distL="114300" distR="114300" simplePos="0" relativeHeight="251658240" behindDoc="1" locked="1" layoutInCell="1" allowOverlap="1" wp14:anchorId="7347124A" wp14:editId="56581B60">
            <wp:simplePos x="0" y="0"/>
            <wp:positionH relativeFrom="column">
              <wp:posOffset>-476250</wp:posOffset>
            </wp:positionH>
            <wp:positionV relativeFrom="page">
              <wp:posOffset>-25400</wp:posOffset>
            </wp:positionV>
            <wp:extent cx="7592400" cy="2167200"/>
            <wp:effectExtent l="0" t="0" r="0" b="5080"/>
            <wp:wrapNone/>
            <wp:docPr id="7" name="Picture 7" descr="Decorativ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400" cy="2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8BF">
        <w:rPr>
          <w:noProof/>
          <w:lang w:eastAsia="en-AU"/>
        </w:rPr>
        <w:drawing>
          <wp:inline distT="0" distB="0" distL="0" distR="0" wp14:anchorId="6F267C9A" wp14:editId="328710CA">
            <wp:extent cx="2331725" cy="716281"/>
            <wp:effectExtent l="0" t="0" r="0" b="7620"/>
            <wp:docPr id="1" name="Picture 1" descr="Australian Government Department of Education, Skills and Em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t Education, Skills and Employment_Inline_Re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725" cy="7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9A1E" w14:textId="10015478" w:rsidR="002B1CE5" w:rsidRPr="003C714F" w:rsidRDefault="003C714F" w:rsidP="00610A38">
      <w:pPr>
        <w:pStyle w:val="Title"/>
        <w:rPr>
          <w:sz w:val="44"/>
          <w:szCs w:val="40"/>
        </w:rPr>
      </w:pPr>
      <w:r w:rsidRPr="003C714F">
        <w:rPr>
          <w:sz w:val="44"/>
          <w:szCs w:val="40"/>
        </w:rPr>
        <w:t>The Online Employment Services Trial evaluation</w:t>
      </w:r>
    </w:p>
    <w:p w14:paraId="22FF2CD8" w14:textId="42757179" w:rsidR="002B1CE5" w:rsidRPr="00A24E6E" w:rsidRDefault="003C714F" w:rsidP="002B1CE5">
      <w:pPr>
        <w:pStyle w:val="Subtitle"/>
      </w:pPr>
      <w:r>
        <w:t xml:space="preserve">Summary of key </w:t>
      </w:r>
      <w:r w:rsidR="00C0337C">
        <w:t xml:space="preserve">evaluation </w:t>
      </w:r>
      <w:r>
        <w:t>findings</w:t>
      </w:r>
      <w:r w:rsidR="00766DAB">
        <w:t xml:space="preserve"> and departmental response</w:t>
      </w:r>
    </w:p>
    <w:p w14:paraId="3BB31CAE" w14:textId="3C280F86" w:rsidR="00550E21" w:rsidRPr="00F063D5" w:rsidRDefault="00F063D5" w:rsidP="00F063D5">
      <w:pPr>
        <w:pStyle w:val="Heading2"/>
      </w:pPr>
      <w:r>
        <w:t>Overview</w:t>
      </w:r>
    </w:p>
    <w:p w14:paraId="7E3664FA" w14:textId="34B800B4" w:rsidR="002340CA" w:rsidRDefault="002340CA" w:rsidP="00550E21">
      <w:pPr>
        <w:rPr>
          <w:sz w:val="24"/>
          <w:szCs w:val="24"/>
        </w:rPr>
      </w:pPr>
      <w:r w:rsidRPr="00550E21">
        <w:rPr>
          <w:sz w:val="24"/>
          <w:szCs w:val="24"/>
        </w:rPr>
        <w:t xml:space="preserve">The evaluation of the Online Employment Services Trial (OEST) </w:t>
      </w:r>
      <w:r w:rsidR="004B3CC0" w:rsidRPr="00550E21">
        <w:rPr>
          <w:sz w:val="24"/>
          <w:szCs w:val="24"/>
        </w:rPr>
        <w:t>examined job seekers’ views and experiences in relation to the trial</w:t>
      </w:r>
      <w:r w:rsidR="00F063D5">
        <w:rPr>
          <w:sz w:val="24"/>
          <w:szCs w:val="24"/>
        </w:rPr>
        <w:t>,</w:t>
      </w:r>
      <w:r w:rsidR="004B3CC0" w:rsidRPr="00550E21">
        <w:rPr>
          <w:sz w:val="24"/>
          <w:szCs w:val="24"/>
        </w:rPr>
        <w:t xml:space="preserve"> </w:t>
      </w:r>
      <w:r w:rsidR="00F063D5">
        <w:rPr>
          <w:sz w:val="24"/>
          <w:szCs w:val="24"/>
        </w:rPr>
        <w:t>which commenced on</w:t>
      </w:r>
      <w:r w:rsidR="004B3CC0" w:rsidRPr="00550E21">
        <w:rPr>
          <w:sz w:val="24"/>
          <w:szCs w:val="24"/>
        </w:rPr>
        <w:t xml:space="preserve"> 1 July 2018. The evaluation </w:t>
      </w:r>
      <w:r w:rsidRPr="00550E21">
        <w:rPr>
          <w:sz w:val="24"/>
          <w:szCs w:val="24"/>
        </w:rPr>
        <w:t xml:space="preserve">found that online servicing is </w:t>
      </w:r>
      <w:r w:rsidRPr="00550E21">
        <w:rPr>
          <w:b/>
          <w:bCs/>
          <w:sz w:val="24"/>
          <w:szCs w:val="24"/>
        </w:rPr>
        <w:t>efficient</w:t>
      </w:r>
      <w:r w:rsidRPr="00550E21">
        <w:rPr>
          <w:sz w:val="24"/>
          <w:szCs w:val="24"/>
        </w:rPr>
        <w:t xml:space="preserve"> and </w:t>
      </w:r>
      <w:r w:rsidRPr="00550E21">
        <w:rPr>
          <w:b/>
          <w:bCs/>
          <w:sz w:val="24"/>
          <w:szCs w:val="24"/>
        </w:rPr>
        <w:t xml:space="preserve">effective </w:t>
      </w:r>
      <w:r w:rsidRPr="00550E21">
        <w:rPr>
          <w:sz w:val="24"/>
          <w:szCs w:val="24"/>
        </w:rPr>
        <w:t xml:space="preserve">in delivering </w:t>
      </w:r>
      <w:r w:rsidR="00C63671" w:rsidRPr="00550E21">
        <w:rPr>
          <w:b/>
          <w:bCs/>
          <w:sz w:val="24"/>
          <w:szCs w:val="24"/>
        </w:rPr>
        <w:t>quality</w:t>
      </w:r>
      <w:r w:rsidR="00C63671" w:rsidRPr="00550E21">
        <w:rPr>
          <w:sz w:val="24"/>
          <w:szCs w:val="24"/>
        </w:rPr>
        <w:t xml:space="preserve"> </w:t>
      </w:r>
      <w:r w:rsidRPr="00550E21">
        <w:rPr>
          <w:sz w:val="24"/>
          <w:szCs w:val="24"/>
        </w:rPr>
        <w:t xml:space="preserve">employment services to the most job-ready job seekers. </w:t>
      </w:r>
    </w:p>
    <w:p w14:paraId="6187C743" w14:textId="3FCEC8CD" w:rsidR="0072211D" w:rsidRPr="00A33067" w:rsidRDefault="00163082" w:rsidP="00550E21">
      <w:pPr>
        <w:rPr>
          <w:sz w:val="24"/>
          <w:szCs w:val="24"/>
        </w:rPr>
      </w:pPr>
      <w:r w:rsidRPr="00A33067">
        <w:rPr>
          <w:sz w:val="24"/>
          <w:szCs w:val="24"/>
        </w:rPr>
        <w:t>Online services were expanded in response to COVID-19</w:t>
      </w:r>
      <w:r w:rsidR="00D14012" w:rsidRPr="00A33067">
        <w:rPr>
          <w:sz w:val="24"/>
          <w:szCs w:val="24"/>
        </w:rPr>
        <w:t xml:space="preserve"> from April 2020</w:t>
      </w:r>
      <w:r w:rsidRPr="00A33067">
        <w:rPr>
          <w:sz w:val="24"/>
          <w:szCs w:val="24"/>
        </w:rPr>
        <w:t>, with the Online Employment Service (OES) replacing the OEST.</w:t>
      </w:r>
      <w:r w:rsidR="006433DE" w:rsidRPr="00A33067">
        <w:rPr>
          <w:sz w:val="24"/>
          <w:szCs w:val="24"/>
        </w:rPr>
        <w:t xml:space="preserve">  </w:t>
      </w:r>
      <w:r w:rsidR="00F063D5">
        <w:rPr>
          <w:sz w:val="24"/>
          <w:szCs w:val="24"/>
        </w:rPr>
        <w:t xml:space="preserve">There are several differences between the trial and the OES to note when interpreting the </w:t>
      </w:r>
      <w:r w:rsidRPr="00A33067">
        <w:rPr>
          <w:sz w:val="24"/>
          <w:szCs w:val="24"/>
        </w:rPr>
        <w:t xml:space="preserve">OEST evaluation </w:t>
      </w:r>
      <w:r w:rsidR="00F063D5">
        <w:rPr>
          <w:sz w:val="24"/>
          <w:szCs w:val="24"/>
        </w:rPr>
        <w:t xml:space="preserve">findings. The trial was conducted during the </w:t>
      </w:r>
      <w:r w:rsidR="00F45616" w:rsidRPr="00A33067">
        <w:rPr>
          <w:sz w:val="24"/>
          <w:szCs w:val="24"/>
        </w:rPr>
        <w:t>relatively strong labour market</w:t>
      </w:r>
      <w:r w:rsidR="00C00B80" w:rsidRPr="00A33067">
        <w:rPr>
          <w:sz w:val="24"/>
          <w:szCs w:val="24"/>
        </w:rPr>
        <w:t xml:space="preserve"> </w:t>
      </w:r>
      <w:r w:rsidR="00F063D5">
        <w:rPr>
          <w:sz w:val="24"/>
          <w:szCs w:val="24"/>
        </w:rPr>
        <w:t xml:space="preserve">conditions </w:t>
      </w:r>
      <w:r w:rsidR="00E0575F" w:rsidRPr="00A33067">
        <w:rPr>
          <w:sz w:val="24"/>
          <w:szCs w:val="24"/>
        </w:rPr>
        <w:t xml:space="preserve">prior to </w:t>
      </w:r>
      <w:r w:rsidR="00C00B80" w:rsidRPr="00A33067">
        <w:rPr>
          <w:sz w:val="24"/>
          <w:szCs w:val="24"/>
        </w:rPr>
        <w:t>COVID-19</w:t>
      </w:r>
      <w:r w:rsidR="00F063D5">
        <w:rPr>
          <w:sz w:val="24"/>
          <w:szCs w:val="24"/>
        </w:rPr>
        <w:t xml:space="preserve">. Job seekers who took part in the trial were likely to have different characteristics to </w:t>
      </w:r>
      <w:r w:rsidRPr="00A33067">
        <w:rPr>
          <w:sz w:val="24"/>
          <w:szCs w:val="24"/>
        </w:rPr>
        <w:t>job seekers who have entered employment services post-COVID</w:t>
      </w:r>
      <w:r w:rsidR="0072211D" w:rsidRPr="00A33067">
        <w:rPr>
          <w:sz w:val="24"/>
          <w:szCs w:val="24"/>
        </w:rPr>
        <w:t xml:space="preserve">. </w:t>
      </w:r>
      <w:r w:rsidR="00D4437D" w:rsidRPr="00A33067">
        <w:rPr>
          <w:sz w:val="24"/>
          <w:szCs w:val="24"/>
        </w:rPr>
        <w:t>Furthermore, OES offers online servicing for 12 months</w:t>
      </w:r>
      <w:r w:rsidR="00F063D5">
        <w:rPr>
          <w:sz w:val="24"/>
          <w:szCs w:val="24"/>
        </w:rPr>
        <w:t xml:space="preserve"> with e</w:t>
      </w:r>
      <w:r w:rsidR="004F103B">
        <w:rPr>
          <w:sz w:val="24"/>
          <w:szCs w:val="24"/>
        </w:rPr>
        <w:t>nhanc</w:t>
      </w:r>
      <w:r w:rsidR="00F063D5">
        <w:rPr>
          <w:sz w:val="24"/>
          <w:szCs w:val="24"/>
        </w:rPr>
        <w:t>ed functionality</w:t>
      </w:r>
      <w:r w:rsidR="00D4437D" w:rsidRPr="00A33067">
        <w:rPr>
          <w:sz w:val="24"/>
          <w:szCs w:val="24"/>
        </w:rPr>
        <w:t>, while</w:t>
      </w:r>
      <w:r w:rsidRPr="00A33067">
        <w:rPr>
          <w:sz w:val="24"/>
          <w:szCs w:val="24"/>
        </w:rPr>
        <w:t xml:space="preserve"> the OEST was limited to</w:t>
      </w:r>
      <w:r w:rsidR="00D4437D" w:rsidRPr="00A33067">
        <w:rPr>
          <w:sz w:val="24"/>
          <w:szCs w:val="24"/>
        </w:rPr>
        <w:t xml:space="preserve"> a maximum of 6 months</w:t>
      </w:r>
      <w:r w:rsidR="005E7F06">
        <w:rPr>
          <w:sz w:val="24"/>
          <w:szCs w:val="24"/>
        </w:rPr>
        <w:t>,</w:t>
      </w:r>
      <w:r w:rsidR="00F063D5">
        <w:rPr>
          <w:sz w:val="24"/>
          <w:szCs w:val="24"/>
        </w:rPr>
        <w:t xml:space="preserve"> with a more </w:t>
      </w:r>
      <w:r w:rsidR="005E7F06">
        <w:rPr>
          <w:sz w:val="24"/>
          <w:szCs w:val="24"/>
        </w:rPr>
        <w:t>basic</w:t>
      </w:r>
      <w:r w:rsidR="00F063D5">
        <w:rPr>
          <w:sz w:val="24"/>
          <w:szCs w:val="24"/>
        </w:rPr>
        <w:t xml:space="preserve"> service</w:t>
      </w:r>
      <w:r w:rsidR="00D4437D" w:rsidRPr="00A33067">
        <w:rPr>
          <w:sz w:val="24"/>
          <w:szCs w:val="24"/>
        </w:rPr>
        <w:t xml:space="preserve">. </w:t>
      </w:r>
      <w:r w:rsidR="00D14012" w:rsidRPr="00A33067">
        <w:rPr>
          <w:sz w:val="24"/>
          <w:szCs w:val="24"/>
        </w:rPr>
        <w:t>As a result of the differences between the OEST and OES, the department is conducting a separate evaluation of OES.</w:t>
      </w:r>
    </w:p>
    <w:p w14:paraId="1D46F65C" w14:textId="1F96E80E" w:rsidR="002C02BF" w:rsidRPr="00A33067" w:rsidRDefault="00D4437D">
      <w:r w:rsidRPr="00A33067">
        <w:rPr>
          <w:sz w:val="24"/>
          <w:szCs w:val="24"/>
        </w:rPr>
        <w:t>Nonetheless, findings from t</w:t>
      </w:r>
      <w:r w:rsidR="00CB1016" w:rsidRPr="00A33067">
        <w:rPr>
          <w:sz w:val="24"/>
          <w:szCs w:val="24"/>
        </w:rPr>
        <w:t xml:space="preserve">he evaluation </w:t>
      </w:r>
      <w:r w:rsidRPr="00A33067">
        <w:rPr>
          <w:sz w:val="24"/>
          <w:szCs w:val="24"/>
        </w:rPr>
        <w:t xml:space="preserve">of </w:t>
      </w:r>
      <w:r w:rsidR="00A32C39" w:rsidRPr="00A33067">
        <w:rPr>
          <w:sz w:val="24"/>
          <w:szCs w:val="24"/>
        </w:rPr>
        <w:t xml:space="preserve">the </w:t>
      </w:r>
      <w:r w:rsidRPr="00A33067">
        <w:rPr>
          <w:sz w:val="24"/>
          <w:szCs w:val="24"/>
        </w:rPr>
        <w:t xml:space="preserve">OEST </w:t>
      </w:r>
      <w:r w:rsidR="00A32C39" w:rsidRPr="00A33067">
        <w:rPr>
          <w:sz w:val="24"/>
          <w:szCs w:val="24"/>
        </w:rPr>
        <w:t xml:space="preserve">have </w:t>
      </w:r>
      <w:r w:rsidR="00CB1016" w:rsidRPr="00A33067">
        <w:rPr>
          <w:sz w:val="24"/>
          <w:szCs w:val="24"/>
        </w:rPr>
        <w:t>inform</w:t>
      </w:r>
      <w:r w:rsidR="00F063D5">
        <w:rPr>
          <w:sz w:val="24"/>
          <w:szCs w:val="24"/>
        </w:rPr>
        <w:t>ed</w:t>
      </w:r>
      <w:r w:rsidR="00A32C39" w:rsidRPr="00A33067">
        <w:rPr>
          <w:sz w:val="24"/>
          <w:szCs w:val="24"/>
        </w:rPr>
        <w:t xml:space="preserve"> </w:t>
      </w:r>
      <w:r w:rsidR="00F063D5" w:rsidRPr="00A33067">
        <w:rPr>
          <w:sz w:val="24"/>
          <w:szCs w:val="24"/>
        </w:rPr>
        <w:t xml:space="preserve">the rollout of OES </w:t>
      </w:r>
      <w:r w:rsidR="00F063D5">
        <w:rPr>
          <w:sz w:val="24"/>
          <w:szCs w:val="24"/>
        </w:rPr>
        <w:t xml:space="preserve">and </w:t>
      </w:r>
      <w:r w:rsidR="00A32C39" w:rsidRPr="00A33067">
        <w:rPr>
          <w:sz w:val="24"/>
          <w:szCs w:val="24"/>
        </w:rPr>
        <w:t xml:space="preserve">the </w:t>
      </w:r>
      <w:r w:rsidR="00D14012" w:rsidRPr="00A33067">
        <w:rPr>
          <w:sz w:val="24"/>
          <w:szCs w:val="24"/>
        </w:rPr>
        <w:t>Digital</w:t>
      </w:r>
      <w:r w:rsidR="00A32C39" w:rsidRPr="00A33067">
        <w:rPr>
          <w:sz w:val="24"/>
          <w:szCs w:val="24"/>
        </w:rPr>
        <w:t xml:space="preserve"> </w:t>
      </w:r>
      <w:r w:rsidR="00D14012" w:rsidRPr="00A33067">
        <w:rPr>
          <w:sz w:val="24"/>
          <w:szCs w:val="24"/>
        </w:rPr>
        <w:t>S</w:t>
      </w:r>
      <w:r w:rsidR="00A32C39" w:rsidRPr="00A33067">
        <w:rPr>
          <w:sz w:val="24"/>
          <w:szCs w:val="24"/>
        </w:rPr>
        <w:t>ervice</w:t>
      </w:r>
      <w:r w:rsidR="00D14012" w:rsidRPr="00A33067">
        <w:rPr>
          <w:sz w:val="24"/>
          <w:szCs w:val="24"/>
        </w:rPr>
        <w:t>s</w:t>
      </w:r>
      <w:r w:rsidR="00A32C39" w:rsidRPr="00A33067">
        <w:rPr>
          <w:sz w:val="24"/>
          <w:szCs w:val="24"/>
        </w:rPr>
        <w:t xml:space="preserve"> in the New Employment Services Trial</w:t>
      </w:r>
      <w:r w:rsidR="00D14012" w:rsidRPr="00A33067">
        <w:rPr>
          <w:sz w:val="24"/>
          <w:szCs w:val="24"/>
        </w:rPr>
        <w:t xml:space="preserve"> (NEST)</w:t>
      </w:r>
      <w:r w:rsidRPr="00A33067">
        <w:rPr>
          <w:sz w:val="24"/>
          <w:szCs w:val="24"/>
        </w:rPr>
        <w:t xml:space="preserve">. </w:t>
      </w:r>
      <w:proofErr w:type="gramStart"/>
      <w:r w:rsidR="002C02BF" w:rsidRPr="00A33067">
        <w:rPr>
          <w:sz w:val="24"/>
          <w:szCs w:val="24"/>
        </w:rPr>
        <w:t>In particular</w:t>
      </w:r>
      <w:r w:rsidRPr="00A33067">
        <w:rPr>
          <w:sz w:val="24"/>
          <w:szCs w:val="24"/>
        </w:rPr>
        <w:t xml:space="preserve">, </w:t>
      </w:r>
      <w:r w:rsidR="00A32C39" w:rsidRPr="00A33067">
        <w:rPr>
          <w:sz w:val="24"/>
          <w:szCs w:val="24"/>
        </w:rPr>
        <w:t>learnings</w:t>
      </w:r>
      <w:proofErr w:type="gramEnd"/>
      <w:r w:rsidR="00A32C39" w:rsidRPr="00A33067">
        <w:rPr>
          <w:sz w:val="24"/>
          <w:szCs w:val="24"/>
        </w:rPr>
        <w:t xml:space="preserve"> from online servicing to date have informed the evolution of digital </w:t>
      </w:r>
      <w:r w:rsidR="00CB1016" w:rsidRPr="00A33067">
        <w:rPr>
          <w:sz w:val="24"/>
          <w:szCs w:val="24"/>
        </w:rPr>
        <w:t>safeguards and enhancements</w:t>
      </w:r>
      <w:r w:rsidRPr="00A33067">
        <w:rPr>
          <w:sz w:val="24"/>
          <w:szCs w:val="24"/>
        </w:rPr>
        <w:t xml:space="preserve"> </w:t>
      </w:r>
      <w:r w:rsidR="00A32C39" w:rsidRPr="00A33067">
        <w:rPr>
          <w:sz w:val="24"/>
          <w:szCs w:val="24"/>
        </w:rPr>
        <w:t>which include</w:t>
      </w:r>
      <w:r w:rsidR="00CB1016" w:rsidRPr="00A33067">
        <w:rPr>
          <w:sz w:val="24"/>
          <w:szCs w:val="24"/>
        </w:rPr>
        <w:t>:</w:t>
      </w:r>
      <w:r w:rsidRPr="00A33067">
        <w:rPr>
          <w:sz w:val="24"/>
          <w:szCs w:val="24"/>
        </w:rPr>
        <w:t xml:space="preserve"> </w:t>
      </w:r>
    </w:p>
    <w:p w14:paraId="1EA93B4D" w14:textId="5EE5A787" w:rsidR="00CB1016" w:rsidRPr="00A33067" w:rsidRDefault="00CB1016" w:rsidP="00356677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>expansion of the Digital Services Contact Centre to assist job seekers to deal with issues and provide individualised advice</w:t>
      </w:r>
    </w:p>
    <w:p w14:paraId="2B58CD98" w14:textId="4DC09F0E" w:rsidR="00CB1016" w:rsidRPr="00A33067" w:rsidRDefault="00A32C39" w:rsidP="00356677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>review</w:t>
      </w:r>
      <w:r w:rsidR="00CB1016" w:rsidRPr="00A33067">
        <w:rPr>
          <w:sz w:val="24"/>
          <w:szCs w:val="24"/>
        </w:rPr>
        <w:t xml:space="preserve"> points to make sure job seekers are and remain suitable for online servicing</w:t>
      </w:r>
    </w:p>
    <w:p w14:paraId="71BC3546" w14:textId="77777777" w:rsidR="00A32C39" w:rsidRPr="00A33067" w:rsidRDefault="00A32C39" w:rsidP="00356677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>the capacity for job seekers to choose to move out of online servicing to a provider</w:t>
      </w:r>
    </w:p>
    <w:p w14:paraId="133AC93E" w14:textId="1634367F" w:rsidR="00CB1016" w:rsidRPr="00A33067" w:rsidRDefault="00CB1016" w:rsidP="00356677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 xml:space="preserve">functionality to encourage employer engagement in </w:t>
      </w:r>
      <w:r w:rsidR="00115A06" w:rsidRPr="00A33067">
        <w:rPr>
          <w:sz w:val="24"/>
          <w:szCs w:val="24"/>
        </w:rPr>
        <w:t xml:space="preserve">the </w:t>
      </w:r>
      <w:r w:rsidRPr="00A33067">
        <w:rPr>
          <w:sz w:val="24"/>
          <w:szCs w:val="24"/>
        </w:rPr>
        <w:t xml:space="preserve">online </w:t>
      </w:r>
      <w:r w:rsidR="00115A06" w:rsidRPr="00A33067">
        <w:rPr>
          <w:sz w:val="24"/>
          <w:szCs w:val="24"/>
        </w:rPr>
        <w:t>platform</w:t>
      </w:r>
    </w:p>
    <w:p w14:paraId="24C44A34" w14:textId="27E040F1" w:rsidR="00CB1016" w:rsidRPr="00A33067" w:rsidRDefault="00CB1016" w:rsidP="00356677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>support to upskill or reskill through JobTrainer</w:t>
      </w:r>
    </w:p>
    <w:p w14:paraId="612814C5" w14:textId="66C610F1" w:rsidR="00CB1016" w:rsidRPr="00A33067" w:rsidRDefault="00CB1016" w:rsidP="00356677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 xml:space="preserve">skills matching </w:t>
      </w:r>
      <w:r w:rsidR="00115A06" w:rsidRPr="00A33067">
        <w:rPr>
          <w:sz w:val="24"/>
          <w:szCs w:val="24"/>
        </w:rPr>
        <w:t>tools like Job Switch.</w:t>
      </w:r>
    </w:p>
    <w:p w14:paraId="2E53C44D" w14:textId="22FD25F0" w:rsidR="00CA6FC2" w:rsidRPr="00CA6FC2" w:rsidRDefault="001631C7" w:rsidP="00550E21">
      <w:pPr>
        <w:pStyle w:val="Heading2"/>
      </w:pPr>
      <w:r>
        <w:lastRenderedPageBreak/>
        <w:t>Efficiency</w:t>
      </w:r>
    </w:p>
    <w:p w14:paraId="4F40FB9A" w14:textId="65AB982A" w:rsidR="003C714F" w:rsidRPr="003B715B" w:rsidRDefault="00C63671" w:rsidP="003C714F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rFonts w:cstheme="minorHAnsi"/>
          <w:sz w:val="24"/>
          <w:szCs w:val="24"/>
        </w:rPr>
      </w:pPr>
      <w:r w:rsidRPr="00550E21">
        <w:rPr>
          <w:rFonts w:cstheme="minorHAnsi"/>
          <w:sz w:val="24"/>
          <w:szCs w:val="24"/>
        </w:rPr>
        <w:t xml:space="preserve">OEST participants commenced services more quickly than </w:t>
      </w:r>
      <w:r w:rsidR="003845E3">
        <w:rPr>
          <w:rFonts w:cstheme="minorHAnsi"/>
          <w:sz w:val="24"/>
          <w:szCs w:val="24"/>
        </w:rPr>
        <w:t>job seekers who were receiving provider-based services</w:t>
      </w:r>
      <w:r w:rsidRPr="00550E21">
        <w:rPr>
          <w:rFonts w:cstheme="minorHAnsi"/>
          <w:sz w:val="24"/>
          <w:szCs w:val="24"/>
        </w:rPr>
        <w:t xml:space="preserve"> </w:t>
      </w:r>
      <w:r w:rsidR="003845E3">
        <w:rPr>
          <w:rFonts w:cstheme="minorHAnsi"/>
          <w:sz w:val="24"/>
          <w:szCs w:val="24"/>
        </w:rPr>
        <w:t xml:space="preserve">(the </w:t>
      </w:r>
      <w:r w:rsidRPr="00550E21">
        <w:rPr>
          <w:rFonts w:cstheme="minorHAnsi"/>
          <w:sz w:val="24"/>
          <w:szCs w:val="24"/>
        </w:rPr>
        <w:t>comparison group</w:t>
      </w:r>
      <w:r w:rsidR="003845E3">
        <w:rPr>
          <w:rFonts w:cstheme="minorHAnsi"/>
          <w:sz w:val="24"/>
          <w:szCs w:val="24"/>
        </w:rPr>
        <w:t>), a</w:t>
      </w:r>
      <w:r w:rsidRPr="00550E21">
        <w:rPr>
          <w:rFonts w:cstheme="minorHAnsi"/>
          <w:sz w:val="24"/>
          <w:szCs w:val="24"/>
        </w:rPr>
        <w:t>nd only a</w:t>
      </w:r>
      <w:r w:rsidR="003C714F" w:rsidRPr="003B715B">
        <w:rPr>
          <w:rFonts w:cstheme="minorHAnsi"/>
          <w:sz w:val="24"/>
          <w:szCs w:val="24"/>
        </w:rPr>
        <w:t xml:space="preserve"> small number (9.3%) of job seekers opted out of the </w:t>
      </w:r>
      <w:r w:rsidR="00CB061A" w:rsidRPr="003B715B">
        <w:rPr>
          <w:rFonts w:cstheme="minorHAnsi"/>
          <w:sz w:val="24"/>
          <w:szCs w:val="24"/>
        </w:rPr>
        <w:t>OEST</w:t>
      </w:r>
      <w:r w:rsidR="003C714F" w:rsidRPr="003B715B">
        <w:rPr>
          <w:rFonts w:cstheme="minorHAnsi"/>
          <w:sz w:val="24"/>
          <w:szCs w:val="24"/>
        </w:rPr>
        <w:t>, either before or after commencing in the trial. Reasons frequently quoted by job seekers for opting out of the trial include</w:t>
      </w:r>
      <w:r w:rsidR="00CB061A" w:rsidRPr="003B715B">
        <w:rPr>
          <w:rFonts w:cstheme="minorHAnsi"/>
          <w:sz w:val="24"/>
          <w:szCs w:val="24"/>
        </w:rPr>
        <w:t>d</w:t>
      </w:r>
      <w:r w:rsidR="003C714F" w:rsidRPr="003B715B">
        <w:rPr>
          <w:rFonts w:cstheme="minorHAnsi"/>
          <w:sz w:val="24"/>
          <w:szCs w:val="24"/>
        </w:rPr>
        <w:t>:</w:t>
      </w:r>
    </w:p>
    <w:p w14:paraId="0B0123FB" w14:textId="77777777" w:rsidR="003C714F" w:rsidRPr="00766DAB" w:rsidRDefault="003C714F" w:rsidP="003C714F">
      <w:pPr>
        <w:pStyle w:val="ListParagraph"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766DAB">
        <w:rPr>
          <w:sz w:val="24"/>
          <w:szCs w:val="24"/>
        </w:rPr>
        <w:t>a preference for face-to-face servicing</w:t>
      </w:r>
    </w:p>
    <w:p w14:paraId="45CE1047" w14:textId="77777777" w:rsidR="003C714F" w:rsidRPr="00383053" w:rsidRDefault="003C714F" w:rsidP="003C714F">
      <w:pPr>
        <w:pStyle w:val="ListParagraph"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383053">
        <w:rPr>
          <w:sz w:val="24"/>
          <w:szCs w:val="24"/>
        </w:rPr>
        <w:t>online servicing not meeting their needs</w:t>
      </w:r>
    </w:p>
    <w:p w14:paraId="0D534133" w14:textId="77777777" w:rsidR="003C714F" w:rsidRPr="00383053" w:rsidRDefault="003C714F" w:rsidP="003C714F">
      <w:pPr>
        <w:pStyle w:val="ListParagraph"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383053">
        <w:rPr>
          <w:sz w:val="24"/>
          <w:szCs w:val="24"/>
        </w:rPr>
        <w:t>online servicing being too difficult to use</w:t>
      </w:r>
    </w:p>
    <w:p w14:paraId="4DF8E6FE" w14:textId="0FAECDC9" w:rsidR="003C714F" w:rsidRDefault="003C714F" w:rsidP="003C714F">
      <w:pPr>
        <w:pStyle w:val="ListParagraph"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550E21">
        <w:rPr>
          <w:sz w:val="24"/>
          <w:szCs w:val="24"/>
        </w:rPr>
        <w:t>a lack of confidence in using computers or the internet.</w:t>
      </w:r>
    </w:p>
    <w:p w14:paraId="401957B5" w14:textId="0DE9D15D" w:rsidR="00195D85" w:rsidRPr="00195D85" w:rsidRDefault="00195D85" w:rsidP="00195D85">
      <w:p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The department has made enhancements to the functionality to address this feedback.</w:t>
      </w:r>
    </w:p>
    <w:p w14:paraId="1B019EDE" w14:textId="762A5441" w:rsidR="001631C7" w:rsidRPr="00550E21" w:rsidRDefault="001631C7" w:rsidP="001631C7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550E21">
        <w:rPr>
          <w:sz w:val="24"/>
          <w:szCs w:val="24"/>
        </w:rPr>
        <w:t xml:space="preserve">Participants in the OEST were no more likely to incur demerit points </w:t>
      </w:r>
      <w:r w:rsidR="00A84DFC">
        <w:rPr>
          <w:sz w:val="24"/>
          <w:szCs w:val="24"/>
        </w:rPr>
        <w:t xml:space="preserve">under the Targeted Compliance Framework </w:t>
      </w:r>
      <w:r w:rsidRPr="00550E21">
        <w:rPr>
          <w:sz w:val="24"/>
          <w:szCs w:val="24"/>
        </w:rPr>
        <w:t>than job seekers with a provider.</w:t>
      </w:r>
    </w:p>
    <w:p w14:paraId="2838689E" w14:textId="77777777" w:rsidR="001631C7" w:rsidRPr="00550E21" w:rsidRDefault="001631C7" w:rsidP="001631C7">
      <w:pPr>
        <w:pStyle w:val="ListParagraph"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550E21">
        <w:rPr>
          <w:sz w:val="24"/>
          <w:szCs w:val="24"/>
        </w:rPr>
        <w:t xml:space="preserve">For participants who commenced between the start of the trial on 1 July 2018 and June 2019, </w:t>
      </w:r>
      <w:r w:rsidRPr="0072211D">
        <w:rPr>
          <w:sz w:val="24"/>
          <w:szCs w:val="24"/>
        </w:rPr>
        <w:t>71%</w:t>
      </w:r>
      <w:r w:rsidRPr="0072211D">
        <w:rPr>
          <w:b/>
          <w:bCs/>
          <w:sz w:val="24"/>
          <w:szCs w:val="24"/>
        </w:rPr>
        <w:t xml:space="preserve"> did not</w:t>
      </w:r>
      <w:r w:rsidRPr="00550E21">
        <w:rPr>
          <w:sz w:val="24"/>
          <w:szCs w:val="24"/>
        </w:rPr>
        <w:t xml:space="preserve"> incur a job search related demerit within 6 months of service commencement (compared to 69.2% of comparison job seekers commencing with a provider).</w:t>
      </w:r>
    </w:p>
    <w:p w14:paraId="17123132" w14:textId="46CAE8A9" w:rsidR="001631C7" w:rsidRPr="00550E21" w:rsidRDefault="001631C7" w:rsidP="00DE5E3E">
      <w:pPr>
        <w:pStyle w:val="ListParagraph"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550E21">
        <w:rPr>
          <w:sz w:val="24"/>
          <w:szCs w:val="24"/>
        </w:rPr>
        <w:t>For OEST participants who did not report their job search in time, many said they left their reporting to the last minute and missed or forgot the deadline.</w:t>
      </w:r>
    </w:p>
    <w:p w14:paraId="44D5D227" w14:textId="5F1084A3" w:rsidR="00CA6FC2" w:rsidRDefault="00CA6FC2" w:rsidP="00550E21">
      <w:pPr>
        <w:pStyle w:val="Heading2"/>
      </w:pPr>
      <w:r>
        <w:t>Effectiveness</w:t>
      </w:r>
    </w:p>
    <w:p w14:paraId="60C27138" w14:textId="63978D1B" w:rsidR="003C714F" w:rsidRPr="00766DAB" w:rsidRDefault="003C714F" w:rsidP="00550E21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766DAB">
        <w:rPr>
          <w:sz w:val="24"/>
          <w:szCs w:val="24"/>
        </w:rPr>
        <w:t>OEST participants were as likely to exit from income support or employment services as comparable job seekers receiving provider servicing.</w:t>
      </w:r>
      <w:r w:rsidR="001631C7" w:rsidRPr="00766DAB">
        <w:rPr>
          <w:sz w:val="24"/>
          <w:szCs w:val="24"/>
        </w:rPr>
        <w:t xml:space="preserve"> </w:t>
      </w:r>
    </w:p>
    <w:p w14:paraId="1E7E4E1B" w14:textId="0348D86C" w:rsidR="003C714F" w:rsidRPr="00550E21" w:rsidRDefault="003C714F" w:rsidP="00AF452E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3845E3">
        <w:rPr>
          <w:sz w:val="24"/>
          <w:szCs w:val="24"/>
        </w:rPr>
        <w:t xml:space="preserve">47% of trial participants and comparison group job seekers receiving provider servicing exited from employment services within </w:t>
      </w:r>
      <w:r w:rsidR="00104CD9" w:rsidRPr="003845E3">
        <w:rPr>
          <w:sz w:val="24"/>
          <w:szCs w:val="24"/>
        </w:rPr>
        <w:t>six</w:t>
      </w:r>
      <w:r w:rsidRPr="003845E3">
        <w:rPr>
          <w:sz w:val="24"/>
          <w:szCs w:val="24"/>
        </w:rPr>
        <w:t xml:space="preserve"> months of service commencement.</w:t>
      </w:r>
    </w:p>
    <w:p w14:paraId="6E8736B3" w14:textId="1CA34668" w:rsidR="003C714F" w:rsidRPr="00550E21" w:rsidRDefault="003C714F" w:rsidP="00AF452E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550E21">
        <w:rPr>
          <w:sz w:val="24"/>
          <w:szCs w:val="24"/>
        </w:rPr>
        <w:t xml:space="preserve">50% of trial participants exited from income support within </w:t>
      </w:r>
      <w:r w:rsidR="001631C7" w:rsidRPr="00550E21">
        <w:rPr>
          <w:sz w:val="24"/>
          <w:szCs w:val="24"/>
        </w:rPr>
        <w:t>six</w:t>
      </w:r>
      <w:r w:rsidRPr="00550E21">
        <w:rPr>
          <w:sz w:val="24"/>
          <w:szCs w:val="24"/>
        </w:rPr>
        <w:t xml:space="preserve"> months of service commencement, compared to 52% of comparison group job seekers receiving provider servicing.</w:t>
      </w:r>
    </w:p>
    <w:p w14:paraId="544A6983" w14:textId="3ED0CCD7" w:rsidR="003C714F" w:rsidRPr="00550E21" w:rsidRDefault="001631C7" w:rsidP="00AF452E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550E21">
        <w:rPr>
          <w:sz w:val="24"/>
          <w:szCs w:val="24"/>
        </w:rPr>
        <w:t xml:space="preserve">91% of trial participants </w:t>
      </w:r>
      <w:r w:rsidR="00E216FE" w:rsidRPr="00550E21">
        <w:rPr>
          <w:sz w:val="24"/>
          <w:szCs w:val="24"/>
        </w:rPr>
        <w:t>did not return to income support within six months following their exit date, compared to 89% of job seekers receiving provider servicing.</w:t>
      </w:r>
    </w:p>
    <w:p w14:paraId="172AA1D5" w14:textId="4C54B54B" w:rsidR="00E216FE" w:rsidRPr="00550E21" w:rsidRDefault="00E216FE" w:rsidP="00550E21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550E21">
        <w:rPr>
          <w:sz w:val="24"/>
          <w:szCs w:val="24"/>
        </w:rPr>
        <w:t xml:space="preserve">OEST participants indicated higher levels of confidence than did those in the comparison group that the assistance they received would help them secure employment. </w:t>
      </w:r>
    </w:p>
    <w:p w14:paraId="68BBCEF1" w14:textId="090A073F" w:rsidR="00E216FE" w:rsidRPr="00550E21" w:rsidRDefault="00E216FE" w:rsidP="00550E21">
      <w:pPr>
        <w:pStyle w:val="ListParagraph"/>
        <w:keepNext/>
        <w:keepLines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550E21">
        <w:rPr>
          <w:sz w:val="24"/>
          <w:szCs w:val="24"/>
        </w:rPr>
        <w:t>70% of trial participants agreed that their skills in using the internet for job searches and applications had increased.</w:t>
      </w:r>
    </w:p>
    <w:p w14:paraId="2E0A7C66" w14:textId="77777777" w:rsidR="00550E21" w:rsidRDefault="00E216FE" w:rsidP="00550E21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550E21">
        <w:rPr>
          <w:sz w:val="24"/>
          <w:szCs w:val="24"/>
        </w:rPr>
        <w:t>Trial participants were more likely to report that the employment services they have received improved their chances of getting a job than the comparison group (63% versus 46%).</w:t>
      </w:r>
    </w:p>
    <w:p w14:paraId="5A959461" w14:textId="77777777" w:rsidR="00A75518" w:rsidRDefault="00A75518" w:rsidP="00A75518">
      <w:pPr>
        <w:pStyle w:val="Heading2"/>
      </w:pPr>
      <w:r>
        <w:lastRenderedPageBreak/>
        <w:t>Quality services</w:t>
      </w:r>
    </w:p>
    <w:p w14:paraId="376A40C7" w14:textId="77777777" w:rsidR="00A75518" w:rsidRPr="003845E3" w:rsidRDefault="00A75518" w:rsidP="00A75518">
      <w:pPr>
        <w:pStyle w:val="ListParagraph"/>
        <w:keepNext/>
        <w:keepLines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sz w:val="24"/>
          <w:szCs w:val="24"/>
        </w:rPr>
      </w:pPr>
      <w:r w:rsidRPr="00766DAB">
        <w:rPr>
          <w:sz w:val="24"/>
          <w:szCs w:val="24"/>
        </w:rPr>
        <w:t>Feedback from focus groups and interviews indicates that job seekers who participated in the OEST</w:t>
      </w:r>
      <w:r w:rsidRPr="003845E3">
        <w:rPr>
          <w:sz w:val="24"/>
          <w:szCs w:val="24"/>
        </w:rPr>
        <w:t xml:space="preserve"> had generally positive views and experiences.  </w:t>
      </w:r>
    </w:p>
    <w:p w14:paraId="0243EF95" w14:textId="5C54B4E4" w:rsidR="00A75518" w:rsidRDefault="00A75518" w:rsidP="00A75518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D70FE3">
        <w:rPr>
          <w:sz w:val="24"/>
          <w:szCs w:val="24"/>
        </w:rPr>
        <w:t xml:space="preserve">Most OEST participants were satisfied with the information provided to them about online employment servicing; reporting that it was clear, </w:t>
      </w:r>
      <w:r w:rsidR="00A32C39">
        <w:rPr>
          <w:sz w:val="24"/>
          <w:szCs w:val="24"/>
        </w:rPr>
        <w:br/>
      </w:r>
      <w:r w:rsidRPr="00D70FE3">
        <w:rPr>
          <w:sz w:val="24"/>
          <w:szCs w:val="24"/>
        </w:rPr>
        <w:t xml:space="preserve">self-explanatory and sufficient to understand what was required of them. </w:t>
      </w:r>
    </w:p>
    <w:p w14:paraId="034AE014" w14:textId="64C38CBD" w:rsidR="00A75518" w:rsidRPr="00A33067" w:rsidRDefault="006F177E" w:rsidP="00A75518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>The majority of OEST participants were satisfied with the services they received (64%)</w:t>
      </w:r>
      <w:r>
        <w:rPr>
          <w:sz w:val="24"/>
          <w:szCs w:val="24"/>
        </w:rPr>
        <w:t>. A high proportion</w:t>
      </w:r>
      <w:r w:rsidRPr="00A33067">
        <w:rPr>
          <w:sz w:val="24"/>
          <w:szCs w:val="24"/>
        </w:rPr>
        <w:t xml:space="preserve"> </w:t>
      </w:r>
      <w:r w:rsidR="00A75518" w:rsidRPr="00A33067">
        <w:rPr>
          <w:sz w:val="24"/>
          <w:szCs w:val="24"/>
        </w:rPr>
        <w:t>of participants were satisfied with the jobactive website (80%) and found the website functionality easy to use (83%).</w:t>
      </w:r>
      <w:r w:rsidR="0072211D" w:rsidRPr="00A33067">
        <w:rPr>
          <w:sz w:val="24"/>
          <w:szCs w:val="24"/>
        </w:rPr>
        <w:t xml:space="preserve"> The jobactive website is the department’s platform for providing online employment services</w:t>
      </w:r>
      <w:r w:rsidR="00FF2C62" w:rsidRPr="00A33067">
        <w:rPr>
          <w:sz w:val="24"/>
          <w:szCs w:val="24"/>
        </w:rPr>
        <w:t xml:space="preserve"> to OEST participants</w:t>
      </w:r>
      <w:r w:rsidR="0072211D" w:rsidRPr="00A33067">
        <w:rPr>
          <w:sz w:val="24"/>
          <w:szCs w:val="24"/>
        </w:rPr>
        <w:t xml:space="preserve">. </w:t>
      </w:r>
    </w:p>
    <w:p w14:paraId="41B7E897" w14:textId="77777777" w:rsidR="00A75518" w:rsidRPr="00A33067" w:rsidRDefault="00A75518" w:rsidP="00A75518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>Many OEST participants indicated online servicing was more convenient, resulting in a greater sense of empowerment and reduced costs associated with travelling to a provider site.</w:t>
      </w:r>
    </w:p>
    <w:p w14:paraId="4762C1B8" w14:textId="77777777" w:rsidR="00A75518" w:rsidRPr="00A33067" w:rsidRDefault="00A75518" w:rsidP="00A75518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>Online employment servicing was the preferred way to receive employment services by OEST participants (72%). Most participants (66%) agreed online services should be the default option for employment services.</w:t>
      </w:r>
    </w:p>
    <w:p w14:paraId="32AE9A05" w14:textId="77777777" w:rsidR="00A75518" w:rsidRPr="00A33067" w:rsidRDefault="00A75518" w:rsidP="00A75518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rFonts w:cstheme="minorHAnsi"/>
          <w:sz w:val="24"/>
          <w:szCs w:val="24"/>
        </w:rPr>
      </w:pPr>
      <w:r w:rsidRPr="00A33067">
        <w:rPr>
          <w:rFonts w:cstheme="minorHAnsi"/>
          <w:sz w:val="24"/>
          <w:szCs w:val="24"/>
        </w:rPr>
        <w:t xml:space="preserve">Some job seekers with limited digital literacy and/or low English proficiency indicated they had difficulties using online servicing. </w:t>
      </w:r>
    </w:p>
    <w:p w14:paraId="6F57740D" w14:textId="7B511B01" w:rsidR="00A75518" w:rsidRPr="00A33067" w:rsidRDefault="00A75518" w:rsidP="00A75518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 w:rsidRPr="00A33067">
        <w:rPr>
          <w:sz w:val="24"/>
          <w:szCs w:val="24"/>
        </w:rPr>
        <w:t>These job seekers could opt</w:t>
      </w:r>
      <w:r w:rsidR="00F063D5">
        <w:rPr>
          <w:sz w:val="24"/>
          <w:szCs w:val="24"/>
        </w:rPr>
        <w:t xml:space="preserve"> </w:t>
      </w:r>
      <w:r w:rsidRPr="00A33067">
        <w:rPr>
          <w:sz w:val="24"/>
          <w:szCs w:val="24"/>
        </w:rPr>
        <w:t>out of the trial and transfer to an employment service provider by contacting the National Customer Service Line</w:t>
      </w:r>
      <w:r w:rsidR="00102A12" w:rsidRPr="00A33067">
        <w:rPr>
          <w:sz w:val="24"/>
          <w:szCs w:val="24"/>
        </w:rPr>
        <w:t xml:space="preserve"> (NCSL)</w:t>
      </w:r>
      <w:r w:rsidRPr="00A33067">
        <w:rPr>
          <w:sz w:val="24"/>
          <w:szCs w:val="24"/>
        </w:rPr>
        <w:t>.</w:t>
      </w:r>
      <w:r w:rsidR="00102A12" w:rsidRPr="00A33067">
        <w:rPr>
          <w:sz w:val="24"/>
          <w:szCs w:val="24"/>
        </w:rPr>
        <w:t xml:space="preserve"> </w:t>
      </w:r>
      <w:bookmarkStart w:id="0" w:name="_Hlk66955983"/>
      <w:r w:rsidR="00102A12" w:rsidRPr="00A33067">
        <w:rPr>
          <w:sz w:val="24"/>
          <w:szCs w:val="24"/>
        </w:rPr>
        <w:t xml:space="preserve">Under OES job seekers can opt out online servicing to a provider without the need to contact the NCSL. </w:t>
      </w:r>
      <w:bookmarkEnd w:id="0"/>
    </w:p>
    <w:p w14:paraId="090C0672" w14:textId="1F42E7D4" w:rsidR="00A75518" w:rsidRPr="00D70FE3" w:rsidRDefault="002A3968" w:rsidP="00A75518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As mentioned earlier, a</w:t>
      </w:r>
      <w:r w:rsidR="00A75518" w:rsidRPr="00D70FE3">
        <w:rPr>
          <w:sz w:val="24"/>
          <w:szCs w:val="24"/>
        </w:rPr>
        <w:t xml:space="preserve">dditional safeguard measures have been introduced into OES. </w:t>
      </w:r>
      <w:r w:rsidR="003D0C9E">
        <w:rPr>
          <w:sz w:val="24"/>
          <w:szCs w:val="24"/>
        </w:rPr>
        <w:t>A</w:t>
      </w:r>
      <w:r w:rsidR="003D0C9E" w:rsidRPr="00D70FE3">
        <w:rPr>
          <w:sz w:val="24"/>
          <w:szCs w:val="24"/>
        </w:rPr>
        <w:t xml:space="preserve"> </w:t>
      </w:r>
      <w:r w:rsidR="00A75518" w:rsidRPr="00D70FE3">
        <w:rPr>
          <w:sz w:val="24"/>
          <w:szCs w:val="24"/>
        </w:rPr>
        <w:t>Digital Assessment help</w:t>
      </w:r>
      <w:r w:rsidR="003D0C9E">
        <w:rPr>
          <w:sz w:val="24"/>
          <w:szCs w:val="24"/>
        </w:rPr>
        <w:t>s</w:t>
      </w:r>
      <w:r w:rsidR="00A75518" w:rsidRPr="00D70FE3">
        <w:rPr>
          <w:sz w:val="24"/>
          <w:szCs w:val="24"/>
        </w:rPr>
        <w:t xml:space="preserve"> identify job seekers who may not have the ability to participate online and prompt them to </w:t>
      </w:r>
      <w:r w:rsidR="003D0C9E">
        <w:rPr>
          <w:sz w:val="24"/>
          <w:szCs w:val="24"/>
        </w:rPr>
        <w:t>move to provider</w:t>
      </w:r>
      <w:r w:rsidR="00A75518" w:rsidRPr="00D70FE3">
        <w:rPr>
          <w:sz w:val="24"/>
          <w:szCs w:val="24"/>
        </w:rPr>
        <w:t xml:space="preserve"> servicing. A new Digital Service Review every four months help</w:t>
      </w:r>
      <w:r w:rsidR="003D0C9E">
        <w:rPr>
          <w:sz w:val="24"/>
          <w:szCs w:val="24"/>
        </w:rPr>
        <w:t>s</w:t>
      </w:r>
      <w:r w:rsidR="00A75518" w:rsidRPr="00D70FE3">
        <w:rPr>
          <w:sz w:val="24"/>
          <w:szCs w:val="24"/>
        </w:rPr>
        <w:t xml:space="preserve"> to ensure job seekers are successfully managing their online job search requirements. Those job seekers identified as potentially at risk </w:t>
      </w:r>
      <w:r w:rsidR="003D0C9E">
        <w:rPr>
          <w:sz w:val="24"/>
          <w:szCs w:val="24"/>
        </w:rPr>
        <w:t>are encouraged</w:t>
      </w:r>
      <w:r w:rsidR="00A75518" w:rsidRPr="00D70FE3">
        <w:rPr>
          <w:sz w:val="24"/>
          <w:szCs w:val="24"/>
        </w:rPr>
        <w:t xml:space="preserve"> to </w:t>
      </w:r>
      <w:r w:rsidR="003D0C9E">
        <w:rPr>
          <w:sz w:val="24"/>
          <w:szCs w:val="24"/>
        </w:rPr>
        <w:t>transfer to a provider</w:t>
      </w:r>
      <w:r w:rsidR="00A75518" w:rsidRPr="00D70FE3">
        <w:rPr>
          <w:sz w:val="24"/>
          <w:szCs w:val="24"/>
        </w:rPr>
        <w:t>.</w:t>
      </w:r>
    </w:p>
    <w:p w14:paraId="1A2E192B" w14:textId="491E53B5" w:rsidR="003C714F" w:rsidRPr="00E11B6D" w:rsidRDefault="003C714F" w:rsidP="003C714F">
      <w:pPr>
        <w:pStyle w:val="Heading2"/>
      </w:pPr>
      <w:r w:rsidRPr="00E11B6D">
        <w:t xml:space="preserve">Duration of </w:t>
      </w:r>
      <w:r w:rsidR="00CB061A">
        <w:t xml:space="preserve">the </w:t>
      </w:r>
      <w:r w:rsidRPr="00E11B6D">
        <w:t>OEST and transition</w:t>
      </w:r>
      <w:r w:rsidR="00CB061A">
        <w:t>ing to provider services</w:t>
      </w:r>
    </w:p>
    <w:p w14:paraId="75884D5A" w14:textId="5C4D150D" w:rsidR="003C714F" w:rsidRPr="00E11B6D" w:rsidRDefault="003C714F" w:rsidP="003C714F">
      <w:pPr>
        <w:pStyle w:val="ListParagraph"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rFonts w:cstheme="minorHAnsi"/>
          <w:sz w:val="24"/>
          <w:szCs w:val="24"/>
        </w:rPr>
      </w:pPr>
      <w:r w:rsidRPr="00E11B6D">
        <w:rPr>
          <w:rFonts w:cstheme="minorHAnsi"/>
          <w:sz w:val="24"/>
          <w:szCs w:val="24"/>
        </w:rPr>
        <w:t xml:space="preserve">Many </w:t>
      </w:r>
      <w:r w:rsidR="00CB061A">
        <w:rPr>
          <w:rFonts w:cstheme="minorHAnsi"/>
          <w:sz w:val="24"/>
          <w:szCs w:val="24"/>
        </w:rPr>
        <w:t>OEST participants</w:t>
      </w:r>
      <w:r w:rsidRPr="00E11B6D">
        <w:rPr>
          <w:rFonts w:cstheme="minorHAnsi"/>
          <w:sz w:val="24"/>
          <w:szCs w:val="24"/>
        </w:rPr>
        <w:t xml:space="preserve"> and some </w:t>
      </w:r>
      <w:r>
        <w:rPr>
          <w:rFonts w:cstheme="minorHAnsi"/>
          <w:sz w:val="24"/>
          <w:szCs w:val="24"/>
        </w:rPr>
        <w:t>jobactive</w:t>
      </w:r>
      <w:r w:rsidRPr="00E11B6D">
        <w:rPr>
          <w:rFonts w:cstheme="minorHAnsi"/>
          <w:sz w:val="24"/>
          <w:szCs w:val="24"/>
        </w:rPr>
        <w:t xml:space="preserve"> providers felt the current length of the </w:t>
      </w:r>
      <w:r>
        <w:rPr>
          <w:rFonts w:cstheme="minorHAnsi"/>
          <w:sz w:val="24"/>
          <w:szCs w:val="24"/>
        </w:rPr>
        <w:t>t</w:t>
      </w:r>
      <w:r w:rsidRPr="00E11B6D">
        <w:rPr>
          <w:rFonts w:cstheme="minorHAnsi"/>
          <w:sz w:val="24"/>
          <w:szCs w:val="24"/>
        </w:rPr>
        <w:t xml:space="preserve">rial (i.e. </w:t>
      </w:r>
      <w:r w:rsidR="002340CA">
        <w:rPr>
          <w:rFonts w:cstheme="minorHAnsi"/>
          <w:sz w:val="24"/>
          <w:szCs w:val="24"/>
        </w:rPr>
        <w:t>six</w:t>
      </w:r>
      <w:r w:rsidRPr="00E11B6D">
        <w:rPr>
          <w:rFonts w:cstheme="minorHAnsi"/>
          <w:sz w:val="24"/>
          <w:szCs w:val="24"/>
        </w:rPr>
        <w:t xml:space="preserve"> months) was appropriate. Some trial participants could benefit more from provider assistance if they </w:t>
      </w:r>
      <w:r>
        <w:rPr>
          <w:rFonts w:cstheme="minorHAnsi"/>
          <w:sz w:val="24"/>
          <w:szCs w:val="24"/>
        </w:rPr>
        <w:t>had</w:t>
      </w:r>
      <w:r w:rsidRPr="00E11B6D">
        <w:rPr>
          <w:rFonts w:cstheme="minorHAnsi"/>
          <w:sz w:val="24"/>
          <w:szCs w:val="24"/>
        </w:rPr>
        <w:t xml:space="preserve"> been in online services for a long period but </w:t>
      </w:r>
      <w:r>
        <w:rPr>
          <w:rFonts w:cstheme="minorHAnsi"/>
          <w:sz w:val="24"/>
          <w:szCs w:val="24"/>
        </w:rPr>
        <w:t>had</w:t>
      </w:r>
      <w:r w:rsidRPr="00E11B6D">
        <w:rPr>
          <w:rFonts w:cstheme="minorHAnsi"/>
          <w:sz w:val="24"/>
          <w:szCs w:val="24"/>
        </w:rPr>
        <w:t xml:space="preserve"> not found a job. </w:t>
      </w:r>
    </w:p>
    <w:p w14:paraId="090C6185" w14:textId="77777777" w:rsidR="003C714F" w:rsidRDefault="003C714F" w:rsidP="003C714F">
      <w:pPr>
        <w:pStyle w:val="ListParagraph"/>
        <w:numPr>
          <w:ilvl w:val="1"/>
          <w:numId w:val="14"/>
        </w:numPr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E11B6D">
        <w:rPr>
          <w:rFonts w:cstheme="minorHAnsi"/>
          <w:sz w:val="24"/>
          <w:szCs w:val="24"/>
        </w:rPr>
        <w:t>Some trial participants reported becoming frustrated, losing motivation and/or confidence the longer they were on the trial without being able to find employment.</w:t>
      </w:r>
    </w:p>
    <w:p w14:paraId="3B05ED7B" w14:textId="77777777" w:rsidR="003C714F" w:rsidRPr="00E11B6D" w:rsidRDefault="003C714F" w:rsidP="003C714F">
      <w:pPr>
        <w:pStyle w:val="ListParagraph"/>
        <w:numPr>
          <w:ilvl w:val="1"/>
          <w:numId w:val="14"/>
        </w:numPr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Job seekers with jobactive providers could also become frustrated after being in services for a long period without finding a job.</w:t>
      </w:r>
    </w:p>
    <w:p w14:paraId="6D744A11" w14:textId="43C86756" w:rsidR="003C714F" w:rsidRDefault="003C714F" w:rsidP="00931186">
      <w:pPr>
        <w:pStyle w:val="ListParagraph"/>
        <w:keepNext/>
        <w:keepLines/>
        <w:numPr>
          <w:ilvl w:val="0"/>
          <w:numId w:val="14"/>
        </w:numPr>
        <w:spacing w:after="120" w:line="240" w:lineRule="auto"/>
        <w:ind w:left="567" w:hanging="567"/>
        <w:contextualSpacing w:val="0"/>
        <w:rPr>
          <w:rFonts w:cstheme="minorHAnsi"/>
          <w:sz w:val="24"/>
          <w:szCs w:val="24"/>
        </w:rPr>
      </w:pPr>
      <w:proofErr w:type="gramStart"/>
      <w:r w:rsidRPr="00E11B6D">
        <w:rPr>
          <w:rFonts w:cstheme="minorHAnsi"/>
          <w:sz w:val="24"/>
          <w:szCs w:val="24"/>
        </w:rPr>
        <w:lastRenderedPageBreak/>
        <w:t>The majority of</w:t>
      </w:r>
      <w:proofErr w:type="gramEnd"/>
      <w:r w:rsidRPr="00E11B6D">
        <w:rPr>
          <w:rFonts w:cstheme="minorHAnsi"/>
          <w:sz w:val="24"/>
          <w:szCs w:val="24"/>
        </w:rPr>
        <w:t xml:space="preserve"> participants who were transferred out of the OEST after </w:t>
      </w:r>
      <w:r>
        <w:rPr>
          <w:rFonts w:cstheme="minorHAnsi"/>
          <w:sz w:val="24"/>
          <w:szCs w:val="24"/>
        </w:rPr>
        <w:t>6</w:t>
      </w:r>
      <w:r w:rsidRPr="00E11B6D">
        <w:rPr>
          <w:rFonts w:cstheme="minorHAnsi"/>
          <w:sz w:val="24"/>
          <w:szCs w:val="24"/>
        </w:rPr>
        <w:t xml:space="preserve"> months felt supported, informed and able to adapt. However, at the early stage of the trial some </w:t>
      </w:r>
      <w:r w:rsidR="0075239C">
        <w:rPr>
          <w:rFonts w:cstheme="minorHAnsi"/>
          <w:sz w:val="24"/>
          <w:szCs w:val="24"/>
        </w:rPr>
        <w:t>participants</w:t>
      </w:r>
      <w:r w:rsidRPr="00E11B6D">
        <w:rPr>
          <w:rFonts w:cstheme="minorHAnsi"/>
          <w:sz w:val="24"/>
          <w:szCs w:val="24"/>
        </w:rPr>
        <w:t xml:space="preserve"> and providers felt communication about the transition could have been managed better.</w:t>
      </w:r>
    </w:p>
    <w:p w14:paraId="214A6BD5" w14:textId="001F401A" w:rsidR="003C714F" w:rsidRDefault="003C714F" w:rsidP="00931186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E11B6D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d</w:t>
      </w:r>
      <w:r w:rsidRPr="00E11B6D">
        <w:rPr>
          <w:rFonts w:cstheme="minorHAnsi"/>
          <w:sz w:val="24"/>
          <w:szCs w:val="24"/>
        </w:rPr>
        <w:t xml:space="preserve">epartment is looking at ways to best address the concerns raised by </w:t>
      </w:r>
      <w:r w:rsidR="0075239C">
        <w:rPr>
          <w:rFonts w:cstheme="minorHAnsi"/>
          <w:sz w:val="24"/>
          <w:szCs w:val="24"/>
        </w:rPr>
        <w:t>participants</w:t>
      </w:r>
      <w:r w:rsidRPr="00E11B6D">
        <w:rPr>
          <w:rFonts w:cstheme="minorHAnsi"/>
          <w:sz w:val="24"/>
          <w:szCs w:val="24"/>
        </w:rPr>
        <w:t xml:space="preserve"> and providers about the transition from online to provider servic</w:t>
      </w:r>
      <w:r>
        <w:rPr>
          <w:rFonts w:cstheme="minorHAnsi"/>
          <w:sz w:val="24"/>
          <w:szCs w:val="24"/>
        </w:rPr>
        <w:t>ing</w:t>
      </w:r>
      <w:r w:rsidRPr="00E11B6D">
        <w:rPr>
          <w:rFonts w:cstheme="minorHAnsi"/>
          <w:sz w:val="24"/>
          <w:szCs w:val="24"/>
        </w:rPr>
        <w:t xml:space="preserve">. This could include system changes to ensure that providers are aware that </w:t>
      </w:r>
      <w:r w:rsidR="0075239C">
        <w:rPr>
          <w:rFonts w:cstheme="minorHAnsi"/>
          <w:sz w:val="24"/>
          <w:szCs w:val="24"/>
        </w:rPr>
        <w:t>a</w:t>
      </w:r>
      <w:r w:rsidRPr="00E11B6D">
        <w:rPr>
          <w:rFonts w:cstheme="minorHAnsi"/>
          <w:sz w:val="24"/>
          <w:szCs w:val="24"/>
        </w:rPr>
        <w:t xml:space="preserve"> job seeker has transferred from online services and </w:t>
      </w:r>
      <w:r w:rsidR="0075239C">
        <w:rPr>
          <w:rFonts w:cstheme="minorHAnsi"/>
          <w:sz w:val="24"/>
          <w:szCs w:val="24"/>
        </w:rPr>
        <w:t xml:space="preserve">receive </w:t>
      </w:r>
      <w:r w:rsidRPr="00E11B6D">
        <w:rPr>
          <w:rFonts w:cstheme="minorHAnsi"/>
          <w:sz w:val="24"/>
          <w:szCs w:val="24"/>
        </w:rPr>
        <w:t xml:space="preserve">additional advice through existing communication channels. </w:t>
      </w:r>
    </w:p>
    <w:p w14:paraId="49EAC55E" w14:textId="7AE4EB4E" w:rsidR="00D76010" w:rsidRPr="00A33067" w:rsidRDefault="00D76010" w:rsidP="00931186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Exits from income support and </w:t>
      </w:r>
      <w:r w:rsidRPr="00A33067">
        <w:rPr>
          <w:rFonts w:cstheme="minorHAnsi"/>
          <w:sz w:val="24"/>
          <w:szCs w:val="24"/>
        </w:rPr>
        <w:t xml:space="preserve">employment services after the transition from Online Employment Services will continue to be monitored. </w:t>
      </w:r>
    </w:p>
    <w:p w14:paraId="3F179562" w14:textId="61541A77" w:rsidR="003C714F" w:rsidRPr="00A33067" w:rsidRDefault="003C714F" w:rsidP="00931186">
      <w:pPr>
        <w:pStyle w:val="ListParagraph"/>
        <w:keepNext/>
        <w:keepLines/>
        <w:numPr>
          <w:ilvl w:val="1"/>
          <w:numId w:val="14"/>
        </w:numPr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A33067">
        <w:rPr>
          <w:rFonts w:cstheme="minorHAnsi"/>
          <w:sz w:val="24"/>
          <w:szCs w:val="24"/>
        </w:rPr>
        <w:t xml:space="preserve">The department is also monitoring the transition processes </w:t>
      </w:r>
      <w:r w:rsidR="002A3968" w:rsidRPr="00A33067">
        <w:rPr>
          <w:rFonts w:cstheme="minorHAnsi"/>
          <w:sz w:val="24"/>
          <w:szCs w:val="24"/>
        </w:rPr>
        <w:t xml:space="preserve">of job seekers moving from Digital Services to Enhanced Services </w:t>
      </w:r>
      <w:r w:rsidRPr="00A33067">
        <w:rPr>
          <w:rFonts w:cstheme="minorHAnsi"/>
          <w:sz w:val="24"/>
          <w:szCs w:val="24"/>
        </w:rPr>
        <w:t>in the NEST to ensure that job seekers are not disadvantaged through this process.</w:t>
      </w:r>
    </w:p>
    <w:sectPr w:rsidR="003C714F" w:rsidRPr="00A33067" w:rsidSect="008507C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425D6" w14:textId="77777777" w:rsidR="001107E6" w:rsidRDefault="001107E6" w:rsidP="0051352E">
      <w:pPr>
        <w:spacing w:after="0" w:line="240" w:lineRule="auto"/>
      </w:pPr>
      <w:r>
        <w:separator/>
      </w:r>
    </w:p>
  </w:endnote>
  <w:endnote w:type="continuationSeparator" w:id="0">
    <w:p w14:paraId="31418E96" w14:textId="77777777" w:rsidR="001107E6" w:rsidRDefault="001107E6" w:rsidP="0051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2E801" w14:textId="77777777" w:rsidR="001107E6" w:rsidRDefault="001107E6" w:rsidP="0051352E">
      <w:pPr>
        <w:spacing w:after="0" w:line="240" w:lineRule="auto"/>
      </w:pPr>
      <w:r>
        <w:separator/>
      </w:r>
    </w:p>
  </w:footnote>
  <w:footnote w:type="continuationSeparator" w:id="0">
    <w:p w14:paraId="439F03C9" w14:textId="77777777" w:rsidR="001107E6" w:rsidRDefault="001107E6" w:rsidP="00513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805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224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DCA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3066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BC30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8A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8F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23B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F5838"/>
    <w:multiLevelType w:val="hybridMultilevel"/>
    <w:tmpl w:val="969099FC"/>
    <w:lvl w:ilvl="0" w:tplc="BE66F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E66AA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AC4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8F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4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7AA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09F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83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743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710781"/>
    <w:multiLevelType w:val="hybridMultilevel"/>
    <w:tmpl w:val="DD828018"/>
    <w:lvl w:ilvl="0" w:tplc="04BA9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654E96"/>
    <w:multiLevelType w:val="hybridMultilevel"/>
    <w:tmpl w:val="0824A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4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14F"/>
    <w:rsid w:val="00052BBC"/>
    <w:rsid w:val="00071FD6"/>
    <w:rsid w:val="000A453D"/>
    <w:rsid w:val="00102A12"/>
    <w:rsid w:val="00104CD9"/>
    <w:rsid w:val="001107E6"/>
    <w:rsid w:val="00115A06"/>
    <w:rsid w:val="0011651D"/>
    <w:rsid w:val="00157F35"/>
    <w:rsid w:val="00163082"/>
    <w:rsid w:val="001631C7"/>
    <w:rsid w:val="00195D85"/>
    <w:rsid w:val="00217EAB"/>
    <w:rsid w:val="0022498C"/>
    <w:rsid w:val="002275FA"/>
    <w:rsid w:val="002340CA"/>
    <w:rsid w:val="002724D0"/>
    <w:rsid w:val="002859DF"/>
    <w:rsid w:val="002A3968"/>
    <w:rsid w:val="002A7840"/>
    <w:rsid w:val="002B1CE5"/>
    <w:rsid w:val="002C02BF"/>
    <w:rsid w:val="002F4DB3"/>
    <w:rsid w:val="00350FFA"/>
    <w:rsid w:val="00356677"/>
    <w:rsid w:val="00382F07"/>
    <w:rsid w:val="00383053"/>
    <w:rsid w:val="003845E3"/>
    <w:rsid w:val="003B715B"/>
    <w:rsid w:val="003B77A7"/>
    <w:rsid w:val="003C714F"/>
    <w:rsid w:val="003D0C9E"/>
    <w:rsid w:val="00414677"/>
    <w:rsid w:val="00453C04"/>
    <w:rsid w:val="00497764"/>
    <w:rsid w:val="004B3CC0"/>
    <w:rsid w:val="004F103B"/>
    <w:rsid w:val="0051352E"/>
    <w:rsid w:val="00517DA7"/>
    <w:rsid w:val="00520A33"/>
    <w:rsid w:val="00527AE4"/>
    <w:rsid w:val="00550E21"/>
    <w:rsid w:val="0055569D"/>
    <w:rsid w:val="005D7CE7"/>
    <w:rsid w:val="005E7F06"/>
    <w:rsid w:val="00610A38"/>
    <w:rsid w:val="00630DDF"/>
    <w:rsid w:val="006433DE"/>
    <w:rsid w:val="006658CC"/>
    <w:rsid w:val="0069629F"/>
    <w:rsid w:val="006E5D6E"/>
    <w:rsid w:val="006F177E"/>
    <w:rsid w:val="00721B03"/>
    <w:rsid w:val="0072211D"/>
    <w:rsid w:val="0075239C"/>
    <w:rsid w:val="007570DC"/>
    <w:rsid w:val="00766DAB"/>
    <w:rsid w:val="007B1ABA"/>
    <w:rsid w:val="007B74C5"/>
    <w:rsid w:val="008220EA"/>
    <w:rsid w:val="008507C1"/>
    <w:rsid w:val="00861934"/>
    <w:rsid w:val="0087006C"/>
    <w:rsid w:val="008F0AC9"/>
    <w:rsid w:val="00931186"/>
    <w:rsid w:val="0093473D"/>
    <w:rsid w:val="00944ECC"/>
    <w:rsid w:val="00972F57"/>
    <w:rsid w:val="00995280"/>
    <w:rsid w:val="009E77AC"/>
    <w:rsid w:val="00A24E6E"/>
    <w:rsid w:val="00A32C39"/>
    <w:rsid w:val="00A33067"/>
    <w:rsid w:val="00A43694"/>
    <w:rsid w:val="00A56FC7"/>
    <w:rsid w:val="00A668BF"/>
    <w:rsid w:val="00A72575"/>
    <w:rsid w:val="00A74071"/>
    <w:rsid w:val="00A754E4"/>
    <w:rsid w:val="00A75518"/>
    <w:rsid w:val="00A84DFC"/>
    <w:rsid w:val="00AA124A"/>
    <w:rsid w:val="00AA2A96"/>
    <w:rsid w:val="00AF452E"/>
    <w:rsid w:val="00B02FB9"/>
    <w:rsid w:val="00B100CC"/>
    <w:rsid w:val="00B6689D"/>
    <w:rsid w:val="00B72368"/>
    <w:rsid w:val="00B81BD2"/>
    <w:rsid w:val="00BE7189"/>
    <w:rsid w:val="00C00B80"/>
    <w:rsid w:val="00C0337C"/>
    <w:rsid w:val="00C163AE"/>
    <w:rsid w:val="00C54D58"/>
    <w:rsid w:val="00C573E1"/>
    <w:rsid w:val="00C60222"/>
    <w:rsid w:val="00C63671"/>
    <w:rsid w:val="00C736D3"/>
    <w:rsid w:val="00C80DD6"/>
    <w:rsid w:val="00C95DF6"/>
    <w:rsid w:val="00CA6FC2"/>
    <w:rsid w:val="00CB061A"/>
    <w:rsid w:val="00CB1016"/>
    <w:rsid w:val="00D14012"/>
    <w:rsid w:val="00D4437D"/>
    <w:rsid w:val="00D76010"/>
    <w:rsid w:val="00DA1B7B"/>
    <w:rsid w:val="00DB79DF"/>
    <w:rsid w:val="00DC62E4"/>
    <w:rsid w:val="00DE5E3E"/>
    <w:rsid w:val="00E0575F"/>
    <w:rsid w:val="00E11045"/>
    <w:rsid w:val="00E216FE"/>
    <w:rsid w:val="00E65A1B"/>
    <w:rsid w:val="00EA32F7"/>
    <w:rsid w:val="00F063D5"/>
    <w:rsid w:val="00F230CD"/>
    <w:rsid w:val="00F2782F"/>
    <w:rsid w:val="00F45616"/>
    <w:rsid w:val="00F51C18"/>
    <w:rsid w:val="00FA31E2"/>
    <w:rsid w:val="00FF2C62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C357593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B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3437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69D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18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827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610A38"/>
    <w:pPr>
      <w:spacing w:before="1800" w:after="0"/>
    </w:pPr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610A38"/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2B1CE5"/>
    <w:pPr>
      <w:numPr>
        <w:ilvl w:val="1"/>
      </w:numPr>
      <w:spacing w:after="0"/>
    </w:pPr>
    <w:rPr>
      <w:rFonts w:ascii="Calibri" w:eastAsiaTheme="minorEastAsia" w:hAnsi="Calibri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B100CC"/>
    <w:rPr>
      <w:rFonts w:ascii="Calibri" w:eastAsiaTheme="minorEastAsia" w:hAnsi="Calibri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51C18"/>
    <w:rPr>
      <w:rFonts w:ascii="Calibri" w:eastAsiaTheme="majorEastAsia" w:hAnsi="Calibri" w:cstheme="majorBidi"/>
      <w:b/>
      <w:color w:val="3437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69D"/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C18"/>
    <w:rPr>
      <w:rFonts w:ascii="Calibri" w:eastAsiaTheme="majorEastAsia" w:hAnsi="Calibri" w:cstheme="majorBidi"/>
      <w:color w:val="008276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B100CC"/>
    <w:rPr>
      <w:color w:val="287BB3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22498C"/>
    <w:rPr>
      <w:sz w:val="18"/>
    </w:rPr>
  </w:style>
  <w:style w:type="table" w:customStyle="1" w:styleId="DESE">
    <w:name w:val="DESE"/>
    <w:basedOn w:val="TableNormal"/>
    <w:uiPriority w:val="99"/>
    <w:rsid w:val="0055569D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002D3F" w:themeFill="text2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aliases w:val="Body Bullets 1,Bullet Point,Bullet point,Bullet points,CV text,Content descriptions,Dot pt,F5 List Paragraph,L,List Paragraph1,List Paragraph11,List Paragraph111,Main,Medium Grid 1 - Accent 21,Numbered Paragraph,Recommendation,Table text"/>
    <w:basedOn w:val="Normal"/>
    <w:link w:val="ListParagraphChar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A56FC7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A56FC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link w:val="BodyChar"/>
    <w:qFormat/>
    <w:rsid w:val="003C714F"/>
    <w:rPr>
      <w:rFonts w:eastAsiaTheme="minorEastAsia"/>
      <w:lang w:eastAsia="en-AU"/>
    </w:rPr>
  </w:style>
  <w:style w:type="character" w:customStyle="1" w:styleId="BodyChar">
    <w:name w:val="Body Char"/>
    <w:basedOn w:val="DefaultParagraphFont"/>
    <w:link w:val="Body"/>
    <w:rsid w:val="003C714F"/>
    <w:rPr>
      <w:rFonts w:eastAsiaTheme="minorEastAsia"/>
      <w:lang w:eastAsia="en-AU"/>
    </w:rPr>
  </w:style>
  <w:style w:type="character" w:customStyle="1" w:styleId="ListParagraphChar">
    <w:name w:val="List Paragraph Char"/>
    <w:aliases w:val="Body Bullets 1 Char,Bullet Point Char,Bullet point Char,Bullet points Char,CV text Char,Content descriptions Char,Dot pt Char,F5 List Paragraph Char,L Char,List Paragraph1 Char,List Paragraph11 Char,List Paragraph111 Char,Main Char"/>
    <w:basedOn w:val="DefaultParagraphFont"/>
    <w:link w:val="ListParagraph"/>
    <w:uiPriority w:val="34"/>
    <w:qFormat/>
    <w:rsid w:val="003C714F"/>
  </w:style>
  <w:style w:type="character" w:styleId="CommentReference">
    <w:name w:val="annotation reference"/>
    <w:basedOn w:val="DefaultParagraphFont"/>
    <w:uiPriority w:val="99"/>
    <w:unhideWhenUsed/>
    <w:rsid w:val="00E11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1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1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0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app.application.enet\OfficeTemplates\DESE\Fact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90F2B993-E806-472F-8751-CC0DE87708F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F183DAE6233B8A49953BB20B58AE0E5E" ma:contentTypeVersion="" ma:contentTypeDescription="PDMS Document Site Content Type" ma:contentTypeScope="" ma:versionID="43ee6592112dd74605a557b1710a1a45">
  <xsd:schema xmlns:xsd="http://www.w3.org/2001/XMLSchema" xmlns:xs="http://www.w3.org/2001/XMLSchema" xmlns:p="http://schemas.microsoft.com/office/2006/metadata/properties" xmlns:ns2="90F2B993-E806-472F-8751-CC0DE87708F7" targetNamespace="http://schemas.microsoft.com/office/2006/metadata/properties" ma:root="true" ma:fieldsID="e3d259621d4787f2083fca3e8d10db91" ns2:_="">
    <xsd:import namespace="90F2B993-E806-472F-8751-CC0DE87708F7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2B993-E806-472F-8751-CC0DE87708F7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2B02E2-2D5D-43E9-9C93-3C1B2EBD58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D6226-3EAF-46C5-B0F2-A2410F074527}">
  <ds:schemaRefs>
    <ds:schemaRef ds:uri="http://schemas.microsoft.com/office/2006/metadata/properties"/>
    <ds:schemaRef ds:uri="http://schemas.microsoft.com/office/infopath/2007/PartnerControls"/>
    <ds:schemaRef ds:uri="90F2B993-E806-472F-8751-CC0DE87708F7"/>
  </ds:schemaRefs>
</ds:datastoreItem>
</file>

<file path=customXml/itemProps3.xml><?xml version="1.0" encoding="utf-8"?>
<ds:datastoreItem xmlns:ds="http://schemas.openxmlformats.org/officeDocument/2006/customXml" ds:itemID="{8C45C59B-06B6-4861-AFEE-C5765055D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2B993-E806-472F-8751-CC0DE8770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Factsheet Template.dotx</Template>
  <TotalTime>0</TotalTime>
  <Pages>4</Pages>
  <Words>1161</Words>
  <Characters>6624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Factsheet Template</vt:lpstr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 Template</dc:title>
  <dc:subject/>
  <dc:creator/>
  <cp:keywords/>
  <dc:description/>
  <cp:lastModifiedBy/>
  <cp:revision>1</cp:revision>
  <dcterms:created xsi:type="dcterms:W3CDTF">2021-03-18T22:06:00Z</dcterms:created>
  <dcterms:modified xsi:type="dcterms:W3CDTF">2021-03-18T22:06:00Z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0x010100266966F133664895A6EE3632470D45F500F183DAE6233B8A49953BB20B58AE0E5E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</Properties>
</file>