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A9B8D" w14:textId="77777777" w:rsidR="00DE4F3E" w:rsidRPr="00F53504" w:rsidRDefault="00DE4F3E" w:rsidP="00EF681B">
      <w:r w:rsidRPr="00F53504">
        <w:rPr>
          <w:noProof/>
          <w:lang w:eastAsia="en-AU"/>
        </w:rPr>
        <w:drawing>
          <wp:anchor distT="0" distB="0" distL="114300" distR="114300" simplePos="0" relativeHeight="251659264" behindDoc="1" locked="0" layoutInCell="1" allowOverlap="1" wp14:anchorId="5DBD3C8F" wp14:editId="3FC92ADE">
            <wp:simplePos x="0" y="0"/>
            <wp:positionH relativeFrom="column">
              <wp:posOffset>-914400</wp:posOffset>
            </wp:positionH>
            <wp:positionV relativeFrom="paragraph">
              <wp:posOffset>-814387</wp:posOffset>
            </wp:positionV>
            <wp:extent cx="7581600" cy="10720800"/>
            <wp:effectExtent l="0" t="0" r="635" b="4445"/>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1600" cy="10720800"/>
                    </a:xfrm>
                    <a:prstGeom prst="rect">
                      <a:avLst/>
                    </a:prstGeom>
                  </pic:spPr>
                </pic:pic>
              </a:graphicData>
            </a:graphic>
            <wp14:sizeRelH relativeFrom="margin">
              <wp14:pctWidth>0</wp14:pctWidth>
            </wp14:sizeRelH>
            <wp14:sizeRelV relativeFrom="margin">
              <wp14:pctHeight>0</wp14:pctHeight>
            </wp14:sizeRelV>
          </wp:anchor>
        </w:drawing>
      </w:r>
    </w:p>
    <w:p w14:paraId="335E39E1" w14:textId="3836EC10" w:rsidR="00DE4F3E" w:rsidRPr="00F53504" w:rsidRDefault="00460656" w:rsidP="00280316">
      <w:pPr>
        <w:spacing w:after="1560"/>
      </w:pPr>
      <w:r>
        <w:rPr>
          <w:noProof/>
          <w:lang w:eastAsia="en-AU"/>
        </w:rPr>
        <w:drawing>
          <wp:inline distT="0" distB="0" distL="0" distR="0" wp14:anchorId="03AED75D" wp14:editId="3A494DBA">
            <wp:extent cx="3615055" cy="646430"/>
            <wp:effectExtent l="0" t="0" r="4445" b="1270"/>
            <wp:docPr id="5" name="Picture 5" descr="Australian Government Department of Jobs and Small Busine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646430"/>
                    </a:xfrm>
                    <a:prstGeom prst="rect">
                      <a:avLst/>
                    </a:prstGeom>
                    <a:noFill/>
                  </pic:spPr>
                </pic:pic>
              </a:graphicData>
            </a:graphic>
          </wp:inline>
        </w:drawing>
      </w:r>
    </w:p>
    <w:p w14:paraId="40DF356B" w14:textId="7ACCB4C4" w:rsidR="00DE4F3E" w:rsidRPr="00F53504" w:rsidRDefault="00C74005" w:rsidP="00280316">
      <w:pPr>
        <w:pStyle w:val="Title"/>
        <w:ind w:left="1622" w:right="-589"/>
      </w:pPr>
      <w:r w:rsidRPr="00F53504">
        <w:t>Relocation Assistance to Take Up a Job</w:t>
      </w:r>
    </w:p>
    <w:p w14:paraId="4E112B0D" w14:textId="77777777" w:rsidR="00DE4F3E" w:rsidRPr="00F53504" w:rsidRDefault="00CF7FE5" w:rsidP="00280316">
      <w:pPr>
        <w:pStyle w:val="Subtitle"/>
        <w:ind w:left="1624"/>
      </w:pPr>
      <w:r w:rsidRPr="00F53504">
        <w:t>Evaluation Report</w:t>
      </w:r>
    </w:p>
    <w:p w14:paraId="03AD821E" w14:textId="5A96B898" w:rsidR="00DE4F3E" w:rsidRPr="00F53504" w:rsidRDefault="00442D84" w:rsidP="00280316">
      <w:pPr>
        <w:spacing w:before="7600" w:after="0"/>
      </w:pPr>
      <w:r>
        <w:rPr>
          <w:color w:val="1E3D6B"/>
          <w:sz w:val="36"/>
          <w:szCs w:val="36"/>
        </w:rPr>
        <w:t>jobs</w:t>
      </w:r>
      <w:r w:rsidR="00280316" w:rsidRPr="00F53504">
        <w:rPr>
          <w:color w:val="1E3D6B"/>
          <w:sz w:val="36"/>
          <w:szCs w:val="36"/>
        </w:rPr>
        <w:t>.gov.au</w:t>
      </w:r>
      <w:r w:rsidR="00280316" w:rsidRPr="00F53504">
        <w:t xml:space="preserve"> </w:t>
      </w:r>
      <w:r w:rsidR="00DE4F3E" w:rsidRPr="00F53504">
        <w:br w:type="page"/>
      </w:r>
    </w:p>
    <w:p w14:paraId="32657E0F" w14:textId="77777777" w:rsidR="00DE4F3E" w:rsidRPr="00F53504" w:rsidRDefault="00DE4F3E" w:rsidP="00EF681B">
      <w:pPr>
        <w:sectPr w:rsidR="00DE4F3E" w:rsidRPr="00F53504" w:rsidSect="00DE4F3E">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276" w:right="1274" w:bottom="1134" w:left="1440" w:header="708" w:footer="708" w:gutter="0"/>
          <w:cols w:space="708"/>
          <w:docGrid w:linePitch="360"/>
        </w:sectPr>
      </w:pPr>
    </w:p>
    <w:p w14:paraId="7AA1D206" w14:textId="77777777" w:rsidR="00DE4F3E" w:rsidRPr="00F53504" w:rsidRDefault="00DE4F3E" w:rsidP="00EF681B">
      <w:r w:rsidRPr="00F53504">
        <w:lastRenderedPageBreak/>
        <w:t>ISBN</w:t>
      </w:r>
    </w:p>
    <w:p w14:paraId="2D032272" w14:textId="03FD9246" w:rsidR="00DE4F3E" w:rsidRPr="00F53504" w:rsidRDefault="00E229BB" w:rsidP="00EF681B">
      <w:r w:rsidRPr="00E229BB">
        <w:t>978-1-76051-478-5</w:t>
      </w:r>
      <w:r w:rsidR="00DE4F3E" w:rsidRPr="00F53504">
        <w:t xml:space="preserve"> [PDF</w:t>
      </w:r>
      <w:proofErr w:type="gramStart"/>
      <w:r w:rsidR="00DE4F3E" w:rsidRPr="00F53504">
        <w:t>]</w:t>
      </w:r>
      <w:proofErr w:type="gramEnd"/>
      <w:r w:rsidR="00DE4F3E" w:rsidRPr="00F53504">
        <w:br/>
      </w:r>
      <w:r w:rsidRPr="00E229BB">
        <w:t>978-1-76051-479-2</w:t>
      </w:r>
      <w:r w:rsidR="00DE4F3E" w:rsidRPr="00F53504">
        <w:t xml:space="preserve"> [DOCX]</w:t>
      </w:r>
    </w:p>
    <w:p w14:paraId="6C4D4967" w14:textId="393DF8FA" w:rsidR="00DE4F3E" w:rsidRPr="00F53504" w:rsidRDefault="00DC4B15" w:rsidP="00CF7FE5">
      <w:r>
        <w:rPr>
          <w:noProof/>
          <w:sz w:val="20"/>
          <w:szCs w:val="20"/>
          <w:lang w:eastAsia="en-AU"/>
        </w:rPr>
        <w:drawing>
          <wp:inline distT="0" distB="0" distL="0" distR="0" wp14:anchorId="3B2FEC6E" wp14:editId="388E15C6">
            <wp:extent cx="847725" cy="285750"/>
            <wp:effectExtent l="0" t="0" r="9525" b="0"/>
            <wp:docPr id="8" name="Picture 1"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6" r:link="rId17"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6C05D406" w14:textId="77777777" w:rsidR="00DE4F3E" w:rsidRPr="00F53504" w:rsidRDefault="00DE4F3E" w:rsidP="00EF681B">
      <w:r w:rsidRPr="00F53504">
        <w:t xml:space="preserve">With the exception of the Commonwealth Coat of Arms, the Department’s logo, any material protected by a </w:t>
      </w:r>
      <w:proofErr w:type="gramStart"/>
      <w:r w:rsidRPr="00F53504">
        <w:t>trade mark</w:t>
      </w:r>
      <w:proofErr w:type="gramEnd"/>
      <w:r w:rsidRPr="00F53504">
        <w:t xml:space="preserve"> and where otherwise noted all material presented in this document is provided under a </w:t>
      </w:r>
      <w:hyperlink r:id="rId18" w:history="1">
        <w:r w:rsidRPr="00F53504">
          <w:rPr>
            <w:rStyle w:val="Hyperlink"/>
          </w:rPr>
          <w:t>Creative Commons Attribution 3.0 Australia</w:t>
        </w:r>
      </w:hyperlink>
      <w:r w:rsidRPr="00F53504">
        <w:t xml:space="preserve"> (http://creativecommons.org/licenses/by/3.0/au/) licence. </w:t>
      </w:r>
    </w:p>
    <w:p w14:paraId="36A3E1B1" w14:textId="77777777" w:rsidR="00DE4F3E" w:rsidRPr="00F53504" w:rsidRDefault="00DE4F3E" w:rsidP="00EF681B">
      <w:r w:rsidRPr="00F53504">
        <w:t>The details of the relevant licence conditions are available on the Creative Commons website (</w:t>
      </w:r>
      <w:proofErr w:type="gramStart"/>
      <w:r w:rsidRPr="00F53504">
        <w:t>accessible</w:t>
      </w:r>
      <w:proofErr w:type="gramEnd"/>
      <w:r w:rsidRPr="00F53504">
        <w:t xml:space="preserve"> using the links provided) as is the full legal code for the </w:t>
      </w:r>
      <w:hyperlink r:id="rId19" w:history="1">
        <w:r w:rsidRPr="00F53504">
          <w:rPr>
            <w:rStyle w:val="Hyperlink"/>
          </w:rPr>
          <w:t>CC BY 3.0 AU licence</w:t>
        </w:r>
      </w:hyperlink>
      <w:r w:rsidRPr="00F53504">
        <w:t xml:space="preserve"> (http://creativecommons.org/licenses/by/3.0/au/legalcode). </w:t>
      </w:r>
    </w:p>
    <w:p w14:paraId="4816125A" w14:textId="77777777" w:rsidR="00DE4F3E" w:rsidRPr="00F53504" w:rsidRDefault="00DE4F3E" w:rsidP="00EF681B">
      <w:r w:rsidRPr="00F53504">
        <w:t>The docu</w:t>
      </w:r>
      <w:r w:rsidR="00355BAC" w:rsidRPr="00F53504">
        <w:t xml:space="preserve">ment must be attributed as the Relocation Assistance to Take </w:t>
      </w:r>
      <w:proofErr w:type="gramStart"/>
      <w:r w:rsidR="00355BAC" w:rsidRPr="00F53504">
        <w:t>Up</w:t>
      </w:r>
      <w:proofErr w:type="gramEnd"/>
      <w:r w:rsidR="00355BAC" w:rsidRPr="00F53504">
        <w:t xml:space="preserve"> a Job Evaluation Report</w:t>
      </w:r>
      <w:r w:rsidRPr="00F53504">
        <w:t>.</w:t>
      </w:r>
    </w:p>
    <w:p w14:paraId="11CAD260" w14:textId="77777777" w:rsidR="00BB4849" w:rsidRPr="00F53504" w:rsidRDefault="00BB4849" w:rsidP="00BB4849">
      <w:pPr>
        <w:spacing w:after="0" w:line="300" w:lineRule="auto"/>
        <w:rPr>
          <w:b/>
        </w:rPr>
      </w:pPr>
      <w:r w:rsidRPr="00F53504">
        <w:rPr>
          <w:b/>
        </w:rPr>
        <w:t>Acknowledgements</w:t>
      </w:r>
    </w:p>
    <w:p w14:paraId="2CF571E3" w14:textId="77777777" w:rsidR="00BB4849" w:rsidRPr="00F53504" w:rsidRDefault="00BB4849" w:rsidP="00BB4849">
      <w:pPr>
        <w:spacing w:after="0" w:line="300" w:lineRule="auto"/>
      </w:pPr>
      <w:proofErr w:type="gramStart"/>
      <w:r w:rsidRPr="00F53504">
        <w:t xml:space="preserve">This report was prepared by Odette Vogt, Suet-Lam </w:t>
      </w:r>
      <w:proofErr w:type="spellStart"/>
      <w:r w:rsidRPr="00F53504">
        <w:t>Mui</w:t>
      </w:r>
      <w:proofErr w:type="spellEnd"/>
      <w:r w:rsidRPr="00F53504">
        <w:t>, Ulises Garcia, Christ</w:t>
      </w:r>
      <w:r w:rsidR="00E24EE4" w:rsidRPr="00F53504">
        <w:t xml:space="preserve">ina Comino, Trish Barber, </w:t>
      </w:r>
      <w:r w:rsidRPr="00F53504">
        <w:t>Simon Arthur</w:t>
      </w:r>
      <w:r w:rsidR="00E24EE4" w:rsidRPr="00F53504">
        <w:t xml:space="preserve"> and Brenton Alexander</w:t>
      </w:r>
      <w:r w:rsidRPr="00F53504">
        <w:t xml:space="preserve"> of the Evaluation, Research and Evidence Branch</w:t>
      </w:r>
      <w:proofErr w:type="gramEnd"/>
      <w:r w:rsidRPr="00F53504">
        <w:t xml:space="preserve">. The authors acknowledge the contribution of Colmar </w:t>
      </w:r>
      <w:proofErr w:type="spellStart"/>
      <w:r w:rsidRPr="00F53504">
        <w:t>Brunton</w:t>
      </w:r>
      <w:proofErr w:type="spellEnd"/>
      <w:r w:rsidRPr="00F53504">
        <w:t>.</w:t>
      </w:r>
    </w:p>
    <w:p w14:paraId="5F1ED01A" w14:textId="77777777" w:rsidR="00DE4F3E" w:rsidRPr="00F53504" w:rsidRDefault="00DE4F3E" w:rsidP="00EF681B">
      <w:pPr>
        <w:sectPr w:rsidR="00DE4F3E" w:rsidRPr="00F53504" w:rsidSect="00BB4849">
          <w:type w:val="continuous"/>
          <w:pgSz w:w="11906" w:h="16838"/>
          <w:pgMar w:top="8789" w:right="1440" w:bottom="1440" w:left="1440" w:header="708" w:footer="708" w:gutter="0"/>
          <w:cols w:space="708"/>
          <w:docGrid w:linePitch="360"/>
        </w:sectPr>
      </w:pPr>
    </w:p>
    <w:bookmarkStart w:id="0" w:name="_Toc484182944" w:displacedByCustomXml="next"/>
    <w:bookmarkStart w:id="1" w:name="_Toc455560343" w:displacedByCustomXml="next"/>
    <w:bookmarkStart w:id="2" w:name="_Toc456080929" w:displacedByCustomXml="next"/>
    <w:bookmarkStart w:id="3" w:name="_Toc483384597" w:displacedByCustomXml="next"/>
    <w:bookmarkStart w:id="4" w:name="_Toc483386670" w:displacedByCustomXml="next"/>
    <w:bookmarkStart w:id="5" w:name="_Toc484421859" w:displacedByCustomXml="next"/>
    <w:bookmarkStart w:id="6" w:name="_Toc512529306" w:displacedByCustomXml="next"/>
    <w:sdt>
      <w:sdtPr>
        <w:rPr>
          <w:rFonts w:asciiTheme="minorHAnsi" w:eastAsiaTheme="minorEastAsia" w:hAnsiTheme="minorHAnsi" w:cstheme="minorBidi"/>
          <w:b w:val="0"/>
          <w:bCs w:val="0"/>
          <w:noProof/>
          <w:color w:val="auto"/>
          <w:sz w:val="22"/>
          <w:szCs w:val="22"/>
          <w:lang w:eastAsia="en-AU"/>
        </w:rPr>
        <w:id w:val="-139263470"/>
        <w:docPartObj>
          <w:docPartGallery w:val="Table of Contents"/>
          <w:docPartUnique/>
        </w:docPartObj>
      </w:sdtPr>
      <w:sdtEndPr/>
      <w:sdtContent>
        <w:p w14:paraId="3C226FF4" w14:textId="77777777" w:rsidR="00DE4F3E" w:rsidRPr="00F53504" w:rsidRDefault="00DE4F3E" w:rsidP="00C85245">
          <w:pPr>
            <w:pStyle w:val="Heading1nonumber"/>
          </w:pPr>
          <w:r w:rsidRPr="00F53504">
            <w:t>Contents</w:t>
          </w:r>
          <w:bookmarkEnd w:id="6"/>
          <w:bookmarkEnd w:id="5"/>
          <w:bookmarkEnd w:id="4"/>
          <w:bookmarkEnd w:id="3"/>
          <w:bookmarkEnd w:id="2"/>
          <w:bookmarkEnd w:id="1"/>
          <w:bookmarkEnd w:id="0"/>
        </w:p>
        <w:p w14:paraId="6168382E" w14:textId="014A2246" w:rsidR="00670CC9" w:rsidRDefault="00280316">
          <w:pPr>
            <w:pStyle w:val="TOC1"/>
            <w:rPr>
              <w:b w:val="0"/>
              <w:noProof/>
              <w:lang w:eastAsia="en-AU"/>
            </w:rPr>
          </w:pPr>
          <w:r w:rsidRPr="00F53504">
            <w:fldChar w:fldCharType="begin"/>
          </w:r>
          <w:r w:rsidRPr="00F53504">
            <w:instrText xml:space="preserve"> TOC \o "1-2" \h \z \t "Heading 1 no number,1" </w:instrText>
          </w:r>
          <w:r w:rsidRPr="00F53504">
            <w:fldChar w:fldCharType="separate"/>
          </w:r>
          <w:hyperlink w:anchor="_Toc512529306" w:history="1">
            <w:r w:rsidR="00670CC9" w:rsidRPr="007F3B01">
              <w:rPr>
                <w:rStyle w:val="Hyperlink"/>
                <w:noProof/>
              </w:rPr>
              <w:t>Contents</w:t>
            </w:r>
            <w:r w:rsidR="00670CC9">
              <w:rPr>
                <w:noProof/>
                <w:webHidden/>
              </w:rPr>
              <w:tab/>
            </w:r>
            <w:r w:rsidR="00670CC9">
              <w:rPr>
                <w:noProof/>
                <w:webHidden/>
              </w:rPr>
              <w:fldChar w:fldCharType="begin"/>
            </w:r>
            <w:r w:rsidR="00670CC9">
              <w:rPr>
                <w:noProof/>
                <w:webHidden/>
              </w:rPr>
              <w:instrText xml:space="preserve"> PAGEREF _Toc512529306 \h </w:instrText>
            </w:r>
            <w:r w:rsidR="00670CC9">
              <w:rPr>
                <w:noProof/>
                <w:webHidden/>
              </w:rPr>
            </w:r>
            <w:r w:rsidR="00670CC9">
              <w:rPr>
                <w:noProof/>
                <w:webHidden/>
              </w:rPr>
              <w:fldChar w:fldCharType="separate"/>
            </w:r>
            <w:r w:rsidR="00AA36FE">
              <w:rPr>
                <w:noProof/>
                <w:webHidden/>
              </w:rPr>
              <w:t>3</w:t>
            </w:r>
            <w:r w:rsidR="00670CC9">
              <w:rPr>
                <w:noProof/>
                <w:webHidden/>
              </w:rPr>
              <w:fldChar w:fldCharType="end"/>
            </w:r>
          </w:hyperlink>
        </w:p>
        <w:p w14:paraId="76402FDF" w14:textId="75135E75" w:rsidR="00670CC9" w:rsidRDefault="00B034E5">
          <w:pPr>
            <w:pStyle w:val="TOC1"/>
            <w:rPr>
              <w:b w:val="0"/>
              <w:noProof/>
              <w:lang w:eastAsia="en-AU"/>
            </w:rPr>
          </w:pPr>
          <w:hyperlink w:anchor="_Toc512529307" w:history="1">
            <w:r w:rsidR="00670CC9" w:rsidRPr="007F3B01">
              <w:rPr>
                <w:rStyle w:val="Hyperlink"/>
                <w:noProof/>
              </w:rPr>
              <w:t>List of abbreviations and terminology</w:t>
            </w:r>
            <w:r w:rsidR="00670CC9">
              <w:rPr>
                <w:noProof/>
                <w:webHidden/>
              </w:rPr>
              <w:tab/>
            </w:r>
            <w:r w:rsidR="00670CC9">
              <w:rPr>
                <w:noProof/>
                <w:webHidden/>
              </w:rPr>
              <w:fldChar w:fldCharType="begin"/>
            </w:r>
            <w:r w:rsidR="00670CC9">
              <w:rPr>
                <w:noProof/>
                <w:webHidden/>
              </w:rPr>
              <w:instrText xml:space="preserve"> PAGEREF _Toc512529307 \h </w:instrText>
            </w:r>
            <w:r w:rsidR="00670CC9">
              <w:rPr>
                <w:noProof/>
                <w:webHidden/>
              </w:rPr>
            </w:r>
            <w:r w:rsidR="00670CC9">
              <w:rPr>
                <w:noProof/>
                <w:webHidden/>
              </w:rPr>
              <w:fldChar w:fldCharType="separate"/>
            </w:r>
            <w:r w:rsidR="00AA36FE">
              <w:rPr>
                <w:noProof/>
                <w:webHidden/>
              </w:rPr>
              <w:t>4</w:t>
            </w:r>
            <w:r w:rsidR="00670CC9">
              <w:rPr>
                <w:noProof/>
                <w:webHidden/>
              </w:rPr>
              <w:fldChar w:fldCharType="end"/>
            </w:r>
          </w:hyperlink>
        </w:p>
        <w:p w14:paraId="1779852F" w14:textId="54417328" w:rsidR="00670CC9" w:rsidRDefault="00B034E5">
          <w:pPr>
            <w:pStyle w:val="TOC1"/>
            <w:rPr>
              <w:b w:val="0"/>
              <w:noProof/>
              <w:lang w:eastAsia="en-AU"/>
            </w:rPr>
          </w:pPr>
          <w:hyperlink w:anchor="_Toc512529308" w:history="1">
            <w:r w:rsidR="00670CC9" w:rsidRPr="007F3B01">
              <w:rPr>
                <w:rStyle w:val="Hyperlink"/>
                <w:noProof/>
              </w:rPr>
              <w:t>Executive summary</w:t>
            </w:r>
            <w:r w:rsidR="00670CC9">
              <w:rPr>
                <w:noProof/>
                <w:webHidden/>
              </w:rPr>
              <w:tab/>
            </w:r>
            <w:r w:rsidR="00670CC9">
              <w:rPr>
                <w:noProof/>
                <w:webHidden/>
              </w:rPr>
              <w:fldChar w:fldCharType="begin"/>
            </w:r>
            <w:r w:rsidR="00670CC9">
              <w:rPr>
                <w:noProof/>
                <w:webHidden/>
              </w:rPr>
              <w:instrText xml:space="preserve"> PAGEREF _Toc512529308 \h </w:instrText>
            </w:r>
            <w:r w:rsidR="00670CC9">
              <w:rPr>
                <w:noProof/>
                <w:webHidden/>
              </w:rPr>
            </w:r>
            <w:r w:rsidR="00670CC9">
              <w:rPr>
                <w:noProof/>
                <w:webHidden/>
              </w:rPr>
              <w:fldChar w:fldCharType="separate"/>
            </w:r>
            <w:r w:rsidR="00AA36FE">
              <w:rPr>
                <w:noProof/>
                <w:webHidden/>
              </w:rPr>
              <w:t>5</w:t>
            </w:r>
            <w:r w:rsidR="00670CC9">
              <w:rPr>
                <w:noProof/>
                <w:webHidden/>
              </w:rPr>
              <w:fldChar w:fldCharType="end"/>
            </w:r>
          </w:hyperlink>
        </w:p>
        <w:p w14:paraId="2BF729A0" w14:textId="067B6397" w:rsidR="00670CC9" w:rsidRDefault="00B034E5">
          <w:pPr>
            <w:pStyle w:val="TOC1"/>
            <w:rPr>
              <w:b w:val="0"/>
              <w:noProof/>
              <w:lang w:eastAsia="en-AU"/>
            </w:rPr>
          </w:pPr>
          <w:hyperlink w:anchor="_Toc512529309" w:history="1">
            <w:r w:rsidR="00670CC9" w:rsidRPr="007F3B01">
              <w:rPr>
                <w:rStyle w:val="Hyperlink"/>
                <w:noProof/>
              </w:rPr>
              <w:t>Evaluation findings</w:t>
            </w:r>
            <w:r w:rsidR="00670CC9">
              <w:rPr>
                <w:noProof/>
                <w:webHidden/>
              </w:rPr>
              <w:tab/>
            </w:r>
            <w:r w:rsidR="00670CC9">
              <w:rPr>
                <w:noProof/>
                <w:webHidden/>
              </w:rPr>
              <w:fldChar w:fldCharType="begin"/>
            </w:r>
            <w:r w:rsidR="00670CC9">
              <w:rPr>
                <w:noProof/>
                <w:webHidden/>
              </w:rPr>
              <w:instrText xml:space="preserve"> PAGEREF _Toc512529309 \h </w:instrText>
            </w:r>
            <w:r w:rsidR="00670CC9">
              <w:rPr>
                <w:noProof/>
                <w:webHidden/>
              </w:rPr>
            </w:r>
            <w:r w:rsidR="00670CC9">
              <w:rPr>
                <w:noProof/>
                <w:webHidden/>
              </w:rPr>
              <w:fldChar w:fldCharType="separate"/>
            </w:r>
            <w:r w:rsidR="00AA36FE">
              <w:rPr>
                <w:noProof/>
                <w:webHidden/>
              </w:rPr>
              <w:t>7</w:t>
            </w:r>
            <w:r w:rsidR="00670CC9">
              <w:rPr>
                <w:noProof/>
                <w:webHidden/>
              </w:rPr>
              <w:fldChar w:fldCharType="end"/>
            </w:r>
          </w:hyperlink>
        </w:p>
        <w:p w14:paraId="4404B8E4" w14:textId="43643646" w:rsidR="00670CC9" w:rsidRDefault="00B034E5">
          <w:pPr>
            <w:pStyle w:val="TOC1"/>
            <w:rPr>
              <w:b w:val="0"/>
              <w:noProof/>
              <w:lang w:eastAsia="en-AU"/>
            </w:rPr>
          </w:pPr>
          <w:hyperlink w:anchor="_Toc512529310" w:history="1">
            <w:r w:rsidR="00670CC9" w:rsidRPr="007F3B01">
              <w:rPr>
                <w:rStyle w:val="Hyperlink"/>
                <w:noProof/>
              </w:rPr>
              <w:t>1</w:t>
            </w:r>
            <w:r w:rsidR="00670CC9">
              <w:rPr>
                <w:b w:val="0"/>
                <w:noProof/>
                <w:lang w:eastAsia="en-AU"/>
              </w:rPr>
              <w:tab/>
            </w:r>
            <w:r w:rsidR="00670CC9" w:rsidRPr="007F3B01">
              <w:rPr>
                <w:rStyle w:val="Hyperlink"/>
                <w:noProof/>
              </w:rPr>
              <w:t>Introduction</w:t>
            </w:r>
            <w:r w:rsidR="00670CC9">
              <w:rPr>
                <w:noProof/>
                <w:webHidden/>
              </w:rPr>
              <w:tab/>
            </w:r>
            <w:r w:rsidR="00670CC9">
              <w:rPr>
                <w:noProof/>
                <w:webHidden/>
              </w:rPr>
              <w:fldChar w:fldCharType="begin"/>
            </w:r>
            <w:r w:rsidR="00670CC9">
              <w:rPr>
                <w:noProof/>
                <w:webHidden/>
              </w:rPr>
              <w:instrText xml:space="preserve"> PAGEREF _Toc512529310 \h </w:instrText>
            </w:r>
            <w:r w:rsidR="00670CC9">
              <w:rPr>
                <w:noProof/>
                <w:webHidden/>
              </w:rPr>
            </w:r>
            <w:r w:rsidR="00670CC9">
              <w:rPr>
                <w:noProof/>
                <w:webHidden/>
              </w:rPr>
              <w:fldChar w:fldCharType="separate"/>
            </w:r>
            <w:r w:rsidR="00AA36FE">
              <w:rPr>
                <w:noProof/>
                <w:webHidden/>
              </w:rPr>
              <w:t>11</w:t>
            </w:r>
            <w:r w:rsidR="00670CC9">
              <w:rPr>
                <w:noProof/>
                <w:webHidden/>
              </w:rPr>
              <w:fldChar w:fldCharType="end"/>
            </w:r>
          </w:hyperlink>
        </w:p>
        <w:p w14:paraId="0435CD89" w14:textId="170880C3" w:rsidR="00670CC9" w:rsidRDefault="00B034E5">
          <w:pPr>
            <w:pStyle w:val="TOC2"/>
          </w:pPr>
          <w:hyperlink w:anchor="_Toc512529311" w:history="1">
            <w:r w:rsidR="00670CC9" w:rsidRPr="007F3B01">
              <w:rPr>
                <w:rStyle w:val="Hyperlink"/>
              </w:rPr>
              <w:t>1.1</w:t>
            </w:r>
            <w:r w:rsidR="00670CC9">
              <w:tab/>
            </w:r>
            <w:r w:rsidR="00670CC9" w:rsidRPr="007F3B01">
              <w:rPr>
                <w:rStyle w:val="Hyperlink"/>
              </w:rPr>
              <w:t>The Relocation Assistance to Take Up a Job programme</w:t>
            </w:r>
            <w:r w:rsidR="00670CC9">
              <w:rPr>
                <w:webHidden/>
              </w:rPr>
              <w:tab/>
            </w:r>
            <w:r w:rsidR="00670CC9">
              <w:rPr>
                <w:webHidden/>
              </w:rPr>
              <w:fldChar w:fldCharType="begin"/>
            </w:r>
            <w:r w:rsidR="00670CC9">
              <w:rPr>
                <w:webHidden/>
              </w:rPr>
              <w:instrText xml:space="preserve"> PAGEREF _Toc512529311 \h </w:instrText>
            </w:r>
            <w:r w:rsidR="00670CC9">
              <w:rPr>
                <w:webHidden/>
              </w:rPr>
            </w:r>
            <w:r w:rsidR="00670CC9">
              <w:rPr>
                <w:webHidden/>
              </w:rPr>
              <w:fldChar w:fldCharType="separate"/>
            </w:r>
            <w:r w:rsidR="00AA36FE">
              <w:rPr>
                <w:webHidden/>
              </w:rPr>
              <w:t>11</w:t>
            </w:r>
            <w:r w:rsidR="00670CC9">
              <w:rPr>
                <w:webHidden/>
              </w:rPr>
              <w:fldChar w:fldCharType="end"/>
            </w:r>
          </w:hyperlink>
        </w:p>
        <w:p w14:paraId="1F1AB7EB" w14:textId="0F2929DC" w:rsidR="00670CC9" w:rsidRDefault="00B034E5">
          <w:pPr>
            <w:pStyle w:val="TOC2"/>
          </w:pPr>
          <w:hyperlink w:anchor="_Toc512529312" w:history="1">
            <w:r w:rsidR="00670CC9" w:rsidRPr="007F3B01">
              <w:rPr>
                <w:rStyle w:val="Hyperlink"/>
              </w:rPr>
              <w:t>1.2</w:t>
            </w:r>
            <w:r w:rsidR="00670CC9">
              <w:tab/>
            </w:r>
            <w:r w:rsidR="00670CC9" w:rsidRPr="007F3B01">
              <w:rPr>
                <w:rStyle w:val="Hyperlink"/>
              </w:rPr>
              <w:t>Prior research</w:t>
            </w:r>
            <w:r w:rsidR="00670CC9">
              <w:rPr>
                <w:webHidden/>
              </w:rPr>
              <w:tab/>
            </w:r>
            <w:r w:rsidR="00670CC9">
              <w:rPr>
                <w:webHidden/>
              </w:rPr>
              <w:fldChar w:fldCharType="begin"/>
            </w:r>
            <w:r w:rsidR="00670CC9">
              <w:rPr>
                <w:webHidden/>
              </w:rPr>
              <w:instrText xml:space="preserve"> PAGEREF _Toc512529312 \h </w:instrText>
            </w:r>
            <w:r w:rsidR="00670CC9">
              <w:rPr>
                <w:webHidden/>
              </w:rPr>
            </w:r>
            <w:r w:rsidR="00670CC9">
              <w:rPr>
                <w:webHidden/>
              </w:rPr>
              <w:fldChar w:fldCharType="separate"/>
            </w:r>
            <w:r w:rsidR="00AA36FE">
              <w:rPr>
                <w:webHidden/>
              </w:rPr>
              <w:t>13</w:t>
            </w:r>
            <w:r w:rsidR="00670CC9">
              <w:rPr>
                <w:webHidden/>
              </w:rPr>
              <w:fldChar w:fldCharType="end"/>
            </w:r>
          </w:hyperlink>
        </w:p>
        <w:p w14:paraId="5F0E8038" w14:textId="23832C8A" w:rsidR="00670CC9" w:rsidRDefault="00B034E5">
          <w:pPr>
            <w:pStyle w:val="TOC2"/>
          </w:pPr>
          <w:hyperlink w:anchor="_Toc512529313" w:history="1">
            <w:r w:rsidR="00670CC9" w:rsidRPr="007F3B01">
              <w:rPr>
                <w:rStyle w:val="Hyperlink"/>
              </w:rPr>
              <w:t>1.3</w:t>
            </w:r>
            <w:r w:rsidR="00670CC9">
              <w:tab/>
            </w:r>
            <w:r w:rsidR="00670CC9" w:rsidRPr="007F3B01">
              <w:rPr>
                <w:rStyle w:val="Hyperlink"/>
              </w:rPr>
              <w:t>Evaluation scope and objectives</w:t>
            </w:r>
            <w:r w:rsidR="00670CC9">
              <w:rPr>
                <w:webHidden/>
              </w:rPr>
              <w:tab/>
            </w:r>
            <w:r w:rsidR="00670CC9">
              <w:rPr>
                <w:webHidden/>
              </w:rPr>
              <w:fldChar w:fldCharType="begin"/>
            </w:r>
            <w:r w:rsidR="00670CC9">
              <w:rPr>
                <w:webHidden/>
              </w:rPr>
              <w:instrText xml:space="preserve"> PAGEREF _Toc512529313 \h </w:instrText>
            </w:r>
            <w:r w:rsidR="00670CC9">
              <w:rPr>
                <w:webHidden/>
              </w:rPr>
            </w:r>
            <w:r w:rsidR="00670CC9">
              <w:rPr>
                <w:webHidden/>
              </w:rPr>
              <w:fldChar w:fldCharType="separate"/>
            </w:r>
            <w:r w:rsidR="00AA36FE">
              <w:rPr>
                <w:webHidden/>
              </w:rPr>
              <w:t>14</w:t>
            </w:r>
            <w:r w:rsidR="00670CC9">
              <w:rPr>
                <w:webHidden/>
              </w:rPr>
              <w:fldChar w:fldCharType="end"/>
            </w:r>
          </w:hyperlink>
        </w:p>
        <w:p w14:paraId="4A59D9FB" w14:textId="7AF85AC0" w:rsidR="00670CC9" w:rsidRDefault="00B034E5">
          <w:pPr>
            <w:pStyle w:val="TOC2"/>
          </w:pPr>
          <w:hyperlink w:anchor="_Toc512529314" w:history="1">
            <w:r w:rsidR="00670CC9" w:rsidRPr="007F3B01">
              <w:rPr>
                <w:rStyle w:val="Hyperlink"/>
              </w:rPr>
              <w:t>1.4</w:t>
            </w:r>
            <w:r w:rsidR="00670CC9">
              <w:tab/>
            </w:r>
            <w:r w:rsidR="00670CC9" w:rsidRPr="007F3B01">
              <w:rPr>
                <w:rStyle w:val="Hyperlink"/>
              </w:rPr>
              <w:t>Data sources</w:t>
            </w:r>
            <w:r w:rsidR="00670CC9">
              <w:rPr>
                <w:webHidden/>
              </w:rPr>
              <w:tab/>
            </w:r>
            <w:r w:rsidR="00670CC9">
              <w:rPr>
                <w:webHidden/>
              </w:rPr>
              <w:fldChar w:fldCharType="begin"/>
            </w:r>
            <w:r w:rsidR="00670CC9">
              <w:rPr>
                <w:webHidden/>
              </w:rPr>
              <w:instrText xml:space="preserve"> PAGEREF _Toc512529314 \h </w:instrText>
            </w:r>
            <w:r w:rsidR="00670CC9">
              <w:rPr>
                <w:webHidden/>
              </w:rPr>
            </w:r>
            <w:r w:rsidR="00670CC9">
              <w:rPr>
                <w:webHidden/>
              </w:rPr>
              <w:fldChar w:fldCharType="separate"/>
            </w:r>
            <w:r w:rsidR="00AA36FE">
              <w:rPr>
                <w:webHidden/>
              </w:rPr>
              <w:t>14</w:t>
            </w:r>
            <w:r w:rsidR="00670CC9">
              <w:rPr>
                <w:webHidden/>
              </w:rPr>
              <w:fldChar w:fldCharType="end"/>
            </w:r>
          </w:hyperlink>
        </w:p>
        <w:p w14:paraId="740C52C3" w14:textId="3999A290" w:rsidR="00670CC9" w:rsidRDefault="00B034E5">
          <w:pPr>
            <w:pStyle w:val="TOC1"/>
            <w:rPr>
              <w:b w:val="0"/>
              <w:noProof/>
              <w:lang w:eastAsia="en-AU"/>
            </w:rPr>
          </w:pPr>
          <w:hyperlink w:anchor="_Toc512529315" w:history="1">
            <w:r w:rsidR="00670CC9" w:rsidRPr="007F3B01">
              <w:rPr>
                <w:rStyle w:val="Hyperlink"/>
                <w:noProof/>
              </w:rPr>
              <w:t>2</w:t>
            </w:r>
            <w:r w:rsidR="00670CC9">
              <w:rPr>
                <w:b w:val="0"/>
                <w:noProof/>
                <w:lang w:eastAsia="en-AU"/>
              </w:rPr>
              <w:tab/>
            </w:r>
            <w:r w:rsidR="00670CC9" w:rsidRPr="007F3B01">
              <w:rPr>
                <w:rStyle w:val="Hyperlink"/>
                <w:noProof/>
              </w:rPr>
              <w:t>Participant population</w:t>
            </w:r>
            <w:r w:rsidR="00670CC9">
              <w:rPr>
                <w:noProof/>
                <w:webHidden/>
              </w:rPr>
              <w:tab/>
            </w:r>
            <w:r w:rsidR="00670CC9">
              <w:rPr>
                <w:noProof/>
                <w:webHidden/>
              </w:rPr>
              <w:fldChar w:fldCharType="begin"/>
            </w:r>
            <w:r w:rsidR="00670CC9">
              <w:rPr>
                <w:noProof/>
                <w:webHidden/>
              </w:rPr>
              <w:instrText xml:space="preserve"> PAGEREF _Toc512529315 \h </w:instrText>
            </w:r>
            <w:r w:rsidR="00670CC9">
              <w:rPr>
                <w:noProof/>
                <w:webHidden/>
              </w:rPr>
            </w:r>
            <w:r w:rsidR="00670CC9">
              <w:rPr>
                <w:noProof/>
                <w:webHidden/>
              </w:rPr>
              <w:fldChar w:fldCharType="separate"/>
            </w:r>
            <w:r w:rsidR="00AA36FE">
              <w:rPr>
                <w:noProof/>
                <w:webHidden/>
              </w:rPr>
              <w:t>16</w:t>
            </w:r>
            <w:r w:rsidR="00670CC9">
              <w:rPr>
                <w:noProof/>
                <w:webHidden/>
              </w:rPr>
              <w:fldChar w:fldCharType="end"/>
            </w:r>
          </w:hyperlink>
        </w:p>
        <w:p w14:paraId="17D00837" w14:textId="14121526" w:rsidR="00670CC9" w:rsidRDefault="00B034E5">
          <w:pPr>
            <w:pStyle w:val="TOC2"/>
          </w:pPr>
          <w:hyperlink w:anchor="_Toc512529316" w:history="1">
            <w:r w:rsidR="00670CC9" w:rsidRPr="007F3B01">
              <w:rPr>
                <w:rStyle w:val="Hyperlink"/>
              </w:rPr>
              <w:t>2.1</w:t>
            </w:r>
            <w:r w:rsidR="00670CC9">
              <w:tab/>
            </w:r>
            <w:r w:rsidR="00670CC9" w:rsidRPr="007F3B01">
              <w:rPr>
                <w:rStyle w:val="Hyperlink"/>
              </w:rPr>
              <w:t>Job seeker pathways through the RATTUAJ programme</w:t>
            </w:r>
            <w:r w:rsidR="00670CC9">
              <w:rPr>
                <w:webHidden/>
              </w:rPr>
              <w:tab/>
            </w:r>
            <w:r w:rsidR="00670CC9">
              <w:rPr>
                <w:webHidden/>
              </w:rPr>
              <w:fldChar w:fldCharType="begin"/>
            </w:r>
            <w:r w:rsidR="00670CC9">
              <w:rPr>
                <w:webHidden/>
              </w:rPr>
              <w:instrText xml:space="preserve"> PAGEREF _Toc512529316 \h </w:instrText>
            </w:r>
            <w:r w:rsidR="00670CC9">
              <w:rPr>
                <w:webHidden/>
              </w:rPr>
            </w:r>
            <w:r w:rsidR="00670CC9">
              <w:rPr>
                <w:webHidden/>
              </w:rPr>
              <w:fldChar w:fldCharType="separate"/>
            </w:r>
            <w:r w:rsidR="00AA36FE">
              <w:rPr>
                <w:webHidden/>
              </w:rPr>
              <w:t>16</w:t>
            </w:r>
            <w:r w:rsidR="00670CC9">
              <w:rPr>
                <w:webHidden/>
              </w:rPr>
              <w:fldChar w:fldCharType="end"/>
            </w:r>
          </w:hyperlink>
        </w:p>
        <w:p w14:paraId="22D7E5BF" w14:textId="74469501" w:rsidR="00670CC9" w:rsidRDefault="00B034E5">
          <w:pPr>
            <w:pStyle w:val="TOC2"/>
          </w:pPr>
          <w:hyperlink w:anchor="_Toc512529317" w:history="1">
            <w:r w:rsidR="00670CC9" w:rsidRPr="007F3B01">
              <w:rPr>
                <w:rStyle w:val="Hyperlink"/>
              </w:rPr>
              <w:t>2.2</w:t>
            </w:r>
            <w:r w:rsidR="00670CC9">
              <w:tab/>
            </w:r>
            <w:r w:rsidR="00670CC9" w:rsidRPr="007F3B01">
              <w:rPr>
                <w:rStyle w:val="Hyperlink"/>
              </w:rPr>
              <w:t>Job seeker characteristics</w:t>
            </w:r>
            <w:r w:rsidR="00670CC9">
              <w:rPr>
                <w:webHidden/>
              </w:rPr>
              <w:tab/>
            </w:r>
            <w:r w:rsidR="00670CC9">
              <w:rPr>
                <w:webHidden/>
              </w:rPr>
              <w:fldChar w:fldCharType="begin"/>
            </w:r>
            <w:r w:rsidR="00670CC9">
              <w:rPr>
                <w:webHidden/>
              </w:rPr>
              <w:instrText xml:space="preserve"> PAGEREF _Toc512529317 \h </w:instrText>
            </w:r>
            <w:r w:rsidR="00670CC9">
              <w:rPr>
                <w:webHidden/>
              </w:rPr>
            </w:r>
            <w:r w:rsidR="00670CC9">
              <w:rPr>
                <w:webHidden/>
              </w:rPr>
              <w:fldChar w:fldCharType="separate"/>
            </w:r>
            <w:r w:rsidR="00AA36FE">
              <w:rPr>
                <w:webHidden/>
              </w:rPr>
              <w:t>18</w:t>
            </w:r>
            <w:r w:rsidR="00670CC9">
              <w:rPr>
                <w:webHidden/>
              </w:rPr>
              <w:fldChar w:fldCharType="end"/>
            </w:r>
          </w:hyperlink>
        </w:p>
        <w:p w14:paraId="4F9599F7" w14:textId="73360BCD" w:rsidR="00670CC9" w:rsidRDefault="00B034E5">
          <w:pPr>
            <w:pStyle w:val="TOC1"/>
            <w:rPr>
              <w:b w:val="0"/>
              <w:noProof/>
              <w:lang w:eastAsia="en-AU"/>
            </w:rPr>
          </w:pPr>
          <w:hyperlink w:anchor="_Toc512529318" w:history="1">
            <w:r w:rsidR="00670CC9" w:rsidRPr="007F3B01">
              <w:rPr>
                <w:rStyle w:val="Hyperlink"/>
                <w:noProof/>
              </w:rPr>
              <w:t>3</w:t>
            </w:r>
            <w:r w:rsidR="00670CC9">
              <w:rPr>
                <w:b w:val="0"/>
                <w:noProof/>
                <w:lang w:eastAsia="en-AU"/>
              </w:rPr>
              <w:tab/>
            </w:r>
            <w:r w:rsidR="00670CC9" w:rsidRPr="007F3B01">
              <w:rPr>
                <w:rStyle w:val="Hyperlink"/>
                <w:noProof/>
              </w:rPr>
              <w:t>Key evaluation questions</w:t>
            </w:r>
            <w:r w:rsidR="00670CC9">
              <w:rPr>
                <w:noProof/>
                <w:webHidden/>
              </w:rPr>
              <w:tab/>
            </w:r>
            <w:r w:rsidR="00670CC9">
              <w:rPr>
                <w:noProof/>
                <w:webHidden/>
              </w:rPr>
              <w:fldChar w:fldCharType="begin"/>
            </w:r>
            <w:r w:rsidR="00670CC9">
              <w:rPr>
                <w:noProof/>
                <w:webHidden/>
              </w:rPr>
              <w:instrText xml:space="preserve"> PAGEREF _Toc512529318 \h </w:instrText>
            </w:r>
            <w:r w:rsidR="00670CC9">
              <w:rPr>
                <w:noProof/>
                <w:webHidden/>
              </w:rPr>
            </w:r>
            <w:r w:rsidR="00670CC9">
              <w:rPr>
                <w:noProof/>
                <w:webHidden/>
              </w:rPr>
              <w:fldChar w:fldCharType="separate"/>
            </w:r>
            <w:r w:rsidR="00AA36FE">
              <w:rPr>
                <w:noProof/>
                <w:webHidden/>
              </w:rPr>
              <w:t>19</w:t>
            </w:r>
            <w:r w:rsidR="00670CC9">
              <w:rPr>
                <w:noProof/>
                <w:webHidden/>
              </w:rPr>
              <w:fldChar w:fldCharType="end"/>
            </w:r>
          </w:hyperlink>
        </w:p>
        <w:p w14:paraId="394080CE" w14:textId="03658D88" w:rsidR="00670CC9" w:rsidRDefault="00B034E5">
          <w:pPr>
            <w:pStyle w:val="TOC2"/>
          </w:pPr>
          <w:hyperlink w:anchor="_Toc512529319" w:history="1">
            <w:r w:rsidR="00670CC9" w:rsidRPr="007F3B01">
              <w:rPr>
                <w:rStyle w:val="Hyperlink"/>
              </w:rPr>
              <w:t>3.1</w:t>
            </w:r>
            <w:r w:rsidR="00670CC9">
              <w:tab/>
            </w:r>
            <w:r w:rsidR="00670CC9" w:rsidRPr="007F3B01">
              <w:rPr>
                <w:rStyle w:val="Hyperlink"/>
              </w:rPr>
              <w:t>Do program participants relocate successfully?</w:t>
            </w:r>
            <w:r w:rsidR="00670CC9">
              <w:rPr>
                <w:webHidden/>
              </w:rPr>
              <w:tab/>
            </w:r>
            <w:r w:rsidR="00670CC9">
              <w:rPr>
                <w:webHidden/>
              </w:rPr>
              <w:fldChar w:fldCharType="begin"/>
            </w:r>
            <w:r w:rsidR="00670CC9">
              <w:rPr>
                <w:webHidden/>
              </w:rPr>
              <w:instrText xml:space="preserve"> PAGEREF _Toc512529319 \h </w:instrText>
            </w:r>
            <w:r w:rsidR="00670CC9">
              <w:rPr>
                <w:webHidden/>
              </w:rPr>
            </w:r>
            <w:r w:rsidR="00670CC9">
              <w:rPr>
                <w:webHidden/>
              </w:rPr>
              <w:fldChar w:fldCharType="separate"/>
            </w:r>
            <w:r w:rsidR="00AA36FE">
              <w:rPr>
                <w:webHidden/>
              </w:rPr>
              <w:t>19</w:t>
            </w:r>
            <w:r w:rsidR="00670CC9">
              <w:rPr>
                <w:webHidden/>
              </w:rPr>
              <w:fldChar w:fldCharType="end"/>
            </w:r>
          </w:hyperlink>
        </w:p>
        <w:p w14:paraId="7A9A4423" w14:textId="38780C53" w:rsidR="00670CC9" w:rsidRDefault="00B034E5">
          <w:pPr>
            <w:pStyle w:val="TOC2"/>
          </w:pPr>
          <w:hyperlink w:anchor="_Toc512529320" w:history="1">
            <w:r w:rsidR="00670CC9" w:rsidRPr="007F3B01">
              <w:rPr>
                <w:rStyle w:val="Hyperlink"/>
              </w:rPr>
              <w:t>3.2</w:t>
            </w:r>
            <w:r w:rsidR="00670CC9">
              <w:tab/>
            </w:r>
            <w:r w:rsidR="00670CC9" w:rsidRPr="007F3B01">
              <w:rPr>
                <w:rStyle w:val="Hyperlink"/>
              </w:rPr>
              <w:t>Do relocated job seekers achieve paid employment outcomes?</w:t>
            </w:r>
            <w:r w:rsidR="00670CC9">
              <w:rPr>
                <w:webHidden/>
              </w:rPr>
              <w:tab/>
            </w:r>
            <w:r w:rsidR="00670CC9">
              <w:rPr>
                <w:webHidden/>
              </w:rPr>
              <w:fldChar w:fldCharType="begin"/>
            </w:r>
            <w:r w:rsidR="00670CC9">
              <w:rPr>
                <w:webHidden/>
              </w:rPr>
              <w:instrText xml:space="preserve"> PAGEREF _Toc512529320 \h </w:instrText>
            </w:r>
            <w:r w:rsidR="00670CC9">
              <w:rPr>
                <w:webHidden/>
              </w:rPr>
            </w:r>
            <w:r w:rsidR="00670CC9">
              <w:rPr>
                <w:webHidden/>
              </w:rPr>
              <w:fldChar w:fldCharType="separate"/>
            </w:r>
            <w:r w:rsidR="00AA36FE">
              <w:rPr>
                <w:webHidden/>
              </w:rPr>
              <w:t>22</w:t>
            </w:r>
            <w:r w:rsidR="00670CC9">
              <w:rPr>
                <w:webHidden/>
              </w:rPr>
              <w:fldChar w:fldCharType="end"/>
            </w:r>
          </w:hyperlink>
        </w:p>
        <w:p w14:paraId="0B34E2BC" w14:textId="1BA13DA0" w:rsidR="00670CC9" w:rsidRDefault="00B034E5">
          <w:pPr>
            <w:pStyle w:val="TOC2"/>
          </w:pPr>
          <w:hyperlink w:anchor="_Toc512529321" w:history="1">
            <w:r w:rsidR="00670CC9" w:rsidRPr="007F3B01">
              <w:rPr>
                <w:rStyle w:val="Hyperlink"/>
              </w:rPr>
              <w:t>3.3</w:t>
            </w:r>
            <w:r w:rsidR="00670CC9">
              <w:tab/>
            </w:r>
            <w:r w:rsidR="00670CC9" w:rsidRPr="007F3B01">
              <w:rPr>
                <w:rStyle w:val="Hyperlink"/>
              </w:rPr>
              <w:t>Do relocated job seekers remain off income support or report earnings?</w:t>
            </w:r>
            <w:r w:rsidR="00670CC9">
              <w:rPr>
                <w:webHidden/>
              </w:rPr>
              <w:tab/>
            </w:r>
            <w:r w:rsidR="00670CC9">
              <w:rPr>
                <w:webHidden/>
              </w:rPr>
              <w:fldChar w:fldCharType="begin"/>
            </w:r>
            <w:r w:rsidR="00670CC9">
              <w:rPr>
                <w:webHidden/>
              </w:rPr>
              <w:instrText xml:space="preserve"> PAGEREF _Toc512529321 \h </w:instrText>
            </w:r>
            <w:r w:rsidR="00670CC9">
              <w:rPr>
                <w:webHidden/>
              </w:rPr>
            </w:r>
            <w:r w:rsidR="00670CC9">
              <w:rPr>
                <w:webHidden/>
              </w:rPr>
              <w:fldChar w:fldCharType="separate"/>
            </w:r>
            <w:r w:rsidR="00AA36FE">
              <w:rPr>
                <w:webHidden/>
              </w:rPr>
              <w:t>25</w:t>
            </w:r>
            <w:r w:rsidR="00670CC9">
              <w:rPr>
                <w:webHidden/>
              </w:rPr>
              <w:fldChar w:fldCharType="end"/>
            </w:r>
          </w:hyperlink>
        </w:p>
        <w:p w14:paraId="06EB0F0E" w14:textId="2A4A86A6" w:rsidR="00670CC9" w:rsidRDefault="00B034E5">
          <w:pPr>
            <w:pStyle w:val="TOC2"/>
          </w:pPr>
          <w:hyperlink w:anchor="_Toc512529322" w:history="1">
            <w:r w:rsidR="00670CC9" w:rsidRPr="007F3B01">
              <w:rPr>
                <w:rStyle w:val="Hyperlink"/>
              </w:rPr>
              <w:t>3.4</w:t>
            </w:r>
            <w:r w:rsidR="00670CC9">
              <w:tab/>
            </w:r>
            <w:r w:rsidR="00670CC9" w:rsidRPr="007F3B01">
              <w:rPr>
                <w:rStyle w:val="Hyperlink"/>
              </w:rPr>
              <w:t>What factors contribute to successful relocation and sustained employment?</w:t>
            </w:r>
            <w:r w:rsidR="00670CC9">
              <w:rPr>
                <w:webHidden/>
              </w:rPr>
              <w:tab/>
            </w:r>
            <w:r w:rsidR="00670CC9">
              <w:rPr>
                <w:webHidden/>
              </w:rPr>
              <w:fldChar w:fldCharType="begin"/>
            </w:r>
            <w:r w:rsidR="00670CC9">
              <w:rPr>
                <w:webHidden/>
              </w:rPr>
              <w:instrText xml:space="preserve"> PAGEREF _Toc512529322 \h </w:instrText>
            </w:r>
            <w:r w:rsidR="00670CC9">
              <w:rPr>
                <w:webHidden/>
              </w:rPr>
            </w:r>
            <w:r w:rsidR="00670CC9">
              <w:rPr>
                <w:webHidden/>
              </w:rPr>
              <w:fldChar w:fldCharType="separate"/>
            </w:r>
            <w:r w:rsidR="00AA36FE">
              <w:rPr>
                <w:webHidden/>
              </w:rPr>
              <w:t>28</w:t>
            </w:r>
            <w:r w:rsidR="00670CC9">
              <w:rPr>
                <w:webHidden/>
              </w:rPr>
              <w:fldChar w:fldCharType="end"/>
            </w:r>
          </w:hyperlink>
        </w:p>
        <w:p w14:paraId="02AD4DE1" w14:textId="4466EA07" w:rsidR="00670CC9" w:rsidRDefault="00B034E5">
          <w:pPr>
            <w:pStyle w:val="TOC2"/>
          </w:pPr>
          <w:hyperlink w:anchor="_Toc512529323" w:history="1">
            <w:r w:rsidR="00670CC9" w:rsidRPr="007F3B01">
              <w:rPr>
                <w:rStyle w:val="Hyperlink"/>
              </w:rPr>
              <w:t>3.5</w:t>
            </w:r>
            <w:r w:rsidR="00670CC9">
              <w:tab/>
            </w:r>
            <w:r w:rsidR="00670CC9" w:rsidRPr="007F3B01">
              <w:rPr>
                <w:rStyle w:val="Hyperlink"/>
              </w:rPr>
              <w:t>How important is job match and prospects to successful relocation and employment?</w:t>
            </w:r>
            <w:r w:rsidR="00670CC9">
              <w:rPr>
                <w:webHidden/>
              </w:rPr>
              <w:tab/>
            </w:r>
            <w:r w:rsidR="00670CC9">
              <w:rPr>
                <w:webHidden/>
              </w:rPr>
              <w:fldChar w:fldCharType="begin"/>
            </w:r>
            <w:r w:rsidR="00670CC9">
              <w:rPr>
                <w:webHidden/>
              </w:rPr>
              <w:instrText xml:space="preserve"> PAGEREF _Toc512529323 \h </w:instrText>
            </w:r>
            <w:r w:rsidR="00670CC9">
              <w:rPr>
                <w:webHidden/>
              </w:rPr>
            </w:r>
            <w:r w:rsidR="00670CC9">
              <w:rPr>
                <w:webHidden/>
              </w:rPr>
              <w:fldChar w:fldCharType="separate"/>
            </w:r>
            <w:r w:rsidR="00AA36FE">
              <w:rPr>
                <w:webHidden/>
              </w:rPr>
              <w:t>36</w:t>
            </w:r>
            <w:r w:rsidR="00670CC9">
              <w:rPr>
                <w:webHidden/>
              </w:rPr>
              <w:fldChar w:fldCharType="end"/>
            </w:r>
          </w:hyperlink>
        </w:p>
        <w:p w14:paraId="4D915048" w14:textId="4543449E" w:rsidR="00670CC9" w:rsidRDefault="00B034E5">
          <w:pPr>
            <w:pStyle w:val="TOC2"/>
          </w:pPr>
          <w:hyperlink w:anchor="_Toc512529324" w:history="1">
            <w:r w:rsidR="00670CC9" w:rsidRPr="007F3B01">
              <w:rPr>
                <w:rStyle w:val="Hyperlink"/>
              </w:rPr>
              <w:t>3.6</w:t>
            </w:r>
            <w:r w:rsidR="00670CC9">
              <w:tab/>
            </w:r>
            <w:r w:rsidR="00670CC9" w:rsidRPr="007F3B01">
              <w:rPr>
                <w:rStyle w:val="Hyperlink"/>
              </w:rPr>
              <w:t>What strategies do employment services providers use to promote the program, source jobs and ensure a good job match?</w:t>
            </w:r>
            <w:r w:rsidR="00670CC9">
              <w:rPr>
                <w:webHidden/>
              </w:rPr>
              <w:tab/>
            </w:r>
            <w:r w:rsidR="00670CC9">
              <w:rPr>
                <w:webHidden/>
              </w:rPr>
              <w:fldChar w:fldCharType="begin"/>
            </w:r>
            <w:r w:rsidR="00670CC9">
              <w:rPr>
                <w:webHidden/>
              </w:rPr>
              <w:instrText xml:space="preserve"> PAGEREF _Toc512529324 \h </w:instrText>
            </w:r>
            <w:r w:rsidR="00670CC9">
              <w:rPr>
                <w:webHidden/>
              </w:rPr>
            </w:r>
            <w:r w:rsidR="00670CC9">
              <w:rPr>
                <w:webHidden/>
              </w:rPr>
              <w:fldChar w:fldCharType="separate"/>
            </w:r>
            <w:r w:rsidR="00AA36FE">
              <w:rPr>
                <w:webHidden/>
              </w:rPr>
              <w:t>40</w:t>
            </w:r>
            <w:r w:rsidR="00670CC9">
              <w:rPr>
                <w:webHidden/>
              </w:rPr>
              <w:fldChar w:fldCharType="end"/>
            </w:r>
          </w:hyperlink>
        </w:p>
        <w:p w14:paraId="5AC1C60E" w14:textId="2B1B9CD1" w:rsidR="00670CC9" w:rsidRDefault="00B034E5">
          <w:pPr>
            <w:pStyle w:val="TOC2"/>
          </w:pPr>
          <w:hyperlink w:anchor="_Toc512529325" w:history="1">
            <w:r w:rsidR="00670CC9" w:rsidRPr="007F3B01">
              <w:rPr>
                <w:rStyle w:val="Hyperlink"/>
              </w:rPr>
              <w:t>3.7</w:t>
            </w:r>
            <w:r w:rsidR="00670CC9">
              <w:tab/>
            </w:r>
            <w:r w:rsidR="00670CC9" w:rsidRPr="007F3B01">
              <w:rPr>
                <w:rStyle w:val="Hyperlink"/>
              </w:rPr>
              <w:t>What are the major factors that contribute to job seekers’ decisions to relocate?</w:t>
            </w:r>
            <w:r w:rsidR="00670CC9">
              <w:rPr>
                <w:webHidden/>
              </w:rPr>
              <w:tab/>
            </w:r>
            <w:r w:rsidR="00670CC9">
              <w:rPr>
                <w:webHidden/>
              </w:rPr>
              <w:fldChar w:fldCharType="begin"/>
            </w:r>
            <w:r w:rsidR="00670CC9">
              <w:rPr>
                <w:webHidden/>
              </w:rPr>
              <w:instrText xml:space="preserve"> PAGEREF _Toc512529325 \h </w:instrText>
            </w:r>
            <w:r w:rsidR="00670CC9">
              <w:rPr>
                <w:webHidden/>
              </w:rPr>
            </w:r>
            <w:r w:rsidR="00670CC9">
              <w:rPr>
                <w:webHidden/>
              </w:rPr>
              <w:fldChar w:fldCharType="separate"/>
            </w:r>
            <w:r w:rsidR="00AA36FE">
              <w:rPr>
                <w:webHidden/>
              </w:rPr>
              <w:t>45</w:t>
            </w:r>
            <w:r w:rsidR="00670CC9">
              <w:rPr>
                <w:webHidden/>
              </w:rPr>
              <w:fldChar w:fldCharType="end"/>
            </w:r>
          </w:hyperlink>
        </w:p>
        <w:p w14:paraId="56D7E725" w14:textId="2394785D" w:rsidR="00670CC9" w:rsidRDefault="00B034E5">
          <w:pPr>
            <w:pStyle w:val="TOC2"/>
          </w:pPr>
          <w:hyperlink w:anchor="_Toc512529326" w:history="1">
            <w:r w:rsidR="00670CC9" w:rsidRPr="007F3B01">
              <w:rPr>
                <w:rStyle w:val="Hyperlink"/>
              </w:rPr>
              <w:t>3.8</w:t>
            </w:r>
            <w:r w:rsidR="00670CC9">
              <w:tab/>
            </w:r>
            <w:r w:rsidR="00670CC9" w:rsidRPr="007F3B01">
              <w:rPr>
                <w:rStyle w:val="Hyperlink"/>
              </w:rPr>
              <w:t>What are the barriers to job seekers relocating? Is the potential of a 12 week income support non-payment period for leaving a job a factor?</w:t>
            </w:r>
            <w:r w:rsidR="00670CC9">
              <w:rPr>
                <w:webHidden/>
              </w:rPr>
              <w:tab/>
            </w:r>
            <w:r w:rsidR="00670CC9">
              <w:rPr>
                <w:webHidden/>
              </w:rPr>
              <w:fldChar w:fldCharType="begin"/>
            </w:r>
            <w:r w:rsidR="00670CC9">
              <w:rPr>
                <w:webHidden/>
              </w:rPr>
              <w:instrText xml:space="preserve"> PAGEREF _Toc512529326 \h </w:instrText>
            </w:r>
            <w:r w:rsidR="00670CC9">
              <w:rPr>
                <w:webHidden/>
              </w:rPr>
            </w:r>
            <w:r w:rsidR="00670CC9">
              <w:rPr>
                <w:webHidden/>
              </w:rPr>
              <w:fldChar w:fldCharType="separate"/>
            </w:r>
            <w:r w:rsidR="00AA36FE">
              <w:rPr>
                <w:webHidden/>
              </w:rPr>
              <w:t>48</w:t>
            </w:r>
            <w:r w:rsidR="00670CC9">
              <w:rPr>
                <w:webHidden/>
              </w:rPr>
              <w:fldChar w:fldCharType="end"/>
            </w:r>
          </w:hyperlink>
        </w:p>
        <w:p w14:paraId="33CB4B09" w14:textId="0189CCAE" w:rsidR="00670CC9" w:rsidRDefault="00B034E5">
          <w:pPr>
            <w:pStyle w:val="TOC1"/>
            <w:rPr>
              <w:b w:val="0"/>
              <w:noProof/>
              <w:lang w:eastAsia="en-AU"/>
            </w:rPr>
          </w:pPr>
          <w:hyperlink w:anchor="_Toc512529327" w:history="1">
            <w:r w:rsidR="00670CC9" w:rsidRPr="007F3B01">
              <w:rPr>
                <w:rStyle w:val="Hyperlink"/>
                <w:noProof/>
              </w:rPr>
              <w:t>4</w:t>
            </w:r>
            <w:r w:rsidR="00670CC9">
              <w:rPr>
                <w:b w:val="0"/>
                <w:noProof/>
                <w:lang w:eastAsia="en-AU"/>
              </w:rPr>
              <w:tab/>
            </w:r>
            <w:r w:rsidR="00670CC9" w:rsidRPr="007F3B01">
              <w:rPr>
                <w:rStyle w:val="Hyperlink"/>
                <w:noProof/>
              </w:rPr>
              <w:t>Emerging Issues</w:t>
            </w:r>
            <w:r w:rsidR="00670CC9">
              <w:rPr>
                <w:noProof/>
                <w:webHidden/>
              </w:rPr>
              <w:tab/>
            </w:r>
            <w:r w:rsidR="00670CC9">
              <w:rPr>
                <w:noProof/>
                <w:webHidden/>
              </w:rPr>
              <w:fldChar w:fldCharType="begin"/>
            </w:r>
            <w:r w:rsidR="00670CC9">
              <w:rPr>
                <w:noProof/>
                <w:webHidden/>
              </w:rPr>
              <w:instrText xml:space="preserve"> PAGEREF _Toc512529327 \h </w:instrText>
            </w:r>
            <w:r w:rsidR="00670CC9">
              <w:rPr>
                <w:noProof/>
                <w:webHidden/>
              </w:rPr>
            </w:r>
            <w:r w:rsidR="00670CC9">
              <w:rPr>
                <w:noProof/>
                <w:webHidden/>
              </w:rPr>
              <w:fldChar w:fldCharType="separate"/>
            </w:r>
            <w:r w:rsidR="00AA36FE">
              <w:rPr>
                <w:noProof/>
                <w:webHidden/>
              </w:rPr>
              <w:t>54</w:t>
            </w:r>
            <w:r w:rsidR="00670CC9">
              <w:rPr>
                <w:noProof/>
                <w:webHidden/>
              </w:rPr>
              <w:fldChar w:fldCharType="end"/>
            </w:r>
          </w:hyperlink>
        </w:p>
        <w:p w14:paraId="190A74E2" w14:textId="5FA4BDA4" w:rsidR="00670CC9" w:rsidRDefault="00B034E5">
          <w:pPr>
            <w:pStyle w:val="TOC2"/>
          </w:pPr>
          <w:hyperlink w:anchor="_Toc512529328" w:history="1">
            <w:r w:rsidR="00670CC9" w:rsidRPr="007F3B01">
              <w:rPr>
                <w:rStyle w:val="Hyperlink"/>
              </w:rPr>
              <w:t>4.1</w:t>
            </w:r>
            <w:r w:rsidR="00670CC9">
              <w:tab/>
            </w:r>
            <w:r w:rsidR="00670CC9" w:rsidRPr="007F3B01">
              <w:rPr>
                <w:rStyle w:val="Hyperlink"/>
              </w:rPr>
              <w:t>Financial issues</w:t>
            </w:r>
            <w:r w:rsidR="00670CC9">
              <w:rPr>
                <w:webHidden/>
              </w:rPr>
              <w:tab/>
            </w:r>
            <w:r w:rsidR="00670CC9">
              <w:rPr>
                <w:webHidden/>
              </w:rPr>
              <w:fldChar w:fldCharType="begin"/>
            </w:r>
            <w:r w:rsidR="00670CC9">
              <w:rPr>
                <w:webHidden/>
              </w:rPr>
              <w:instrText xml:space="preserve"> PAGEREF _Toc512529328 \h </w:instrText>
            </w:r>
            <w:r w:rsidR="00670CC9">
              <w:rPr>
                <w:webHidden/>
              </w:rPr>
            </w:r>
            <w:r w:rsidR="00670CC9">
              <w:rPr>
                <w:webHidden/>
              </w:rPr>
              <w:fldChar w:fldCharType="separate"/>
            </w:r>
            <w:r w:rsidR="00AA36FE">
              <w:rPr>
                <w:webHidden/>
              </w:rPr>
              <w:t>54</w:t>
            </w:r>
            <w:r w:rsidR="00670CC9">
              <w:rPr>
                <w:webHidden/>
              </w:rPr>
              <w:fldChar w:fldCharType="end"/>
            </w:r>
          </w:hyperlink>
        </w:p>
        <w:p w14:paraId="4132C90F" w14:textId="44B73B1F" w:rsidR="00670CC9" w:rsidRDefault="00B034E5">
          <w:pPr>
            <w:pStyle w:val="TOC2"/>
          </w:pPr>
          <w:hyperlink w:anchor="_Toc512529329" w:history="1">
            <w:r w:rsidR="00670CC9" w:rsidRPr="007F3B01">
              <w:rPr>
                <w:rStyle w:val="Hyperlink"/>
              </w:rPr>
              <w:t>4.2</w:t>
            </w:r>
            <w:r w:rsidR="00670CC9">
              <w:tab/>
            </w:r>
            <w:r w:rsidR="00670CC9" w:rsidRPr="007F3B01">
              <w:rPr>
                <w:rStyle w:val="Hyperlink"/>
              </w:rPr>
              <w:t>Administrative burden</w:t>
            </w:r>
            <w:r w:rsidR="00670CC9">
              <w:rPr>
                <w:webHidden/>
              </w:rPr>
              <w:tab/>
            </w:r>
            <w:r w:rsidR="00670CC9">
              <w:rPr>
                <w:webHidden/>
              </w:rPr>
              <w:fldChar w:fldCharType="begin"/>
            </w:r>
            <w:r w:rsidR="00670CC9">
              <w:rPr>
                <w:webHidden/>
              </w:rPr>
              <w:instrText xml:space="preserve"> PAGEREF _Toc512529329 \h </w:instrText>
            </w:r>
            <w:r w:rsidR="00670CC9">
              <w:rPr>
                <w:webHidden/>
              </w:rPr>
            </w:r>
            <w:r w:rsidR="00670CC9">
              <w:rPr>
                <w:webHidden/>
              </w:rPr>
              <w:fldChar w:fldCharType="separate"/>
            </w:r>
            <w:r w:rsidR="00AA36FE">
              <w:rPr>
                <w:webHidden/>
              </w:rPr>
              <w:t>61</w:t>
            </w:r>
            <w:r w:rsidR="00670CC9">
              <w:rPr>
                <w:webHidden/>
              </w:rPr>
              <w:fldChar w:fldCharType="end"/>
            </w:r>
          </w:hyperlink>
        </w:p>
        <w:p w14:paraId="54581ED0" w14:textId="4A8997E8" w:rsidR="00670CC9" w:rsidRDefault="00B034E5">
          <w:pPr>
            <w:pStyle w:val="TOC2"/>
          </w:pPr>
          <w:hyperlink w:anchor="_Toc512529330" w:history="1">
            <w:r w:rsidR="00670CC9" w:rsidRPr="007F3B01">
              <w:rPr>
                <w:rStyle w:val="Hyperlink"/>
              </w:rPr>
              <w:t>4.3</w:t>
            </w:r>
            <w:r w:rsidR="00670CC9">
              <w:tab/>
            </w:r>
            <w:r w:rsidR="00670CC9" w:rsidRPr="007F3B01">
              <w:rPr>
                <w:rStyle w:val="Hyperlink"/>
              </w:rPr>
              <w:t>Eligibility Issues</w:t>
            </w:r>
            <w:r w:rsidR="00670CC9">
              <w:rPr>
                <w:webHidden/>
              </w:rPr>
              <w:tab/>
            </w:r>
            <w:r w:rsidR="00670CC9">
              <w:rPr>
                <w:webHidden/>
              </w:rPr>
              <w:fldChar w:fldCharType="begin"/>
            </w:r>
            <w:r w:rsidR="00670CC9">
              <w:rPr>
                <w:webHidden/>
              </w:rPr>
              <w:instrText xml:space="preserve"> PAGEREF _Toc512529330 \h </w:instrText>
            </w:r>
            <w:r w:rsidR="00670CC9">
              <w:rPr>
                <w:webHidden/>
              </w:rPr>
            </w:r>
            <w:r w:rsidR="00670CC9">
              <w:rPr>
                <w:webHidden/>
              </w:rPr>
              <w:fldChar w:fldCharType="separate"/>
            </w:r>
            <w:r w:rsidR="00AA36FE">
              <w:rPr>
                <w:webHidden/>
              </w:rPr>
              <w:t>62</w:t>
            </w:r>
            <w:r w:rsidR="00670CC9">
              <w:rPr>
                <w:webHidden/>
              </w:rPr>
              <w:fldChar w:fldCharType="end"/>
            </w:r>
          </w:hyperlink>
        </w:p>
        <w:p w14:paraId="53A2EDA6" w14:textId="5276935C" w:rsidR="00670CC9" w:rsidRDefault="00B034E5">
          <w:pPr>
            <w:pStyle w:val="TOC1"/>
            <w:rPr>
              <w:b w:val="0"/>
              <w:noProof/>
              <w:lang w:eastAsia="en-AU"/>
            </w:rPr>
          </w:pPr>
          <w:hyperlink w:anchor="_Toc512529331" w:history="1">
            <w:r w:rsidR="00670CC9" w:rsidRPr="007F3B01">
              <w:rPr>
                <w:rStyle w:val="Hyperlink"/>
                <w:noProof/>
              </w:rPr>
              <w:t>5</w:t>
            </w:r>
            <w:r w:rsidR="00670CC9">
              <w:rPr>
                <w:b w:val="0"/>
                <w:noProof/>
                <w:lang w:eastAsia="en-AU"/>
              </w:rPr>
              <w:tab/>
            </w:r>
            <w:r w:rsidR="00670CC9" w:rsidRPr="007F3B01">
              <w:rPr>
                <w:rStyle w:val="Hyperlink"/>
                <w:noProof/>
              </w:rPr>
              <w:t>Conclusion</w:t>
            </w:r>
            <w:r w:rsidR="00670CC9">
              <w:rPr>
                <w:noProof/>
                <w:webHidden/>
              </w:rPr>
              <w:tab/>
            </w:r>
            <w:r w:rsidR="00670CC9">
              <w:rPr>
                <w:noProof/>
                <w:webHidden/>
              </w:rPr>
              <w:fldChar w:fldCharType="begin"/>
            </w:r>
            <w:r w:rsidR="00670CC9">
              <w:rPr>
                <w:noProof/>
                <w:webHidden/>
              </w:rPr>
              <w:instrText xml:space="preserve"> PAGEREF _Toc512529331 \h </w:instrText>
            </w:r>
            <w:r w:rsidR="00670CC9">
              <w:rPr>
                <w:noProof/>
                <w:webHidden/>
              </w:rPr>
            </w:r>
            <w:r w:rsidR="00670CC9">
              <w:rPr>
                <w:noProof/>
                <w:webHidden/>
              </w:rPr>
              <w:fldChar w:fldCharType="separate"/>
            </w:r>
            <w:r w:rsidR="00AA36FE">
              <w:rPr>
                <w:noProof/>
                <w:webHidden/>
              </w:rPr>
              <w:t>64</w:t>
            </w:r>
            <w:r w:rsidR="00670CC9">
              <w:rPr>
                <w:noProof/>
                <w:webHidden/>
              </w:rPr>
              <w:fldChar w:fldCharType="end"/>
            </w:r>
          </w:hyperlink>
        </w:p>
        <w:p w14:paraId="2C83DC36" w14:textId="61E957BB" w:rsidR="00670CC9" w:rsidRDefault="00B034E5">
          <w:pPr>
            <w:pStyle w:val="TOC2"/>
          </w:pPr>
          <w:hyperlink w:anchor="_Toc512529332" w:history="1">
            <w:r w:rsidR="00670CC9" w:rsidRPr="007F3B01">
              <w:rPr>
                <w:rStyle w:val="Hyperlink"/>
              </w:rPr>
              <w:t>5.1</w:t>
            </w:r>
            <w:r w:rsidR="00670CC9">
              <w:tab/>
            </w:r>
            <w:r w:rsidR="00670CC9" w:rsidRPr="007F3B01">
              <w:rPr>
                <w:rStyle w:val="Hyperlink"/>
              </w:rPr>
              <w:t>Findings</w:t>
            </w:r>
            <w:r w:rsidR="00670CC9">
              <w:rPr>
                <w:webHidden/>
              </w:rPr>
              <w:tab/>
            </w:r>
            <w:r w:rsidR="00670CC9">
              <w:rPr>
                <w:webHidden/>
              </w:rPr>
              <w:fldChar w:fldCharType="begin"/>
            </w:r>
            <w:r w:rsidR="00670CC9">
              <w:rPr>
                <w:webHidden/>
              </w:rPr>
              <w:instrText xml:space="preserve"> PAGEREF _Toc512529332 \h </w:instrText>
            </w:r>
            <w:r w:rsidR="00670CC9">
              <w:rPr>
                <w:webHidden/>
              </w:rPr>
            </w:r>
            <w:r w:rsidR="00670CC9">
              <w:rPr>
                <w:webHidden/>
              </w:rPr>
              <w:fldChar w:fldCharType="separate"/>
            </w:r>
            <w:r w:rsidR="00AA36FE">
              <w:rPr>
                <w:webHidden/>
              </w:rPr>
              <w:t>64</w:t>
            </w:r>
            <w:r w:rsidR="00670CC9">
              <w:rPr>
                <w:webHidden/>
              </w:rPr>
              <w:fldChar w:fldCharType="end"/>
            </w:r>
          </w:hyperlink>
        </w:p>
        <w:p w14:paraId="59A3D477" w14:textId="19A782EE" w:rsidR="00670CC9" w:rsidRDefault="00B034E5">
          <w:pPr>
            <w:pStyle w:val="TOC1"/>
            <w:rPr>
              <w:b w:val="0"/>
              <w:noProof/>
              <w:lang w:eastAsia="en-AU"/>
            </w:rPr>
          </w:pPr>
          <w:hyperlink w:anchor="_Toc512529333" w:history="1">
            <w:r w:rsidR="00670CC9" w:rsidRPr="007F3B01">
              <w:rPr>
                <w:rStyle w:val="Hyperlink"/>
                <w:noProof/>
              </w:rPr>
              <w:t>Appendix A – Administrative data analysis</w:t>
            </w:r>
            <w:r w:rsidR="00670CC9">
              <w:rPr>
                <w:noProof/>
                <w:webHidden/>
              </w:rPr>
              <w:tab/>
            </w:r>
            <w:r w:rsidR="00670CC9">
              <w:rPr>
                <w:noProof/>
                <w:webHidden/>
              </w:rPr>
              <w:fldChar w:fldCharType="begin"/>
            </w:r>
            <w:r w:rsidR="00670CC9">
              <w:rPr>
                <w:noProof/>
                <w:webHidden/>
              </w:rPr>
              <w:instrText xml:space="preserve"> PAGEREF _Toc512529333 \h </w:instrText>
            </w:r>
            <w:r w:rsidR="00670CC9">
              <w:rPr>
                <w:noProof/>
                <w:webHidden/>
              </w:rPr>
            </w:r>
            <w:r w:rsidR="00670CC9">
              <w:rPr>
                <w:noProof/>
                <w:webHidden/>
              </w:rPr>
              <w:fldChar w:fldCharType="separate"/>
            </w:r>
            <w:r w:rsidR="00AA36FE">
              <w:rPr>
                <w:noProof/>
                <w:webHidden/>
              </w:rPr>
              <w:t>68</w:t>
            </w:r>
            <w:r w:rsidR="00670CC9">
              <w:rPr>
                <w:noProof/>
                <w:webHidden/>
              </w:rPr>
              <w:fldChar w:fldCharType="end"/>
            </w:r>
          </w:hyperlink>
        </w:p>
        <w:p w14:paraId="7D1AB2B1" w14:textId="79B60556" w:rsidR="00670CC9" w:rsidRDefault="00B034E5">
          <w:pPr>
            <w:pStyle w:val="TOC2"/>
          </w:pPr>
          <w:hyperlink w:anchor="_Toc512529334" w:history="1">
            <w:r w:rsidR="00670CC9" w:rsidRPr="007F3B01">
              <w:rPr>
                <w:rStyle w:val="Hyperlink"/>
              </w:rPr>
              <w:t>Approved Relocation Agreements</w:t>
            </w:r>
            <w:r w:rsidR="00670CC9">
              <w:rPr>
                <w:webHidden/>
              </w:rPr>
              <w:tab/>
            </w:r>
            <w:r w:rsidR="00670CC9">
              <w:rPr>
                <w:webHidden/>
              </w:rPr>
              <w:fldChar w:fldCharType="begin"/>
            </w:r>
            <w:r w:rsidR="00670CC9">
              <w:rPr>
                <w:webHidden/>
              </w:rPr>
              <w:instrText xml:space="preserve"> PAGEREF _Toc512529334 \h </w:instrText>
            </w:r>
            <w:r w:rsidR="00670CC9">
              <w:rPr>
                <w:webHidden/>
              </w:rPr>
            </w:r>
            <w:r w:rsidR="00670CC9">
              <w:rPr>
                <w:webHidden/>
              </w:rPr>
              <w:fldChar w:fldCharType="separate"/>
            </w:r>
            <w:r w:rsidR="00AA36FE">
              <w:rPr>
                <w:webHidden/>
              </w:rPr>
              <w:t>68</w:t>
            </w:r>
            <w:r w:rsidR="00670CC9">
              <w:rPr>
                <w:webHidden/>
              </w:rPr>
              <w:fldChar w:fldCharType="end"/>
            </w:r>
          </w:hyperlink>
        </w:p>
        <w:p w14:paraId="04462BDD" w14:textId="75BBA336" w:rsidR="00670CC9" w:rsidRDefault="00B034E5">
          <w:pPr>
            <w:pStyle w:val="TOC2"/>
          </w:pPr>
          <w:hyperlink w:anchor="_Toc512529335" w:history="1">
            <w:r w:rsidR="00670CC9" w:rsidRPr="007F3B01">
              <w:rPr>
                <w:rStyle w:val="Hyperlink"/>
              </w:rPr>
              <w:t>Expenditure</w:t>
            </w:r>
            <w:r w:rsidR="00670CC9">
              <w:rPr>
                <w:webHidden/>
              </w:rPr>
              <w:tab/>
            </w:r>
            <w:r w:rsidR="00670CC9">
              <w:rPr>
                <w:webHidden/>
              </w:rPr>
              <w:fldChar w:fldCharType="begin"/>
            </w:r>
            <w:r w:rsidR="00670CC9">
              <w:rPr>
                <w:webHidden/>
              </w:rPr>
              <w:instrText xml:space="preserve"> PAGEREF _Toc512529335 \h </w:instrText>
            </w:r>
            <w:r w:rsidR="00670CC9">
              <w:rPr>
                <w:webHidden/>
              </w:rPr>
            </w:r>
            <w:r w:rsidR="00670CC9">
              <w:rPr>
                <w:webHidden/>
              </w:rPr>
              <w:fldChar w:fldCharType="separate"/>
            </w:r>
            <w:r w:rsidR="00AA36FE">
              <w:rPr>
                <w:webHidden/>
              </w:rPr>
              <w:t>69</w:t>
            </w:r>
            <w:r w:rsidR="00670CC9">
              <w:rPr>
                <w:webHidden/>
              </w:rPr>
              <w:fldChar w:fldCharType="end"/>
            </w:r>
          </w:hyperlink>
        </w:p>
        <w:p w14:paraId="130D5EA2" w14:textId="28C6F601" w:rsidR="00670CC9" w:rsidRDefault="00B034E5">
          <w:pPr>
            <w:pStyle w:val="TOC1"/>
            <w:rPr>
              <w:b w:val="0"/>
              <w:noProof/>
              <w:lang w:eastAsia="en-AU"/>
            </w:rPr>
          </w:pPr>
          <w:hyperlink w:anchor="_Toc512529336" w:history="1">
            <w:r w:rsidR="00670CC9" w:rsidRPr="007F3B01">
              <w:rPr>
                <w:rStyle w:val="Hyperlink"/>
                <w:noProof/>
              </w:rPr>
              <w:t>Appendix B – Data sources</w:t>
            </w:r>
            <w:r w:rsidR="00670CC9">
              <w:rPr>
                <w:noProof/>
                <w:webHidden/>
              </w:rPr>
              <w:tab/>
            </w:r>
            <w:r w:rsidR="00670CC9">
              <w:rPr>
                <w:noProof/>
                <w:webHidden/>
              </w:rPr>
              <w:fldChar w:fldCharType="begin"/>
            </w:r>
            <w:r w:rsidR="00670CC9">
              <w:rPr>
                <w:noProof/>
                <w:webHidden/>
              </w:rPr>
              <w:instrText xml:space="preserve"> PAGEREF _Toc512529336 \h </w:instrText>
            </w:r>
            <w:r w:rsidR="00670CC9">
              <w:rPr>
                <w:noProof/>
                <w:webHidden/>
              </w:rPr>
            </w:r>
            <w:r w:rsidR="00670CC9">
              <w:rPr>
                <w:noProof/>
                <w:webHidden/>
              </w:rPr>
              <w:fldChar w:fldCharType="separate"/>
            </w:r>
            <w:r w:rsidR="00AA36FE">
              <w:rPr>
                <w:noProof/>
                <w:webHidden/>
              </w:rPr>
              <w:t>74</w:t>
            </w:r>
            <w:r w:rsidR="00670CC9">
              <w:rPr>
                <w:noProof/>
                <w:webHidden/>
              </w:rPr>
              <w:fldChar w:fldCharType="end"/>
            </w:r>
          </w:hyperlink>
        </w:p>
        <w:p w14:paraId="02F419D0" w14:textId="4D01F550" w:rsidR="00670CC9" w:rsidRDefault="00B034E5">
          <w:pPr>
            <w:pStyle w:val="TOC2"/>
          </w:pPr>
          <w:hyperlink w:anchor="_Toc512529337" w:history="1">
            <w:r w:rsidR="00670CC9" w:rsidRPr="007F3B01">
              <w:rPr>
                <w:rStyle w:val="Hyperlink"/>
              </w:rPr>
              <w:t>Qualitative research</w:t>
            </w:r>
            <w:r w:rsidR="00670CC9">
              <w:rPr>
                <w:webHidden/>
              </w:rPr>
              <w:tab/>
            </w:r>
            <w:r w:rsidR="00670CC9">
              <w:rPr>
                <w:webHidden/>
              </w:rPr>
              <w:fldChar w:fldCharType="begin"/>
            </w:r>
            <w:r w:rsidR="00670CC9">
              <w:rPr>
                <w:webHidden/>
              </w:rPr>
              <w:instrText xml:space="preserve"> PAGEREF _Toc512529337 \h </w:instrText>
            </w:r>
            <w:r w:rsidR="00670CC9">
              <w:rPr>
                <w:webHidden/>
              </w:rPr>
            </w:r>
            <w:r w:rsidR="00670CC9">
              <w:rPr>
                <w:webHidden/>
              </w:rPr>
              <w:fldChar w:fldCharType="separate"/>
            </w:r>
            <w:r w:rsidR="00AA36FE">
              <w:rPr>
                <w:webHidden/>
              </w:rPr>
              <w:t>74</w:t>
            </w:r>
            <w:r w:rsidR="00670CC9">
              <w:rPr>
                <w:webHidden/>
              </w:rPr>
              <w:fldChar w:fldCharType="end"/>
            </w:r>
          </w:hyperlink>
        </w:p>
        <w:p w14:paraId="698EF370" w14:textId="59A52516" w:rsidR="00670CC9" w:rsidRDefault="00B034E5">
          <w:pPr>
            <w:pStyle w:val="TOC2"/>
          </w:pPr>
          <w:hyperlink w:anchor="_Toc512529338" w:history="1">
            <w:r w:rsidR="00670CC9" w:rsidRPr="007F3B01">
              <w:rPr>
                <w:rStyle w:val="Hyperlink"/>
              </w:rPr>
              <w:t>Department of Jobs and Small Business administrative data</w:t>
            </w:r>
            <w:r w:rsidR="00670CC9">
              <w:rPr>
                <w:webHidden/>
              </w:rPr>
              <w:tab/>
            </w:r>
            <w:r w:rsidR="00670CC9">
              <w:rPr>
                <w:webHidden/>
              </w:rPr>
              <w:fldChar w:fldCharType="begin"/>
            </w:r>
            <w:r w:rsidR="00670CC9">
              <w:rPr>
                <w:webHidden/>
              </w:rPr>
              <w:instrText xml:space="preserve"> PAGEREF _Toc512529338 \h </w:instrText>
            </w:r>
            <w:r w:rsidR="00670CC9">
              <w:rPr>
                <w:webHidden/>
              </w:rPr>
            </w:r>
            <w:r w:rsidR="00670CC9">
              <w:rPr>
                <w:webHidden/>
              </w:rPr>
              <w:fldChar w:fldCharType="separate"/>
            </w:r>
            <w:r w:rsidR="00AA36FE">
              <w:rPr>
                <w:webHidden/>
              </w:rPr>
              <w:t>75</w:t>
            </w:r>
            <w:r w:rsidR="00670CC9">
              <w:rPr>
                <w:webHidden/>
              </w:rPr>
              <w:fldChar w:fldCharType="end"/>
            </w:r>
          </w:hyperlink>
        </w:p>
        <w:p w14:paraId="2C1DF658" w14:textId="3E91C5EA" w:rsidR="00670CC9" w:rsidRDefault="00B034E5">
          <w:pPr>
            <w:pStyle w:val="TOC2"/>
          </w:pPr>
          <w:hyperlink w:anchor="_Toc512529339" w:history="1">
            <w:r w:rsidR="00670CC9" w:rsidRPr="007F3B01">
              <w:rPr>
                <w:rStyle w:val="Hyperlink"/>
              </w:rPr>
              <w:t>Surveys of employment services providers</w:t>
            </w:r>
            <w:r w:rsidR="00670CC9">
              <w:rPr>
                <w:webHidden/>
              </w:rPr>
              <w:tab/>
            </w:r>
            <w:r w:rsidR="00670CC9">
              <w:rPr>
                <w:webHidden/>
              </w:rPr>
              <w:fldChar w:fldCharType="begin"/>
            </w:r>
            <w:r w:rsidR="00670CC9">
              <w:rPr>
                <w:webHidden/>
              </w:rPr>
              <w:instrText xml:space="preserve"> PAGEREF _Toc512529339 \h </w:instrText>
            </w:r>
            <w:r w:rsidR="00670CC9">
              <w:rPr>
                <w:webHidden/>
              </w:rPr>
            </w:r>
            <w:r w:rsidR="00670CC9">
              <w:rPr>
                <w:webHidden/>
              </w:rPr>
              <w:fldChar w:fldCharType="separate"/>
            </w:r>
            <w:r w:rsidR="00AA36FE">
              <w:rPr>
                <w:webHidden/>
              </w:rPr>
              <w:t>75</w:t>
            </w:r>
            <w:r w:rsidR="00670CC9">
              <w:rPr>
                <w:webHidden/>
              </w:rPr>
              <w:fldChar w:fldCharType="end"/>
            </w:r>
          </w:hyperlink>
        </w:p>
        <w:p w14:paraId="1480529B" w14:textId="524744BA" w:rsidR="00670CC9" w:rsidRDefault="00B034E5">
          <w:pPr>
            <w:pStyle w:val="TOC2"/>
          </w:pPr>
          <w:hyperlink w:anchor="_Toc512529340" w:history="1">
            <w:r w:rsidR="00670CC9" w:rsidRPr="007F3B01">
              <w:rPr>
                <w:rStyle w:val="Hyperlink"/>
              </w:rPr>
              <w:t>2016 job seeker survey</w:t>
            </w:r>
            <w:r w:rsidR="00670CC9">
              <w:rPr>
                <w:webHidden/>
              </w:rPr>
              <w:tab/>
            </w:r>
            <w:r w:rsidR="00670CC9">
              <w:rPr>
                <w:webHidden/>
              </w:rPr>
              <w:fldChar w:fldCharType="begin"/>
            </w:r>
            <w:r w:rsidR="00670CC9">
              <w:rPr>
                <w:webHidden/>
              </w:rPr>
              <w:instrText xml:space="preserve"> PAGEREF _Toc512529340 \h </w:instrText>
            </w:r>
            <w:r w:rsidR="00670CC9">
              <w:rPr>
                <w:webHidden/>
              </w:rPr>
            </w:r>
            <w:r w:rsidR="00670CC9">
              <w:rPr>
                <w:webHidden/>
              </w:rPr>
              <w:fldChar w:fldCharType="separate"/>
            </w:r>
            <w:r w:rsidR="00AA36FE">
              <w:rPr>
                <w:webHidden/>
              </w:rPr>
              <w:t>76</w:t>
            </w:r>
            <w:r w:rsidR="00670CC9">
              <w:rPr>
                <w:webHidden/>
              </w:rPr>
              <w:fldChar w:fldCharType="end"/>
            </w:r>
          </w:hyperlink>
        </w:p>
        <w:p w14:paraId="137DDD37" w14:textId="3B95158B" w:rsidR="00DE4F3E" w:rsidRPr="00F53504" w:rsidRDefault="00280316" w:rsidP="00902AB5">
          <w:pPr>
            <w:pStyle w:val="TOC2"/>
            <w:sectPr w:rsidR="00DE4F3E" w:rsidRPr="00F53504" w:rsidSect="00167FD8">
              <w:type w:val="continuous"/>
              <w:pgSz w:w="11906" w:h="16838"/>
              <w:pgMar w:top="1985" w:right="1440" w:bottom="1440" w:left="1440" w:header="709" w:footer="709" w:gutter="0"/>
              <w:cols w:space="708"/>
              <w:docGrid w:linePitch="360"/>
            </w:sectPr>
          </w:pPr>
          <w:r w:rsidRPr="00F53504">
            <w:fldChar w:fldCharType="end"/>
          </w:r>
        </w:p>
      </w:sdtContent>
    </w:sdt>
    <w:p w14:paraId="5E9C3968" w14:textId="77777777" w:rsidR="00E707FE" w:rsidRPr="00F53504" w:rsidRDefault="00E707FE">
      <w:pPr>
        <w:spacing w:before="0" w:after="200"/>
        <w:sectPr w:rsidR="00E707FE" w:rsidRPr="00F53504" w:rsidSect="00365B2B">
          <w:headerReference w:type="default" r:id="rId20"/>
          <w:footerReference w:type="default" r:id="rId21"/>
          <w:type w:val="continuous"/>
          <w:pgSz w:w="11906" w:h="16838"/>
          <w:pgMar w:top="1985" w:right="1440" w:bottom="1440" w:left="1440" w:header="708" w:footer="1011" w:gutter="0"/>
          <w:pgNumType w:start="1"/>
          <w:cols w:space="708"/>
          <w:docGrid w:linePitch="360"/>
        </w:sectPr>
      </w:pPr>
    </w:p>
    <w:p w14:paraId="2A532DFD" w14:textId="77777777" w:rsidR="00BD0737" w:rsidRPr="00F53504" w:rsidRDefault="00BD0737" w:rsidP="00BD0737">
      <w:pPr>
        <w:pStyle w:val="Heading1nonumber"/>
      </w:pPr>
      <w:bookmarkStart w:id="7" w:name="_Toc484171454"/>
      <w:bookmarkStart w:id="8" w:name="_Toc512529307"/>
      <w:r w:rsidRPr="00F53504">
        <w:lastRenderedPageBreak/>
        <w:t>Lis</w:t>
      </w:r>
      <w:bookmarkStart w:id="9" w:name="Abbreviations"/>
      <w:bookmarkEnd w:id="9"/>
      <w:r w:rsidRPr="00F53504">
        <w:t>t of abbreviations and term</w:t>
      </w:r>
      <w:r w:rsidR="000B6C9F" w:rsidRPr="00F53504">
        <w:t>inology</w:t>
      </w:r>
      <w:bookmarkEnd w:id="7"/>
      <w:bookmarkEnd w:id="8"/>
    </w:p>
    <w:p w14:paraId="54180944" w14:textId="77777777" w:rsidR="00BD0737" w:rsidRPr="00F53504" w:rsidRDefault="00BD0737" w:rsidP="00BD0737">
      <w:r w:rsidRPr="00F53504">
        <w:t>CATI</w:t>
      </w:r>
      <w:r w:rsidRPr="00F53504">
        <w:tab/>
      </w:r>
      <w:r w:rsidRPr="00F53504">
        <w:tab/>
        <w:t>Computer Assisted Telephone Interview</w:t>
      </w:r>
    </w:p>
    <w:p w14:paraId="3928650C" w14:textId="77777777" w:rsidR="00BD0737" w:rsidRPr="00F53504" w:rsidRDefault="00BD0737" w:rsidP="00BD0737">
      <w:proofErr w:type="spellStart"/>
      <w:r w:rsidRPr="00F53504">
        <w:t>CPwJ</w:t>
      </w:r>
      <w:proofErr w:type="spellEnd"/>
      <w:r w:rsidRPr="00F53504">
        <w:tab/>
      </w:r>
      <w:r w:rsidRPr="00F53504">
        <w:tab/>
        <w:t>Connecting People with Jobs</w:t>
      </w:r>
    </w:p>
    <w:p w14:paraId="5DB9540D" w14:textId="77777777" w:rsidR="00BD0737" w:rsidRPr="00F53504" w:rsidRDefault="00BD0737" w:rsidP="00BD0737">
      <w:r w:rsidRPr="00F53504">
        <w:t>DEEWR</w:t>
      </w:r>
      <w:r w:rsidRPr="00F53504">
        <w:tab/>
      </w:r>
      <w:r w:rsidRPr="00F53504">
        <w:tab/>
        <w:t>Department of Education, Employment and Workplace Relations</w:t>
      </w:r>
    </w:p>
    <w:p w14:paraId="29DA56A2" w14:textId="77777777" w:rsidR="00BD0737" w:rsidRPr="00F53504" w:rsidRDefault="00BD0737" w:rsidP="00BD0737">
      <w:r w:rsidRPr="00F53504">
        <w:t>DES</w:t>
      </w:r>
      <w:r w:rsidRPr="00F53504">
        <w:tab/>
      </w:r>
      <w:r w:rsidRPr="00F53504">
        <w:tab/>
        <w:t>Disability Employment Services</w:t>
      </w:r>
    </w:p>
    <w:p w14:paraId="383A4B82" w14:textId="77777777" w:rsidR="00BD0737" w:rsidRPr="00F53504" w:rsidRDefault="00BD0737" w:rsidP="00BD0737">
      <w:r w:rsidRPr="00F53504">
        <w:t>DHS</w:t>
      </w:r>
      <w:r w:rsidRPr="00F53504">
        <w:tab/>
      </w:r>
      <w:r w:rsidRPr="00F53504">
        <w:tab/>
        <w:t>Department of Human Services</w:t>
      </w:r>
    </w:p>
    <w:p w14:paraId="2F6F9F15" w14:textId="77777777" w:rsidR="00BD0737" w:rsidRPr="00F53504" w:rsidRDefault="00BD0737" w:rsidP="00BD0737">
      <w:r w:rsidRPr="00F53504">
        <w:t>EBIW</w:t>
      </w:r>
      <w:r w:rsidRPr="00F53504">
        <w:tab/>
      </w:r>
      <w:r w:rsidRPr="00F53504">
        <w:tab/>
        <w:t>Employment Business Intelligence Warehouse</w:t>
      </w:r>
    </w:p>
    <w:p w14:paraId="6836AED6" w14:textId="77777777" w:rsidR="00BD0737" w:rsidRPr="00F53504" w:rsidRDefault="00BD0737" w:rsidP="00BD0737">
      <w:r w:rsidRPr="00F53504">
        <w:t>EF</w:t>
      </w:r>
      <w:r w:rsidRPr="00F53504">
        <w:tab/>
      </w:r>
      <w:r w:rsidRPr="00F53504">
        <w:tab/>
        <w:t>Employment Fund</w:t>
      </w:r>
    </w:p>
    <w:p w14:paraId="14DE2927" w14:textId="77777777" w:rsidR="00BD0737" w:rsidRPr="00F53504" w:rsidRDefault="00BD0737" w:rsidP="00BD0737">
      <w:r w:rsidRPr="00F53504">
        <w:t>EPF</w:t>
      </w:r>
      <w:r w:rsidRPr="00F53504">
        <w:tab/>
      </w:r>
      <w:r w:rsidRPr="00F53504">
        <w:tab/>
        <w:t>Employment Pathway Fund</w:t>
      </w:r>
    </w:p>
    <w:p w14:paraId="29DD75BE" w14:textId="77777777" w:rsidR="00BD0737" w:rsidRPr="00F53504" w:rsidRDefault="00BD0737" w:rsidP="00BD0737">
      <w:r w:rsidRPr="00F53504">
        <w:t>GST</w:t>
      </w:r>
      <w:r w:rsidRPr="00F53504">
        <w:tab/>
      </w:r>
      <w:r w:rsidRPr="00F53504">
        <w:tab/>
        <w:t>Goods and Services Tax</w:t>
      </w:r>
    </w:p>
    <w:p w14:paraId="2FFAB2D2" w14:textId="77777777" w:rsidR="00BD0737" w:rsidRPr="00F53504" w:rsidRDefault="00BD0737" w:rsidP="00BD0737">
      <w:r w:rsidRPr="00F53504">
        <w:t>JCB</w:t>
      </w:r>
      <w:r w:rsidRPr="00F53504">
        <w:tab/>
      </w:r>
      <w:r w:rsidRPr="00F53504">
        <w:tab/>
        <w:t>Job Commitment Bonus</w:t>
      </w:r>
    </w:p>
    <w:p w14:paraId="3FAAEFFD" w14:textId="77777777" w:rsidR="00BD0737" w:rsidRPr="00F53504" w:rsidRDefault="00BD0737" w:rsidP="00BD0737">
      <w:r w:rsidRPr="00F53504">
        <w:t xml:space="preserve">JSA </w:t>
      </w:r>
      <w:r w:rsidRPr="00F53504">
        <w:tab/>
      </w:r>
      <w:r w:rsidRPr="00F53504">
        <w:tab/>
        <w:t>Job Services Australia</w:t>
      </w:r>
    </w:p>
    <w:p w14:paraId="0848DD80" w14:textId="77777777" w:rsidR="008B52AA" w:rsidRPr="00F53504" w:rsidRDefault="00BD0737" w:rsidP="00BD0737">
      <w:r w:rsidRPr="00F53504">
        <w:t>RATTUAJ</w:t>
      </w:r>
      <w:r w:rsidRPr="00F53504">
        <w:tab/>
        <w:t>Relocation Assistance to Take Up a Job</w:t>
      </w:r>
    </w:p>
    <w:p w14:paraId="6E662F65" w14:textId="7267C8ED" w:rsidR="000B6C9F" w:rsidRPr="00F53504" w:rsidRDefault="000B6C9F" w:rsidP="000B6C9F">
      <w:r w:rsidRPr="00F53504">
        <w:t xml:space="preserve">This report uses the terms ‘job seeker’ and ‘participant’ to describe individuals involved in RATTUAJ. ‘Job seeker’ refers to all individuals serviced by JSA/jobactive, and is used when discussing individuals before their participation in the program. ‘Participant’ refers to job seekers </w:t>
      </w:r>
      <w:r w:rsidR="00D479B4">
        <w:t>who</w:t>
      </w:r>
      <w:r w:rsidR="00D479B4" w:rsidRPr="00F53504">
        <w:t xml:space="preserve"> </w:t>
      </w:r>
      <w:r w:rsidRPr="00F53504">
        <w:t xml:space="preserve">have relocated through RATTUAJ. The term ‘provider’ </w:t>
      </w:r>
      <w:proofErr w:type="gramStart"/>
      <w:r w:rsidRPr="00F53504">
        <w:t>is used</w:t>
      </w:r>
      <w:proofErr w:type="gramEnd"/>
      <w:r w:rsidRPr="00F53504">
        <w:t xml:space="preserve"> to describe a provider of JSA or jobactive employment services</w:t>
      </w:r>
      <w:r w:rsidR="00FB6CCE">
        <w:t xml:space="preserve"> (</w:t>
      </w:r>
      <w:r w:rsidR="00FB6CCE" w:rsidRPr="001B4C43">
        <w:t>DES is outside the scope of this evaluation</w:t>
      </w:r>
      <w:r w:rsidR="00FB6CCE">
        <w:t>)</w:t>
      </w:r>
      <w:r w:rsidR="00FB6CCE" w:rsidRPr="00F53504">
        <w:t>.</w:t>
      </w:r>
    </w:p>
    <w:p w14:paraId="613522DC" w14:textId="77777777" w:rsidR="000B6C9F" w:rsidRPr="00F53504" w:rsidRDefault="000B6C9F" w:rsidP="000B6C9F">
      <w:r w:rsidRPr="00F53504">
        <w:t>The ‘start date’ of a relocation agreement is the date entered into the administrative system as the date the job seeker intends to start their relocation.</w:t>
      </w:r>
    </w:p>
    <w:p w14:paraId="4E8744C9" w14:textId="702C2835" w:rsidR="000B6C9F" w:rsidRPr="00F53504" w:rsidRDefault="000B6C9F" w:rsidP="000B6C9F">
      <w:pPr>
        <w:rPr>
          <w:b/>
          <w:bCs/>
          <w:szCs w:val="18"/>
        </w:rPr>
      </w:pPr>
      <w:r w:rsidRPr="00F53504">
        <w:t xml:space="preserve">This report contains findings from qualitative (in-depth) interviews. This type of research </w:t>
      </w:r>
      <w:r w:rsidR="003A555F">
        <w:t>does</w:t>
      </w:r>
      <w:r w:rsidR="003A555F" w:rsidRPr="00F53504">
        <w:t xml:space="preserve"> </w:t>
      </w:r>
      <w:r w:rsidRPr="00F53504">
        <w:t>not quantify the number of people that held a particular view</w:t>
      </w:r>
      <w:r w:rsidR="0028078E" w:rsidRPr="00F53504">
        <w:t xml:space="preserve"> but rather </w:t>
      </w:r>
      <w:r w:rsidRPr="00F53504">
        <w:t>provide</w:t>
      </w:r>
      <w:r w:rsidR="003A555F">
        <w:t>s</w:t>
      </w:r>
      <w:r w:rsidRPr="00F53504">
        <w:t xml:space="preserve"> deeper meaning to and information on a topic. </w:t>
      </w:r>
      <w:r w:rsidR="0028078E" w:rsidRPr="00F53504">
        <w:t>While the</w:t>
      </w:r>
      <w:r w:rsidRPr="00F53504">
        <w:t xml:space="preserve"> experience of </w:t>
      </w:r>
      <w:r w:rsidR="0028078E" w:rsidRPr="00F53504">
        <w:t xml:space="preserve">each </w:t>
      </w:r>
      <w:r w:rsidRPr="00F53504">
        <w:t>individual is importan</w:t>
      </w:r>
      <w:r w:rsidR="0028078E" w:rsidRPr="00F53504">
        <w:t>t,</w:t>
      </w:r>
      <w:r w:rsidRPr="00F53504">
        <w:t xml:space="preserve"> common</w:t>
      </w:r>
      <w:r w:rsidR="003A555F">
        <w:t>ly used</w:t>
      </w:r>
      <w:r w:rsidRPr="00F53504">
        <w:t xml:space="preserve"> terminology </w:t>
      </w:r>
      <w:r w:rsidR="0028078E" w:rsidRPr="00F53504">
        <w:t xml:space="preserve">can </w:t>
      </w:r>
      <w:r w:rsidRPr="00F53504">
        <w:t xml:space="preserve">describe the proportion of interviewed individuals that held a particular view or reported a particular experience. This </w:t>
      </w:r>
      <w:r w:rsidR="0028078E" w:rsidRPr="00F53504">
        <w:t xml:space="preserve">can further contextualise insights. This </w:t>
      </w:r>
      <w:r w:rsidRPr="00F53504">
        <w:t xml:space="preserve">terminology and the corresponding meanings </w:t>
      </w:r>
      <w:proofErr w:type="gramStart"/>
      <w:r w:rsidRPr="00F53504">
        <w:t>are listed</w:t>
      </w:r>
      <w:proofErr w:type="gramEnd"/>
      <w:r w:rsidRPr="00F53504">
        <w:t xml:space="preserve"> in </w:t>
      </w:r>
      <w:r w:rsidR="00404594" w:rsidRPr="00F53504">
        <w:t>Table 1.1</w:t>
      </w:r>
      <w:r w:rsidR="00447BCE">
        <w:t>.</w:t>
      </w:r>
    </w:p>
    <w:p w14:paraId="3666BE51" w14:textId="0ABC8C1D" w:rsidR="000B6C9F" w:rsidRPr="00F53504" w:rsidRDefault="000B6C9F" w:rsidP="000B6C9F">
      <w:pPr>
        <w:pStyle w:val="Caption"/>
      </w:pPr>
      <w:r w:rsidRPr="00F53504">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1</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1</w:t>
      </w:r>
      <w:r w:rsidR="00AA36FE">
        <w:rPr>
          <w:noProof/>
        </w:rPr>
        <w:fldChar w:fldCharType="end"/>
      </w:r>
      <w:r w:rsidRPr="00F53504">
        <w:t>: Qualitative terminology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4"/>
        <w:gridCol w:w="7802"/>
      </w:tblGrid>
      <w:tr w:rsidR="000B6C9F" w:rsidRPr="00F53504" w14:paraId="67037B24" w14:textId="77777777" w:rsidTr="00973AB2">
        <w:trPr>
          <w:trHeight w:val="340"/>
          <w:tblHeader/>
        </w:trPr>
        <w:tc>
          <w:tcPr>
            <w:tcW w:w="1242" w:type="dxa"/>
            <w:shd w:val="clear" w:color="auto" w:fill="1E3D6B"/>
            <w:vAlign w:val="center"/>
          </w:tcPr>
          <w:p w14:paraId="1EA00777" w14:textId="77777777" w:rsidR="000B6C9F" w:rsidRPr="00F53504" w:rsidRDefault="000B6C9F" w:rsidP="00973AB2">
            <w:pPr>
              <w:pStyle w:val="Tableheadingleftcolumn"/>
            </w:pPr>
            <w:r w:rsidRPr="00F53504">
              <w:t>Term</w:t>
            </w:r>
          </w:p>
        </w:tc>
        <w:tc>
          <w:tcPr>
            <w:tcW w:w="7938" w:type="dxa"/>
            <w:shd w:val="clear" w:color="auto" w:fill="1E3D6B"/>
            <w:vAlign w:val="center"/>
          </w:tcPr>
          <w:p w14:paraId="7C4B1221" w14:textId="77777777" w:rsidR="000B6C9F" w:rsidRPr="00F53504" w:rsidRDefault="000B6C9F" w:rsidP="00973AB2">
            <w:pPr>
              <w:pStyle w:val="Tableheadingleftcolumn"/>
            </w:pPr>
            <w:r w:rsidRPr="00F53504">
              <w:t>Meaning</w:t>
            </w:r>
          </w:p>
        </w:tc>
      </w:tr>
      <w:tr w:rsidR="000B6C9F" w:rsidRPr="00F53504" w14:paraId="7AC1F79B" w14:textId="77777777" w:rsidTr="00973AB2">
        <w:trPr>
          <w:trHeight w:val="340"/>
        </w:trPr>
        <w:tc>
          <w:tcPr>
            <w:tcW w:w="1242" w:type="dxa"/>
            <w:shd w:val="clear" w:color="auto" w:fill="F2F2F2" w:themeFill="background2" w:themeFillShade="F2"/>
            <w:vAlign w:val="center"/>
          </w:tcPr>
          <w:p w14:paraId="0B97F75D" w14:textId="77777777" w:rsidR="000B6C9F" w:rsidRPr="00F53504" w:rsidRDefault="000B6C9F" w:rsidP="00973AB2">
            <w:pPr>
              <w:pStyle w:val="Tablecontentleftcolumn"/>
            </w:pPr>
            <w:r w:rsidRPr="00F53504">
              <w:t>Most</w:t>
            </w:r>
          </w:p>
        </w:tc>
        <w:tc>
          <w:tcPr>
            <w:tcW w:w="7938" w:type="dxa"/>
            <w:shd w:val="clear" w:color="auto" w:fill="F2F2F2" w:themeFill="background2" w:themeFillShade="F2"/>
            <w:vAlign w:val="center"/>
          </w:tcPr>
          <w:p w14:paraId="5FF951BF" w14:textId="77777777" w:rsidR="000B6C9F" w:rsidRPr="00F53504" w:rsidRDefault="000B6C9F" w:rsidP="00973AB2">
            <w:pPr>
              <w:pStyle w:val="Tablecontentleftcolumn"/>
            </w:pPr>
            <w:r w:rsidRPr="00F53504">
              <w:t>Three quarters or more of the consultation group or sub-group</w:t>
            </w:r>
          </w:p>
        </w:tc>
      </w:tr>
      <w:tr w:rsidR="000B6C9F" w:rsidRPr="00F53504" w14:paraId="2ED07998" w14:textId="77777777" w:rsidTr="00973AB2">
        <w:trPr>
          <w:trHeight w:val="340"/>
        </w:trPr>
        <w:tc>
          <w:tcPr>
            <w:tcW w:w="1242" w:type="dxa"/>
            <w:vAlign w:val="center"/>
          </w:tcPr>
          <w:p w14:paraId="7E44F2BC" w14:textId="77777777" w:rsidR="000B6C9F" w:rsidRPr="00F53504" w:rsidRDefault="000B6C9F" w:rsidP="00973AB2">
            <w:pPr>
              <w:pStyle w:val="Tablecontentleftcolumn"/>
            </w:pPr>
            <w:r w:rsidRPr="00F53504">
              <w:t>Many</w:t>
            </w:r>
          </w:p>
        </w:tc>
        <w:tc>
          <w:tcPr>
            <w:tcW w:w="7938" w:type="dxa"/>
            <w:vAlign w:val="center"/>
          </w:tcPr>
          <w:p w14:paraId="36211933" w14:textId="77777777" w:rsidR="000B6C9F" w:rsidRPr="00F53504" w:rsidRDefault="000B6C9F" w:rsidP="00973AB2">
            <w:pPr>
              <w:pStyle w:val="Tablecontentleftcolumn"/>
            </w:pPr>
            <w:r w:rsidRPr="00F53504">
              <w:t>More than half but less than three quarters of the consultation group or sub-group</w:t>
            </w:r>
          </w:p>
        </w:tc>
      </w:tr>
      <w:tr w:rsidR="000B6C9F" w:rsidRPr="00F53504" w14:paraId="234FC6B0" w14:textId="77777777" w:rsidTr="00973AB2">
        <w:trPr>
          <w:trHeight w:val="340"/>
        </w:trPr>
        <w:tc>
          <w:tcPr>
            <w:tcW w:w="1242" w:type="dxa"/>
            <w:shd w:val="clear" w:color="auto" w:fill="F2F2F2" w:themeFill="background2" w:themeFillShade="F2"/>
            <w:vAlign w:val="center"/>
          </w:tcPr>
          <w:p w14:paraId="0ED57B50" w14:textId="77777777" w:rsidR="000B6C9F" w:rsidRPr="00F53504" w:rsidRDefault="000B6C9F" w:rsidP="00973AB2">
            <w:pPr>
              <w:pStyle w:val="Tablecontentleftcolumn"/>
            </w:pPr>
            <w:r w:rsidRPr="00F53504">
              <w:t>Half</w:t>
            </w:r>
          </w:p>
        </w:tc>
        <w:tc>
          <w:tcPr>
            <w:tcW w:w="7938" w:type="dxa"/>
            <w:shd w:val="clear" w:color="auto" w:fill="F2F2F2" w:themeFill="background2" w:themeFillShade="F2"/>
            <w:vAlign w:val="center"/>
          </w:tcPr>
          <w:p w14:paraId="2EE85D4B" w14:textId="77777777" w:rsidR="000B6C9F" w:rsidRPr="00F53504" w:rsidRDefault="000B6C9F" w:rsidP="00973AB2">
            <w:pPr>
              <w:pStyle w:val="Tablecontentleftcolumn"/>
            </w:pPr>
            <w:r w:rsidRPr="00F53504">
              <w:t>Approximately half the group or sub-group</w:t>
            </w:r>
          </w:p>
        </w:tc>
      </w:tr>
      <w:tr w:rsidR="000B6C9F" w:rsidRPr="00F53504" w14:paraId="49E1974B" w14:textId="77777777" w:rsidTr="00973AB2">
        <w:trPr>
          <w:trHeight w:val="340"/>
        </w:trPr>
        <w:tc>
          <w:tcPr>
            <w:tcW w:w="1242" w:type="dxa"/>
            <w:vAlign w:val="center"/>
          </w:tcPr>
          <w:p w14:paraId="46860981" w14:textId="77777777" w:rsidR="000B6C9F" w:rsidRPr="00F53504" w:rsidRDefault="000B6C9F" w:rsidP="00973AB2">
            <w:pPr>
              <w:pStyle w:val="Tablecontentleftcolumn"/>
            </w:pPr>
            <w:r w:rsidRPr="00F53504">
              <w:t>Some</w:t>
            </w:r>
          </w:p>
        </w:tc>
        <w:tc>
          <w:tcPr>
            <w:tcW w:w="7938" w:type="dxa"/>
            <w:vAlign w:val="center"/>
          </w:tcPr>
          <w:p w14:paraId="1F278337" w14:textId="77777777" w:rsidR="000B6C9F" w:rsidRPr="00F53504" w:rsidRDefault="000B6C9F" w:rsidP="00973AB2">
            <w:pPr>
              <w:pStyle w:val="Tablecontentleftcolumn"/>
            </w:pPr>
            <w:r w:rsidRPr="00F53504">
              <w:t>More than a quarter but less than a half of the consultation group or sub-group</w:t>
            </w:r>
          </w:p>
        </w:tc>
      </w:tr>
      <w:tr w:rsidR="000B6C9F" w:rsidRPr="00F53504" w14:paraId="7BA5561B" w14:textId="77777777" w:rsidTr="00973AB2">
        <w:trPr>
          <w:trHeight w:val="340"/>
        </w:trPr>
        <w:tc>
          <w:tcPr>
            <w:tcW w:w="1242" w:type="dxa"/>
            <w:shd w:val="clear" w:color="auto" w:fill="F2F2F2" w:themeFill="background2" w:themeFillShade="F2"/>
            <w:vAlign w:val="center"/>
          </w:tcPr>
          <w:p w14:paraId="6E75E891" w14:textId="77777777" w:rsidR="000B6C9F" w:rsidRPr="00F53504" w:rsidRDefault="000B6C9F" w:rsidP="00973AB2">
            <w:pPr>
              <w:pStyle w:val="Tablecontentleftcolumn"/>
            </w:pPr>
            <w:r w:rsidRPr="00F53504">
              <w:t>A few</w:t>
            </w:r>
          </w:p>
        </w:tc>
        <w:tc>
          <w:tcPr>
            <w:tcW w:w="7939" w:type="dxa"/>
            <w:shd w:val="clear" w:color="auto" w:fill="F2F2F2" w:themeFill="background2" w:themeFillShade="F2"/>
            <w:vAlign w:val="center"/>
          </w:tcPr>
          <w:p w14:paraId="3C67F817" w14:textId="77777777" w:rsidR="000B6C9F" w:rsidRPr="00F53504" w:rsidRDefault="000B6C9F" w:rsidP="00973AB2">
            <w:pPr>
              <w:pStyle w:val="Tablecontentleftcolumn"/>
            </w:pPr>
            <w:r w:rsidRPr="00F53504">
              <w:t>Up to a quarter of the consultation group or sub-group</w:t>
            </w:r>
          </w:p>
        </w:tc>
      </w:tr>
    </w:tbl>
    <w:p w14:paraId="10E53C27" w14:textId="77777777" w:rsidR="00963E87" w:rsidRPr="00F53504" w:rsidRDefault="00963E87" w:rsidP="00963E87">
      <w:pPr>
        <w:pStyle w:val="Heading1nonumber"/>
      </w:pPr>
      <w:bookmarkStart w:id="10" w:name="_Toc512529308"/>
      <w:r w:rsidRPr="00F53504">
        <w:lastRenderedPageBreak/>
        <w:t xml:space="preserve">Executive </w:t>
      </w:r>
      <w:r w:rsidR="00123CDB" w:rsidRPr="00F53504">
        <w:t>s</w:t>
      </w:r>
      <w:r w:rsidRPr="00F53504">
        <w:t>ummary</w:t>
      </w:r>
      <w:bookmarkEnd w:id="10"/>
    </w:p>
    <w:p w14:paraId="45415ED6" w14:textId="6D3200F6" w:rsidR="00F82FCA" w:rsidRPr="00F53504" w:rsidRDefault="00963E87" w:rsidP="00963E87">
      <w:r w:rsidRPr="00F53504">
        <w:t xml:space="preserve">The Department of </w:t>
      </w:r>
      <w:r w:rsidR="00442D84">
        <w:t>Jobs and Small Business</w:t>
      </w:r>
      <w:r w:rsidR="00722C96">
        <w:rPr>
          <w:rStyle w:val="FootnoteReference"/>
        </w:rPr>
        <w:footnoteReference w:id="1"/>
      </w:r>
      <w:r w:rsidR="00442D84" w:rsidRPr="00F53504">
        <w:t xml:space="preserve"> </w:t>
      </w:r>
      <w:r w:rsidR="00637D48" w:rsidRPr="00F53504">
        <w:t xml:space="preserve">(the Department) </w:t>
      </w:r>
      <w:r w:rsidRPr="00F53504">
        <w:t>evaluat</w:t>
      </w:r>
      <w:r w:rsidR="000B6C9F" w:rsidRPr="00F53504">
        <w:t xml:space="preserve">ed </w:t>
      </w:r>
      <w:r w:rsidRPr="00F53504">
        <w:t>the first eight</w:t>
      </w:r>
      <w:r w:rsidR="006B0942" w:rsidRPr="00F53504">
        <w:t>een</w:t>
      </w:r>
      <w:r w:rsidRPr="00F53504">
        <w:t xml:space="preserve"> months of the Relocation Assistance to Take </w:t>
      </w:r>
      <w:proofErr w:type="gramStart"/>
      <w:r w:rsidRPr="00F53504">
        <w:t>Up</w:t>
      </w:r>
      <w:proofErr w:type="gramEnd"/>
      <w:r w:rsidRPr="00F53504">
        <w:t xml:space="preserve"> a Job (RATTUAJ) program</w:t>
      </w:r>
      <w:r w:rsidR="002D0E6E">
        <w:t>me</w:t>
      </w:r>
      <w:r w:rsidR="00FB6CCE">
        <w:t xml:space="preserve"> since its commencement on 1 July 2014</w:t>
      </w:r>
      <w:r w:rsidRPr="00F53504">
        <w:t>. The evaluation use</w:t>
      </w:r>
      <w:r w:rsidR="001E6C1E" w:rsidRPr="00F53504">
        <w:t>d</w:t>
      </w:r>
      <w:r w:rsidRPr="00F53504">
        <w:t xml:space="preserve"> administrative data </w:t>
      </w:r>
      <w:r w:rsidR="00031031" w:rsidRPr="00F53504">
        <w:t xml:space="preserve">and </w:t>
      </w:r>
      <w:r w:rsidRPr="00F53504">
        <w:t>qualitative</w:t>
      </w:r>
      <w:r w:rsidR="009145B2" w:rsidRPr="00F53504">
        <w:t xml:space="preserve"> and</w:t>
      </w:r>
      <w:r w:rsidRPr="00F53504">
        <w:t xml:space="preserve"> quantitative research to examine the program’s effectiveness</w:t>
      </w:r>
      <w:r w:rsidR="00442D84">
        <w:t>,</w:t>
      </w:r>
      <w:r w:rsidRPr="00F53504">
        <w:t xml:space="preserve"> efficiency</w:t>
      </w:r>
      <w:r w:rsidR="005B19AB" w:rsidRPr="00F53504">
        <w:t xml:space="preserve"> and appropriateness</w:t>
      </w:r>
      <w:r w:rsidRPr="00F53504">
        <w:t xml:space="preserve">. </w:t>
      </w:r>
    </w:p>
    <w:p w14:paraId="77E01A32" w14:textId="0D2EF238" w:rsidR="00F82FCA" w:rsidRPr="00F53504" w:rsidRDefault="00F82FCA" w:rsidP="00F82FCA">
      <w:r w:rsidRPr="00F53504">
        <w:t xml:space="preserve">Early indications are that financial assistance through RATTUAJ </w:t>
      </w:r>
      <w:r w:rsidR="00442D84">
        <w:t>wa</w:t>
      </w:r>
      <w:r w:rsidR="00792672" w:rsidRPr="00F53504">
        <w:t>s</w:t>
      </w:r>
      <w:r w:rsidRPr="00F53504">
        <w:t xml:space="preserve"> effective for long-term unemployed job seekers who were motivated to </w:t>
      </w:r>
      <w:r w:rsidR="000B1F49">
        <w:t>take up</w:t>
      </w:r>
      <w:r w:rsidR="000B1F49" w:rsidRPr="00F53504">
        <w:t xml:space="preserve"> </w:t>
      </w:r>
      <w:r w:rsidRPr="00F53504">
        <w:t xml:space="preserve">employment in another location, with most successfully relocating and </w:t>
      </w:r>
      <w:r w:rsidR="00FB6CCE">
        <w:t>many</w:t>
      </w:r>
      <w:r w:rsidRPr="00F53504">
        <w:t xml:space="preserve"> still in employment six months after relocation. </w:t>
      </w:r>
    </w:p>
    <w:p w14:paraId="6B59E3ED" w14:textId="77777777" w:rsidR="00963E87" w:rsidRPr="00F53504" w:rsidRDefault="00963E87" w:rsidP="00963E87">
      <w:r w:rsidRPr="00F53504">
        <w:t xml:space="preserve">The </w:t>
      </w:r>
      <w:r w:rsidR="001E6C1E" w:rsidRPr="00F53504">
        <w:t xml:space="preserve">evaluation </w:t>
      </w:r>
      <w:r w:rsidR="0015083B" w:rsidRPr="00F53504">
        <w:t>found</w:t>
      </w:r>
      <w:r w:rsidRPr="00F53504">
        <w:t>:</w:t>
      </w:r>
    </w:p>
    <w:p w14:paraId="7289ED5C" w14:textId="02E0B5FF" w:rsidR="004C255D" w:rsidRPr="00F53504" w:rsidRDefault="00FB6CCE" w:rsidP="004C255D">
      <w:pPr>
        <w:pStyle w:val="ListParagraph"/>
        <w:numPr>
          <w:ilvl w:val="0"/>
          <w:numId w:val="40"/>
        </w:numPr>
      </w:pPr>
      <w:r>
        <w:t>Many</w:t>
      </w:r>
      <w:r w:rsidR="004C255D" w:rsidRPr="00F53504">
        <w:t xml:space="preserve"> of the people who relocated kept the jobs they moved to take up, with two-thirds of job</w:t>
      </w:r>
      <w:r w:rsidR="00FA755A">
        <w:t xml:space="preserve"> </w:t>
      </w:r>
      <w:r w:rsidR="004C255D" w:rsidRPr="00F53504">
        <w:t xml:space="preserve">seekers who relocated </w:t>
      </w:r>
      <w:r w:rsidR="00F47982">
        <w:t xml:space="preserve">under JSA </w:t>
      </w:r>
      <w:r w:rsidR="004C255D" w:rsidRPr="00F53504">
        <w:t xml:space="preserve">achieving a </w:t>
      </w:r>
      <w:proofErr w:type="gramStart"/>
      <w:r w:rsidR="004C255D" w:rsidRPr="00E95026">
        <w:t xml:space="preserve">13 </w:t>
      </w:r>
      <w:r w:rsidR="00C35F4F">
        <w:t>week</w:t>
      </w:r>
      <w:proofErr w:type="gramEnd"/>
      <w:r w:rsidR="00C35F4F">
        <w:t xml:space="preserve"> employment outcome</w:t>
      </w:r>
      <w:r w:rsidR="00F47982">
        <w:t xml:space="preserve"> and four in five job seekers who relocated under jobactive achieving a 12 week employment outcome</w:t>
      </w:r>
      <w:r w:rsidR="00C35F4F">
        <w:t>.</w:t>
      </w:r>
    </w:p>
    <w:p w14:paraId="3063E2C6" w14:textId="66C3943C" w:rsidR="004C255D" w:rsidRPr="00F53504" w:rsidRDefault="004C255D" w:rsidP="00CA0232">
      <w:pPr>
        <w:pStyle w:val="ListParagraph"/>
        <w:numPr>
          <w:ilvl w:val="0"/>
          <w:numId w:val="40"/>
        </w:numPr>
        <w:jc w:val="both"/>
      </w:pPr>
      <w:r w:rsidRPr="00F53504">
        <w:t>The majority of relocated job seekers remained off income support payments or reported earnings twelve months after the start of their relocation agreement</w:t>
      </w:r>
      <w:r w:rsidR="0009019B">
        <w:t>:</w:t>
      </w:r>
      <w:r w:rsidRPr="00F53504">
        <w:t xml:space="preserve"> </w:t>
      </w:r>
      <w:r w:rsidRPr="00E95026">
        <w:t>58</w:t>
      </w:r>
      <w:r w:rsidR="00C35F4F">
        <w:t xml:space="preserve"> per cent</w:t>
      </w:r>
      <w:r w:rsidR="00261700">
        <w:t xml:space="preserve"> under JSA</w:t>
      </w:r>
      <w:r w:rsidR="002A755E" w:rsidRPr="00E95026">
        <w:t xml:space="preserve"> </w:t>
      </w:r>
      <w:r w:rsidR="00C35F4F">
        <w:t>and</w:t>
      </w:r>
      <w:r w:rsidR="002A755E" w:rsidRPr="00E95026">
        <w:t xml:space="preserve"> 63 </w:t>
      </w:r>
      <w:r w:rsidRPr="00E95026">
        <w:t>per</w:t>
      </w:r>
      <w:r w:rsidRPr="00F53504">
        <w:t xml:space="preserve"> cent</w:t>
      </w:r>
      <w:r w:rsidR="00261700">
        <w:t xml:space="preserve"> under jobactive</w:t>
      </w:r>
      <w:r w:rsidR="0009019B">
        <w:t xml:space="preserve"> were</w:t>
      </w:r>
      <w:r w:rsidRPr="00F53504">
        <w:t xml:space="preserve"> </w:t>
      </w:r>
      <w:r w:rsidR="008C204D">
        <w:t>off income support.</w:t>
      </w:r>
    </w:p>
    <w:p w14:paraId="674F82DC" w14:textId="5CAC89CA" w:rsidR="00442D84" w:rsidRPr="00F53504" w:rsidRDefault="008254CD" w:rsidP="00442D84">
      <w:pPr>
        <w:pStyle w:val="ListParagraph"/>
        <w:numPr>
          <w:ilvl w:val="0"/>
          <w:numId w:val="40"/>
        </w:numPr>
      </w:pPr>
      <w:r w:rsidRPr="00F53504">
        <w:t>Bet</w:t>
      </w:r>
      <w:r w:rsidR="005B19AB" w:rsidRPr="00F53504">
        <w:t>ween 1 July </w:t>
      </w:r>
      <w:r w:rsidRPr="00F53504">
        <w:t>2014 and 31</w:t>
      </w:r>
      <w:r w:rsidR="005B19AB" w:rsidRPr="00F53504">
        <w:t> December </w:t>
      </w:r>
      <w:r w:rsidRPr="00F53504">
        <w:t xml:space="preserve">2015, 620 </w:t>
      </w:r>
      <w:r w:rsidR="004C255D" w:rsidRPr="00F53504">
        <w:t>participants</w:t>
      </w:r>
      <w:r w:rsidRPr="00F53504">
        <w:t xml:space="preserve"> had a confirmed employment placement. </w:t>
      </w:r>
      <w:r w:rsidR="008302BD">
        <w:t>A</w:t>
      </w:r>
      <w:r w:rsidR="00442D84" w:rsidRPr="00F53504">
        <w:t>lmost all job seekers</w:t>
      </w:r>
      <w:r w:rsidR="00572B31">
        <w:t xml:space="preserve"> (</w:t>
      </w:r>
      <w:r w:rsidR="00572B31" w:rsidRPr="00F53504">
        <w:t>96 per cent</w:t>
      </w:r>
      <w:r w:rsidR="00572B31">
        <w:t>)</w:t>
      </w:r>
      <w:r w:rsidR="00442D84" w:rsidRPr="00F53504">
        <w:t xml:space="preserve"> who entered into an approved Relocation Agreement</w:t>
      </w:r>
      <w:r w:rsidR="00442D84">
        <w:t xml:space="preserve"> </w:t>
      </w:r>
      <w:r w:rsidR="008C204D">
        <w:t>relocated successfully.</w:t>
      </w:r>
    </w:p>
    <w:p w14:paraId="24815027" w14:textId="735CF83E" w:rsidR="008254CD" w:rsidRPr="00F53504" w:rsidRDefault="008254CD" w:rsidP="000B6C9F">
      <w:pPr>
        <w:pStyle w:val="ListParagraph"/>
        <w:numPr>
          <w:ilvl w:val="0"/>
          <w:numId w:val="40"/>
        </w:numPr>
      </w:pPr>
      <w:r w:rsidRPr="00F53504">
        <w:t xml:space="preserve">The key factors for successful relocation and sustained employment were people’s social </w:t>
      </w:r>
      <w:r w:rsidR="003F0F44">
        <w:t xml:space="preserve">support </w:t>
      </w:r>
      <w:r w:rsidRPr="00F53504">
        <w:t>networks, financial assistance, new opportunities</w:t>
      </w:r>
      <w:r w:rsidR="00FE0F02">
        <w:t xml:space="preserve"> such as seeking a </w:t>
      </w:r>
      <w:r w:rsidR="00731A7E">
        <w:t>fresh start</w:t>
      </w:r>
      <w:r w:rsidRPr="00F53504">
        <w:t>, the support of employment services providers (‘providers’)</w:t>
      </w:r>
      <w:r w:rsidR="008706AC" w:rsidRPr="00F53504">
        <w:t xml:space="preserve"> </w:t>
      </w:r>
      <w:r w:rsidRPr="00F53504">
        <w:t>in assisting participants, and suitable accommodation.</w:t>
      </w:r>
    </w:p>
    <w:p w14:paraId="0FECB307" w14:textId="6DA20AD5" w:rsidR="008254CD" w:rsidRPr="00F53504" w:rsidRDefault="005B19AB" w:rsidP="000B6C9F">
      <w:pPr>
        <w:pStyle w:val="ListParagraph"/>
        <w:numPr>
          <w:ilvl w:val="0"/>
          <w:numId w:val="40"/>
        </w:numPr>
      </w:pPr>
      <w:r w:rsidRPr="00F53504">
        <w:t xml:space="preserve">Participants had </w:t>
      </w:r>
      <w:proofErr w:type="gramStart"/>
      <w:r w:rsidRPr="00F53504">
        <w:t>more successful relocations</w:t>
      </w:r>
      <w:proofErr w:type="gramEnd"/>
      <w:r w:rsidRPr="00F53504">
        <w:t xml:space="preserve">, more sustained employment and enjoyed their jobs more when they were well matched to their </w:t>
      </w:r>
      <w:r w:rsidR="008C204D">
        <w:t>job for which they relocated.</w:t>
      </w:r>
    </w:p>
    <w:p w14:paraId="069CC945" w14:textId="1DF52E26" w:rsidR="008254CD" w:rsidRPr="00F53504" w:rsidRDefault="00061147" w:rsidP="000B6C9F">
      <w:pPr>
        <w:pStyle w:val="ListParagraph"/>
        <w:numPr>
          <w:ilvl w:val="0"/>
          <w:numId w:val="40"/>
        </w:numPr>
      </w:pPr>
      <w:r>
        <w:t>Most interviewed j</w:t>
      </w:r>
      <w:r w:rsidR="008254CD" w:rsidRPr="00F53504">
        <w:t>ob seekers considered that their providers did</w:t>
      </w:r>
      <w:r w:rsidR="00F32A56">
        <w:t xml:space="preserve"> </w:t>
      </w:r>
      <w:r w:rsidR="008254CD" w:rsidRPr="00F53504">
        <w:t>n</w:t>
      </w:r>
      <w:r w:rsidR="00F32A56">
        <w:t>o</w:t>
      </w:r>
      <w:r w:rsidR="008254CD" w:rsidRPr="00F53504">
        <w:t xml:space="preserve">t understand or know about the program, </w:t>
      </w:r>
      <w:r w:rsidR="002A41B0">
        <w:t xml:space="preserve">or </w:t>
      </w:r>
      <w:r w:rsidR="008254CD" w:rsidRPr="00F53504">
        <w:t>did</w:t>
      </w:r>
      <w:r w:rsidR="00F32A56">
        <w:t xml:space="preserve"> </w:t>
      </w:r>
      <w:r w:rsidR="008254CD" w:rsidRPr="00F53504">
        <w:t>n</w:t>
      </w:r>
      <w:r w:rsidR="00F32A56">
        <w:t>o</w:t>
      </w:r>
      <w:r w:rsidR="008254CD" w:rsidRPr="00F53504">
        <w:t>t encourage relocation and expected job seekers to understand the program without assistance. This</w:t>
      </w:r>
      <w:r w:rsidR="002A41B0">
        <w:t xml:space="preserve"> perception</w:t>
      </w:r>
      <w:r w:rsidR="008254CD" w:rsidRPr="00F53504">
        <w:t xml:space="preserve"> differed from </w:t>
      </w:r>
      <w:r w:rsidR="00503A02">
        <w:t>that of</w:t>
      </w:r>
      <w:r w:rsidR="008254CD" w:rsidRPr="00F53504">
        <w:t xml:space="preserve"> providers who reported promoting the program and saw it as a job seeker role to </w:t>
      </w:r>
      <w:r w:rsidR="008C204D">
        <w:t>source jobs in other locations.</w:t>
      </w:r>
    </w:p>
    <w:p w14:paraId="47E2189C" w14:textId="53246F96" w:rsidR="008254CD" w:rsidRPr="00F53504" w:rsidRDefault="008254CD" w:rsidP="000B6C9F">
      <w:pPr>
        <w:pStyle w:val="ListParagraph"/>
        <w:numPr>
          <w:ilvl w:val="0"/>
          <w:numId w:val="40"/>
        </w:numPr>
      </w:pPr>
      <w:r w:rsidRPr="00F53504">
        <w:t xml:space="preserve">Employment and better employment opportunities were the most common factor in job seekers’ decisions to relocate. Other factors </w:t>
      </w:r>
      <w:r w:rsidR="000B6C9F" w:rsidRPr="00F53504">
        <w:t xml:space="preserve">were </w:t>
      </w:r>
      <w:r w:rsidR="007B00C3" w:rsidRPr="00F53504">
        <w:t xml:space="preserve">the </w:t>
      </w:r>
      <w:r w:rsidRPr="00F53504">
        <w:t xml:space="preserve">circumstances of the job seeker, for example a desire to </w:t>
      </w:r>
      <w:r w:rsidR="008302BD">
        <w:t xml:space="preserve">break a negative lifestyle for a </w:t>
      </w:r>
      <w:r w:rsidR="00FE0F02">
        <w:t>new beginning</w:t>
      </w:r>
      <w:r w:rsidRPr="00F53504">
        <w:t>, and the attraction of a particular location.</w:t>
      </w:r>
    </w:p>
    <w:p w14:paraId="47D6E985" w14:textId="168EEE77" w:rsidR="005B19AB" w:rsidRPr="00F53504" w:rsidRDefault="008254CD" w:rsidP="000B6C9F">
      <w:pPr>
        <w:pStyle w:val="ListParagraph"/>
        <w:numPr>
          <w:ilvl w:val="0"/>
          <w:numId w:val="40"/>
        </w:numPr>
      </w:pPr>
      <w:r w:rsidRPr="00F53504">
        <w:t xml:space="preserve">An unwillingness to move away from family and friends, costs involved in relocation and a perceived lack of knowledge and support from providers made relocation unattractive to job seekers. The </w:t>
      </w:r>
      <w:r w:rsidR="00503A02">
        <w:t>possibility</w:t>
      </w:r>
      <w:r w:rsidR="004C255D" w:rsidRPr="00F53504">
        <w:t xml:space="preserve"> of </w:t>
      </w:r>
      <w:r w:rsidR="00503A02">
        <w:t>a</w:t>
      </w:r>
      <w:r w:rsidR="004C255D" w:rsidRPr="00F53504">
        <w:t xml:space="preserve"> </w:t>
      </w:r>
      <w:proofErr w:type="gramStart"/>
      <w:r w:rsidRPr="00F53504">
        <w:t>12 week</w:t>
      </w:r>
      <w:proofErr w:type="gramEnd"/>
      <w:r w:rsidR="00503A02">
        <w:t xml:space="preserve"> income support</w:t>
      </w:r>
      <w:r w:rsidRPr="00F53504">
        <w:t xml:space="preserve"> non-payment</w:t>
      </w:r>
      <w:r w:rsidR="004C255D" w:rsidRPr="00F53504">
        <w:t xml:space="preserve"> period for </w:t>
      </w:r>
      <w:r w:rsidR="00503A02">
        <w:t>leaving</w:t>
      </w:r>
      <w:r w:rsidR="004C255D" w:rsidRPr="00F53504">
        <w:t xml:space="preserve"> a </w:t>
      </w:r>
      <w:r w:rsidR="003A555F">
        <w:t>job</w:t>
      </w:r>
      <w:r w:rsidR="00503A02">
        <w:t xml:space="preserve"> without a reasonable excuse</w:t>
      </w:r>
      <w:r w:rsidR="003A555F">
        <w:t xml:space="preserve"> after </w:t>
      </w:r>
      <w:r w:rsidR="004C255D" w:rsidRPr="00F53504">
        <w:t>relocation</w:t>
      </w:r>
      <w:r w:rsidRPr="00F53504">
        <w:t xml:space="preserve"> </w:t>
      </w:r>
      <w:r w:rsidR="00503A02">
        <w:t>appears to have</w:t>
      </w:r>
      <w:r w:rsidRPr="00F53504">
        <w:t xml:space="preserve"> </w:t>
      </w:r>
      <w:r w:rsidR="007B00C3" w:rsidRPr="00F53504">
        <w:t xml:space="preserve">a </w:t>
      </w:r>
      <w:r w:rsidRPr="00F53504">
        <w:t xml:space="preserve">limited </w:t>
      </w:r>
      <w:r w:rsidR="007B00C3" w:rsidRPr="00F53504">
        <w:t xml:space="preserve">impact on </w:t>
      </w:r>
      <w:r w:rsidRPr="00F53504">
        <w:t>job seekers relocat</w:t>
      </w:r>
      <w:r w:rsidR="007B00C3" w:rsidRPr="00F53504">
        <w:t xml:space="preserve">ing </w:t>
      </w:r>
      <w:r w:rsidRPr="00F53504">
        <w:t xml:space="preserve">for </w:t>
      </w:r>
      <w:r w:rsidR="007B00C3" w:rsidRPr="00F53504">
        <w:t>a job</w:t>
      </w:r>
      <w:r w:rsidRPr="00F53504">
        <w:t>.</w:t>
      </w:r>
    </w:p>
    <w:p w14:paraId="1AC96CC9" w14:textId="60F7E93B" w:rsidR="00D1734A" w:rsidRPr="00F53504" w:rsidRDefault="007B00C3" w:rsidP="000B6C9F">
      <w:pPr>
        <w:pStyle w:val="ListParagraph"/>
        <w:numPr>
          <w:ilvl w:val="0"/>
          <w:numId w:val="40"/>
        </w:numPr>
      </w:pPr>
      <w:r w:rsidRPr="00F53504">
        <w:lastRenderedPageBreak/>
        <w:t xml:space="preserve">Some </w:t>
      </w:r>
      <w:r w:rsidR="00963E87" w:rsidRPr="00F53504">
        <w:t xml:space="preserve">participants and providers reported </w:t>
      </w:r>
      <w:r w:rsidR="00B70E1D" w:rsidRPr="00F53504">
        <w:t>issues</w:t>
      </w:r>
      <w:r w:rsidR="00963E87" w:rsidRPr="00F53504">
        <w:t xml:space="preserve">. </w:t>
      </w:r>
      <w:r w:rsidR="00B70E1D" w:rsidRPr="00F53504">
        <w:t>J</w:t>
      </w:r>
      <w:r w:rsidR="00963E87" w:rsidRPr="00F53504">
        <w:t xml:space="preserve">ob seekers </w:t>
      </w:r>
      <w:r w:rsidR="00B70E1D" w:rsidRPr="00F53504">
        <w:t xml:space="preserve">did not </w:t>
      </w:r>
      <w:r w:rsidR="00963E87" w:rsidRPr="00F53504">
        <w:t>hav</w:t>
      </w:r>
      <w:r w:rsidR="009145B2" w:rsidRPr="00F53504">
        <w:t>e</w:t>
      </w:r>
      <w:r w:rsidR="00963E87" w:rsidRPr="00F53504">
        <w:t xml:space="preserve"> enough money to make upfront payments on the expectation of later reimbursement, providers </w:t>
      </w:r>
      <w:r w:rsidR="00B70E1D" w:rsidRPr="00F53504">
        <w:t>could</w:t>
      </w:r>
      <w:r w:rsidR="00600826">
        <w:t xml:space="preserve"> </w:t>
      </w:r>
      <w:r w:rsidR="00B70E1D" w:rsidRPr="00F53504">
        <w:t>n</w:t>
      </w:r>
      <w:r w:rsidR="00600826">
        <w:t>o</w:t>
      </w:r>
      <w:r w:rsidR="00B70E1D" w:rsidRPr="00F53504">
        <w:t xml:space="preserve">t always </w:t>
      </w:r>
      <w:r w:rsidR="00963E87" w:rsidRPr="00F53504">
        <w:t xml:space="preserve">directly pay suppliers during relocation, and </w:t>
      </w:r>
      <w:r w:rsidR="00B70E1D" w:rsidRPr="00F53504">
        <w:t xml:space="preserve">there was </w:t>
      </w:r>
      <w:r w:rsidR="00963E87" w:rsidRPr="00F53504">
        <w:t xml:space="preserve">confusion </w:t>
      </w:r>
      <w:r w:rsidR="00B70E1D" w:rsidRPr="00F53504">
        <w:t xml:space="preserve">about eligibility requirements, </w:t>
      </w:r>
      <w:r w:rsidR="00963E87" w:rsidRPr="00F53504">
        <w:t xml:space="preserve">which expenses </w:t>
      </w:r>
      <w:proofErr w:type="gramStart"/>
      <w:r w:rsidR="00963E87" w:rsidRPr="00F53504">
        <w:t>could be claimed</w:t>
      </w:r>
      <w:proofErr w:type="gramEnd"/>
      <w:r w:rsidR="00963E87" w:rsidRPr="00F53504">
        <w:t xml:space="preserve"> through the program</w:t>
      </w:r>
      <w:r w:rsidR="00B70E1D" w:rsidRPr="00F53504">
        <w:t>, and about reclaiming rental bond</w:t>
      </w:r>
      <w:r w:rsidR="00963E87" w:rsidRPr="00F53504">
        <w:t>.</w:t>
      </w:r>
      <w:r w:rsidR="00D04EA4">
        <w:t xml:space="preserve"> </w:t>
      </w:r>
      <w:r w:rsidR="009A7A7C" w:rsidRPr="00F53504">
        <w:t>In addition, j</w:t>
      </w:r>
      <w:r w:rsidR="00B70E1D" w:rsidRPr="00F53504">
        <w:t xml:space="preserve">ob seekers and providers highlighted issues with the </w:t>
      </w:r>
      <w:r w:rsidR="00963E87" w:rsidRPr="00F53504">
        <w:t xml:space="preserve">administrative burden of the program, difficulty </w:t>
      </w:r>
      <w:r w:rsidR="00B70E1D" w:rsidRPr="00F53504">
        <w:t xml:space="preserve">in </w:t>
      </w:r>
      <w:r w:rsidR="00963E87" w:rsidRPr="00F53504">
        <w:t xml:space="preserve">finding accommodation in the new location, and the short timeframes </w:t>
      </w:r>
      <w:r w:rsidR="00B70E1D" w:rsidRPr="00F53504">
        <w:t xml:space="preserve">for </w:t>
      </w:r>
      <w:r w:rsidR="00963E87" w:rsidRPr="00F53504">
        <w:t>relocat</w:t>
      </w:r>
      <w:r w:rsidR="00B70E1D" w:rsidRPr="00F53504">
        <w:t xml:space="preserve">ion </w:t>
      </w:r>
      <w:r w:rsidR="00963E87" w:rsidRPr="00F53504">
        <w:t xml:space="preserve">and </w:t>
      </w:r>
      <w:r w:rsidR="00B70E1D" w:rsidRPr="00F53504">
        <w:t xml:space="preserve">starting </w:t>
      </w:r>
      <w:r w:rsidR="00963E87" w:rsidRPr="00F53504">
        <w:t>employment.</w:t>
      </w:r>
    </w:p>
    <w:p w14:paraId="2DED8906" w14:textId="2D991088" w:rsidR="0039668F" w:rsidRPr="0039668F" w:rsidRDefault="0039668F" w:rsidP="0039668F">
      <w:pPr>
        <w:pStyle w:val="ListParagraph"/>
        <w:numPr>
          <w:ilvl w:val="0"/>
          <w:numId w:val="40"/>
        </w:numPr>
      </w:pPr>
      <w:r w:rsidRPr="00F53504">
        <w:t xml:space="preserve">The </w:t>
      </w:r>
      <w:r>
        <w:t>program</w:t>
      </w:r>
      <w:r w:rsidR="00707856">
        <w:t xml:space="preserve"> </w:t>
      </w:r>
      <w:r w:rsidR="00061147">
        <w:t>was undertaken by</w:t>
      </w:r>
      <w:r w:rsidR="00061147" w:rsidRPr="0039668F">
        <w:t xml:space="preserve"> </w:t>
      </w:r>
      <w:r w:rsidRPr="0039668F">
        <w:t xml:space="preserve">a </w:t>
      </w:r>
      <w:r>
        <w:t xml:space="preserve">very </w:t>
      </w:r>
      <w:r w:rsidRPr="0039668F">
        <w:t>small segment of the overall job seeker population (less than 0.2</w:t>
      </w:r>
      <w:r w:rsidR="00F651A8">
        <w:t> </w:t>
      </w:r>
      <w:r w:rsidRPr="0039668F">
        <w:t>per</w:t>
      </w:r>
      <w:r w:rsidR="00F651A8">
        <w:t> </w:t>
      </w:r>
      <w:r w:rsidRPr="0039668F">
        <w:t>cent of the eligible caseload)</w:t>
      </w:r>
      <w:r w:rsidR="00707856">
        <w:t xml:space="preserve">, but was successful, useful and important for those job seekers </w:t>
      </w:r>
      <w:r w:rsidR="00061147">
        <w:t>who participated</w:t>
      </w:r>
      <w:r w:rsidRPr="0039668F">
        <w:t>.</w:t>
      </w:r>
    </w:p>
    <w:p w14:paraId="3C5F09DA" w14:textId="77298251" w:rsidR="00F72266" w:rsidRPr="00F53504" w:rsidRDefault="005B19AB" w:rsidP="00D1734A">
      <w:r w:rsidRPr="00F53504">
        <w:t>There were issues with efficiency, given the low number</w:t>
      </w:r>
      <w:r w:rsidR="00F72266" w:rsidRPr="00F53504">
        <w:t>s of participants</w:t>
      </w:r>
      <w:r w:rsidRPr="00F53504">
        <w:t xml:space="preserve">, administrative burden, </w:t>
      </w:r>
      <w:r w:rsidR="00F72266" w:rsidRPr="00F53504">
        <w:t xml:space="preserve">and </w:t>
      </w:r>
      <w:r w:rsidRPr="00F53504">
        <w:t>long timeframes</w:t>
      </w:r>
      <w:r w:rsidR="00F72266" w:rsidRPr="00F53504">
        <w:t>.</w:t>
      </w:r>
    </w:p>
    <w:p w14:paraId="2509B7D4" w14:textId="79F1C166" w:rsidR="005B19AB" w:rsidRDefault="00F72266" w:rsidP="00F72266">
      <w:r w:rsidRPr="00F53504">
        <w:t xml:space="preserve">The appropriateness of the program </w:t>
      </w:r>
      <w:proofErr w:type="gramStart"/>
      <w:r w:rsidRPr="00F53504">
        <w:t>could be improved</w:t>
      </w:r>
      <w:proofErr w:type="gramEnd"/>
      <w:r w:rsidRPr="00F53504">
        <w:t xml:space="preserve"> by broadening eligibility criteria to increase take up and by addressing </w:t>
      </w:r>
      <w:r w:rsidR="005B19AB" w:rsidRPr="00F53504">
        <w:t xml:space="preserve">requirements for </w:t>
      </w:r>
      <w:r w:rsidR="00222184" w:rsidRPr="00F53504">
        <w:t xml:space="preserve">participants </w:t>
      </w:r>
      <w:r w:rsidR="005B19AB" w:rsidRPr="00F53504">
        <w:t>to make payments upfront and then seek reimbursement.</w:t>
      </w:r>
    </w:p>
    <w:p w14:paraId="00DE0C5F" w14:textId="72FAF8CB" w:rsidR="00D1734A" w:rsidRPr="00F53504" w:rsidRDefault="00D1734A" w:rsidP="00D1734A">
      <w:r w:rsidRPr="00F53504">
        <w:t>In summary, the evaluation found that:</w:t>
      </w:r>
    </w:p>
    <w:p w14:paraId="618D4F82" w14:textId="4F061755" w:rsidR="00D1734A" w:rsidRPr="00F53504" w:rsidRDefault="006539BA" w:rsidP="00D1734A">
      <w:pPr>
        <w:pStyle w:val="ListBullet"/>
      </w:pPr>
      <w:r w:rsidRPr="00F53504">
        <w:t>t</w:t>
      </w:r>
      <w:r w:rsidR="00D1734A" w:rsidRPr="00F53504">
        <w:t>h</w:t>
      </w:r>
      <w:r w:rsidR="00637D48" w:rsidRPr="00F53504">
        <w:t xml:space="preserve">e program can assist people </w:t>
      </w:r>
      <w:r w:rsidR="00166249">
        <w:t>move to a new location for work and for some this financial assistance is crucial</w:t>
      </w:r>
    </w:p>
    <w:p w14:paraId="05301482" w14:textId="77777777" w:rsidR="00D1734A" w:rsidRPr="00F53504" w:rsidRDefault="00D1734A" w:rsidP="00D1734A">
      <w:pPr>
        <w:pStyle w:val="ListBullet"/>
      </w:pPr>
      <w:r w:rsidRPr="00F53504">
        <w:t>a lack of awareness is dampening demand for the program among potential participants</w:t>
      </w:r>
    </w:p>
    <w:p w14:paraId="208F7BD9" w14:textId="400D439F" w:rsidR="00D1734A" w:rsidRPr="00F53504" w:rsidRDefault="00AC4B2A" w:rsidP="00D1734A">
      <w:pPr>
        <w:pStyle w:val="ListBullet"/>
      </w:pPr>
      <w:r w:rsidRPr="00F53504">
        <w:t xml:space="preserve">some participants in the program </w:t>
      </w:r>
      <w:r w:rsidR="00167A49">
        <w:t xml:space="preserve">reported they </w:t>
      </w:r>
      <w:r w:rsidRPr="00F53504">
        <w:t>would have</w:t>
      </w:r>
      <w:r w:rsidR="00BA2391">
        <w:t xml:space="preserve"> attempted to find other means to</w:t>
      </w:r>
      <w:r w:rsidRPr="00F53504">
        <w:t xml:space="preserve"> </w:t>
      </w:r>
      <w:r w:rsidR="00BA2391">
        <w:t>relocate</w:t>
      </w:r>
      <w:r w:rsidR="008C204D">
        <w:t xml:space="preserve"> without the </w:t>
      </w:r>
      <w:r w:rsidR="00BB636C">
        <w:t>assistance</w:t>
      </w:r>
    </w:p>
    <w:p w14:paraId="3B8EE549" w14:textId="70519BDB" w:rsidR="00D1734A" w:rsidRPr="00F53504" w:rsidRDefault="00D1734A" w:rsidP="00D1734A">
      <w:pPr>
        <w:pStyle w:val="ListBullet"/>
      </w:pPr>
      <w:r w:rsidRPr="00F53504">
        <w:t xml:space="preserve">the model </w:t>
      </w:r>
      <w:r w:rsidR="00EB7D95" w:rsidRPr="00F53504">
        <w:t xml:space="preserve">for </w:t>
      </w:r>
      <w:r w:rsidR="008302BD">
        <w:t xml:space="preserve">financial support, particularly reimbursement, </w:t>
      </w:r>
      <w:r w:rsidR="000917AC" w:rsidRPr="00F53504">
        <w:t>could be improved</w:t>
      </w:r>
    </w:p>
    <w:p w14:paraId="73FEF6DC" w14:textId="77777777" w:rsidR="00D1734A" w:rsidRPr="00F53504" w:rsidRDefault="00D1734A" w:rsidP="00D1734A">
      <w:pPr>
        <w:pStyle w:val="ListBullet"/>
      </w:pPr>
      <w:r w:rsidRPr="00F53504">
        <w:t>relocation places job seekers under considerable financial and emotional stress</w:t>
      </w:r>
    </w:p>
    <w:p w14:paraId="175151DB" w14:textId="77777777" w:rsidR="00D1734A" w:rsidRPr="00F53504" w:rsidRDefault="00D1734A" w:rsidP="00D1734A">
      <w:pPr>
        <w:pStyle w:val="ListBullet"/>
      </w:pPr>
      <w:r w:rsidRPr="00F53504">
        <w:t xml:space="preserve">providers have a significant influence </w:t>
      </w:r>
      <w:r w:rsidR="00637D48" w:rsidRPr="00F53504">
        <w:t xml:space="preserve">over </w:t>
      </w:r>
      <w:r w:rsidRPr="00F53504">
        <w:t>the relocation experience for job seekers</w:t>
      </w:r>
    </w:p>
    <w:p w14:paraId="25BE02D2" w14:textId="7BAD207A" w:rsidR="00D1734A" w:rsidRPr="00F53504" w:rsidRDefault="00D1734A" w:rsidP="00D1734A">
      <w:pPr>
        <w:pStyle w:val="ListBullet"/>
      </w:pPr>
      <w:r w:rsidRPr="00F53504">
        <w:t>program guidelines and administrative practices</w:t>
      </w:r>
      <w:r w:rsidR="00C42951">
        <w:t>, at the time of the evaluation,</w:t>
      </w:r>
      <w:r w:rsidRPr="00F53504">
        <w:t xml:space="preserve"> d</w:t>
      </w:r>
      <w:r w:rsidR="00C42951">
        <w:t>id</w:t>
      </w:r>
      <w:r w:rsidRPr="00F53504">
        <w:t xml:space="preserve"> not support rapid relocations </w:t>
      </w:r>
    </w:p>
    <w:p w14:paraId="057EF7FA" w14:textId="77777777" w:rsidR="00D1734A" w:rsidRPr="00F53504" w:rsidRDefault="00D1734A" w:rsidP="00D1734A">
      <w:pPr>
        <w:pStyle w:val="ListBullet"/>
      </w:pPr>
      <w:r w:rsidRPr="00F53504">
        <w:t>providers’ business constraints affect promotion and use of the program</w:t>
      </w:r>
    </w:p>
    <w:p w14:paraId="72FBE272" w14:textId="745DC26C" w:rsidR="00D1734A" w:rsidRDefault="00D1734A" w:rsidP="00D1734A">
      <w:pPr>
        <w:pStyle w:val="ListBullet"/>
      </w:pPr>
      <w:proofErr w:type="gramStart"/>
      <w:r w:rsidRPr="00F53504">
        <w:t>broadening</w:t>
      </w:r>
      <w:proofErr w:type="gramEnd"/>
      <w:r w:rsidRPr="00F53504">
        <w:t xml:space="preserve"> eligibility criteria may result in greater take-up.</w:t>
      </w:r>
    </w:p>
    <w:p w14:paraId="442B2B32" w14:textId="2F6288C5" w:rsidR="00963E87" w:rsidRPr="00F53504" w:rsidRDefault="0039668F" w:rsidP="00963E87">
      <w:r>
        <w:t>An important caveat is that the evaluation findings relate to a small, voluntary program. These findings may not generalise if there were significant changes in program design, eligibility or scale.</w:t>
      </w:r>
      <w:r w:rsidR="00963E87" w:rsidRPr="00F53504">
        <w:br w:type="page"/>
      </w:r>
    </w:p>
    <w:p w14:paraId="4724F9B3" w14:textId="77777777" w:rsidR="00C10C19" w:rsidRPr="00F53504" w:rsidRDefault="00123CDB" w:rsidP="00C85245">
      <w:pPr>
        <w:pStyle w:val="Heading1nonumber"/>
      </w:pPr>
      <w:bookmarkStart w:id="11" w:name="_Toc512529309"/>
      <w:r w:rsidRPr="00F53504">
        <w:lastRenderedPageBreak/>
        <w:t xml:space="preserve">Evaluation </w:t>
      </w:r>
      <w:r w:rsidR="009A1A71" w:rsidRPr="00F53504">
        <w:t>findings</w:t>
      </w:r>
      <w:bookmarkEnd w:id="11"/>
    </w:p>
    <w:p w14:paraId="708C2E60" w14:textId="583D78E1" w:rsidR="004E5540" w:rsidRPr="00F53504" w:rsidRDefault="00EC5A89" w:rsidP="004E5540">
      <w:r w:rsidRPr="00F53504">
        <w:t xml:space="preserve">The </w:t>
      </w:r>
      <w:r w:rsidR="004970A5" w:rsidRPr="00F53504">
        <w:t>RATTUAJ</w:t>
      </w:r>
      <w:r w:rsidRPr="00F53504">
        <w:t xml:space="preserve"> program</w:t>
      </w:r>
      <w:r w:rsidR="002D0E6E">
        <w:t>me</w:t>
      </w:r>
      <w:r w:rsidRPr="00F53504">
        <w:t xml:space="preserve"> </w:t>
      </w:r>
      <w:r w:rsidR="008302BD">
        <w:t xml:space="preserve">started </w:t>
      </w:r>
      <w:r w:rsidR="00FC74CD" w:rsidRPr="00F53504">
        <w:t>on 1 July 2014</w:t>
      </w:r>
      <w:r w:rsidR="004970A5" w:rsidRPr="00F53504">
        <w:t>. The program is available to long-term unemployed job seekers who wish to relocate to another location for on-going employment. The Department evaluat</w:t>
      </w:r>
      <w:r w:rsidR="00953EA5" w:rsidRPr="00F53504">
        <w:t xml:space="preserve">ed </w:t>
      </w:r>
      <w:r w:rsidR="004970A5" w:rsidRPr="00F53504">
        <w:t xml:space="preserve">the first </w:t>
      </w:r>
      <w:r w:rsidR="00082AFD" w:rsidRPr="00F53504">
        <w:t>eight</w:t>
      </w:r>
      <w:r w:rsidR="006B0942" w:rsidRPr="00F53504">
        <w:t>een</w:t>
      </w:r>
      <w:r w:rsidR="004970A5" w:rsidRPr="00F53504">
        <w:t xml:space="preserve"> months of </w:t>
      </w:r>
      <w:r w:rsidR="00FB6CCE">
        <w:t xml:space="preserve">the </w:t>
      </w:r>
      <w:r w:rsidR="004970A5" w:rsidRPr="00F53504">
        <w:t>RATTUAJ program</w:t>
      </w:r>
      <w:r w:rsidR="002D0E6E">
        <w:t>me</w:t>
      </w:r>
      <w:r w:rsidR="00E76BEC" w:rsidRPr="00F53504">
        <w:t xml:space="preserve"> to </w:t>
      </w:r>
      <w:r w:rsidR="00082AFD" w:rsidRPr="00F53504">
        <w:t>examine the program’s appropriateness, effectiveness and efficiency.</w:t>
      </w:r>
    </w:p>
    <w:p w14:paraId="4CDC1DB9" w14:textId="77777777" w:rsidR="008E2A24" w:rsidRPr="00F53504" w:rsidRDefault="00637D48" w:rsidP="008E2A24">
      <w:r w:rsidRPr="00F53504">
        <w:t>T</w:t>
      </w:r>
      <w:r w:rsidR="008E2A24" w:rsidRPr="00F53504">
        <w:t xml:space="preserve">he following data sources and methodologies </w:t>
      </w:r>
      <w:proofErr w:type="gramStart"/>
      <w:r w:rsidR="008E2A24" w:rsidRPr="00F53504">
        <w:t>were used</w:t>
      </w:r>
      <w:proofErr w:type="gramEnd"/>
      <w:r w:rsidR="008E2A24" w:rsidRPr="00F53504">
        <w:t>:</w:t>
      </w:r>
    </w:p>
    <w:p w14:paraId="336D1DFF" w14:textId="596629C7" w:rsidR="008E2A24" w:rsidRPr="00F53504" w:rsidRDefault="009C60D6" w:rsidP="00E76BEC">
      <w:pPr>
        <w:pStyle w:val="ListBullet"/>
      </w:pPr>
      <w:proofErr w:type="gramStart"/>
      <w:r w:rsidRPr="00F53504">
        <w:t>q</w:t>
      </w:r>
      <w:r w:rsidR="008E2A24" w:rsidRPr="00F53504">
        <w:t>ualitative</w:t>
      </w:r>
      <w:proofErr w:type="gramEnd"/>
      <w:r w:rsidR="008E2A24" w:rsidRPr="00F53504">
        <w:t xml:space="preserve"> research – in-depth interviews </w:t>
      </w:r>
      <w:r w:rsidR="00EF482C" w:rsidRPr="00F53504">
        <w:t>with 10 employment service</w:t>
      </w:r>
      <w:r w:rsidR="00D479B4">
        <w:t>s</w:t>
      </w:r>
      <w:r w:rsidR="00EF482C" w:rsidRPr="00F53504">
        <w:t xml:space="preserve"> providers and </w:t>
      </w:r>
      <w:r w:rsidR="008E2A24" w:rsidRPr="00F53504">
        <w:t>50 job seekers</w:t>
      </w:r>
      <w:r w:rsidR="00EF482C" w:rsidRPr="00F53504">
        <w:rPr>
          <w:rStyle w:val="FootnoteReference"/>
        </w:rPr>
        <w:footnoteReference w:id="2"/>
      </w:r>
      <w:r w:rsidR="008E2A24" w:rsidRPr="00F53504">
        <w:t xml:space="preserve"> who were about to enter or had recently entered into a relocation agreement. Follow-up interviews </w:t>
      </w:r>
      <w:proofErr w:type="gramStart"/>
      <w:r w:rsidR="008E2A24" w:rsidRPr="00F53504">
        <w:t>were attempted</w:t>
      </w:r>
      <w:proofErr w:type="gramEnd"/>
      <w:r w:rsidR="008E2A24" w:rsidRPr="00F53504">
        <w:t xml:space="preserve"> with all 50 job seekers approximately three months after the initial interview, with 2</w:t>
      </w:r>
      <w:r w:rsidR="00FB6CCE">
        <w:t>9</w:t>
      </w:r>
      <w:r w:rsidR="008E2A24" w:rsidRPr="00F53504">
        <w:t xml:space="preserve"> agreeing to be re-interviewed.</w:t>
      </w:r>
    </w:p>
    <w:p w14:paraId="7C2486AA" w14:textId="46AEC2D0" w:rsidR="008E2A24" w:rsidRPr="00F53504" w:rsidRDefault="009C60D6" w:rsidP="00E76BEC">
      <w:pPr>
        <w:pStyle w:val="ListBullet"/>
      </w:pPr>
      <w:proofErr w:type="gramStart"/>
      <w:r w:rsidRPr="00F53504">
        <w:t>q</w:t>
      </w:r>
      <w:r w:rsidR="008E2A24" w:rsidRPr="00F53504">
        <w:t>uantitative</w:t>
      </w:r>
      <w:proofErr w:type="gramEnd"/>
      <w:r w:rsidR="008E2A24" w:rsidRPr="00F53504">
        <w:t xml:space="preserve"> research – data collected from online surveys of employment services providers and a telephone survey of job seekers</w:t>
      </w:r>
      <w:r w:rsidR="00593984">
        <w:t>.</w:t>
      </w:r>
    </w:p>
    <w:p w14:paraId="204F2F75" w14:textId="77924E54" w:rsidR="00082AFD" w:rsidRPr="00F53504" w:rsidRDefault="009C60D6" w:rsidP="00082AFD">
      <w:pPr>
        <w:pStyle w:val="ListBullet"/>
      </w:pPr>
      <w:proofErr w:type="gramStart"/>
      <w:r w:rsidRPr="00F53504">
        <w:t>a</w:t>
      </w:r>
      <w:r w:rsidR="008E2A24" w:rsidRPr="00F53504">
        <w:t>dministrative</w:t>
      </w:r>
      <w:proofErr w:type="gramEnd"/>
      <w:r w:rsidR="008E2A24" w:rsidRPr="00F53504">
        <w:t xml:space="preserve"> data analysis </w:t>
      </w:r>
      <w:r w:rsidRPr="00F53504">
        <w:t xml:space="preserve">– </w:t>
      </w:r>
      <w:r w:rsidR="008E2A24" w:rsidRPr="00F53504">
        <w:t xml:space="preserve">descriptive analysis </w:t>
      </w:r>
      <w:r w:rsidR="007173EE">
        <w:t>was performed using</w:t>
      </w:r>
      <w:r w:rsidR="004F35EA">
        <w:t xml:space="preserve"> data</w:t>
      </w:r>
      <w:r w:rsidR="008E2A24" w:rsidRPr="00F53504">
        <w:t xml:space="preserve"> as at </w:t>
      </w:r>
      <w:r w:rsidR="00637D48" w:rsidRPr="00F53504">
        <w:t>31 </w:t>
      </w:r>
      <w:r w:rsidR="008E2A24" w:rsidRPr="00F53504">
        <w:t>March</w:t>
      </w:r>
      <w:r w:rsidR="00637D48" w:rsidRPr="00F53504">
        <w:t> </w:t>
      </w:r>
      <w:r w:rsidR="008E2A24" w:rsidRPr="00F53504">
        <w:t>2016</w:t>
      </w:r>
      <w:r w:rsidR="004F35EA">
        <w:t>, unless otherwise stated</w:t>
      </w:r>
      <w:r w:rsidR="008302BD">
        <w:t>.</w:t>
      </w:r>
      <w:r w:rsidR="000E5C91">
        <w:rPr>
          <w:rStyle w:val="FootnoteReference"/>
        </w:rPr>
        <w:footnoteReference w:id="3"/>
      </w:r>
      <w:r w:rsidR="008302BD">
        <w:t xml:space="preserve"> Th</w:t>
      </w:r>
      <w:r w:rsidR="004F35EA">
        <w:t>e analysis</w:t>
      </w:r>
      <w:r w:rsidR="008302BD">
        <w:t xml:space="preserve"> </w:t>
      </w:r>
      <w:r w:rsidR="00E664C0">
        <w:t>relates to</w:t>
      </w:r>
      <w:r w:rsidR="00E664C0" w:rsidRPr="00F53504">
        <w:t xml:space="preserve"> </w:t>
      </w:r>
      <w:r w:rsidR="008E2A24" w:rsidRPr="00F53504">
        <w:t xml:space="preserve">all Relocation Agreements with start dates between </w:t>
      </w:r>
      <w:r w:rsidR="00637D48" w:rsidRPr="00F53504">
        <w:t>1 July </w:t>
      </w:r>
      <w:r w:rsidR="00A666F6">
        <w:t>2014 and 31 </w:t>
      </w:r>
      <w:r w:rsidR="008E2A24" w:rsidRPr="00F53504">
        <w:t>December</w:t>
      </w:r>
      <w:r w:rsidR="00A666F6">
        <w:t> </w:t>
      </w:r>
      <w:r w:rsidR="008E2A24" w:rsidRPr="00F53504">
        <w:t xml:space="preserve">2015. Comparisons </w:t>
      </w:r>
      <w:proofErr w:type="gramStart"/>
      <w:r w:rsidR="00637D48" w:rsidRPr="00F53504">
        <w:t>were made</w:t>
      </w:r>
      <w:proofErr w:type="gramEnd"/>
      <w:r w:rsidR="007173EE">
        <w:t xml:space="preserve"> between</w:t>
      </w:r>
      <w:r w:rsidR="008E2A24" w:rsidRPr="00F53504">
        <w:t xml:space="preserve"> job seekers with a Relocation Agreement </w:t>
      </w:r>
      <w:r w:rsidR="007173EE">
        <w:t>and other</w:t>
      </w:r>
      <w:r w:rsidR="007173EE" w:rsidRPr="00F53504">
        <w:t xml:space="preserve"> </w:t>
      </w:r>
      <w:r w:rsidR="008E2A24" w:rsidRPr="00F53504">
        <w:t>job seekers in the caseload who would be eligible for RATTUAJ.</w:t>
      </w:r>
      <w:r w:rsidR="00E76BEC" w:rsidRPr="00F53504">
        <w:t xml:space="preserve"> </w:t>
      </w:r>
      <w:r w:rsidR="00565D06" w:rsidRPr="00F53504">
        <w:t>Additional information on the research approach is at Appendix B.</w:t>
      </w:r>
      <w:r w:rsidR="00E76BEC" w:rsidRPr="00F53504">
        <w:t xml:space="preserve"> </w:t>
      </w:r>
      <w:r w:rsidR="00637D48" w:rsidRPr="00F53504">
        <w:t xml:space="preserve">This </w:t>
      </w:r>
      <w:r w:rsidR="004E1DEF">
        <w:t xml:space="preserve">approach </w:t>
      </w:r>
      <w:r w:rsidR="00082AFD" w:rsidRPr="00F53504">
        <w:t xml:space="preserve">enabled insights into early implementation and initial outcomes of the program. However, the timeframe meant that it </w:t>
      </w:r>
      <w:r w:rsidR="006B596D" w:rsidRPr="00F53504">
        <w:t xml:space="preserve">was not </w:t>
      </w:r>
      <w:r w:rsidR="00082AFD" w:rsidRPr="00F53504">
        <w:t xml:space="preserve">possible to capture longer-term outcomes for a large group </w:t>
      </w:r>
      <w:r w:rsidR="005D43EF" w:rsidRPr="00F53504">
        <w:t xml:space="preserve">of </w:t>
      </w:r>
      <w:r w:rsidR="00082AFD" w:rsidRPr="00F53504">
        <w:t xml:space="preserve">participants. </w:t>
      </w:r>
    </w:p>
    <w:p w14:paraId="18DC4D2F" w14:textId="082BB942" w:rsidR="005D43EF" w:rsidRPr="00F53504" w:rsidRDefault="005D43EF" w:rsidP="00082AFD">
      <w:r w:rsidRPr="00F53504">
        <w:t xml:space="preserve">The evaluation </w:t>
      </w:r>
      <w:r w:rsidR="00D661C0">
        <w:t>period spans</w:t>
      </w:r>
      <w:r w:rsidRPr="00F53504">
        <w:t xml:space="preserve"> two employment services contracts. The RATTUAJ program</w:t>
      </w:r>
      <w:r w:rsidR="002D0E6E">
        <w:t>me</w:t>
      </w:r>
      <w:r w:rsidRPr="00F53504">
        <w:t xml:space="preserve"> initially operated under Job Services Australia until 30 June 2015 and </w:t>
      </w:r>
      <w:r w:rsidR="00503A02">
        <w:t>continued</w:t>
      </w:r>
      <w:r w:rsidRPr="00F53504">
        <w:t xml:space="preserve"> under the current employment services program, jobactive</w:t>
      </w:r>
      <w:r w:rsidR="000F15C2">
        <w:t xml:space="preserve"> (</w:t>
      </w:r>
      <w:r w:rsidR="000F15C2" w:rsidRPr="001B4C43">
        <w:t>DES is outside the scope of this evaluation</w:t>
      </w:r>
      <w:r w:rsidR="000F15C2">
        <w:t>)</w:t>
      </w:r>
      <w:r w:rsidRPr="00F53504">
        <w:t>.</w:t>
      </w:r>
    </w:p>
    <w:p w14:paraId="5689C7F5" w14:textId="391CAA5D" w:rsidR="009A1A71" w:rsidRPr="00F53504" w:rsidRDefault="009A1A71" w:rsidP="00082AFD">
      <w:r w:rsidRPr="00F53504">
        <w:t>The evaluation posed eight evaluation quest</w:t>
      </w:r>
      <w:r w:rsidR="005464B9">
        <w:t xml:space="preserve">ions. These </w:t>
      </w:r>
      <w:proofErr w:type="gramStart"/>
      <w:r w:rsidR="005464B9">
        <w:t>are addressed</w:t>
      </w:r>
      <w:proofErr w:type="gramEnd"/>
      <w:r w:rsidR="005464B9">
        <w:t xml:space="preserve"> below.</w:t>
      </w:r>
    </w:p>
    <w:p w14:paraId="7EC8F192" w14:textId="77777777" w:rsidR="008E2A24" w:rsidRPr="00F53504" w:rsidRDefault="008E2A24" w:rsidP="00AE7B6D">
      <w:pPr>
        <w:pStyle w:val="Execsummaryfindingsquestion"/>
        <w:numPr>
          <w:ilvl w:val="0"/>
          <w:numId w:val="27"/>
        </w:numPr>
      </w:pPr>
      <w:r w:rsidRPr="00F53504">
        <w:t>Do program participants relocate successfully?</w:t>
      </w:r>
    </w:p>
    <w:p w14:paraId="7DE859A2" w14:textId="77777777" w:rsidR="00D9600C" w:rsidRPr="00F53504" w:rsidRDefault="00D9600C" w:rsidP="00D9600C">
      <w:r w:rsidRPr="00F53504">
        <w:t xml:space="preserve">Between 1 July 2014 and 31 December 2015, 620 job seekers with approved relocation agreements had a confirmed employment placement (a successful relocation for the purposes of this question). This represents 96 per cent of job seekers </w:t>
      </w:r>
      <w:r w:rsidR="00605FF0" w:rsidRPr="00F53504">
        <w:t xml:space="preserve">with </w:t>
      </w:r>
      <w:r w:rsidRPr="00F53504">
        <w:t xml:space="preserve">an approved </w:t>
      </w:r>
      <w:r w:rsidR="00637D48" w:rsidRPr="00F53504">
        <w:t>R</w:t>
      </w:r>
      <w:r w:rsidRPr="00F53504">
        <w:t xml:space="preserve">elocation </w:t>
      </w:r>
      <w:r w:rsidR="00637D48" w:rsidRPr="00F53504">
        <w:t>A</w:t>
      </w:r>
      <w:r w:rsidRPr="00F53504">
        <w:t xml:space="preserve">greement. </w:t>
      </w:r>
    </w:p>
    <w:p w14:paraId="55C395C2" w14:textId="77777777" w:rsidR="00D9600C" w:rsidRPr="00F53504" w:rsidRDefault="00D9600C" w:rsidP="00F25EB4">
      <w:pPr>
        <w:pStyle w:val="Execsummaryfindingsquestion"/>
      </w:pPr>
      <w:r w:rsidRPr="00F53504">
        <w:t>Do relocated job seekers achieve employment outcomes?</w:t>
      </w:r>
    </w:p>
    <w:p w14:paraId="4B5521B2" w14:textId="72E31F67" w:rsidR="00D9600C" w:rsidRPr="00F53504" w:rsidRDefault="00D9600C" w:rsidP="00D9600C">
      <w:r w:rsidRPr="00F53504">
        <w:t xml:space="preserve">Two-thirds (66 per cent) of successful </w:t>
      </w:r>
      <w:proofErr w:type="spellStart"/>
      <w:r w:rsidRPr="00F53504">
        <w:t>relocators</w:t>
      </w:r>
      <w:proofErr w:type="spellEnd"/>
      <w:r w:rsidRPr="00F53504">
        <w:t xml:space="preserve"> whose </w:t>
      </w:r>
      <w:r w:rsidR="00B3611C" w:rsidRPr="00F53504">
        <w:t>Relocation A</w:t>
      </w:r>
      <w:r w:rsidRPr="00F53504">
        <w:t xml:space="preserve">greements started during the </w:t>
      </w:r>
      <w:r w:rsidR="00637D48" w:rsidRPr="00F53504">
        <w:t xml:space="preserve">Job Services Australia </w:t>
      </w:r>
      <w:r w:rsidR="00306769">
        <w:t>(</w:t>
      </w:r>
      <w:r w:rsidRPr="00F53504">
        <w:t>JSA</w:t>
      </w:r>
      <w:r w:rsidR="00306769">
        <w:t>)</w:t>
      </w:r>
      <w:r w:rsidRPr="00F53504">
        <w:t xml:space="preserve"> period of this evaluation (1 July 2014 – 3</w:t>
      </w:r>
      <w:r w:rsidR="00306769">
        <w:t>0</w:t>
      </w:r>
      <w:r w:rsidRPr="00F53504">
        <w:t xml:space="preserve"> June 2015) achieved a 13</w:t>
      </w:r>
      <w:r w:rsidR="006A7423">
        <w:t> </w:t>
      </w:r>
      <w:r w:rsidR="0091398E">
        <w:t>week employment outcome and 49</w:t>
      </w:r>
      <w:r w:rsidR="006A7423">
        <w:t> </w:t>
      </w:r>
      <w:r w:rsidR="0091398E">
        <w:t>per</w:t>
      </w:r>
      <w:r w:rsidR="006A7423">
        <w:t> </w:t>
      </w:r>
      <w:r w:rsidR="0091398E">
        <w:t>cent resulted in</w:t>
      </w:r>
      <w:r w:rsidR="00F92F3D">
        <w:t xml:space="preserve"> a</w:t>
      </w:r>
      <w:r w:rsidRPr="00F53504">
        <w:t xml:space="preserve"> </w:t>
      </w:r>
      <w:r w:rsidR="008302BD" w:rsidRPr="00F53504">
        <w:t>26</w:t>
      </w:r>
      <w:r w:rsidR="008302BD">
        <w:t> </w:t>
      </w:r>
      <w:r w:rsidRPr="00F53504">
        <w:t xml:space="preserve">week employment outcome. For successful </w:t>
      </w:r>
      <w:proofErr w:type="spellStart"/>
      <w:r w:rsidRPr="00F53504">
        <w:t>relocators</w:t>
      </w:r>
      <w:proofErr w:type="spellEnd"/>
      <w:r w:rsidRPr="00F53504">
        <w:t xml:space="preserve"> with agreement start dates during the jobactive period of this evaluation (1</w:t>
      </w:r>
      <w:r w:rsidR="0091398E">
        <w:t> </w:t>
      </w:r>
      <w:r w:rsidRPr="00F53504">
        <w:t>July</w:t>
      </w:r>
      <w:r w:rsidR="0091398E">
        <w:t> </w:t>
      </w:r>
      <w:r w:rsidRPr="00F53504">
        <w:t xml:space="preserve">2015 – </w:t>
      </w:r>
      <w:r w:rsidRPr="00F53504">
        <w:lastRenderedPageBreak/>
        <w:t>3</w:t>
      </w:r>
      <w:r w:rsidR="00A57D45">
        <w:t>0</w:t>
      </w:r>
      <w:r w:rsidR="0091398E">
        <w:t> </w:t>
      </w:r>
      <w:r w:rsidR="00A57D45">
        <w:t>June</w:t>
      </w:r>
      <w:r w:rsidR="0091398E">
        <w:t> </w:t>
      </w:r>
      <w:r w:rsidRPr="00F53504">
        <w:t>201</w:t>
      </w:r>
      <w:r w:rsidR="00D661C0">
        <w:t>6</w:t>
      </w:r>
      <w:r w:rsidRPr="00F53504">
        <w:t xml:space="preserve">), </w:t>
      </w:r>
      <w:r w:rsidR="00E2571B">
        <w:t>84</w:t>
      </w:r>
      <w:r w:rsidRPr="00F53504">
        <w:t xml:space="preserve"> per cent achieved an employment outcome of 4</w:t>
      </w:r>
      <w:r w:rsidR="0091398E">
        <w:t xml:space="preserve"> weeks</w:t>
      </w:r>
      <w:r w:rsidRPr="00F53504">
        <w:t xml:space="preserve">, </w:t>
      </w:r>
      <w:r w:rsidR="00E2571B">
        <w:t>79</w:t>
      </w:r>
      <w:r w:rsidR="0091398E">
        <w:t xml:space="preserve"> per cent a </w:t>
      </w:r>
      <w:r w:rsidRPr="00F53504">
        <w:t>12</w:t>
      </w:r>
      <w:r w:rsidR="0091398E">
        <w:t xml:space="preserve"> week outcome and </w:t>
      </w:r>
      <w:r w:rsidR="00E2571B">
        <w:t>64</w:t>
      </w:r>
      <w:r w:rsidR="0091398E">
        <w:t xml:space="preserve"> per cent a</w:t>
      </w:r>
      <w:r w:rsidRPr="00F53504">
        <w:t xml:space="preserve"> 26 week</w:t>
      </w:r>
      <w:r w:rsidR="0091398E">
        <w:t xml:space="preserve"> outcome</w:t>
      </w:r>
      <w:r w:rsidRPr="00F53504">
        <w:t>.</w:t>
      </w:r>
      <w:r w:rsidR="003E0BA8">
        <w:rPr>
          <w:rStyle w:val="FootnoteReference"/>
        </w:rPr>
        <w:footnoteReference w:id="4"/>
      </w:r>
    </w:p>
    <w:p w14:paraId="1BFA8AEC" w14:textId="77777777" w:rsidR="00D9600C" w:rsidRPr="00F53504" w:rsidRDefault="00D9600C" w:rsidP="00F25EB4">
      <w:pPr>
        <w:pStyle w:val="Execsummaryfindingsquestion"/>
      </w:pPr>
      <w:r w:rsidRPr="00F53504">
        <w:t>Do relocated job seekers remain off income support payments or continue to report earnings over time?</w:t>
      </w:r>
    </w:p>
    <w:p w14:paraId="75B050BB" w14:textId="4FBFC2C4" w:rsidR="00695EF1" w:rsidRPr="00F53504" w:rsidRDefault="00695EF1" w:rsidP="00695EF1">
      <w:r w:rsidRPr="00F53504">
        <w:t>Twelve months after the start of thei</w:t>
      </w:r>
      <w:r w:rsidR="00DC5434">
        <w:t>r relocation agreements, 58 per </w:t>
      </w:r>
      <w:r w:rsidRPr="00F53504">
        <w:t>cent of relocated JSA participants in the RATTUAJ program</w:t>
      </w:r>
      <w:r w:rsidR="002D0E6E">
        <w:t>me</w:t>
      </w:r>
      <w:r w:rsidRPr="00F53504">
        <w:t xml:space="preserve"> were off income support. </w:t>
      </w:r>
      <w:r w:rsidRPr="00153844">
        <w:t xml:space="preserve">This is </w:t>
      </w:r>
      <w:r w:rsidR="00584D66" w:rsidRPr="00153844">
        <w:t xml:space="preserve">22 percentage points </w:t>
      </w:r>
      <w:r w:rsidRPr="00153844">
        <w:t xml:space="preserve">greater than for job seekers who </w:t>
      </w:r>
      <w:proofErr w:type="gramStart"/>
      <w:r w:rsidRPr="00153844">
        <w:t>were placed</w:t>
      </w:r>
      <w:proofErr w:type="gramEnd"/>
      <w:r w:rsidRPr="00153844">
        <w:t xml:space="preserve"> in on-going employment but were not part of the RATTUAJ</w:t>
      </w:r>
      <w:r w:rsidRPr="00F53504">
        <w:t xml:space="preserve"> program</w:t>
      </w:r>
      <w:r w:rsidR="002D0E6E">
        <w:t>me</w:t>
      </w:r>
      <w:r w:rsidR="009C60D6" w:rsidRPr="00F53504">
        <w:t>,</w:t>
      </w:r>
      <w:r w:rsidRPr="00F53504">
        <w:t xml:space="preserve"> with 36</w:t>
      </w:r>
      <w:r w:rsidR="00DC5434">
        <w:t> </w:t>
      </w:r>
      <w:r w:rsidRPr="00F53504">
        <w:t>per</w:t>
      </w:r>
      <w:r w:rsidR="00DC5434">
        <w:t> </w:t>
      </w:r>
      <w:r w:rsidRPr="00F53504">
        <w:t>cent of these job seekers off income support 12 months after placement.</w:t>
      </w:r>
    </w:p>
    <w:p w14:paraId="0815FD57" w14:textId="37902097" w:rsidR="00D9600C" w:rsidRPr="00F53504" w:rsidRDefault="00DC5434" w:rsidP="00695EF1">
      <w:r>
        <w:t>In total, 91 per </w:t>
      </w:r>
      <w:r w:rsidR="00695EF1" w:rsidRPr="00F53504">
        <w:t xml:space="preserve">cent of RATTUAJ participants were </w:t>
      </w:r>
      <w:proofErr w:type="gramStart"/>
      <w:r w:rsidR="00695EF1" w:rsidRPr="00F53504">
        <w:t>either off income support or reporting</w:t>
      </w:r>
      <w:proofErr w:type="gramEnd"/>
      <w:r w:rsidR="00695EF1" w:rsidRPr="00F53504">
        <w:t xml:space="preserve"> earnings by the second month after the start of their agreement. </w:t>
      </w:r>
      <w:r w:rsidR="00637D48" w:rsidRPr="00F53504">
        <w:t>B</w:t>
      </w:r>
      <w:r w:rsidR="00695EF1" w:rsidRPr="00F53504">
        <w:t xml:space="preserve">y the twelfth </w:t>
      </w:r>
      <w:proofErr w:type="gramStart"/>
      <w:r w:rsidR="00695EF1" w:rsidRPr="00F53504">
        <w:t>month</w:t>
      </w:r>
      <w:proofErr w:type="gramEnd"/>
      <w:r w:rsidR="00695EF1" w:rsidRPr="00F53504">
        <w:t xml:space="preserve"> this </w:t>
      </w:r>
      <w:r w:rsidR="00811627">
        <w:t xml:space="preserve">was </w:t>
      </w:r>
      <w:r w:rsidR="00695EF1" w:rsidRPr="00F53504">
        <w:t>71 per cent. The remaining 29</w:t>
      </w:r>
      <w:r>
        <w:t> </w:t>
      </w:r>
      <w:r w:rsidR="00695EF1" w:rsidRPr="00F53504">
        <w:t>per</w:t>
      </w:r>
      <w:r>
        <w:t> </w:t>
      </w:r>
      <w:r w:rsidR="00695EF1" w:rsidRPr="00F53504">
        <w:t>cent of relocated participants were on income support with no earnings.</w:t>
      </w:r>
    </w:p>
    <w:p w14:paraId="4EA49931" w14:textId="77777777" w:rsidR="00D9600C" w:rsidRPr="00F53504" w:rsidRDefault="00D9600C" w:rsidP="00F25EB4">
      <w:pPr>
        <w:pStyle w:val="Execsummaryfindingsquestion"/>
      </w:pPr>
      <w:r w:rsidRPr="00F53504">
        <w:t>What factors contribute to successful relocation and sustained employment?</w:t>
      </w:r>
    </w:p>
    <w:p w14:paraId="1B95DB8C" w14:textId="1C858868" w:rsidR="00D9600C" w:rsidRPr="00F53504" w:rsidRDefault="00D9600C" w:rsidP="00D9600C">
      <w:r w:rsidRPr="00F53504">
        <w:t>Key factors that contribute to successful relocation and sustained employment include social networks, financial assistance, new opportunities</w:t>
      </w:r>
      <w:r w:rsidR="00731A7E">
        <w:t xml:space="preserve"> such as seeking a fresh start</w:t>
      </w:r>
      <w:r w:rsidRPr="00F53504">
        <w:t>, the support of providers in assisting participants and finally, finding suitable accommodation.</w:t>
      </w:r>
    </w:p>
    <w:p w14:paraId="5F144F2B" w14:textId="77777777" w:rsidR="00D9600C" w:rsidRPr="00F53504" w:rsidRDefault="00D9600C" w:rsidP="00F25EB4">
      <w:pPr>
        <w:pStyle w:val="Execsummaryfindingsquestion"/>
      </w:pPr>
      <w:r w:rsidRPr="00F53504">
        <w:t xml:space="preserve">How important </w:t>
      </w:r>
      <w:proofErr w:type="gramStart"/>
      <w:r w:rsidRPr="00F53504">
        <w:t>is</w:t>
      </w:r>
      <w:proofErr w:type="gramEnd"/>
      <w:r w:rsidRPr="00F53504">
        <w:t xml:space="preserve"> job matching quality and perceived job prospects in contributing to successful relocation and sustained employment?</w:t>
      </w:r>
    </w:p>
    <w:p w14:paraId="292DFF23" w14:textId="0E36866B" w:rsidR="00F54A1B" w:rsidRPr="00F53504" w:rsidRDefault="00117A27" w:rsidP="00F54A1B">
      <w:r>
        <w:t>T</w:t>
      </w:r>
      <w:r w:rsidR="00F54A1B" w:rsidRPr="00F53504">
        <w:t xml:space="preserve">he </w:t>
      </w:r>
      <w:r>
        <w:t>alignment of the job with the job seeker’s expectations had</w:t>
      </w:r>
      <w:r w:rsidR="00F54A1B" w:rsidRPr="00F53504">
        <w:t xml:space="preserve"> a big impact on the</w:t>
      </w:r>
      <w:r>
        <w:t>ir reported</w:t>
      </w:r>
      <w:r w:rsidR="00F54A1B" w:rsidRPr="00F53504">
        <w:t xml:space="preserve"> mental wellbeing. </w:t>
      </w:r>
      <w:r>
        <w:t>People who</w:t>
      </w:r>
      <w:r w:rsidR="00F54A1B" w:rsidRPr="00F53504">
        <w:t xml:space="preserve"> were engaged and happy with the job they</w:t>
      </w:r>
      <w:r w:rsidR="00166249">
        <w:t xml:space="preserve"> moved to take up</w:t>
      </w:r>
      <w:r w:rsidR="00F54A1B" w:rsidRPr="00F53504">
        <w:t xml:space="preserve"> were more positive about the program</w:t>
      </w:r>
      <w:r w:rsidR="00123CDB" w:rsidRPr="00F53504">
        <w:t xml:space="preserve"> </w:t>
      </w:r>
      <w:r w:rsidR="00F54A1B" w:rsidRPr="00F53504">
        <w:t xml:space="preserve">and the move. Many of the job seekers also saw the move for work </w:t>
      </w:r>
      <w:proofErr w:type="gramStart"/>
      <w:r w:rsidR="00F54A1B" w:rsidRPr="00F53504">
        <w:t>as an opportunity to grow and not just</w:t>
      </w:r>
      <w:r w:rsidR="00DC5434">
        <w:t xml:space="preserve"> a job but to develop a career</w:t>
      </w:r>
      <w:proofErr w:type="gramEnd"/>
      <w:r w:rsidR="00DC5434">
        <w:t>.</w:t>
      </w:r>
    </w:p>
    <w:p w14:paraId="64A1A560" w14:textId="72A4A8C7" w:rsidR="00F47291" w:rsidRPr="00F53504" w:rsidRDefault="00A71E32" w:rsidP="00D9600C">
      <w:r w:rsidRPr="00F53504">
        <w:t xml:space="preserve">Interviews </w:t>
      </w:r>
      <w:r w:rsidR="00D9600C" w:rsidRPr="00F53504">
        <w:t xml:space="preserve">with participants in the program indicated that high quality job matching increases the likelihood of successful relocation and sustained employment. Approximately half of the participants interviewed stated that finding employment </w:t>
      </w:r>
      <w:r w:rsidR="00F851DD">
        <w:t xml:space="preserve">that matched their preferences </w:t>
      </w:r>
      <w:r w:rsidR="00D9600C" w:rsidRPr="00F53504">
        <w:t xml:space="preserve">was important to them. At the time of the follow-up </w:t>
      </w:r>
      <w:proofErr w:type="gramStart"/>
      <w:r w:rsidR="00D9600C" w:rsidRPr="00F53504">
        <w:t>interview</w:t>
      </w:r>
      <w:proofErr w:type="gramEnd"/>
      <w:r w:rsidR="00D9600C" w:rsidRPr="00F53504">
        <w:t xml:space="preserve"> many participants said they enjoyed the job </w:t>
      </w:r>
      <w:r w:rsidR="00637D48" w:rsidRPr="00F53504">
        <w:t xml:space="preserve">for which </w:t>
      </w:r>
      <w:r w:rsidR="00D9600C" w:rsidRPr="00F53504">
        <w:t>they relocated.</w:t>
      </w:r>
    </w:p>
    <w:p w14:paraId="28522E8A" w14:textId="13FFB5D8" w:rsidR="00D9600C" w:rsidRPr="00F53504" w:rsidRDefault="00D9600C" w:rsidP="00D9600C">
      <w:r w:rsidRPr="00F53504">
        <w:t xml:space="preserve">Conversely, interviews also showed that poor quality job matching negatively impacted employment prospects. Some participants reported dissatisfaction with the job </w:t>
      </w:r>
      <w:r w:rsidR="00637D48" w:rsidRPr="00F53504">
        <w:t xml:space="preserve">for which </w:t>
      </w:r>
      <w:r w:rsidRPr="00F53504">
        <w:t>they relocated, with a few participants</w:t>
      </w:r>
      <w:r w:rsidR="008B1188" w:rsidRPr="00F53504">
        <w:t xml:space="preserve"> </w:t>
      </w:r>
      <w:r w:rsidRPr="00F53504">
        <w:t>stating that poor quality job matching was the reason</w:t>
      </w:r>
      <w:r w:rsidR="00A71E32" w:rsidRPr="00F53504">
        <w:t xml:space="preserve"> they were no longer in their job</w:t>
      </w:r>
      <w:r w:rsidRPr="00F53504">
        <w:t xml:space="preserve">. </w:t>
      </w:r>
      <w:r w:rsidR="003C5D45">
        <w:t>It is worth noting</w:t>
      </w:r>
      <w:r w:rsidR="00811627">
        <w:t xml:space="preserve"> </w:t>
      </w:r>
      <w:r w:rsidR="003C5D45">
        <w:t xml:space="preserve">that </w:t>
      </w:r>
      <w:r w:rsidR="00811627">
        <w:t xml:space="preserve">the evaluation found that </w:t>
      </w:r>
      <w:r w:rsidR="00811627" w:rsidRPr="00F53504">
        <w:t xml:space="preserve">most participants </w:t>
      </w:r>
      <w:r w:rsidR="00811627">
        <w:t xml:space="preserve">found </w:t>
      </w:r>
      <w:r w:rsidR="00811627" w:rsidRPr="00F53504">
        <w:t>their own employment</w:t>
      </w:r>
      <w:r w:rsidR="00811627">
        <w:t>, while p</w:t>
      </w:r>
      <w:r w:rsidRPr="00F53504">
        <w:t>roviders had a limited role in ensuring quality job matching</w:t>
      </w:r>
      <w:r w:rsidR="00811627">
        <w:t>.</w:t>
      </w:r>
    </w:p>
    <w:p w14:paraId="73D035BA" w14:textId="77777777" w:rsidR="00D9600C" w:rsidRPr="00F53504" w:rsidRDefault="00D9600C" w:rsidP="00F25EB4">
      <w:pPr>
        <w:pStyle w:val="Execsummaryfindingsquestion"/>
      </w:pPr>
      <w:r w:rsidRPr="00F53504">
        <w:lastRenderedPageBreak/>
        <w:t xml:space="preserve">What strategies </w:t>
      </w:r>
      <w:r w:rsidR="00C85467" w:rsidRPr="00F53504">
        <w:t xml:space="preserve">do </w:t>
      </w:r>
      <w:r w:rsidRPr="00F53504">
        <w:t xml:space="preserve">employment services providers </w:t>
      </w:r>
      <w:r w:rsidR="00C85467" w:rsidRPr="00F53504">
        <w:t xml:space="preserve">use </w:t>
      </w:r>
      <w:r w:rsidRPr="00F53504">
        <w:t>to promote the program, to source suitable jobs and ensure quality job matching?</w:t>
      </w:r>
    </w:p>
    <w:p w14:paraId="15AA195C" w14:textId="1A82AE99" w:rsidR="00944310" w:rsidRPr="00F53504" w:rsidRDefault="00D9600C" w:rsidP="00D9600C">
      <w:r w:rsidRPr="00F53504">
        <w:t xml:space="preserve">Employment services providers </w:t>
      </w:r>
      <w:r w:rsidR="00944310" w:rsidRPr="00F53504">
        <w:t xml:space="preserve">are responsible </w:t>
      </w:r>
      <w:r w:rsidRPr="00F53504">
        <w:t xml:space="preserve">for </w:t>
      </w:r>
      <w:r w:rsidR="00994F37">
        <w:t xml:space="preserve">assisting in </w:t>
      </w:r>
      <w:proofErr w:type="gramStart"/>
      <w:r w:rsidR="00994F37">
        <w:t>making arrangements</w:t>
      </w:r>
      <w:proofErr w:type="gramEnd"/>
      <w:r w:rsidR="00994F37">
        <w:t xml:space="preserve"> under</w:t>
      </w:r>
      <w:r w:rsidRPr="00F53504">
        <w:t xml:space="preserve"> the RATTUAJ program</w:t>
      </w:r>
      <w:r w:rsidR="002D0E6E">
        <w:t>me</w:t>
      </w:r>
      <w:r w:rsidRPr="00F53504">
        <w:t xml:space="preserve"> and promoting it to job seekers. Job seekers and providers</w:t>
      </w:r>
      <w:r w:rsidR="00994F37">
        <w:t xml:space="preserve"> who participated in this research</w:t>
      </w:r>
      <w:r w:rsidRPr="00F53504">
        <w:t xml:space="preserve"> ha</w:t>
      </w:r>
      <w:r w:rsidR="00994F37">
        <w:t>d</w:t>
      </w:r>
      <w:r w:rsidRPr="00F53504">
        <w:t xml:space="preserve"> very different perspectives on provider promotion of the program.</w:t>
      </w:r>
    </w:p>
    <w:p w14:paraId="399B8A68" w14:textId="52903C79" w:rsidR="00944310" w:rsidRPr="00F53504" w:rsidRDefault="00256EC4" w:rsidP="00D9600C">
      <w:r>
        <w:t xml:space="preserve">On the one hand, provider </w:t>
      </w:r>
      <w:r w:rsidR="000508DF">
        <w:t>staff</w:t>
      </w:r>
      <w:r w:rsidR="00D9600C" w:rsidRPr="00F53504">
        <w:t xml:space="preserve"> </w:t>
      </w:r>
      <w:r w:rsidR="00175B39" w:rsidRPr="00F53504">
        <w:t>responding</w:t>
      </w:r>
      <w:r w:rsidR="000575F6">
        <w:t xml:space="preserve"> to</w:t>
      </w:r>
      <w:r w:rsidR="00175B39" w:rsidRPr="00F53504">
        <w:t xml:space="preserve"> </w:t>
      </w:r>
      <w:r w:rsidR="00D50385">
        <w:t>a</w:t>
      </w:r>
      <w:r w:rsidR="00D9600C" w:rsidRPr="00F53504">
        <w:t xml:space="preserve"> 2016</w:t>
      </w:r>
      <w:r w:rsidR="00244B85">
        <w:t xml:space="preserve"> provider</w:t>
      </w:r>
      <w:r w:rsidR="00D9600C" w:rsidRPr="00F53504">
        <w:t xml:space="preserve"> </w:t>
      </w:r>
      <w:r w:rsidR="00D50385">
        <w:t>s</w:t>
      </w:r>
      <w:r w:rsidR="00D9600C" w:rsidRPr="00F53504">
        <w:t>urvey reported actively promoting the rel</w:t>
      </w:r>
      <w:r w:rsidR="00DC5434">
        <w:t>ocation program to job seekers.</w:t>
      </w:r>
    </w:p>
    <w:p w14:paraId="1F198329" w14:textId="05BAA163" w:rsidR="00F47291" w:rsidRPr="00F53504" w:rsidRDefault="00D9600C" w:rsidP="00D9600C">
      <w:r w:rsidRPr="00F53504">
        <w:t xml:space="preserve">On the other, </w:t>
      </w:r>
      <w:r w:rsidR="003E0225" w:rsidRPr="00F53504">
        <w:t xml:space="preserve">qualitative </w:t>
      </w:r>
      <w:r w:rsidRPr="00F53504">
        <w:t>interviews</w:t>
      </w:r>
      <w:r w:rsidR="00256EC4">
        <w:t xml:space="preserve"> with participants and provider staff</w:t>
      </w:r>
      <w:r w:rsidRPr="00F53504">
        <w:t xml:space="preserve"> indicated there was a lack of understanding and knowledge of the program on the part of providers, a reluctance to encourage relocation and an expectation that job seekers would understand the operational details of the progr</w:t>
      </w:r>
      <w:r w:rsidR="00DC5434">
        <w:t>am without provider assistance.</w:t>
      </w:r>
    </w:p>
    <w:p w14:paraId="30C98B65" w14:textId="1A733DB2" w:rsidR="00D9600C" w:rsidRPr="00F53504" w:rsidRDefault="00567DDD" w:rsidP="00D9600C">
      <w:r w:rsidRPr="00F53504">
        <w:t>The research</w:t>
      </w:r>
      <w:r w:rsidR="00256EC4">
        <w:t xml:space="preserve"> also suggested that provider staff</w:t>
      </w:r>
      <w:r w:rsidR="00D9600C" w:rsidRPr="00F53504">
        <w:t xml:space="preserve"> saw the sourcing of jobs in other locations and job matching as primarily the responsibility of job seekers.</w:t>
      </w:r>
    </w:p>
    <w:p w14:paraId="3EF570D1" w14:textId="77777777" w:rsidR="008B1188" w:rsidRPr="00F53504" w:rsidRDefault="008B1188" w:rsidP="00F25EB4">
      <w:pPr>
        <w:pStyle w:val="Execsummaryfindingsquestion"/>
      </w:pPr>
      <w:r w:rsidRPr="00F53504">
        <w:t>What are the major factors that contribute to job seekers’ decisions to relocate?</w:t>
      </w:r>
    </w:p>
    <w:p w14:paraId="68F5D492" w14:textId="77777777" w:rsidR="008B1188" w:rsidRPr="00F53504" w:rsidRDefault="008B1188" w:rsidP="008B1188">
      <w:r w:rsidRPr="00F53504">
        <w:t>The most common factor</w:t>
      </w:r>
      <w:r w:rsidR="00637D48" w:rsidRPr="00F53504">
        <w:t>s</w:t>
      </w:r>
      <w:r w:rsidRPr="00F53504">
        <w:t xml:space="preserve"> that contributed to job seekers’ decisions to relocate w</w:t>
      </w:r>
      <w:r w:rsidR="00637D48" w:rsidRPr="00F53504">
        <w:t>er</w:t>
      </w:r>
      <w:r w:rsidR="00345F1A" w:rsidRPr="00F53504">
        <w:t>e</w:t>
      </w:r>
      <w:r w:rsidRPr="00F53504">
        <w:t xml:space="preserve"> employment and better employment opportunities. Other factors included the personal circumstances of the job seeker, for example a desire to move away from family, and the attraction of a particular location.</w:t>
      </w:r>
    </w:p>
    <w:p w14:paraId="39E8CC4A" w14:textId="7FF41A7B" w:rsidR="008B1188" w:rsidRPr="00F53504" w:rsidRDefault="008B1188" w:rsidP="00F25EB4">
      <w:pPr>
        <w:pStyle w:val="Execsummaryfindingsquestion"/>
      </w:pPr>
      <w:r w:rsidRPr="00F53504">
        <w:t>What are the major impediments that job seekers perceive when deciding whether to relocate? Is the</w:t>
      </w:r>
      <w:r w:rsidR="007A51F7">
        <w:t xml:space="preserve"> potential of a </w:t>
      </w:r>
      <w:proofErr w:type="gramStart"/>
      <w:r w:rsidR="007A51F7">
        <w:t>12 week</w:t>
      </w:r>
      <w:proofErr w:type="gramEnd"/>
      <w:r w:rsidR="007A51F7">
        <w:t xml:space="preserve"> income support</w:t>
      </w:r>
      <w:r w:rsidRPr="00F53504">
        <w:t xml:space="preserve"> non-payment period</w:t>
      </w:r>
      <w:r w:rsidR="007A51F7">
        <w:t xml:space="preserve"> for leaving a job</w:t>
      </w:r>
      <w:r w:rsidRPr="00F53504">
        <w:t xml:space="preserve"> a factor?</w:t>
      </w:r>
    </w:p>
    <w:p w14:paraId="32F21843" w14:textId="6FDFB00D" w:rsidR="008B1188" w:rsidRPr="00F53504" w:rsidRDefault="008B1188" w:rsidP="008B1188">
      <w:r w:rsidRPr="00F53504">
        <w:t xml:space="preserve">There were several </w:t>
      </w:r>
      <w:r w:rsidR="00C03224" w:rsidRPr="00F53504">
        <w:t>common factors reported by job seekers as discouraging them from relocating.</w:t>
      </w:r>
      <w:r w:rsidRPr="00F53504">
        <w:t xml:space="preserve"> Job </w:t>
      </w:r>
      <w:proofErr w:type="gramStart"/>
      <w:r w:rsidRPr="00F53504">
        <w:t>seekers</w:t>
      </w:r>
      <w:proofErr w:type="gramEnd"/>
      <w:r w:rsidRPr="00F53504">
        <w:t xml:space="preserve"> </w:t>
      </w:r>
      <w:r w:rsidR="00637D48" w:rsidRPr="00F53504">
        <w:t xml:space="preserve">who </w:t>
      </w:r>
      <w:r w:rsidRPr="00F53504">
        <w:t>choose to relocate as part of the RATTUAJ program</w:t>
      </w:r>
      <w:r w:rsidR="002D0E6E">
        <w:t>me</w:t>
      </w:r>
      <w:r w:rsidRPr="00F53504">
        <w:t>, a</w:t>
      </w:r>
      <w:r w:rsidR="00637D48" w:rsidRPr="00F53504">
        <w:t xml:space="preserve">nd </w:t>
      </w:r>
      <w:r w:rsidRPr="00F53504">
        <w:t>those that did not, indicated that factors such as an unwillingness to move away from family and friends, costs involved in relocation and a perceived lack of knowledge and support from providers were impediments to their decision to relocate. The</w:t>
      </w:r>
      <w:r w:rsidR="00C03224" w:rsidRPr="00F53504">
        <w:t xml:space="preserve"> </w:t>
      </w:r>
      <w:r w:rsidR="007A51F7">
        <w:t>possibility</w:t>
      </w:r>
      <w:r w:rsidR="00C03224" w:rsidRPr="00F53504">
        <w:t xml:space="preserve"> of</w:t>
      </w:r>
      <w:r w:rsidRPr="00F53504">
        <w:t xml:space="preserve"> 12 week</w:t>
      </w:r>
      <w:r w:rsidR="00C03224" w:rsidRPr="00F53504">
        <w:t>s without income support for job seeker</w:t>
      </w:r>
      <w:r w:rsidR="00E46437" w:rsidRPr="00F53504">
        <w:t xml:space="preserve">s who </w:t>
      </w:r>
      <w:r w:rsidR="00794F39">
        <w:t>leave their job</w:t>
      </w:r>
      <w:r w:rsidR="007A51F7">
        <w:t xml:space="preserve"> without a reasonable excuse</w:t>
      </w:r>
      <w:r w:rsidR="00E46437" w:rsidRPr="00F53504">
        <w:t xml:space="preserve"> during the first six months</w:t>
      </w:r>
      <w:r w:rsidR="00794F39">
        <w:t xml:space="preserve"> after relocating</w:t>
      </w:r>
      <w:r w:rsidRPr="00F53504">
        <w:t xml:space="preserve"> appear</w:t>
      </w:r>
      <w:r w:rsidR="00637D48" w:rsidRPr="00F53504">
        <w:t xml:space="preserve">ed </w:t>
      </w:r>
      <w:r w:rsidRPr="00F53504">
        <w:t>to have a limited role in job seekers’ decision</w:t>
      </w:r>
      <w:r w:rsidR="002573FA">
        <w:t>s</w:t>
      </w:r>
      <w:r w:rsidRPr="00F53504">
        <w:t xml:space="preserve"> to relocate for employment.</w:t>
      </w:r>
    </w:p>
    <w:p w14:paraId="0C9992F7" w14:textId="77777777" w:rsidR="006B596D" w:rsidRPr="00F53504" w:rsidRDefault="006B596D" w:rsidP="000B6C9F">
      <w:pPr>
        <w:pStyle w:val="Execsummaryfindingsquestion"/>
      </w:pPr>
      <w:bookmarkStart w:id="12" w:name="_Toc483386674"/>
      <w:r w:rsidRPr="00F53504">
        <w:t>Emerging issues</w:t>
      </w:r>
      <w:bookmarkEnd w:id="12"/>
    </w:p>
    <w:p w14:paraId="7AA7D249" w14:textId="3B8D57EA" w:rsidR="00944310" w:rsidRPr="00F53504" w:rsidRDefault="006B596D" w:rsidP="00747C70">
      <w:r w:rsidRPr="00F53504">
        <w:t>Through the course of this evaluation, issues emerged that were not part of the evaluation questions but were worth noting. While many participants and providers reported successful outcomes from their involvement in the RATTUAJ program</w:t>
      </w:r>
      <w:r w:rsidR="002D0E6E">
        <w:t>me</w:t>
      </w:r>
      <w:r w:rsidRPr="00F53504">
        <w:t xml:space="preserve">, </w:t>
      </w:r>
      <w:r w:rsidR="00811627">
        <w:t xml:space="preserve">some reported </w:t>
      </w:r>
      <w:r w:rsidRPr="00F53504">
        <w:t>challenges and</w:t>
      </w:r>
      <w:r w:rsidR="00947BDE">
        <w:t xml:space="preserve"> barriers.</w:t>
      </w:r>
    </w:p>
    <w:p w14:paraId="133B4271" w14:textId="2DF698F9" w:rsidR="00944310" w:rsidRPr="00F53504" w:rsidRDefault="006B596D" w:rsidP="00747C70">
      <w:r w:rsidRPr="00F53504">
        <w:t>In particular, there were issues with the financial mechanisms and reimbursement model, including job seekers having enough money to make</w:t>
      </w:r>
      <w:r w:rsidR="00566690">
        <w:t xml:space="preserve"> up</w:t>
      </w:r>
      <w:r w:rsidRPr="00F53504">
        <w:t xml:space="preserve">front payments on the expectation of later reimbursement, providers’ ability </w:t>
      </w:r>
      <w:proofErr w:type="gramStart"/>
      <w:r w:rsidRPr="00F53504">
        <w:t>to directly pay</w:t>
      </w:r>
      <w:proofErr w:type="gramEnd"/>
      <w:r w:rsidRPr="00F53504">
        <w:t xml:space="preserve"> suppliers during relocation, and confusion regarding which expenses could </w:t>
      </w:r>
      <w:r w:rsidR="00947BDE">
        <w:t>be claimed through the program.</w:t>
      </w:r>
    </w:p>
    <w:p w14:paraId="6370AFB5" w14:textId="6FD897CB" w:rsidR="009428D2" w:rsidRPr="00F53504" w:rsidRDefault="006B596D" w:rsidP="00747C70">
      <w:r w:rsidRPr="00F53504">
        <w:lastRenderedPageBreak/>
        <w:t xml:space="preserve">Other issues </w:t>
      </w:r>
      <w:r w:rsidR="00637D48" w:rsidRPr="00F53504">
        <w:t xml:space="preserve">that </w:t>
      </w:r>
      <w:r w:rsidRPr="00F53504">
        <w:t xml:space="preserve">emerged included the administrative burden of the program, </w:t>
      </w:r>
      <w:r w:rsidR="001E6C1E" w:rsidRPr="00F53504">
        <w:t xml:space="preserve">job seekers experiencing </w:t>
      </w:r>
      <w:proofErr w:type="gramStart"/>
      <w:r w:rsidRPr="00F53504">
        <w:t>difficulty finding</w:t>
      </w:r>
      <w:proofErr w:type="gramEnd"/>
      <w:r w:rsidRPr="00F53504">
        <w:t xml:space="preserve"> accommodation in the new location, and the relatively short timeframes in which participants were being asked to relocate and commence employment. Providers also identified issues with eligibility requirements and </w:t>
      </w:r>
      <w:r w:rsidR="00CD1B9B" w:rsidRPr="00F53504">
        <w:t>with rules around the provision of</w:t>
      </w:r>
      <w:r w:rsidRPr="00F53504">
        <w:t xml:space="preserve"> rental bond</w:t>
      </w:r>
      <w:r w:rsidR="00CD1B9B" w:rsidRPr="00F53504">
        <w:t xml:space="preserve"> money and its later </w:t>
      </w:r>
      <w:r w:rsidR="00172FA3" w:rsidRPr="00F53504">
        <w:t>recovery</w:t>
      </w:r>
      <w:r w:rsidRPr="00F53504">
        <w:t>.</w:t>
      </w:r>
      <w:r w:rsidR="009428D2" w:rsidRPr="00F53504">
        <w:br w:type="page"/>
      </w:r>
    </w:p>
    <w:p w14:paraId="7511979B" w14:textId="77777777" w:rsidR="009428D2" w:rsidRPr="00F53504" w:rsidRDefault="009428D2" w:rsidP="00EF681B">
      <w:pPr>
        <w:pStyle w:val="Heading1"/>
      </w:pPr>
      <w:bookmarkStart w:id="13" w:name="_Toc512529310"/>
      <w:r w:rsidRPr="00F53504">
        <w:lastRenderedPageBreak/>
        <w:t>Introduction</w:t>
      </w:r>
      <w:bookmarkEnd w:id="13"/>
    </w:p>
    <w:p w14:paraId="3EF201E1" w14:textId="4FF6A77F" w:rsidR="00465072" w:rsidRPr="00F53504" w:rsidRDefault="00465072" w:rsidP="00465072">
      <w:r w:rsidRPr="00F53504">
        <w:t xml:space="preserve">Given the wide geographical differences across Australian labour markets, job seekers who are willing and able to relocate may find better job opportunities in growth regions and industries. In order to facilitate </w:t>
      </w:r>
      <w:r w:rsidR="00C323C8" w:rsidRPr="00F53504">
        <w:t>access to these opportunities</w:t>
      </w:r>
      <w:r w:rsidRPr="00F53504">
        <w:t>, the RATTUAJ program</w:t>
      </w:r>
      <w:r w:rsidR="002D0E6E">
        <w:t>me</w:t>
      </w:r>
      <w:r w:rsidRPr="00F53504">
        <w:t xml:space="preserve"> is available to eligible job seekers to assist them with the financial costs associated with relocating for employment. This report evaluates the appropriateness, effectiveness and efficiency of the RATTUAJ program</w:t>
      </w:r>
      <w:r w:rsidR="002D0E6E">
        <w:t>me</w:t>
      </w:r>
      <w:r w:rsidRPr="00F53504">
        <w:t>.</w:t>
      </w:r>
    </w:p>
    <w:p w14:paraId="653EF638" w14:textId="30998561" w:rsidR="00CF6A8B" w:rsidRPr="00F53504" w:rsidRDefault="00CF6A8B" w:rsidP="00CF6A8B">
      <w:pPr>
        <w:pStyle w:val="Heading2"/>
      </w:pPr>
      <w:bookmarkStart w:id="14" w:name="_Toc512529311"/>
      <w:r w:rsidRPr="00F53504">
        <w:t xml:space="preserve">The Relocation Assistance to Take </w:t>
      </w:r>
      <w:proofErr w:type="gramStart"/>
      <w:r w:rsidRPr="00F53504">
        <w:t>Up</w:t>
      </w:r>
      <w:proofErr w:type="gramEnd"/>
      <w:r w:rsidRPr="00F53504">
        <w:t xml:space="preserve"> a Job program</w:t>
      </w:r>
      <w:r w:rsidR="00874BB8">
        <w:t>me</w:t>
      </w:r>
      <w:bookmarkEnd w:id="14"/>
    </w:p>
    <w:p w14:paraId="3B78A83F" w14:textId="51F05547" w:rsidR="007A1200" w:rsidRPr="00F53504" w:rsidRDefault="00AF2661" w:rsidP="007A1200">
      <w:r w:rsidRPr="00F53504">
        <w:t>The RATTUAJ program</w:t>
      </w:r>
      <w:r w:rsidR="002D0E6E">
        <w:t>me</w:t>
      </w:r>
      <w:r w:rsidRPr="00F53504">
        <w:t xml:space="preserve"> </w:t>
      </w:r>
      <w:proofErr w:type="gramStart"/>
      <w:r w:rsidRPr="00F53504">
        <w:t xml:space="preserve">was announced </w:t>
      </w:r>
      <w:r w:rsidR="009C1BCA" w:rsidRPr="00E35304">
        <w:t>in the Mid</w:t>
      </w:r>
      <w:r w:rsidR="009C1BCA" w:rsidRPr="00E35304">
        <w:rPr>
          <w:rFonts w:ascii="Cambria Math" w:hAnsi="Cambria Math" w:cs="Cambria Math"/>
        </w:rPr>
        <w:t>‑</w:t>
      </w:r>
      <w:r w:rsidR="009C1BCA" w:rsidRPr="00E35304">
        <w:t>Year Economic and Fiscal Outlook 2013</w:t>
      </w:r>
      <w:r w:rsidR="009C1BCA" w:rsidRPr="00E35304">
        <w:rPr>
          <w:rFonts w:ascii="Cambria Math" w:hAnsi="Cambria Math" w:cs="Cambria Math"/>
        </w:rPr>
        <w:t>‑</w:t>
      </w:r>
      <w:r w:rsidR="009C1BCA">
        <w:t>14</w:t>
      </w:r>
      <w:r w:rsidRPr="00F53504">
        <w:t xml:space="preserve"> and </w:t>
      </w:r>
      <w:r w:rsidR="00C4467E" w:rsidRPr="00F53504">
        <w:t xml:space="preserve">started </w:t>
      </w:r>
      <w:r w:rsidRPr="00F53504">
        <w:t>on 1 July 2014</w:t>
      </w:r>
      <w:proofErr w:type="gramEnd"/>
      <w:r w:rsidRPr="00F53504">
        <w:t>. The program assist</w:t>
      </w:r>
      <w:r w:rsidR="00F47291" w:rsidRPr="00F53504">
        <w:t>s</w:t>
      </w:r>
      <w:r w:rsidRPr="00F53504">
        <w:t xml:space="preserve"> job seekers with the costs of moving for a job </w:t>
      </w:r>
      <w:r w:rsidR="00646F06">
        <w:t>including</w:t>
      </w:r>
      <w:r w:rsidRPr="00F53504">
        <w:t xml:space="preserve"> an apprenticeship to encourage </w:t>
      </w:r>
      <w:r w:rsidR="00B0024F" w:rsidRPr="00F53504">
        <w:t xml:space="preserve">them </w:t>
      </w:r>
      <w:r w:rsidRPr="00F53504">
        <w:t xml:space="preserve">to relocate to areas with lower unemployment rates than </w:t>
      </w:r>
      <w:r w:rsidR="00B0024F" w:rsidRPr="00F53504">
        <w:t xml:space="preserve">those </w:t>
      </w:r>
      <w:r w:rsidRPr="00F53504">
        <w:t xml:space="preserve">where they currently reside. It operated under </w:t>
      </w:r>
      <w:r w:rsidR="00B0024F" w:rsidRPr="00F53504">
        <w:t xml:space="preserve">the </w:t>
      </w:r>
      <w:r w:rsidR="00A57827" w:rsidRPr="00F53504">
        <w:t>Job Services Australia (</w:t>
      </w:r>
      <w:r w:rsidR="00B0024F" w:rsidRPr="00F53504">
        <w:t>JSA</w:t>
      </w:r>
      <w:r w:rsidR="00A57827" w:rsidRPr="00F53504">
        <w:t>)</w:t>
      </w:r>
      <w:r w:rsidR="00B0024F" w:rsidRPr="00F53504">
        <w:t xml:space="preserve"> </w:t>
      </w:r>
      <w:r w:rsidR="00C323C8" w:rsidRPr="00F53504">
        <w:t>deed</w:t>
      </w:r>
      <w:r w:rsidR="00B0024F" w:rsidRPr="00F53504">
        <w:t xml:space="preserve"> </w:t>
      </w:r>
      <w:r w:rsidRPr="00F53504">
        <w:t xml:space="preserve">until 30 June 2015 and </w:t>
      </w:r>
      <w:r w:rsidR="00C323C8" w:rsidRPr="00F53504">
        <w:t>then continued</w:t>
      </w:r>
      <w:r w:rsidRPr="00F53504">
        <w:t xml:space="preserve"> under the current</w:t>
      </w:r>
      <w:r w:rsidR="00C323C8" w:rsidRPr="00F53504">
        <w:t xml:space="preserve"> mainstream</w:t>
      </w:r>
      <w:r w:rsidRPr="00F53504">
        <w:t xml:space="preserve"> employment services program, jobactive.</w:t>
      </w:r>
      <w:r w:rsidR="00D04EA4">
        <w:t xml:space="preserve"> </w:t>
      </w:r>
      <w:r w:rsidR="00A30B16" w:rsidRPr="00F53504">
        <w:t xml:space="preserve">RATTUAJ is also available under </w:t>
      </w:r>
      <w:r w:rsidR="00A57827" w:rsidRPr="00F53504">
        <w:t>Disability Employment Services (</w:t>
      </w:r>
      <w:r w:rsidR="00A30B16" w:rsidRPr="00F53504">
        <w:t>DES</w:t>
      </w:r>
      <w:r w:rsidR="00A57827" w:rsidRPr="00F53504">
        <w:t>)</w:t>
      </w:r>
      <w:r w:rsidR="00A30B16" w:rsidRPr="00F53504">
        <w:t>.</w:t>
      </w:r>
    </w:p>
    <w:p w14:paraId="5F2F792C" w14:textId="7330E242" w:rsidR="00E21156" w:rsidRPr="00F53504" w:rsidRDefault="0041378D" w:rsidP="00CF6A8B">
      <w:r w:rsidRPr="00F53504">
        <w:t>RATTUAJ</w:t>
      </w:r>
      <w:r w:rsidR="00CF6A8B" w:rsidRPr="00F53504">
        <w:t xml:space="preserve"> provides financial assistance to job seekers to relocate for ongoing employment. </w:t>
      </w:r>
      <w:r w:rsidR="00C816B0" w:rsidRPr="00F53504">
        <w:t xml:space="preserve">The financial assistance payments </w:t>
      </w:r>
      <w:proofErr w:type="gramStart"/>
      <w:r w:rsidR="00C816B0" w:rsidRPr="00F53504">
        <w:t>are typically paid</w:t>
      </w:r>
      <w:proofErr w:type="gramEnd"/>
      <w:r w:rsidR="00C816B0" w:rsidRPr="00F53504">
        <w:t xml:space="preserve"> as a reimbursement to job seekers for costs incurred, are flexible and can be used for preparing to move, moving and settling in the new location.</w:t>
      </w:r>
      <w:r w:rsidR="00CA434A" w:rsidRPr="00F53504">
        <w:t xml:space="preserve"> There are job seeker, </w:t>
      </w:r>
      <w:r w:rsidR="00A57827" w:rsidRPr="00F53504">
        <w:t>relocation and RATTUAJ placement</w:t>
      </w:r>
      <w:r w:rsidR="00A8747B">
        <w:t xml:space="preserve"> eligibility criteria.</w:t>
      </w:r>
    </w:p>
    <w:p w14:paraId="3B48712A" w14:textId="77777777" w:rsidR="00E21156" w:rsidRPr="00F53504" w:rsidRDefault="00E21156" w:rsidP="00CF6A8B">
      <w:r w:rsidRPr="00F53504">
        <w:t>Under the program, providers must:</w:t>
      </w:r>
    </w:p>
    <w:p w14:paraId="652A2C7A" w14:textId="62AE31BC" w:rsidR="00E21156" w:rsidRPr="00F53504" w:rsidRDefault="00584D66" w:rsidP="00E21156">
      <w:pPr>
        <w:pStyle w:val="ListParagraph"/>
        <w:numPr>
          <w:ilvl w:val="0"/>
          <w:numId w:val="36"/>
        </w:numPr>
      </w:pPr>
      <w:r>
        <w:t>e</w:t>
      </w:r>
      <w:r w:rsidR="00CA434A" w:rsidRPr="00F53504">
        <w:t xml:space="preserve">nsure the job seeker, the relocation and the RATTUAJ Placement all meet their </w:t>
      </w:r>
      <w:r w:rsidR="00A57827" w:rsidRPr="00F53504">
        <w:t xml:space="preserve">respective </w:t>
      </w:r>
      <w:r w:rsidR="00CA434A" w:rsidRPr="00F53504">
        <w:t>eligibility criteria</w:t>
      </w:r>
    </w:p>
    <w:p w14:paraId="1DF92475" w14:textId="77777777" w:rsidR="00E21156" w:rsidRPr="00F53504" w:rsidRDefault="00E21156" w:rsidP="00E21156">
      <w:pPr>
        <w:pStyle w:val="ListParagraph"/>
        <w:numPr>
          <w:ilvl w:val="0"/>
          <w:numId w:val="36"/>
        </w:numPr>
      </w:pPr>
      <w:r w:rsidRPr="00F53504">
        <w:t>enter into a Relocation Assistance to Take Up a Job Agreement (RATTUAJ Agreement)</w:t>
      </w:r>
    </w:p>
    <w:p w14:paraId="79F851B3" w14:textId="77777777" w:rsidR="00E21156" w:rsidRPr="00F53504" w:rsidRDefault="00E21156" w:rsidP="00E21156">
      <w:pPr>
        <w:pStyle w:val="ListParagraph"/>
        <w:numPr>
          <w:ilvl w:val="0"/>
          <w:numId w:val="36"/>
        </w:numPr>
      </w:pPr>
      <w:r w:rsidRPr="00F53504">
        <w:t>assess and pay eligible expenses</w:t>
      </w:r>
      <w:r w:rsidR="00C816B0" w:rsidRPr="00F53504">
        <w:t xml:space="preserve"> </w:t>
      </w:r>
    </w:p>
    <w:p w14:paraId="46633EE2" w14:textId="77777777" w:rsidR="00E21156" w:rsidRPr="00F53504" w:rsidRDefault="00E21156" w:rsidP="00E21156">
      <w:pPr>
        <w:pStyle w:val="ListParagraph"/>
        <w:numPr>
          <w:ilvl w:val="0"/>
          <w:numId w:val="36"/>
        </w:numPr>
      </w:pPr>
      <w:proofErr w:type="gramStart"/>
      <w:r w:rsidRPr="00F53504">
        <w:t>assist</w:t>
      </w:r>
      <w:proofErr w:type="gramEnd"/>
      <w:r w:rsidRPr="00F53504">
        <w:t xml:space="preserve"> job seekers with job placements, post placement support and relocations.</w:t>
      </w:r>
    </w:p>
    <w:p w14:paraId="68702B82" w14:textId="77777777" w:rsidR="00CF6A8B" w:rsidRPr="00F53504" w:rsidRDefault="00CF6A8B" w:rsidP="00CF6A8B">
      <w:r w:rsidRPr="00F53504">
        <w:t>To be eligible for assistance a job seeker must:</w:t>
      </w:r>
    </w:p>
    <w:p w14:paraId="3241F80A" w14:textId="44246646" w:rsidR="00A57827" w:rsidRPr="00F53504" w:rsidRDefault="007A51F7" w:rsidP="00A57827">
      <w:pPr>
        <w:pStyle w:val="ListBullet"/>
      </w:pPr>
      <w:r>
        <w:t>have been</w:t>
      </w:r>
      <w:r w:rsidR="00A57827" w:rsidRPr="00F53504">
        <w:t xml:space="preserve"> a Fully Eligible Participant with a JSA or</w:t>
      </w:r>
      <w:r>
        <w:t xml:space="preserve"> a</w:t>
      </w:r>
      <w:r w:rsidR="00A57827" w:rsidRPr="00F53504">
        <w:t xml:space="preserve"> jobactive provider or be participating in DES</w:t>
      </w:r>
    </w:p>
    <w:p w14:paraId="27D55AFF" w14:textId="77777777" w:rsidR="00CF6A8B" w:rsidRPr="00F53504" w:rsidRDefault="00A57827" w:rsidP="00B3343C">
      <w:pPr>
        <w:pStyle w:val="ListBullet"/>
      </w:pPr>
      <w:r w:rsidRPr="00F53504">
        <w:t>have been receiving an eligible income support payment (</w:t>
      </w:r>
      <w:proofErr w:type="spellStart"/>
      <w:r w:rsidR="00CF6A8B" w:rsidRPr="00F53504">
        <w:t>Newstart</w:t>
      </w:r>
      <w:proofErr w:type="spellEnd"/>
      <w:r w:rsidR="00CF6A8B" w:rsidRPr="00F53504">
        <w:t xml:space="preserve"> Allowance, Youth Allowance (Other), or Parenting Payment</w:t>
      </w:r>
      <w:r w:rsidR="00A91300">
        <w:t>)</w:t>
      </w:r>
      <w:r w:rsidR="00CF6A8B" w:rsidRPr="00F53504">
        <w:t xml:space="preserve"> for at least 12 months</w:t>
      </w:r>
    </w:p>
    <w:p w14:paraId="3F10A76D" w14:textId="133DF76D" w:rsidR="00CF6A8B" w:rsidRDefault="00CF6A8B" w:rsidP="00CF6A8B">
      <w:pPr>
        <w:pStyle w:val="ListBullet"/>
      </w:pPr>
      <w:r w:rsidRPr="00F53504">
        <w:t xml:space="preserve">have </w:t>
      </w:r>
      <w:r w:rsidR="00A57827" w:rsidRPr="00F53504">
        <w:t>M</w:t>
      </w:r>
      <w:r w:rsidRPr="00F53504">
        <w:t xml:space="preserve">utual </w:t>
      </w:r>
      <w:r w:rsidR="00A57827" w:rsidRPr="00F53504">
        <w:t>O</w:t>
      </w:r>
      <w:r w:rsidRPr="00F53504">
        <w:t>bligation requirements</w:t>
      </w:r>
    </w:p>
    <w:p w14:paraId="4B49BB02" w14:textId="48D790FB" w:rsidR="00115081" w:rsidRPr="00F53504" w:rsidRDefault="00115081" w:rsidP="00CF6A8B">
      <w:pPr>
        <w:pStyle w:val="ListBullet"/>
      </w:pPr>
      <w:r w:rsidRPr="00F53504">
        <w:t>enter into a Relocation Assistance to Take Up a Job Agreement (RATTUAJ Agreement)</w:t>
      </w:r>
    </w:p>
    <w:p w14:paraId="7CF3E2AD" w14:textId="3B7A3352" w:rsidR="00CF6A8B" w:rsidRPr="00F53504" w:rsidRDefault="00CF6A8B" w:rsidP="00CF6A8B">
      <w:pPr>
        <w:pStyle w:val="ListBullet"/>
      </w:pPr>
      <w:proofErr w:type="gramStart"/>
      <w:r w:rsidRPr="00F53504">
        <w:t>agree</w:t>
      </w:r>
      <w:proofErr w:type="gramEnd"/>
      <w:r w:rsidRPr="00F53504">
        <w:t xml:space="preserve"> to relocate to an eligible location to take up ongoing work </w:t>
      </w:r>
      <w:r w:rsidR="00E55957">
        <w:t>including</w:t>
      </w:r>
      <w:r w:rsidRPr="00F53504">
        <w:t xml:space="preserve"> an apprenticeship.</w:t>
      </w:r>
    </w:p>
    <w:p w14:paraId="334BFE22" w14:textId="77777777" w:rsidR="00954C2F" w:rsidRPr="00F53504" w:rsidRDefault="00954C2F" w:rsidP="00954C2F">
      <w:r w:rsidRPr="00F53504">
        <w:t>The proposed relocation must:</w:t>
      </w:r>
    </w:p>
    <w:p w14:paraId="05613ECA" w14:textId="77777777" w:rsidR="00954C2F" w:rsidRPr="00F53504" w:rsidRDefault="00954C2F" w:rsidP="00954C2F">
      <w:pPr>
        <w:pStyle w:val="ListBullet"/>
      </w:pPr>
      <w:r w:rsidRPr="00F53504">
        <w:t>be within Australia</w:t>
      </w:r>
    </w:p>
    <w:p w14:paraId="7EB27617" w14:textId="77777777" w:rsidR="00954C2F" w:rsidRPr="00F53504" w:rsidRDefault="00954C2F" w:rsidP="00954C2F">
      <w:pPr>
        <w:pStyle w:val="ListBullet"/>
      </w:pPr>
      <w:r w:rsidRPr="00F53504">
        <w:t xml:space="preserve">be </w:t>
      </w:r>
      <w:r w:rsidR="00446A21" w:rsidRPr="00F53504">
        <w:t xml:space="preserve">to a location </w:t>
      </w:r>
      <w:r w:rsidRPr="00F53504">
        <w:t>at least 90 minutes away from where the job seeker currently resides</w:t>
      </w:r>
    </w:p>
    <w:p w14:paraId="1F693EBA" w14:textId="77777777" w:rsidR="00954C2F" w:rsidRPr="00F53504" w:rsidRDefault="00954C2F" w:rsidP="00954C2F">
      <w:pPr>
        <w:pStyle w:val="ListBullet"/>
      </w:pPr>
      <w:r w:rsidRPr="00F53504">
        <w:t>not be within a capital city</w:t>
      </w:r>
    </w:p>
    <w:p w14:paraId="23982E7A" w14:textId="2C45D421" w:rsidR="00954C2F" w:rsidRPr="00F53504" w:rsidRDefault="00954C2F" w:rsidP="00954C2F">
      <w:pPr>
        <w:pStyle w:val="ListBullet"/>
      </w:pPr>
      <w:proofErr w:type="gramStart"/>
      <w:r w:rsidRPr="00F53504">
        <w:lastRenderedPageBreak/>
        <w:t>if</w:t>
      </w:r>
      <w:proofErr w:type="gramEnd"/>
      <w:r w:rsidRPr="00F53504">
        <w:t xml:space="preserve"> the relocation is between capital cities,</w:t>
      </w:r>
      <w:r w:rsidR="005D0C91">
        <w:t xml:space="preserve"> the relocation must be</w:t>
      </w:r>
      <w:r w:rsidRPr="00F53504">
        <w:t xml:space="preserve"> to a capital city with a lower unemployment rate than the capital city where the job seeker currently resides.</w:t>
      </w:r>
    </w:p>
    <w:p w14:paraId="203BCE0C" w14:textId="77777777" w:rsidR="00CF6A8B" w:rsidRPr="00F53504" w:rsidRDefault="00CF6A8B" w:rsidP="00CF6A8B">
      <w:r w:rsidRPr="00F53504">
        <w:t>For a RATTUAJ placement to be eligible:</w:t>
      </w:r>
    </w:p>
    <w:p w14:paraId="315C6007" w14:textId="77777777" w:rsidR="00CF6A8B" w:rsidRPr="00F53504" w:rsidRDefault="00CF6A8B" w:rsidP="00CF6A8B">
      <w:pPr>
        <w:pStyle w:val="ListBullet"/>
      </w:pPr>
      <w:r w:rsidRPr="00F53504">
        <w:t>the receiving employer must declare that they have attempted to fill the position with a local job seeker</w:t>
      </w:r>
    </w:p>
    <w:p w14:paraId="3FDCB2D3" w14:textId="77777777" w:rsidR="00CF6A8B" w:rsidRPr="00F53504" w:rsidRDefault="00CF6A8B" w:rsidP="00CF6A8B">
      <w:pPr>
        <w:pStyle w:val="ListBullet"/>
      </w:pPr>
      <w:r w:rsidRPr="00F53504">
        <w:t>the job seeker must have received and accepted a job offer from an employer that requires them to relocate</w:t>
      </w:r>
    </w:p>
    <w:p w14:paraId="10C53108" w14:textId="60001F6C" w:rsidR="00E7527D" w:rsidRPr="00F53504" w:rsidRDefault="00E7527D" w:rsidP="00CF6A8B">
      <w:pPr>
        <w:pStyle w:val="ListBullet"/>
      </w:pPr>
      <w:r w:rsidRPr="00F53504">
        <w:t xml:space="preserve">the placement must not be for a non-payable </w:t>
      </w:r>
      <w:r w:rsidR="002573FA">
        <w:t xml:space="preserve">employment services program </w:t>
      </w:r>
      <w:r w:rsidRPr="00F53504">
        <w:t>outcome or self</w:t>
      </w:r>
      <w:r w:rsidR="00444393">
        <w:noBreakHyphen/>
      </w:r>
      <w:r w:rsidRPr="00F53504">
        <w:t>employment</w:t>
      </w:r>
    </w:p>
    <w:p w14:paraId="77F6B45A" w14:textId="5D5E73A0" w:rsidR="00CF6A8B" w:rsidRPr="00F53504" w:rsidRDefault="00CF6A8B" w:rsidP="00CF6A8B">
      <w:pPr>
        <w:pStyle w:val="ListBullet"/>
      </w:pPr>
      <w:proofErr w:type="gramStart"/>
      <w:r w:rsidRPr="00F53504">
        <w:t>the</w:t>
      </w:r>
      <w:proofErr w:type="gramEnd"/>
      <w:r w:rsidRPr="00F53504">
        <w:t xml:space="preserve"> job must be </w:t>
      </w:r>
      <w:r w:rsidR="00DF76D5">
        <w:t>more than</w:t>
      </w:r>
      <w:r w:rsidRPr="00F53504">
        <w:t xml:space="preserve"> 30 hours per </w:t>
      </w:r>
      <w:r w:rsidR="000F5C94" w:rsidRPr="00F53504">
        <w:t>week</w:t>
      </w:r>
      <w:r w:rsidRPr="00F53504">
        <w:t>,</w:t>
      </w:r>
      <w:r w:rsidR="00517EDA" w:rsidRPr="00F53504">
        <w:rPr>
          <w:rStyle w:val="FootnoteReference"/>
        </w:rPr>
        <w:footnoteReference w:id="5"/>
      </w:r>
      <w:r w:rsidRPr="00F53504">
        <w:t xml:space="preserve"> be sustainable and expected to be ongoing (more than six months) and pay remuneration to the job seeker in accordance with the relevant award classification.</w:t>
      </w:r>
    </w:p>
    <w:p w14:paraId="4E71E697" w14:textId="77777777" w:rsidR="00CF6A8B" w:rsidRPr="00F53504" w:rsidRDefault="00CF6A8B" w:rsidP="00CF6A8B">
      <w:r w:rsidRPr="00F53504">
        <w:t xml:space="preserve">If eligible, job seekers who participate in </w:t>
      </w:r>
      <w:r w:rsidR="0041378D" w:rsidRPr="00F53504">
        <w:t>RATTUAJ</w:t>
      </w:r>
      <w:r w:rsidRPr="00F53504">
        <w:t xml:space="preserve"> </w:t>
      </w:r>
      <w:proofErr w:type="gramStart"/>
      <w:r w:rsidRPr="00F53504">
        <w:t>will be reimbursed</w:t>
      </w:r>
      <w:proofErr w:type="gramEnd"/>
      <w:r w:rsidRPr="00F53504">
        <w:t xml:space="preserve"> up to:</w:t>
      </w:r>
    </w:p>
    <w:p w14:paraId="02A81F7A" w14:textId="77777777" w:rsidR="00CF6A8B" w:rsidRPr="00F53504" w:rsidRDefault="00CF6A8B" w:rsidP="00717953">
      <w:pPr>
        <w:pStyle w:val="ListBullet"/>
      </w:pPr>
      <w:r w:rsidRPr="00F53504">
        <w:t>$3000 (GST exclusive) if relocating to a capital city</w:t>
      </w:r>
    </w:p>
    <w:p w14:paraId="06CC3F06" w14:textId="77777777" w:rsidR="00CF6A8B" w:rsidRPr="00F53504" w:rsidRDefault="00CF6A8B" w:rsidP="00717953">
      <w:pPr>
        <w:pStyle w:val="ListBullet"/>
      </w:pPr>
      <w:r w:rsidRPr="00F53504">
        <w:t>$6000 (GST exclusive) if relocating to a regional area</w:t>
      </w:r>
    </w:p>
    <w:p w14:paraId="649A8965" w14:textId="77777777" w:rsidR="00CF6A8B" w:rsidRPr="00F53504" w:rsidRDefault="00CF6A8B" w:rsidP="00717953">
      <w:pPr>
        <w:pStyle w:val="ListBullet"/>
      </w:pPr>
      <w:proofErr w:type="gramStart"/>
      <w:r w:rsidRPr="00F53504">
        <w:t>an</w:t>
      </w:r>
      <w:proofErr w:type="gramEnd"/>
      <w:r w:rsidRPr="00F53504">
        <w:t xml:space="preserve"> extra $3000 (GST exclusive) if relocating with dependent children.</w:t>
      </w:r>
    </w:p>
    <w:p w14:paraId="1795CBB7" w14:textId="57A93813" w:rsidR="00CF6A8B" w:rsidRPr="00F53504" w:rsidRDefault="00CF6A8B" w:rsidP="00CF6A8B">
      <w:r w:rsidRPr="00F53504">
        <w:t xml:space="preserve">A job seeker who has received financial assistance through </w:t>
      </w:r>
      <w:r w:rsidR="0041378D" w:rsidRPr="00F53504">
        <w:t>RATTUAJ</w:t>
      </w:r>
      <w:r w:rsidRPr="00F53504">
        <w:t xml:space="preserve"> and voluntarily leaves their job within the first six months without reasonable</w:t>
      </w:r>
      <w:r w:rsidR="00EB4DEF">
        <w:t xml:space="preserve"> grounds may be subject to a </w:t>
      </w:r>
      <w:proofErr w:type="gramStart"/>
      <w:r w:rsidR="00EB4DEF">
        <w:t xml:space="preserve">12 </w:t>
      </w:r>
      <w:r w:rsidRPr="00F53504">
        <w:t>week</w:t>
      </w:r>
      <w:proofErr w:type="gramEnd"/>
      <w:r w:rsidRPr="00F53504">
        <w:t xml:space="preserve"> non-payment period</w:t>
      </w:r>
      <w:r w:rsidR="00444393">
        <w:t xml:space="preserve">, rather than the usual 8 </w:t>
      </w:r>
      <w:r w:rsidR="00D735F7" w:rsidRPr="00F53504">
        <w:t>week non-payment period for voluntary unemployment</w:t>
      </w:r>
      <w:r w:rsidRPr="00F53504">
        <w:t xml:space="preserve">. This also applies if their employment </w:t>
      </w:r>
      <w:proofErr w:type="gramStart"/>
      <w:r w:rsidRPr="00F53504">
        <w:t>is terminated</w:t>
      </w:r>
      <w:proofErr w:type="gramEnd"/>
      <w:r w:rsidRPr="00F53504">
        <w:t xml:space="preserve"> in the first six months due to misconduct or </w:t>
      </w:r>
      <w:r w:rsidR="00717953" w:rsidRPr="00F53504">
        <w:t xml:space="preserve">if the job seeker </w:t>
      </w:r>
      <w:r w:rsidRPr="00F53504">
        <w:t>accepts the job but does not commence employment.</w:t>
      </w:r>
    </w:p>
    <w:p w14:paraId="68B4E27A" w14:textId="22086A15" w:rsidR="00CF6A8B" w:rsidRPr="00F53504" w:rsidRDefault="00CF6A8B" w:rsidP="00717953">
      <w:r w:rsidRPr="00F53504">
        <w:t xml:space="preserve">The program links into existing employment service delivery arrangements. To support successful relocation, providers are required to </w:t>
      </w:r>
      <w:r w:rsidR="00153844">
        <w:t>reimburse participants for</w:t>
      </w:r>
      <w:r w:rsidRPr="00F53504">
        <w:t xml:space="preserve"> eligible relocation expenses</w:t>
      </w:r>
      <w:r w:rsidR="00153844">
        <w:rPr>
          <w:rStyle w:val="FootnoteReference"/>
        </w:rPr>
        <w:footnoteReference w:id="6"/>
      </w:r>
      <w:r w:rsidRPr="00F53504">
        <w:t xml:space="preserve"> and to assist job seekers with job placements, post-placement support and relocations.</w:t>
      </w:r>
    </w:p>
    <w:p w14:paraId="7E614898" w14:textId="6C8AC5F7" w:rsidR="00CF6A8B" w:rsidRPr="00F53504" w:rsidRDefault="00CF6A8B" w:rsidP="00CF6A8B">
      <w:r w:rsidRPr="00F53504">
        <w:t xml:space="preserve">Overall, the government allocated $16.6 million for the program over five years starting in the </w:t>
      </w:r>
      <w:r w:rsidR="00584D66">
        <w:br/>
      </w:r>
      <w:r w:rsidRPr="00F53504">
        <w:t xml:space="preserve">2013-14 financial year (Budget Papers 2013-14). </w:t>
      </w:r>
      <w:r w:rsidR="00530333">
        <w:t xml:space="preserve">Three </w:t>
      </w:r>
      <w:r w:rsidRPr="00F53504">
        <w:t xml:space="preserve">Australian Government departments have been involved in implementing and managing the program: </w:t>
      </w:r>
    </w:p>
    <w:p w14:paraId="752AED18" w14:textId="7CC3F2BC" w:rsidR="00CF6A8B" w:rsidRPr="00F53504" w:rsidRDefault="00CF6A8B" w:rsidP="00CF6A8B">
      <w:pPr>
        <w:pStyle w:val="ListBullet"/>
      </w:pPr>
      <w:r w:rsidRPr="00F53504">
        <w:t xml:space="preserve">the Department of </w:t>
      </w:r>
      <w:r w:rsidR="00462FCB">
        <w:t>Jobs and Small Business</w:t>
      </w:r>
      <w:r w:rsidR="00D735F7" w:rsidRPr="00F53504">
        <w:t>,</w:t>
      </w:r>
      <w:r w:rsidRPr="00F53504">
        <w:t xml:space="preserve"> which is the lead agency and has administered the majority of the funding</w:t>
      </w:r>
    </w:p>
    <w:p w14:paraId="0AD6B7EB" w14:textId="67B1F0D6" w:rsidR="00CF6A8B" w:rsidRPr="00F53504" w:rsidRDefault="00CF6A8B" w:rsidP="00CF6A8B">
      <w:pPr>
        <w:pStyle w:val="ListBullet"/>
      </w:pPr>
      <w:r w:rsidRPr="00F53504">
        <w:t>the Department of Human Services</w:t>
      </w:r>
      <w:r w:rsidR="00D764EB" w:rsidRPr="00F53504">
        <w:t>, which administers Centrelink</w:t>
      </w:r>
      <w:r w:rsidR="007A51F7">
        <w:t xml:space="preserve"> and income support payments</w:t>
      </w:r>
    </w:p>
    <w:p w14:paraId="2AD9724C" w14:textId="6FFC0B3E" w:rsidR="00CF6A8B" w:rsidRPr="00F53504" w:rsidRDefault="00CF6A8B" w:rsidP="00CF6A8B">
      <w:pPr>
        <w:pStyle w:val="ListBullet"/>
      </w:pPr>
      <w:proofErr w:type="gramStart"/>
      <w:r w:rsidRPr="00F53504">
        <w:t>the</w:t>
      </w:r>
      <w:proofErr w:type="gramEnd"/>
      <w:r w:rsidRPr="00F53504">
        <w:t xml:space="preserve"> Department of Social Services</w:t>
      </w:r>
      <w:r w:rsidR="00D764EB" w:rsidRPr="00F53504">
        <w:t>, which administers DES</w:t>
      </w:r>
      <w:r w:rsidRPr="00F53504">
        <w:t>.</w:t>
      </w:r>
    </w:p>
    <w:p w14:paraId="73028F52" w14:textId="77777777" w:rsidR="00717475" w:rsidRPr="00F53504" w:rsidRDefault="00717475" w:rsidP="00717475">
      <w:r w:rsidRPr="00F53504">
        <w:t xml:space="preserve">Participants followed a general sequence through the </w:t>
      </w:r>
      <w:r w:rsidR="00123CDB" w:rsidRPr="00F53504">
        <w:t>program</w:t>
      </w:r>
      <w:r w:rsidRPr="00F53504">
        <w:t>:</w:t>
      </w:r>
    </w:p>
    <w:p w14:paraId="44412218" w14:textId="4C210212" w:rsidR="00717475" w:rsidRPr="00F53504" w:rsidRDefault="00717475" w:rsidP="00717475">
      <w:pPr>
        <w:pStyle w:val="ListParagraph"/>
        <w:numPr>
          <w:ilvl w:val="0"/>
          <w:numId w:val="38"/>
        </w:numPr>
        <w:spacing w:after="240"/>
        <w:ind w:left="714" w:hanging="357"/>
      </w:pPr>
      <w:r w:rsidRPr="00F53504">
        <w:t>Job seekers decided to move</w:t>
      </w:r>
      <w:r w:rsidR="007A51F7">
        <w:t xml:space="preserve">, </w:t>
      </w:r>
      <w:r w:rsidRPr="00F53504">
        <w:t>with job</w:t>
      </w:r>
      <w:r w:rsidR="00FA755A">
        <w:t xml:space="preserve"> </w:t>
      </w:r>
      <w:r w:rsidRPr="00F53504">
        <w:t>seekers in the vast majority of cases initiating the move</w:t>
      </w:r>
    </w:p>
    <w:p w14:paraId="11C5BC60" w14:textId="465BABD5" w:rsidR="00717475" w:rsidRPr="00F53504" w:rsidRDefault="00717475" w:rsidP="00717475">
      <w:pPr>
        <w:pStyle w:val="ListParagraph"/>
        <w:numPr>
          <w:ilvl w:val="0"/>
          <w:numId w:val="38"/>
        </w:numPr>
        <w:spacing w:after="240"/>
        <w:ind w:left="714" w:hanging="357"/>
      </w:pPr>
      <w:r w:rsidRPr="00F53504">
        <w:lastRenderedPageBreak/>
        <w:t>Job seekers and/or providers searched for</w:t>
      </w:r>
      <w:r w:rsidR="00316294">
        <w:t xml:space="preserve"> and found</w:t>
      </w:r>
      <w:r w:rsidRPr="00F53504">
        <w:t xml:space="preserve"> a job</w:t>
      </w:r>
    </w:p>
    <w:p w14:paraId="69D8778E" w14:textId="0651565B" w:rsidR="00717475" w:rsidRPr="00F53504" w:rsidRDefault="00B23355" w:rsidP="00717475">
      <w:pPr>
        <w:pStyle w:val="ListParagraph"/>
        <w:numPr>
          <w:ilvl w:val="0"/>
          <w:numId w:val="38"/>
        </w:numPr>
        <w:spacing w:after="240"/>
        <w:ind w:left="714" w:hanging="357"/>
      </w:pPr>
      <w:r w:rsidRPr="00F53504">
        <w:t xml:space="preserve">Job seekers made an </w:t>
      </w:r>
      <w:r w:rsidR="00717475" w:rsidRPr="00F53504">
        <w:t>application and</w:t>
      </w:r>
      <w:r w:rsidR="006C0BC1" w:rsidRPr="00F53504">
        <w:t>,</w:t>
      </w:r>
      <w:r w:rsidR="00717475" w:rsidRPr="00F53504">
        <w:t xml:space="preserve"> where eligible, </w:t>
      </w:r>
      <w:r w:rsidRPr="00F53504">
        <w:t xml:space="preserve">entered </w:t>
      </w:r>
      <w:r w:rsidR="00530333">
        <w:t xml:space="preserve">into </w:t>
      </w:r>
      <w:r w:rsidR="00717475" w:rsidRPr="00F53504">
        <w:t xml:space="preserve">a Relocation Agreement </w:t>
      </w:r>
      <w:r w:rsidRPr="00F53504">
        <w:t xml:space="preserve">with </w:t>
      </w:r>
      <w:r w:rsidR="00717475" w:rsidRPr="00F53504">
        <w:t>the employment service</w:t>
      </w:r>
    </w:p>
    <w:p w14:paraId="306F63C5" w14:textId="3DAC05D0" w:rsidR="00717475" w:rsidRPr="00F53504" w:rsidRDefault="00B23355" w:rsidP="00717475">
      <w:pPr>
        <w:pStyle w:val="ListParagraph"/>
        <w:numPr>
          <w:ilvl w:val="0"/>
          <w:numId w:val="38"/>
        </w:numPr>
        <w:spacing w:after="240"/>
        <w:ind w:left="714" w:hanging="357"/>
      </w:pPr>
      <w:r w:rsidRPr="00F53504">
        <w:t xml:space="preserve">Participants </w:t>
      </w:r>
      <w:r w:rsidR="00717475" w:rsidRPr="00F53504">
        <w:t>move</w:t>
      </w:r>
      <w:r w:rsidRPr="00F53504">
        <w:t>d</w:t>
      </w:r>
      <w:r w:rsidR="006C0BC1" w:rsidRPr="00F53504">
        <w:t xml:space="preserve"> </w:t>
      </w:r>
      <w:r w:rsidRPr="00F53504">
        <w:t xml:space="preserve">with </w:t>
      </w:r>
      <w:r w:rsidR="002573FA">
        <w:t xml:space="preserve">their </w:t>
      </w:r>
      <w:r w:rsidR="00717475" w:rsidRPr="00F53504">
        <w:t>providers</w:t>
      </w:r>
      <w:r w:rsidR="006C0BC1" w:rsidRPr="00F53504">
        <w:t>’</w:t>
      </w:r>
      <w:r w:rsidR="00717475" w:rsidRPr="00F53504">
        <w:t xml:space="preserve"> assist</w:t>
      </w:r>
      <w:r w:rsidRPr="00F53504">
        <w:t>ance</w:t>
      </w:r>
      <w:r w:rsidR="00717475" w:rsidRPr="00F53504">
        <w:t xml:space="preserve"> or support</w:t>
      </w:r>
    </w:p>
    <w:p w14:paraId="3C534699" w14:textId="77777777" w:rsidR="00717475" w:rsidRPr="00F53504" w:rsidRDefault="00B23355" w:rsidP="00717475">
      <w:pPr>
        <w:pStyle w:val="ListParagraph"/>
        <w:numPr>
          <w:ilvl w:val="0"/>
          <w:numId w:val="38"/>
        </w:numPr>
        <w:spacing w:after="240"/>
        <w:ind w:left="714" w:hanging="357"/>
      </w:pPr>
      <w:r w:rsidRPr="00F53504">
        <w:t xml:space="preserve">Participants start (and hopefully) </w:t>
      </w:r>
      <w:r w:rsidR="00717475" w:rsidRPr="00F53504">
        <w:t>sustain employment in a new job in a new location.</w:t>
      </w:r>
    </w:p>
    <w:p w14:paraId="61C820BD" w14:textId="77777777" w:rsidR="0077489F" w:rsidRPr="00F53504" w:rsidRDefault="0077489F" w:rsidP="0077489F">
      <w:pPr>
        <w:pStyle w:val="Heading2"/>
      </w:pPr>
      <w:bookmarkStart w:id="15" w:name="_Toc512529312"/>
      <w:r w:rsidRPr="00F53504">
        <w:t>Prior research</w:t>
      </w:r>
      <w:bookmarkEnd w:id="15"/>
    </w:p>
    <w:p w14:paraId="67AF0124" w14:textId="17D27B47" w:rsidR="00530333" w:rsidRDefault="00530333" w:rsidP="0077489F">
      <w:r>
        <w:t>T</w:t>
      </w:r>
      <w:r w:rsidRPr="00F53504">
        <w:t>he former Department of</w:t>
      </w:r>
      <w:r w:rsidR="00FA755A">
        <w:t xml:space="preserve"> Education,</w:t>
      </w:r>
      <w:r w:rsidRPr="00F53504">
        <w:t xml:space="preserve"> Employment and Workplace Relations</w:t>
      </w:r>
      <w:r w:rsidR="00074685">
        <w:t xml:space="preserve"> (DEEWR)</w:t>
      </w:r>
      <w:r w:rsidRPr="00F53504">
        <w:t xml:space="preserve"> </w:t>
      </w:r>
      <w:r>
        <w:t xml:space="preserve">evaluated </w:t>
      </w:r>
      <w:r w:rsidR="00D64161" w:rsidRPr="00F53504">
        <w:t xml:space="preserve">a pilot relocation program that ran between November 2006 and </w:t>
      </w:r>
      <w:r w:rsidR="00B0024F" w:rsidRPr="00F53504">
        <w:t>June </w:t>
      </w:r>
      <w:r w:rsidR="00D64161" w:rsidRPr="00F53504">
        <w:t>2007</w:t>
      </w:r>
      <w:r w:rsidR="0077489F" w:rsidRPr="00F53504">
        <w:t xml:space="preserve">. </w:t>
      </w:r>
      <w:r w:rsidRPr="00F53504">
        <w:t xml:space="preserve">The findings of the evaluation </w:t>
      </w:r>
      <w:proofErr w:type="gramStart"/>
      <w:r w:rsidRPr="00F53504">
        <w:t>were presented</w:t>
      </w:r>
      <w:proofErr w:type="gramEnd"/>
      <w:r w:rsidRPr="00F53504">
        <w:t xml:space="preserve"> at a House of Representatives Standing Committee on Regional Skills Relocation on 11</w:t>
      </w:r>
      <w:r w:rsidR="007A51F7">
        <w:t> </w:t>
      </w:r>
      <w:r w:rsidRPr="00F53504">
        <w:t>March</w:t>
      </w:r>
      <w:r w:rsidR="007A51F7">
        <w:t> </w:t>
      </w:r>
      <w:r w:rsidRPr="00F53504">
        <w:t>2010.</w:t>
      </w:r>
      <w:r w:rsidRPr="00F53504">
        <w:rPr>
          <w:rStyle w:val="FootnoteReference"/>
        </w:rPr>
        <w:footnoteReference w:id="7"/>
      </w:r>
    </w:p>
    <w:p w14:paraId="559CE599" w14:textId="23152584" w:rsidR="0049054D" w:rsidRPr="00F53504" w:rsidRDefault="00D64161" w:rsidP="0077489F">
      <w:r w:rsidRPr="00F53504">
        <w:t xml:space="preserve">The </w:t>
      </w:r>
      <w:r w:rsidR="0077489F" w:rsidRPr="00F53504">
        <w:t>pilot</w:t>
      </w:r>
      <w:r w:rsidR="00496332" w:rsidRPr="00F53504">
        <w:t xml:space="preserve"> aimed to relocate job seekers on the east coast of Australia</w:t>
      </w:r>
      <w:r w:rsidR="00DC396C" w:rsidRPr="00F53504">
        <w:t xml:space="preserve"> and Adelaide</w:t>
      </w:r>
      <w:r w:rsidR="00496332" w:rsidRPr="00F53504">
        <w:t xml:space="preserve"> to take up job opportunities in Perth. This program offered greater assistance than was available generally to job seekers at the time by facilitating the participation of employers, extra funding for relocation costs and managing physical relocation</w:t>
      </w:r>
      <w:r w:rsidR="008768DA">
        <w:t>.</w:t>
      </w:r>
    </w:p>
    <w:p w14:paraId="7F2110D8" w14:textId="074E80B7" w:rsidR="0077489F" w:rsidRPr="00F53504" w:rsidRDefault="0049054D" w:rsidP="0077489F">
      <w:pPr>
        <w:rPr>
          <w:rFonts w:cstheme="minorHAnsi"/>
        </w:rPr>
      </w:pPr>
      <w:r w:rsidRPr="00F53504">
        <w:t xml:space="preserve">The pilot program </w:t>
      </w:r>
      <w:proofErr w:type="gramStart"/>
      <w:r w:rsidRPr="00F53504">
        <w:t>was funded</w:t>
      </w:r>
      <w:proofErr w:type="gramEnd"/>
      <w:r w:rsidRPr="00F53504">
        <w:t xml:space="preserve"> to assist 130 </w:t>
      </w:r>
      <w:r w:rsidR="00497AA8" w:rsidRPr="00F53504">
        <w:t>job seekers to relocate</w:t>
      </w:r>
      <w:r w:rsidRPr="00F53504">
        <w:t xml:space="preserve"> from New S</w:t>
      </w:r>
      <w:r w:rsidR="00497AA8" w:rsidRPr="00F53504">
        <w:t xml:space="preserve">outh Wales and Adelaide to Perth. </w:t>
      </w:r>
      <w:proofErr w:type="gramStart"/>
      <w:r w:rsidR="00497AA8" w:rsidRPr="00F53504">
        <w:t>Ultimately</w:t>
      </w:r>
      <w:proofErr w:type="gramEnd"/>
      <w:r w:rsidR="00497AA8" w:rsidRPr="00F53504">
        <w:t xml:space="preserve"> two-thirds of these places were filled with 87 people relocating under the program</w:t>
      </w:r>
      <w:r w:rsidR="0077489F" w:rsidRPr="00F53504">
        <w:t>. O</w:t>
      </w:r>
      <w:r w:rsidR="00DC396C" w:rsidRPr="00F53504">
        <w:t>f the 87 people</w:t>
      </w:r>
      <w:r w:rsidR="0077489F" w:rsidRPr="00F53504">
        <w:t xml:space="preserve">, 67 </w:t>
      </w:r>
      <w:r w:rsidR="00DC396C" w:rsidRPr="00F53504">
        <w:t>were still in Perth in October 2008</w:t>
      </w:r>
      <w:r w:rsidR="000D1C2B">
        <w:t>.</w:t>
      </w:r>
    </w:p>
    <w:p w14:paraId="32902EBF" w14:textId="17B33747" w:rsidR="00496332" w:rsidRPr="00F53504" w:rsidRDefault="0077489F" w:rsidP="0077489F">
      <w:r w:rsidRPr="00F53504">
        <w:t xml:space="preserve">The findings demonstrated that the pilot assisted a select group of </w:t>
      </w:r>
      <w:r w:rsidR="005F6FDC" w:rsidRPr="00F53504">
        <w:t>job seekers</w:t>
      </w:r>
      <w:r w:rsidR="00496332" w:rsidRPr="00F53504">
        <w:t xml:space="preserve">, namely young single men with above average employment prospects. This </w:t>
      </w:r>
      <w:proofErr w:type="gramStart"/>
      <w:r w:rsidR="00496332" w:rsidRPr="00F53504">
        <w:t>was attributed</w:t>
      </w:r>
      <w:proofErr w:type="gramEnd"/>
      <w:r w:rsidR="00496332" w:rsidRPr="00F53504">
        <w:t xml:space="preserve"> to the voluntary nature of the </w:t>
      </w:r>
      <w:r w:rsidR="00B0024F" w:rsidRPr="00F53504">
        <w:t>p</w:t>
      </w:r>
      <w:r w:rsidR="00496332" w:rsidRPr="00F53504">
        <w:t xml:space="preserve">ilot and additional screening process </w:t>
      </w:r>
      <w:r w:rsidR="00DD4239">
        <w:t>established especially for the p</w:t>
      </w:r>
      <w:r w:rsidR="00496332" w:rsidRPr="00F53504">
        <w:t>ilot.</w:t>
      </w:r>
    </w:p>
    <w:p w14:paraId="605E2E06" w14:textId="1277AD70" w:rsidR="0077489F" w:rsidRPr="00F53504" w:rsidRDefault="0077489F" w:rsidP="0077489F">
      <w:r w:rsidRPr="00F53504">
        <w:t>The Department concluded that</w:t>
      </w:r>
      <w:r w:rsidR="004747BE" w:rsidRPr="00F53504">
        <w:t xml:space="preserve"> while the proportion of participants that were off income support six months after job placement was higher </w:t>
      </w:r>
      <w:r w:rsidR="00B0024F" w:rsidRPr="00F53504">
        <w:t xml:space="preserve">than that of </w:t>
      </w:r>
      <w:r w:rsidR="004747BE" w:rsidRPr="00F53504">
        <w:t xml:space="preserve">matched cohorts in the sending regions, this </w:t>
      </w:r>
      <w:r w:rsidR="00B0024F" w:rsidRPr="00F53504">
        <w:t>wa</w:t>
      </w:r>
      <w:r w:rsidR="004747BE" w:rsidRPr="00F53504">
        <w:t>s likely to</w:t>
      </w:r>
      <w:r w:rsidR="00CA51FA">
        <w:t xml:space="preserve"> be</w:t>
      </w:r>
      <w:r w:rsidR="004747BE" w:rsidRPr="00F53504">
        <w:t xml:space="preserve"> due to the selection bias described </w:t>
      </w:r>
      <w:r w:rsidR="00B0024F" w:rsidRPr="00F53504">
        <w:t xml:space="preserve">in the paragraph </w:t>
      </w:r>
      <w:r w:rsidR="004747BE" w:rsidRPr="00F53504">
        <w:t xml:space="preserve">above and the results </w:t>
      </w:r>
      <w:proofErr w:type="gramStart"/>
      <w:r w:rsidR="004747BE" w:rsidRPr="00F53504">
        <w:t>should not be extrapolated</w:t>
      </w:r>
      <w:proofErr w:type="gramEnd"/>
      <w:r w:rsidR="004747BE" w:rsidRPr="00F53504">
        <w:t xml:space="preserve"> to the wider job seeker population.</w:t>
      </w:r>
    </w:p>
    <w:p w14:paraId="181897D0" w14:textId="177BF924" w:rsidR="0049054D" w:rsidRPr="00F53504" w:rsidRDefault="00B0024F" w:rsidP="0077489F">
      <w:pPr>
        <w:rPr>
          <w:rFonts w:cstheme="minorHAnsi"/>
        </w:rPr>
      </w:pPr>
      <w:r w:rsidRPr="00F53504">
        <w:rPr>
          <w:rFonts w:cstheme="minorHAnsi"/>
        </w:rPr>
        <w:t>I</w:t>
      </w:r>
      <w:r w:rsidR="0077489F" w:rsidRPr="00F53504">
        <w:rPr>
          <w:rFonts w:cstheme="minorHAnsi"/>
        </w:rPr>
        <w:t>n 2011, DEEWR undertook a relocation assistance trial called Connecting People with Jobs</w:t>
      </w:r>
      <w:r w:rsidR="00497AA8" w:rsidRPr="00F53504">
        <w:rPr>
          <w:rFonts w:cstheme="minorHAnsi"/>
        </w:rPr>
        <w:t xml:space="preserve"> (</w:t>
      </w:r>
      <w:proofErr w:type="spellStart"/>
      <w:r w:rsidR="00497AA8" w:rsidRPr="00F53504">
        <w:rPr>
          <w:rFonts w:cstheme="minorHAnsi"/>
        </w:rPr>
        <w:t>CPwJ</w:t>
      </w:r>
      <w:proofErr w:type="spellEnd"/>
      <w:r w:rsidR="00497AA8" w:rsidRPr="00F53504">
        <w:rPr>
          <w:rFonts w:cstheme="minorHAnsi"/>
        </w:rPr>
        <w:t>)</w:t>
      </w:r>
      <w:r w:rsidR="0077489F" w:rsidRPr="00F53504">
        <w:rPr>
          <w:rFonts w:cstheme="minorHAnsi"/>
        </w:rPr>
        <w:t xml:space="preserve">. </w:t>
      </w:r>
      <w:r w:rsidR="0049054D" w:rsidRPr="00F53504">
        <w:rPr>
          <w:rFonts w:cstheme="minorHAnsi"/>
        </w:rPr>
        <w:t xml:space="preserve">While no formal evaluation of this program was undertaken, </w:t>
      </w:r>
      <w:proofErr w:type="gramStart"/>
      <w:r w:rsidR="0049054D" w:rsidRPr="00F53504">
        <w:rPr>
          <w:rFonts w:cstheme="minorHAnsi"/>
        </w:rPr>
        <w:t xml:space="preserve">outcomes of the program were contained </w:t>
      </w:r>
      <w:r w:rsidR="001220AA" w:rsidRPr="00F53504">
        <w:rPr>
          <w:rFonts w:cstheme="minorHAnsi"/>
        </w:rPr>
        <w:t xml:space="preserve">in </w:t>
      </w:r>
      <w:r w:rsidR="0049054D" w:rsidRPr="00F53504">
        <w:rPr>
          <w:rFonts w:cstheme="minorHAnsi"/>
        </w:rPr>
        <w:t>a submission</w:t>
      </w:r>
      <w:r w:rsidR="0049054D" w:rsidRPr="00F53504">
        <w:rPr>
          <w:rStyle w:val="FootnoteReference"/>
          <w:rFonts w:cstheme="minorHAnsi"/>
        </w:rPr>
        <w:footnoteReference w:id="8"/>
      </w:r>
      <w:r w:rsidR="0049054D" w:rsidRPr="00F53504">
        <w:rPr>
          <w:rFonts w:cstheme="minorHAnsi"/>
        </w:rPr>
        <w:t xml:space="preserve"> by the Department to the Productivity Commission’s Geographic Labour Mobility Research Report</w:t>
      </w:r>
      <w:proofErr w:type="gramEnd"/>
      <w:r w:rsidR="008768DA">
        <w:rPr>
          <w:rFonts w:cstheme="minorHAnsi"/>
        </w:rPr>
        <w:t>.</w:t>
      </w:r>
      <w:r w:rsidR="000D1C2B" w:rsidRPr="00F53504">
        <w:rPr>
          <w:rStyle w:val="FootnoteReference"/>
          <w:rFonts w:cstheme="minorHAnsi"/>
        </w:rPr>
        <w:footnoteReference w:id="9"/>
      </w:r>
    </w:p>
    <w:p w14:paraId="0284D52B" w14:textId="4B36959F" w:rsidR="0049054D" w:rsidRPr="00F53504" w:rsidRDefault="00497AA8" w:rsidP="0077489F">
      <w:pPr>
        <w:rPr>
          <w:rFonts w:cstheme="minorHAnsi"/>
        </w:rPr>
      </w:pPr>
      <w:r w:rsidRPr="00F53504">
        <w:rPr>
          <w:rFonts w:cstheme="minorHAnsi"/>
        </w:rPr>
        <w:t xml:space="preserve">The </w:t>
      </w:r>
      <w:proofErr w:type="spellStart"/>
      <w:r w:rsidRPr="00F53504">
        <w:rPr>
          <w:rFonts w:cstheme="minorHAnsi"/>
        </w:rPr>
        <w:t>CPwJ</w:t>
      </w:r>
      <w:proofErr w:type="spellEnd"/>
      <w:r w:rsidRPr="00F53504">
        <w:rPr>
          <w:rFonts w:cstheme="minorHAnsi"/>
        </w:rPr>
        <w:t xml:space="preserve"> initiative</w:t>
      </w:r>
      <w:r w:rsidR="00B0024F" w:rsidRPr="00F53504">
        <w:rPr>
          <w:rFonts w:cstheme="minorHAnsi"/>
        </w:rPr>
        <w:t>, which</w:t>
      </w:r>
      <w:r w:rsidRPr="00F53504">
        <w:rPr>
          <w:rFonts w:cstheme="minorHAnsi"/>
        </w:rPr>
        <w:t xml:space="preserve"> began on 1 January 2011</w:t>
      </w:r>
      <w:r w:rsidR="00B0024F" w:rsidRPr="00F53504">
        <w:rPr>
          <w:rFonts w:cstheme="minorHAnsi"/>
        </w:rPr>
        <w:t xml:space="preserve">, </w:t>
      </w:r>
      <w:proofErr w:type="gramStart"/>
      <w:r w:rsidR="00B0024F" w:rsidRPr="00F53504">
        <w:rPr>
          <w:rFonts w:cstheme="minorHAnsi"/>
        </w:rPr>
        <w:t>was designed</w:t>
      </w:r>
      <w:proofErr w:type="gramEnd"/>
      <w:r w:rsidRPr="00F53504">
        <w:rPr>
          <w:rFonts w:cstheme="minorHAnsi"/>
        </w:rPr>
        <w:t xml:space="preserve"> to improve labour mobility and reduce unemployment by providing practical assistance to eligible job seekers in JSA and DES to relocate for work </w:t>
      </w:r>
      <w:r w:rsidR="00867E1B">
        <w:rPr>
          <w:rFonts w:cstheme="minorHAnsi"/>
        </w:rPr>
        <w:t>including</w:t>
      </w:r>
      <w:r w:rsidRPr="00F53504">
        <w:rPr>
          <w:rFonts w:cstheme="minorHAnsi"/>
        </w:rPr>
        <w:t xml:space="preserve"> an apprenticeship.</w:t>
      </w:r>
      <w:r w:rsidR="000912CB" w:rsidRPr="00F53504">
        <w:rPr>
          <w:rFonts w:cstheme="minorHAnsi"/>
        </w:rPr>
        <w:t xml:space="preserve"> Take up was lower than expected with only 1383 relocations of the expected 4000 taken up by the time the program ceased. This was primarily because disadvantaged job seekers found it difficult to overcome social barriers to relocation. Of </w:t>
      </w:r>
      <w:r w:rsidR="000912CB" w:rsidRPr="00F53504">
        <w:rPr>
          <w:rFonts w:cstheme="minorHAnsi"/>
        </w:rPr>
        <w:lastRenderedPageBreak/>
        <w:t xml:space="preserve">those that did relocate, very few participants </w:t>
      </w:r>
      <w:proofErr w:type="gramStart"/>
      <w:r w:rsidR="000912CB" w:rsidRPr="00F53504">
        <w:rPr>
          <w:rFonts w:cstheme="minorHAnsi"/>
        </w:rPr>
        <w:t>were reimbursed</w:t>
      </w:r>
      <w:proofErr w:type="gramEnd"/>
      <w:r w:rsidR="000912CB" w:rsidRPr="00F53504">
        <w:rPr>
          <w:rFonts w:cstheme="minorHAnsi"/>
        </w:rPr>
        <w:t xml:space="preserve"> the full funding amount available to them.</w:t>
      </w:r>
    </w:p>
    <w:p w14:paraId="3CF2747D" w14:textId="5603AEB7" w:rsidR="000912CB" w:rsidRPr="00F53504" w:rsidRDefault="000912CB" w:rsidP="0077489F">
      <w:pPr>
        <w:rPr>
          <w:rFonts w:cstheme="minorHAnsi"/>
        </w:rPr>
      </w:pPr>
      <w:r w:rsidRPr="00F53504">
        <w:rPr>
          <w:rFonts w:cstheme="minorHAnsi"/>
        </w:rPr>
        <w:t>Similar to</w:t>
      </w:r>
      <w:r w:rsidR="00747C70" w:rsidRPr="00F53504">
        <w:rPr>
          <w:rFonts w:cstheme="minorHAnsi"/>
        </w:rPr>
        <w:t xml:space="preserve"> the</w:t>
      </w:r>
      <w:r w:rsidRPr="00F53504">
        <w:rPr>
          <w:rFonts w:cstheme="minorHAnsi"/>
        </w:rPr>
        <w:t xml:space="preserve"> </w:t>
      </w:r>
      <w:r w:rsidR="00B0024F" w:rsidRPr="00F53504">
        <w:rPr>
          <w:rFonts w:cstheme="minorHAnsi"/>
        </w:rPr>
        <w:t>p</w:t>
      </w:r>
      <w:r w:rsidRPr="00F53504">
        <w:rPr>
          <w:rFonts w:cstheme="minorHAnsi"/>
        </w:rPr>
        <w:t xml:space="preserve">ilot program discussed earlier, </w:t>
      </w:r>
      <w:r w:rsidR="00AA5C9B" w:rsidRPr="00F53504">
        <w:rPr>
          <w:rFonts w:cstheme="minorHAnsi"/>
        </w:rPr>
        <w:t xml:space="preserve">the </w:t>
      </w:r>
      <w:proofErr w:type="spellStart"/>
      <w:r w:rsidR="00747C70" w:rsidRPr="00F53504">
        <w:rPr>
          <w:rFonts w:cstheme="minorHAnsi"/>
        </w:rPr>
        <w:t>CPwJ</w:t>
      </w:r>
      <w:proofErr w:type="spellEnd"/>
      <w:r w:rsidR="00747C70" w:rsidRPr="00F53504">
        <w:rPr>
          <w:rFonts w:cstheme="minorHAnsi"/>
        </w:rPr>
        <w:t xml:space="preserve"> initiative </w:t>
      </w:r>
      <w:r w:rsidR="00B0024F" w:rsidRPr="00F53504">
        <w:rPr>
          <w:rFonts w:cstheme="minorHAnsi"/>
        </w:rPr>
        <w:t xml:space="preserve">primarily </w:t>
      </w:r>
      <w:r w:rsidR="000041DE">
        <w:rPr>
          <w:rFonts w:cstheme="minorHAnsi"/>
        </w:rPr>
        <w:t>appealed to men (74 </w:t>
      </w:r>
      <w:r w:rsidR="00AA5C9B" w:rsidRPr="00F53504">
        <w:rPr>
          <w:rFonts w:cstheme="minorHAnsi"/>
        </w:rPr>
        <w:t>per</w:t>
      </w:r>
      <w:r w:rsidR="000041DE">
        <w:rPr>
          <w:rFonts w:cstheme="minorHAnsi"/>
        </w:rPr>
        <w:t> </w:t>
      </w:r>
      <w:r w:rsidR="00AA5C9B" w:rsidRPr="00F53504">
        <w:rPr>
          <w:rFonts w:cstheme="minorHAnsi"/>
        </w:rPr>
        <w:t>cent</w:t>
      </w:r>
      <w:r w:rsidR="00747C70" w:rsidRPr="00F53504">
        <w:rPr>
          <w:rFonts w:cstheme="minorHAnsi"/>
        </w:rPr>
        <w:t xml:space="preserve"> of participants were male</w:t>
      </w:r>
      <w:r w:rsidR="00AA5C9B" w:rsidRPr="00F53504">
        <w:rPr>
          <w:rFonts w:cstheme="minorHAnsi"/>
        </w:rPr>
        <w:t xml:space="preserve">) without </w:t>
      </w:r>
      <w:proofErr w:type="gramStart"/>
      <w:r w:rsidR="00AA5C9B" w:rsidRPr="00F53504">
        <w:rPr>
          <w:rFonts w:cstheme="minorHAnsi"/>
        </w:rPr>
        <w:t>depend</w:t>
      </w:r>
      <w:r w:rsidR="00455A0A">
        <w:rPr>
          <w:rFonts w:cstheme="minorHAnsi"/>
        </w:rPr>
        <w:t>a</w:t>
      </w:r>
      <w:r w:rsidR="00AA5C9B" w:rsidRPr="00F53504">
        <w:rPr>
          <w:rFonts w:cstheme="minorHAnsi"/>
        </w:rPr>
        <w:t>nts</w:t>
      </w:r>
      <w:proofErr w:type="gramEnd"/>
      <w:r w:rsidR="00AA5C9B" w:rsidRPr="00F53504">
        <w:rPr>
          <w:rFonts w:cstheme="minorHAnsi"/>
        </w:rPr>
        <w:t xml:space="preserve"> (78 per cent</w:t>
      </w:r>
      <w:r w:rsidR="00747C70" w:rsidRPr="00F53504">
        <w:rPr>
          <w:rFonts w:cstheme="minorHAnsi"/>
        </w:rPr>
        <w:t xml:space="preserve"> of participants did not have depend</w:t>
      </w:r>
      <w:r w:rsidR="00455A0A">
        <w:rPr>
          <w:rFonts w:cstheme="minorHAnsi"/>
        </w:rPr>
        <w:t>a</w:t>
      </w:r>
      <w:r w:rsidR="00747C70" w:rsidRPr="00F53504">
        <w:rPr>
          <w:rFonts w:cstheme="minorHAnsi"/>
        </w:rPr>
        <w:t>nts</w:t>
      </w:r>
      <w:r w:rsidR="00AA5C9B" w:rsidRPr="00F53504">
        <w:rPr>
          <w:rFonts w:cstheme="minorHAnsi"/>
        </w:rPr>
        <w:t>)</w:t>
      </w:r>
      <w:r w:rsidR="00B0024F" w:rsidRPr="00F53504">
        <w:rPr>
          <w:rFonts w:cstheme="minorHAnsi"/>
        </w:rPr>
        <w:t xml:space="preserve">. The </w:t>
      </w:r>
      <w:r w:rsidR="00747C70" w:rsidRPr="00F53504">
        <w:rPr>
          <w:rFonts w:cstheme="minorHAnsi"/>
        </w:rPr>
        <w:t xml:space="preserve">participants’ </w:t>
      </w:r>
      <w:r w:rsidR="00AA5C9B" w:rsidRPr="00F53504">
        <w:rPr>
          <w:rFonts w:cstheme="minorHAnsi"/>
        </w:rPr>
        <w:t xml:space="preserve">average age was older (37 </w:t>
      </w:r>
      <w:r w:rsidR="001E6C1E" w:rsidRPr="00F53504">
        <w:rPr>
          <w:rFonts w:cstheme="minorHAnsi"/>
        </w:rPr>
        <w:t xml:space="preserve">years </w:t>
      </w:r>
      <w:r w:rsidR="00AA5C9B" w:rsidRPr="00F53504">
        <w:rPr>
          <w:rFonts w:cstheme="minorHAnsi"/>
        </w:rPr>
        <w:t xml:space="preserve">compared to 30 for the </w:t>
      </w:r>
      <w:r w:rsidR="00B0024F" w:rsidRPr="00F53504">
        <w:rPr>
          <w:rFonts w:cstheme="minorHAnsi"/>
        </w:rPr>
        <w:t>p</w:t>
      </w:r>
      <w:r w:rsidR="00AA5C9B" w:rsidRPr="00F53504">
        <w:rPr>
          <w:rFonts w:cstheme="minorHAnsi"/>
        </w:rPr>
        <w:t>ilot).</w:t>
      </w:r>
    </w:p>
    <w:p w14:paraId="3C6BBD26" w14:textId="7A0F9F5C" w:rsidR="00465072" w:rsidRPr="00F53504" w:rsidRDefault="00AA5C9B" w:rsidP="0077489F">
      <w:pPr>
        <w:rPr>
          <w:rFonts w:cstheme="minorHAnsi"/>
        </w:rPr>
      </w:pPr>
      <w:r w:rsidRPr="00F53504">
        <w:rPr>
          <w:rFonts w:cstheme="minorHAnsi"/>
        </w:rPr>
        <w:t>On 1 July</w:t>
      </w:r>
      <w:r w:rsidR="000912CB" w:rsidRPr="00F53504">
        <w:rPr>
          <w:rFonts w:cstheme="minorHAnsi"/>
        </w:rPr>
        <w:t xml:space="preserve"> </w:t>
      </w:r>
      <w:proofErr w:type="gramStart"/>
      <w:r w:rsidR="000912CB" w:rsidRPr="00F53504">
        <w:rPr>
          <w:rFonts w:cstheme="minorHAnsi"/>
        </w:rPr>
        <w:t>2013</w:t>
      </w:r>
      <w:proofErr w:type="gramEnd"/>
      <w:r w:rsidR="000912CB" w:rsidRPr="00F53504">
        <w:rPr>
          <w:rFonts w:cstheme="minorHAnsi"/>
        </w:rPr>
        <w:t xml:space="preserve"> </w:t>
      </w:r>
      <w:proofErr w:type="spellStart"/>
      <w:r w:rsidR="000912CB" w:rsidRPr="00F53504">
        <w:rPr>
          <w:rFonts w:cstheme="minorHAnsi"/>
        </w:rPr>
        <w:t>CPwJ</w:t>
      </w:r>
      <w:proofErr w:type="spellEnd"/>
      <w:r w:rsidR="000912CB" w:rsidRPr="00F53504">
        <w:rPr>
          <w:rFonts w:cstheme="minorHAnsi"/>
        </w:rPr>
        <w:t xml:space="preserve"> </w:t>
      </w:r>
      <w:r w:rsidR="0077489F" w:rsidRPr="00F53504">
        <w:rPr>
          <w:rFonts w:cstheme="minorHAnsi"/>
        </w:rPr>
        <w:t xml:space="preserve">transitioned </w:t>
      </w:r>
      <w:r w:rsidR="000912CB" w:rsidRPr="00F53504">
        <w:rPr>
          <w:rFonts w:cstheme="minorHAnsi"/>
        </w:rPr>
        <w:t xml:space="preserve">into the Move 2 Work program, </w:t>
      </w:r>
      <w:r w:rsidR="000F6070" w:rsidRPr="00F53504">
        <w:rPr>
          <w:rFonts w:cstheme="minorHAnsi"/>
        </w:rPr>
        <w:t xml:space="preserve">which was </w:t>
      </w:r>
      <w:r w:rsidR="0077489F" w:rsidRPr="00F53504">
        <w:rPr>
          <w:rFonts w:cstheme="minorHAnsi"/>
        </w:rPr>
        <w:t xml:space="preserve">replaced by the </w:t>
      </w:r>
      <w:r w:rsidR="00147A8A">
        <w:rPr>
          <w:rFonts w:cstheme="minorHAnsi"/>
        </w:rPr>
        <w:t>RATTUAJ program</w:t>
      </w:r>
      <w:r w:rsidR="002D0E6E">
        <w:rPr>
          <w:rFonts w:cstheme="minorHAnsi"/>
        </w:rPr>
        <w:t>me</w:t>
      </w:r>
      <w:r w:rsidR="00147A8A">
        <w:rPr>
          <w:rFonts w:cstheme="minorHAnsi"/>
        </w:rPr>
        <w:t xml:space="preserve"> on 1 July 2014.</w:t>
      </w:r>
    </w:p>
    <w:p w14:paraId="0C442E34" w14:textId="77777777" w:rsidR="00C85245" w:rsidRPr="00F53504" w:rsidRDefault="00C85245" w:rsidP="00920031">
      <w:pPr>
        <w:pStyle w:val="Heading2"/>
      </w:pPr>
      <w:bookmarkStart w:id="16" w:name="_Toc512529313"/>
      <w:r w:rsidRPr="00F53504">
        <w:t>Evaluation scope and objectives</w:t>
      </w:r>
      <w:bookmarkEnd w:id="16"/>
    </w:p>
    <w:p w14:paraId="2EAD3ABD" w14:textId="6D530113" w:rsidR="00546DE2" w:rsidRPr="00F53504" w:rsidRDefault="00546DE2" w:rsidP="00546DE2">
      <w:r w:rsidRPr="00F53504">
        <w:t>This report present</w:t>
      </w:r>
      <w:r w:rsidR="001220AA" w:rsidRPr="00F53504">
        <w:t>s</w:t>
      </w:r>
      <w:r w:rsidRPr="00F53504">
        <w:t xml:space="preserve"> the findings of the evaluation of </w:t>
      </w:r>
      <w:r w:rsidR="0041378D" w:rsidRPr="00F53504">
        <w:t>RATTUAJ</w:t>
      </w:r>
      <w:r w:rsidRPr="00F53504">
        <w:t xml:space="preserve"> as it relates to JSA and jobactive. Use of the </w:t>
      </w:r>
      <w:r w:rsidR="004F68D9" w:rsidRPr="00F53504">
        <w:t>program</w:t>
      </w:r>
      <w:r w:rsidRPr="00F53504">
        <w:t xml:space="preserve"> by job seekers registered with DES is outside the scope of this evaluation</w:t>
      </w:r>
      <w:r w:rsidR="00B73AE7">
        <w:t>.</w:t>
      </w:r>
    </w:p>
    <w:p w14:paraId="46B320D4" w14:textId="75DE88C1" w:rsidR="00546DE2" w:rsidRPr="00F53504" w:rsidRDefault="00546DE2" w:rsidP="00546DE2">
      <w:r w:rsidRPr="00F53504">
        <w:t>The evaluation examine</w:t>
      </w:r>
      <w:r w:rsidR="001220AA" w:rsidRPr="00F53504">
        <w:t>s</w:t>
      </w:r>
      <w:r w:rsidRPr="00F53504">
        <w:t xml:space="preserve"> the</w:t>
      </w:r>
      <w:r w:rsidR="00523B5F" w:rsidRPr="00F53504">
        <w:t xml:space="preserve"> appropriateness, effectiveness and efficiency of </w:t>
      </w:r>
      <w:r w:rsidR="0041378D" w:rsidRPr="00F53504">
        <w:t>RATTUAJ</w:t>
      </w:r>
      <w:r w:rsidR="001220AA" w:rsidRPr="00F53504">
        <w:t xml:space="preserve"> and </w:t>
      </w:r>
      <w:r w:rsidRPr="00F53504">
        <w:t>the factors that contribute to a successful relocation</w:t>
      </w:r>
      <w:r w:rsidR="00000E4A" w:rsidRPr="00F53504">
        <w:t xml:space="preserve"> </w:t>
      </w:r>
      <w:r w:rsidRPr="00F53504">
        <w:t>by addressing t</w:t>
      </w:r>
      <w:r w:rsidR="0099398E">
        <w:t>he following questions:</w:t>
      </w:r>
    </w:p>
    <w:p w14:paraId="60FF3962" w14:textId="77777777" w:rsidR="00546DE2" w:rsidRPr="00F53504" w:rsidRDefault="00501E6F" w:rsidP="00AE7B6D">
      <w:pPr>
        <w:pStyle w:val="ListNumber"/>
        <w:numPr>
          <w:ilvl w:val="0"/>
          <w:numId w:val="12"/>
        </w:numPr>
        <w:ind w:left="993"/>
      </w:pPr>
      <w:r w:rsidRPr="00F53504">
        <w:t>Do</w:t>
      </w:r>
      <w:r w:rsidR="00546DE2" w:rsidRPr="00F53504">
        <w:t xml:space="preserve"> </w:t>
      </w:r>
      <w:r w:rsidR="00CA7963" w:rsidRPr="00F53504">
        <w:t>program participants</w:t>
      </w:r>
      <w:r w:rsidR="00546DE2" w:rsidRPr="00F53504">
        <w:t xml:space="preserve"> relocate successfully?</w:t>
      </w:r>
    </w:p>
    <w:p w14:paraId="3A4952AC" w14:textId="77777777" w:rsidR="00546DE2" w:rsidRPr="00F53504" w:rsidRDefault="00501E6F" w:rsidP="00546DE2">
      <w:pPr>
        <w:pStyle w:val="ListNumber"/>
      </w:pPr>
      <w:r w:rsidRPr="00F53504">
        <w:t xml:space="preserve">Do </w:t>
      </w:r>
      <w:r w:rsidR="00546DE2" w:rsidRPr="00F53504">
        <w:t>relocated job seekers achieve employment outcomes?</w:t>
      </w:r>
    </w:p>
    <w:p w14:paraId="29F563CE" w14:textId="77777777" w:rsidR="00546DE2" w:rsidRPr="00F53504" w:rsidRDefault="00501E6F" w:rsidP="00546DE2">
      <w:pPr>
        <w:pStyle w:val="ListNumber"/>
      </w:pPr>
      <w:r w:rsidRPr="00F53504">
        <w:t>Do</w:t>
      </w:r>
      <w:r w:rsidR="00546DE2" w:rsidRPr="00F53504">
        <w:t xml:space="preserve"> relocated job seekers remain off income support payments or continue to report earnings over time?</w:t>
      </w:r>
    </w:p>
    <w:p w14:paraId="4602AF13" w14:textId="77777777" w:rsidR="00546DE2" w:rsidRPr="00F53504" w:rsidRDefault="00546DE2" w:rsidP="00546DE2">
      <w:pPr>
        <w:pStyle w:val="ListNumber"/>
      </w:pPr>
      <w:r w:rsidRPr="00F53504">
        <w:t>What factors contribute to successful relocation and sustained employment?</w:t>
      </w:r>
    </w:p>
    <w:p w14:paraId="7003528D" w14:textId="77777777" w:rsidR="00546DE2" w:rsidRPr="00F53504" w:rsidRDefault="001E6C1E" w:rsidP="00546DE2">
      <w:pPr>
        <w:pStyle w:val="ListNumber"/>
      </w:pPr>
      <w:r w:rsidRPr="00F53504">
        <w:t xml:space="preserve">Are </w:t>
      </w:r>
      <w:r w:rsidR="00546DE2" w:rsidRPr="00F53504">
        <w:t xml:space="preserve">job matching and perceived job prospects </w:t>
      </w:r>
      <w:r w:rsidR="00501E6F" w:rsidRPr="00F53504">
        <w:t>important</w:t>
      </w:r>
      <w:r w:rsidR="00546DE2" w:rsidRPr="00F53504">
        <w:t xml:space="preserve"> to successful relocation and sustained employment? </w:t>
      </w:r>
    </w:p>
    <w:p w14:paraId="4A82E595" w14:textId="77777777" w:rsidR="00546DE2" w:rsidRPr="00F53504" w:rsidRDefault="00546DE2" w:rsidP="00546DE2">
      <w:pPr>
        <w:pStyle w:val="ListNumber"/>
      </w:pPr>
      <w:r w:rsidRPr="00F53504">
        <w:t xml:space="preserve">What strategies </w:t>
      </w:r>
      <w:proofErr w:type="gramStart"/>
      <w:r w:rsidRPr="00F53504">
        <w:t>are put in place by employment service</w:t>
      </w:r>
      <w:r w:rsidR="00FF58A1" w:rsidRPr="00F53504">
        <w:t>s</w:t>
      </w:r>
      <w:r w:rsidRPr="00F53504">
        <w:t xml:space="preserve"> providers to promote the </w:t>
      </w:r>
      <w:r w:rsidR="004F68D9" w:rsidRPr="00F53504">
        <w:t>program</w:t>
      </w:r>
      <w:r w:rsidRPr="00F53504">
        <w:t>, to source suitable jobs and ensure quality job matching</w:t>
      </w:r>
      <w:proofErr w:type="gramEnd"/>
      <w:r w:rsidRPr="00F53504">
        <w:t>?</w:t>
      </w:r>
    </w:p>
    <w:p w14:paraId="1AAE506F" w14:textId="77777777" w:rsidR="00546DE2" w:rsidRPr="00F53504" w:rsidRDefault="00546DE2" w:rsidP="00546DE2">
      <w:pPr>
        <w:pStyle w:val="ListNumber"/>
      </w:pPr>
      <w:r w:rsidRPr="00F53504">
        <w:t>What are the major factors that contribute to a job seeker</w:t>
      </w:r>
      <w:r w:rsidR="00BA1EB5" w:rsidRPr="00F53504">
        <w:t>’</w:t>
      </w:r>
      <w:r w:rsidRPr="00F53504">
        <w:t xml:space="preserve">s decision to relocate? </w:t>
      </w:r>
    </w:p>
    <w:p w14:paraId="2C507ADB" w14:textId="059AC24A" w:rsidR="00546DE2" w:rsidRPr="00F53504" w:rsidRDefault="00546DE2" w:rsidP="00546DE2">
      <w:pPr>
        <w:pStyle w:val="ListNumber"/>
      </w:pPr>
      <w:r w:rsidRPr="00F53504">
        <w:t>What are the major impediments that job seekers perceive when deciding whether to relocate?</w:t>
      </w:r>
      <w:r w:rsidR="00D04EA4">
        <w:t xml:space="preserve"> </w:t>
      </w:r>
    </w:p>
    <w:p w14:paraId="5A5B2B28" w14:textId="46B3EB7C" w:rsidR="00F65E90" w:rsidRDefault="00584D66" w:rsidP="00F65E90">
      <w:r>
        <w:t xml:space="preserve">A key caveat is that </w:t>
      </w:r>
      <w:r w:rsidR="00565D06" w:rsidRPr="00F53504">
        <w:t xml:space="preserve">the small take-up of the program </w:t>
      </w:r>
      <w:r w:rsidR="00F65E90">
        <w:t xml:space="preserve">means that the evaluation cannot make specific statistical findings as to whether </w:t>
      </w:r>
      <w:r w:rsidR="00F65E90" w:rsidRPr="00F53504">
        <w:t xml:space="preserve">the program induced additional work related relocation </w:t>
      </w:r>
      <w:r w:rsidR="00F65E90">
        <w:t xml:space="preserve">or </w:t>
      </w:r>
      <w:r w:rsidR="00F65E90" w:rsidRPr="00F53504">
        <w:t>led to better outc</w:t>
      </w:r>
      <w:r w:rsidR="0099398E">
        <w:t>omes (employment and earnings).</w:t>
      </w:r>
    </w:p>
    <w:p w14:paraId="2685F6CE" w14:textId="68D71346" w:rsidR="00565D06" w:rsidRPr="00F53504" w:rsidRDefault="00F65E90" w:rsidP="00F65E90">
      <w:r>
        <w:t xml:space="preserve">This is due to the small population size, the </w:t>
      </w:r>
      <w:r w:rsidR="00565D06" w:rsidRPr="00F53504">
        <w:t>risk of selection bias</w:t>
      </w:r>
      <w:r>
        <w:t xml:space="preserve"> and the difficulty in establishing a control group.</w:t>
      </w:r>
      <w:r w:rsidR="00584D66">
        <w:t xml:space="preserve"> That is, </w:t>
      </w:r>
      <w:r w:rsidR="00535BF0" w:rsidRPr="00F53504">
        <w:t xml:space="preserve">individuals who volunteer to relocate </w:t>
      </w:r>
      <w:r>
        <w:t xml:space="preserve">may </w:t>
      </w:r>
      <w:r w:rsidR="00535BF0" w:rsidRPr="00F53504">
        <w:t xml:space="preserve">have something fundamentally different about them </w:t>
      </w:r>
      <w:r w:rsidR="007F69CE">
        <w:t xml:space="preserve">compared to </w:t>
      </w:r>
      <w:r>
        <w:t xml:space="preserve">other unemployed people </w:t>
      </w:r>
      <w:r w:rsidR="00535BF0" w:rsidRPr="00F53504">
        <w:t xml:space="preserve">that makes them more likely </w:t>
      </w:r>
      <w:r w:rsidR="00584D66">
        <w:t>to have better employment outcomes.</w:t>
      </w:r>
      <w:r w:rsidR="00565D06" w:rsidRPr="00F53504">
        <w:t xml:space="preserve"> </w:t>
      </w:r>
      <w:r>
        <w:t>As these traits</w:t>
      </w:r>
      <w:r w:rsidR="00471D09">
        <w:t xml:space="preserve"> </w:t>
      </w:r>
      <w:proofErr w:type="gramStart"/>
      <w:r w:rsidR="00471D09">
        <w:t>cannot be measured</w:t>
      </w:r>
      <w:r>
        <w:t xml:space="preserve"> </w:t>
      </w:r>
      <w:r w:rsidR="002A3B64">
        <w:t>or</w:t>
      </w:r>
      <w:r>
        <w:t xml:space="preserve"> control</w:t>
      </w:r>
      <w:r w:rsidR="00323866">
        <w:t>led</w:t>
      </w:r>
      <w:r>
        <w:t xml:space="preserve"> for,</w:t>
      </w:r>
      <w:proofErr w:type="gramEnd"/>
      <w:r>
        <w:t xml:space="preserve"> a robust </w:t>
      </w:r>
      <w:r w:rsidR="00584D66">
        <w:t>comparison group</w:t>
      </w:r>
      <w:r w:rsidR="00471D09">
        <w:t xml:space="preserve"> of other unemployed people cannot be created</w:t>
      </w:r>
      <w:r w:rsidR="0099398E">
        <w:t>.</w:t>
      </w:r>
    </w:p>
    <w:p w14:paraId="7C5A0F1B" w14:textId="77777777" w:rsidR="00546DE2" w:rsidRPr="00F53504" w:rsidRDefault="00546DE2" w:rsidP="00920031">
      <w:pPr>
        <w:pStyle w:val="Heading2"/>
      </w:pPr>
      <w:bookmarkStart w:id="17" w:name="_Toc512529314"/>
      <w:r w:rsidRPr="00F53504">
        <w:t>Data sources</w:t>
      </w:r>
      <w:bookmarkEnd w:id="17"/>
      <w:r w:rsidRPr="00F53504">
        <w:t xml:space="preserve"> </w:t>
      </w:r>
    </w:p>
    <w:p w14:paraId="26026995" w14:textId="77777777" w:rsidR="00546DE2" w:rsidRPr="00F53504" w:rsidRDefault="00546DE2" w:rsidP="00546DE2">
      <w:r w:rsidRPr="00F53504">
        <w:t xml:space="preserve">The evaluation </w:t>
      </w:r>
      <w:r w:rsidR="00973474" w:rsidRPr="00F53504">
        <w:t xml:space="preserve">draws </w:t>
      </w:r>
      <w:r w:rsidR="00DF3BE1">
        <w:t>upon:</w:t>
      </w:r>
    </w:p>
    <w:p w14:paraId="45994CD3" w14:textId="6CD859DA" w:rsidR="00546DE2" w:rsidRPr="00F53504" w:rsidRDefault="007F69CE" w:rsidP="00435DE3">
      <w:pPr>
        <w:pStyle w:val="ListBullet"/>
      </w:pPr>
      <w:r>
        <w:t>t</w:t>
      </w:r>
      <w:r w:rsidR="00B0024F" w:rsidRPr="00F53504">
        <w:t xml:space="preserve">he </w:t>
      </w:r>
      <w:r w:rsidR="001B020F" w:rsidRPr="00F53504">
        <w:t>Department</w:t>
      </w:r>
      <w:r w:rsidR="00B0024F" w:rsidRPr="00F53504">
        <w:t>’s</w:t>
      </w:r>
      <w:r w:rsidR="001B020F" w:rsidRPr="00F53504">
        <w:t xml:space="preserve"> </w:t>
      </w:r>
      <w:r w:rsidR="00546DE2" w:rsidRPr="00F53504">
        <w:t xml:space="preserve">administrative data </w:t>
      </w:r>
    </w:p>
    <w:p w14:paraId="2525105F" w14:textId="77777777" w:rsidR="00546DE2" w:rsidRPr="00F53504" w:rsidRDefault="00546DE2" w:rsidP="00435DE3">
      <w:pPr>
        <w:pStyle w:val="ListBullet"/>
      </w:pPr>
      <w:r w:rsidRPr="00F53504">
        <w:lastRenderedPageBreak/>
        <w:t>a</w:t>
      </w:r>
      <w:r w:rsidR="001B020F" w:rsidRPr="00F53504">
        <w:t xml:space="preserve"> </w:t>
      </w:r>
      <w:r w:rsidR="00501E6F" w:rsidRPr="00F53504">
        <w:t xml:space="preserve">series of qualitative interviews with </w:t>
      </w:r>
      <w:r w:rsidRPr="00F53504">
        <w:t xml:space="preserve">job seekers and </w:t>
      </w:r>
      <w:r w:rsidR="00FF58A1" w:rsidRPr="00F53504">
        <w:t xml:space="preserve">employment services </w:t>
      </w:r>
      <w:r w:rsidRPr="00F53504">
        <w:t>providers</w:t>
      </w:r>
    </w:p>
    <w:p w14:paraId="19F1DE90" w14:textId="52429F2A" w:rsidR="00546DE2" w:rsidRPr="00F53504" w:rsidRDefault="00D50385" w:rsidP="00435DE3">
      <w:pPr>
        <w:pStyle w:val="ListBullet"/>
      </w:pPr>
      <w:r>
        <w:t>surveys of employment services providers in 2015 and 2016</w:t>
      </w:r>
    </w:p>
    <w:p w14:paraId="6EF3E9D1" w14:textId="2C6A289E" w:rsidR="00546DE2" w:rsidRPr="00F53504" w:rsidRDefault="00D50385" w:rsidP="00435DE3">
      <w:pPr>
        <w:pStyle w:val="ListBullet"/>
      </w:pPr>
      <w:proofErr w:type="gramStart"/>
      <w:r>
        <w:t>a</w:t>
      </w:r>
      <w:proofErr w:type="gramEnd"/>
      <w:r>
        <w:t xml:space="preserve"> survey of job seekers in 2016</w:t>
      </w:r>
      <w:r w:rsidR="00495D61">
        <w:t>.</w:t>
      </w:r>
    </w:p>
    <w:p w14:paraId="1E5DD6E9" w14:textId="440A3088" w:rsidR="00BD758A" w:rsidRPr="00F53504" w:rsidRDefault="00582E79" w:rsidP="00BD758A">
      <w:r w:rsidRPr="00F53504">
        <w:t>How</w:t>
      </w:r>
      <w:r w:rsidR="00BD758A" w:rsidRPr="00F53504">
        <w:t xml:space="preserve"> these data sources</w:t>
      </w:r>
      <w:r w:rsidRPr="00F53504">
        <w:t xml:space="preserve"> are used </w:t>
      </w:r>
      <w:proofErr w:type="gramStart"/>
      <w:r w:rsidR="00BD758A" w:rsidRPr="00F53504">
        <w:t>is outlined below and discussed in Appendix</w:t>
      </w:r>
      <w:r w:rsidR="00F631BC" w:rsidRPr="00F53504">
        <w:t> </w:t>
      </w:r>
      <w:r w:rsidR="00D13341" w:rsidRPr="00F53504">
        <w:t>B</w:t>
      </w:r>
      <w:r w:rsidR="00BD758A" w:rsidRPr="00F53504">
        <w:t>.</w:t>
      </w:r>
      <w:proofErr w:type="gramEnd"/>
    </w:p>
    <w:p w14:paraId="110A7659" w14:textId="77777777" w:rsidR="00F47FCE" w:rsidRPr="00F53504" w:rsidRDefault="00F47FCE" w:rsidP="00F47FCE">
      <w:pPr>
        <w:pStyle w:val="Heading3"/>
      </w:pPr>
      <w:r w:rsidRPr="00F53504">
        <w:t>Administrative data</w:t>
      </w:r>
    </w:p>
    <w:p w14:paraId="596AF5AB" w14:textId="557C4B2C" w:rsidR="00546DE2" w:rsidRPr="00F53504" w:rsidRDefault="00546DE2" w:rsidP="00546DE2">
      <w:r w:rsidRPr="00F53504">
        <w:t xml:space="preserve">The </w:t>
      </w:r>
      <w:r w:rsidR="00582E79" w:rsidRPr="00F53504">
        <w:t>evaluation use</w:t>
      </w:r>
      <w:r w:rsidR="001A554B" w:rsidRPr="00F53504">
        <w:t>s</w:t>
      </w:r>
      <w:r w:rsidR="00582E79" w:rsidRPr="00F53504">
        <w:t xml:space="preserve"> </w:t>
      </w:r>
      <w:r w:rsidRPr="00F53504">
        <w:t xml:space="preserve">administrative data from the </w:t>
      </w:r>
      <w:r w:rsidR="00F47FCE" w:rsidRPr="00F53504">
        <w:t xml:space="preserve">Department’s </w:t>
      </w:r>
      <w:r w:rsidRPr="00F53504">
        <w:t xml:space="preserve">Employment Business Intelligence Warehouse (EBIW). This database contains information </w:t>
      </w:r>
      <w:r w:rsidR="001220AA" w:rsidRPr="00F53504">
        <w:t xml:space="preserve">on </w:t>
      </w:r>
      <w:r w:rsidR="00582E79" w:rsidRPr="00F53504">
        <w:t>job seekers registered with</w:t>
      </w:r>
      <w:r w:rsidRPr="00F53504">
        <w:t xml:space="preserve"> </w:t>
      </w:r>
      <w:r w:rsidR="001B020F" w:rsidRPr="00F53504">
        <w:t xml:space="preserve">JSA and jobactive </w:t>
      </w:r>
      <w:r w:rsidRPr="00F53504">
        <w:t>employment services including take up and use of</w:t>
      </w:r>
      <w:r w:rsidR="00830C00">
        <w:t xml:space="preserve"> the</w:t>
      </w:r>
      <w:r w:rsidRPr="00F53504">
        <w:t xml:space="preserve"> RATTUA</w:t>
      </w:r>
      <w:r w:rsidR="001B020F" w:rsidRPr="00F53504">
        <w:t>J</w:t>
      </w:r>
      <w:r w:rsidRPr="00F53504">
        <w:t xml:space="preserve"> </w:t>
      </w:r>
      <w:r w:rsidR="004F68D9" w:rsidRPr="00F53504">
        <w:t>program</w:t>
      </w:r>
      <w:r w:rsidR="002D0E6E">
        <w:t>me</w:t>
      </w:r>
      <w:r w:rsidRPr="00F53504">
        <w:t>.</w:t>
      </w:r>
    </w:p>
    <w:p w14:paraId="775F89F1" w14:textId="179A5CF7" w:rsidR="00F631BC" w:rsidRPr="00F53504" w:rsidRDefault="0031712E" w:rsidP="00546DE2">
      <w:r>
        <w:t>D</w:t>
      </w:r>
      <w:r w:rsidR="00CB29AF" w:rsidRPr="00CB29AF">
        <w:t xml:space="preserve">escriptive analysis </w:t>
      </w:r>
      <w:proofErr w:type="gramStart"/>
      <w:r w:rsidR="00CB29AF" w:rsidRPr="00CB29AF">
        <w:t>was performed</w:t>
      </w:r>
      <w:proofErr w:type="gramEnd"/>
      <w:r w:rsidR="00CB29AF" w:rsidRPr="00CB29AF">
        <w:t xml:space="preserve"> using data as at 31 March 2016, unless otherwise stated.</w:t>
      </w:r>
      <w:r w:rsidR="00F316E1">
        <w:rPr>
          <w:rStyle w:val="FootnoteReference"/>
        </w:rPr>
        <w:footnoteReference w:id="10"/>
      </w:r>
      <w:r w:rsidR="00CB29AF" w:rsidRPr="00CB29AF">
        <w:t xml:space="preserve"> The analysis relates to all Relocation Agreements with start d</w:t>
      </w:r>
      <w:r w:rsidR="00AA5A2F">
        <w:t>ates between 1 July 2014 and 31 December </w:t>
      </w:r>
      <w:r w:rsidR="00CB29AF" w:rsidRPr="00CB29AF">
        <w:t xml:space="preserve">2015. Comparisons </w:t>
      </w:r>
      <w:proofErr w:type="gramStart"/>
      <w:r w:rsidR="00CB29AF" w:rsidRPr="00CB29AF">
        <w:t>were made</w:t>
      </w:r>
      <w:proofErr w:type="gramEnd"/>
      <w:r w:rsidR="00CB29AF" w:rsidRPr="00CB29AF">
        <w:t xml:space="preserve"> between job seekers with a Relocation Agreement and other job seekers in the caseload who would be eligible for RATTUAJ.</w:t>
      </w:r>
    </w:p>
    <w:p w14:paraId="273BE72D" w14:textId="2966559B" w:rsidR="00F631BC" w:rsidRPr="00F53504" w:rsidRDefault="00F631BC" w:rsidP="00F631BC">
      <w:pPr>
        <w:pStyle w:val="Heading3"/>
      </w:pPr>
      <w:bookmarkStart w:id="18" w:name="_Ref483905036"/>
      <w:r w:rsidRPr="00F53504">
        <w:t xml:space="preserve">Qualitative </w:t>
      </w:r>
      <w:bookmarkEnd w:id="18"/>
      <w:r w:rsidR="0062490E">
        <w:t>research</w:t>
      </w:r>
    </w:p>
    <w:p w14:paraId="4020704E" w14:textId="4EDB372B" w:rsidR="00F5114F" w:rsidRPr="00F53504" w:rsidRDefault="00FF2E1D" w:rsidP="00546DE2">
      <w:r w:rsidRPr="00F53504">
        <w:t>T</w:t>
      </w:r>
      <w:r w:rsidR="00546DE2" w:rsidRPr="00F53504">
        <w:t xml:space="preserve">he Department engaged </w:t>
      </w:r>
      <w:r w:rsidR="00B0024F" w:rsidRPr="00F53504">
        <w:t xml:space="preserve">Colmar </w:t>
      </w:r>
      <w:proofErr w:type="spellStart"/>
      <w:r w:rsidR="00B0024F" w:rsidRPr="00F53504">
        <w:t>Brunton</w:t>
      </w:r>
      <w:proofErr w:type="spellEnd"/>
      <w:r w:rsidR="00B0024F" w:rsidRPr="00F53504">
        <w:t xml:space="preserve"> </w:t>
      </w:r>
      <w:r w:rsidR="00546DE2" w:rsidRPr="00F53504">
        <w:t>to conduct</w:t>
      </w:r>
      <w:r w:rsidR="00C168A4" w:rsidRPr="00F53504">
        <w:t xml:space="preserve"> </w:t>
      </w:r>
      <w:r w:rsidR="00F5114F" w:rsidRPr="00F53504">
        <w:t>in-depth interviews with job seekers and providers. The research collect</w:t>
      </w:r>
      <w:r w:rsidR="007F69CE">
        <w:t>ed</w:t>
      </w:r>
      <w:r w:rsidR="00F5114F" w:rsidRPr="00F53504">
        <w:t xml:space="preserve"> qualitative information on the experiences of job seekers and providers involved with </w:t>
      </w:r>
      <w:r w:rsidR="0041378D" w:rsidRPr="00F53504">
        <w:t>RATTUAJ</w:t>
      </w:r>
      <w:r w:rsidR="00F5114F" w:rsidRPr="00F53504">
        <w:t>.</w:t>
      </w:r>
    </w:p>
    <w:p w14:paraId="37813AB3" w14:textId="53D87AD5" w:rsidR="00546DE2" w:rsidRPr="00F53504" w:rsidRDefault="00F5114F" w:rsidP="00F5114F">
      <w:r w:rsidRPr="00F53504">
        <w:t xml:space="preserve">An initial wave of in-depth interviews with </w:t>
      </w:r>
      <w:r w:rsidR="0059109C">
        <w:t>50</w:t>
      </w:r>
      <w:r w:rsidRPr="00F53504">
        <w:t xml:space="preserve"> job seekers and 10 providers </w:t>
      </w:r>
      <w:proofErr w:type="gramStart"/>
      <w:r w:rsidRPr="00F53504">
        <w:t>was conducted</w:t>
      </w:r>
      <w:proofErr w:type="gramEnd"/>
      <w:r w:rsidRPr="00F53504">
        <w:t xml:space="preserve"> from August to October 2015. A</w:t>
      </w:r>
      <w:r w:rsidR="00C168A4" w:rsidRPr="00F53504">
        <w:t xml:space="preserve"> follow-up wave with the same job seekers </w:t>
      </w:r>
      <w:proofErr w:type="gramStart"/>
      <w:r w:rsidRPr="00F53504">
        <w:t>was conducted</w:t>
      </w:r>
      <w:proofErr w:type="gramEnd"/>
      <w:r w:rsidRPr="00F53504">
        <w:t xml:space="preserve"> </w:t>
      </w:r>
      <w:r w:rsidR="00C168A4" w:rsidRPr="00F53504">
        <w:t xml:space="preserve">from </w:t>
      </w:r>
      <w:r w:rsidR="00823126" w:rsidRPr="00F53504">
        <w:t>December 2015 to February</w:t>
      </w:r>
      <w:r w:rsidR="00546DE2" w:rsidRPr="00F53504">
        <w:t xml:space="preserve"> 2016.</w:t>
      </w:r>
      <w:r w:rsidRPr="00F53504">
        <w:t xml:space="preserve"> Of the 50 job seekers </w:t>
      </w:r>
      <w:r w:rsidR="00D479B4">
        <w:t>who</w:t>
      </w:r>
      <w:r w:rsidR="00D479B4" w:rsidRPr="00F53504">
        <w:t xml:space="preserve"> </w:t>
      </w:r>
      <w:r w:rsidRPr="00F53504">
        <w:t>participated in the first wave, 29 agreed to be re-interviewed.</w:t>
      </w:r>
    </w:p>
    <w:p w14:paraId="73B5C11D" w14:textId="26A907AE" w:rsidR="00F47FCE" w:rsidRPr="00F53504" w:rsidRDefault="00F47FCE" w:rsidP="00F47FCE">
      <w:pPr>
        <w:pStyle w:val="Heading3"/>
      </w:pPr>
      <w:r w:rsidRPr="00F53504">
        <w:t>Survey</w:t>
      </w:r>
      <w:r w:rsidR="00156803">
        <w:t>s</w:t>
      </w:r>
      <w:r w:rsidRPr="00F53504">
        <w:t xml:space="preserve"> of </w:t>
      </w:r>
      <w:r w:rsidR="00156803">
        <w:t>e</w:t>
      </w:r>
      <w:r w:rsidRPr="00F53504">
        <w:t xml:space="preserve">mployment </w:t>
      </w:r>
      <w:r w:rsidR="00156803">
        <w:t>s</w:t>
      </w:r>
      <w:r w:rsidRPr="00F53504">
        <w:t xml:space="preserve">ervices </w:t>
      </w:r>
      <w:r w:rsidR="00156803">
        <w:t>p</w:t>
      </w:r>
      <w:r w:rsidRPr="00F53504">
        <w:t xml:space="preserve">roviders </w:t>
      </w:r>
    </w:p>
    <w:p w14:paraId="1EBE5871" w14:textId="719AE64E" w:rsidR="00FF2E1D" w:rsidRPr="00F53504" w:rsidRDefault="00546DE2" w:rsidP="00546DE2">
      <w:r w:rsidRPr="00F53504">
        <w:t xml:space="preserve">Employment </w:t>
      </w:r>
      <w:r w:rsidR="00156803">
        <w:t>s</w:t>
      </w:r>
      <w:r w:rsidRPr="00F53504">
        <w:t xml:space="preserve">ervices </w:t>
      </w:r>
      <w:r w:rsidR="00156803">
        <w:t>p</w:t>
      </w:r>
      <w:r w:rsidRPr="00F53504">
        <w:t>roviders</w:t>
      </w:r>
      <w:r w:rsidR="00156803">
        <w:t xml:space="preserve"> </w:t>
      </w:r>
      <w:proofErr w:type="gramStart"/>
      <w:r w:rsidR="00156803">
        <w:t>are surveyed</w:t>
      </w:r>
      <w:proofErr w:type="gramEnd"/>
      <w:r w:rsidR="00156803">
        <w:t xml:space="preserve"> regularly and all provider site managers are expected to complete the survey.</w:t>
      </w:r>
      <w:r w:rsidRPr="00F53504">
        <w:t xml:space="preserve"> </w:t>
      </w:r>
      <w:r w:rsidR="00156803">
        <w:t>The surveys</w:t>
      </w:r>
      <w:r w:rsidR="000E651A" w:rsidRPr="00F53504">
        <w:t xml:space="preserve"> </w:t>
      </w:r>
      <w:r w:rsidR="0024379D" w:rsidRPr="00F53504">
        <w:t>gather</w:t>
      </w:r>
      <w:r w:rsidR="000E651A" w:rsidRPr="00F53504">
        <w:t xml:space="preserve"> the views of provider</w:t>
      </w:r>
      <w:r w:rsidR="003D263F">
        <w:t xml:space="preserve"> </w:t>
      </w:r>
      <w:r w:rsidR="000E651A" w:rsidRPr="00F53504">
        <w:t>s</w:t>
      </w:r>
      <w:r w:rsidR="003D263F">
        <w:t>taff</w:t>
      </w:r>
      <w:r w:rsidR="000E651A" w:rsidRPr="00F53504">
        <w:t xml:space="preserve"> </w:t>
      </w:r>
      <w:r w:rsidR="0024379D" w:rsidRPr="00F53504">
        <w:t xml:space="preserve">on </w:t>
      </w:r>
      <w:r w:rsidR="000E651A" w:rsidRPr="00F53504">
        <w:t xml:space="preserve">service delivery approaches and </w:t>
      </w:r>
      <w:r w:rsidR="001B2C27" w:rsidRPr="00F53504">
        <w:t>provider</w:t>
      </w:r>
      <w:r w:rsidR="0024379D" w:rsidRPr="00F53504">
        <w:t xml:space="preserve"> </w:t>
      </w:r>
      <w:r w:rsidR="000E651A" w:rsidRPr="00F53504">
        <w:t>relationships with the Department.</w:t>
      </w:r>
      <w:r w:rsidR="00FF2E1D" w:rsidRPr="00F53504">
        <w:t xml:space="preserve"> For this evaluation</w:t>
      </w:r>
      <w:r w:rsidR="0024379D" w:rsidRPr="00F53504">
        <w:t>,</w:t>
      </w:r>
      <w:r w:rsidR="00FF2E1D" w:rsidRPr="00F53504">
        <w:t xml:space="preserve"> information </w:t>
      </w:r>
      <w:proofErr w:type="gramStart"/>
      <w:r w:rsidR="00472EDD" w:rsidRPr="00F53504">
        <w:t>was used</w:t>
      </w:r>
      <w:proofErr w:type="gramEnd"/>
      <w:r w:rsidR="00472EDD" w:rsidRPr="00F53504">
        <w:t xml:space="preserve"> </w:t>
      </w:r>
      <w:r w:rsidR="00FF2E1D" w:rsidRPr="00F53504">
        <w:t xml:space="preserve">from </w:t>
      </w:r>
      <w:r w:rsidR="00156803">
        <w:t>surveys</w:t>
      </w:r>
      <w:r w:rsidR="00FF2E1D" w:rsidRPr="00F53504">
        <w:t xml:space="preserve"> </w:t>
      </w:r>
      <w:r w:rsidR="00156803">
        <w:t>conducted in 2015 and 2016</w:t>
      </w:r>
      <w:r w:rsidR="00FF2E1D" w:rsidRPr="00F53504">
        <w:t>.</w:t>
      </w:r>
      <w:r w:rsidR="00156803">
        <w:t xml:space="preserve"> For further details on the </w:t>
      </w:r>
      <w:proofErr w:type="gramStart"/>
      <w:r w:rsidR="00156803">
        <w:t>surveys</w:t>
      </w:r>
      <w:proofErr w:type="gramEnd"/>
      <w:r w:rsidR="00156803">
        <w:t xml:space="preserve"> see Appendix B.</w:t>
      </w:r>
    </w:p>
    <w:p w14:paraId="36959B50" w14:textId="63C18C97" w:rsidR="00F47FCE" w:rsidRPr="00F53504" w:rsidRDefault="00156803" w:rsidP="00F47FCE">
      <w:pPr>
        <w:pStyle w:val="Heading3"/>
      </w:pPr>
      <w:r>
        <w:t>2016 j</w:t>
      </w:r>
      <w:r w:rsidR="00F47FCE" w:rsidRPr="00F53504">
        <w:t xml:space="preserve">ob </w:t>
      </w:r>
      <w:r>
        <w:t>s</w:t>
      </w:r>
      <w:r w:rsidR="00F47FCE" w:rsidRPr="00F53504">
        <w:t xml:space="preserve">eeker </w:t>
      </w:r>
      <w:r>
        <w:t>s</w:t>
      </w:r>
      <w:r w:rsidR="00F47FCE" w:rsidRPr="00F53504">
        <w:t xml:space="preserve">urvey </w:t>
      </w:r>
    </w:p>
    <w:p w14:paraId="12FC4D57" w14:textId="24AEC38B" w:rsidR="008C7B25" w:rsidRPr="00F53504" w:rsidRDefault="00244B85" w:rsidP="00BD758A">
      <w:r>
        <w:t>A</w:t>
      </w:r>
      <w:r w:rsidR="00546DE2" w:rsidRPr="00F53504">
        <w:t xml:space="preserve"> </w:t>
      </w:r>
      <w:r>
        <w:t>j</w:t>
      </w:r>
      <w:r w:rsidR="00546DE2" w:rsidRPr="00F53504">
        <w:t xml:space="preserve">ob </w:t>
      </w:r>
      <w:r>
        <w:t>s</w:t>
      </w:r>
      <w:r w:rsidR="00546DE2" w:rsidRPr="00F53504">
        <w:t xml:space="preserve">eeker </w:t>
      </w:r>
      <w:r w:rsidR="00BD0737" w:rsidRPr="00F53504">
        <w:t>s</w:t>
      </w:r>
      <w:r w:rsidR="00546DE2" w:rsidRPr="00F53504">
        <w:t>urvey</w:t>
      </w:r>
      <w:r>
        <w:t xml:space="preserve"> conducted in </w:t>
      </w:r>
      <w:proofErr w:type="gramStart"/>
      <w:r>
        <w:t>2016</w:t>
      </w:r>
      <w:r w:rsidR="00927D59">
        <w:t xml:space="preserve"> collected</w:t>
      </w:r>
      <w:proofErr w:type="gramEnd"/>
      <w:r w:rsidR="00927D59">
        <w:t xml:space="preserve"> specific information on RATTUAJ</w:t>
      </w:r>
      <w:r w:rsidR="00156803">
        <w:t xml:space="preserve">. For further </w:t>
      </w:r>
      <w:r w:rsidR="00305C64">
        <w:t>details,</w:t>
      </w:r>
      <w:r w:rsidR="00156803">
        <w:t xml:space="preserve"> see Appendix B.</w:t>
      </w:r>
    </w:p>
    <w:p w14:paraId="664F0AF4" w14:textId="2DC9C47E" w:rsidR="00C85245" w:rsidRDefault="00C85245" w:rsidP="00EA5EA4">
      <w:pPr>
        <w:pStyle w:val="Heading1"/>
      </w:pPr>
      <w:bookmarkStart w:id="19" w:name="_Toc484182240"/>
      <w:bookmarkStart w:id="20" w:name="_Toc484182956"/>
      <w:bookmarkStart w:id="21" w:name="_Toc484421872"/>
      <w:bookmarkStart w:id="22" w:name="_Toc512529315"/>
      <w:bookmarkEnd w:id="19"/>
      <w:bookmarkEnd w:id="20"/>
      <w:bookmarkEnd w:id="21"/>
      <w:r w:rsidRPr="00F53504">
        <w:lastRenderedPageBreak/>
        <w:t>Participant population</w:t>
      </w:r>
      <w:bookmarkEnd w:id="22"/>
    </w:p>
    <w:p w14:paraId="01641BC5" w14:textId="720705FB" w:rsidR="00EE15B7" w:rsidRPr="00F53504" w:rsidRDefault="00EE15B7" w:rsidP="00EE15B7">
      <w:pPr>
        <w:pStyle w:val="Heading2"/>
      </w:pPr>
      <w:bookmarkStart w:id="23" w:name="_Ref483917151"/>
      <w:bookmarkStart w:id="24" w:name="_Toc512529316"/>
      <w:r w:rsidRPr="00F53504">
        <w:t>Job seeker pathways through the RATTUAJ program</w:t>
      </w:r>
      <w:bookmarkEnd w:id="23"/>
      <w:r w:rsidR="002D0E6E">
        <w:t>me</w:t>
      </w:r>
      <w:bookmarkEnd w:id="24"/>
    </w:p>
    <w:p w14:paraId="788A01F8" w14:textId="0E6D81BE" w:rsidR="00EE15B7" w:rsidRDefault="000E6436" w:rsidP="00EE15B7">
      <w:r>
        <w:t>Between 1 July 2014 and</w:t>
      </w:r>
      <w:r w:rsidRPr="00F53504">
        <w:t xml:space="preserve"> 31 December </w:t>
      </w:r>
      <w:proofErr w:type="gramStart"/>
      <w:r w:rsidRPr="00F53504">
        <w:t>2015</w:t>
      </w:r>
      <w:proofErr w:type="gramEnd"/>
      <w:r w:rsidRPr="00F53504">
        <w:t xml:space="preserve"> </w:t>
      </w:r>
      <w:r w:rsidR="00495D61">
        <w:t xml:space="preserve">a total of </w:t>
      </w:r>
      <w:r w:rsidRPr="00F53504">
        <w:t>9</w:t>
      </w:r>
      <w:r w:rsidR="0059109C">
        <w:t>15</w:t>
      </w:r>
      <w:r w:rsidRPr="00F53504">
        <w:t xml:space="preserve"> job seekers had a Relocation Agreement initiated on their behalf (</w:t>
      </w:r>
      <w:r w:rsidRPr="00F53504">
        <w:fldChar w:fldCharType="begin"/>
      </w:r>
      <w:r w:rsidRPr="00F53504">
        <w:instrText xml:space="preserve"> REF _Ref484421290 \h </w:instrText>
      </w:r>
      <w:r w:rsidRPr="00F53504">
        <w:fldChar w:fldCharType="separate"/>
      </w:r>
      <w:r w:rsidR="00AA36FE" w:rsidRPr="00F53504">
        <w:t xml:space="preserve">Figure </w:t>
      </w:r>
      <w:r w:rsidR="00AA36FE">
        <w:rPr>
          <w:noProof/>
        </w:rPr>
        <w:t>2</w:t>
      </w:r>
      <w:r w:rsidR="00AA36FE">
        <w:t>.</w:t>
      </w:r>
      <w:r w:rsidR="00AA36FE">
        <w:rPr>
          <w:noProof/>
        </w:rPr>
        <w:t>1</w:t>
      </w:r>
      <w:r w:rsidRPr="00F53504">
        <w:fldChar w:fldCharType="end"/>
      </w:r>
      <w:r w:rsidRPr="00F53504">
        <w:t>)</w:t>
      </w:r>
      <w:r>
        <w:t xml:space="preserve">. </w:t>
      </w:r>
      <w:r w:rsidR="00B11C6B">
        <w:t>Over t</w:t>
      </w:r>
      <w:r w:rsidRPr="00F53504">
        <w:t>wo-thirds of these job seekers had their agreements approved.</w:t>
      </w:r>
      <w:r w:rsidR="00D04EA4">
        <w:t xml:space="preserve"> </w:t>
      </w:r>
      <w:r w:rsidR="00DF2A6B">
        <w:t>O</w:t>
      </w:r>
      <w:r>
        <w:t xml:space="preserve">n any given day during that period, </w:t>
      </w:r>
      <w:r w:rsidR="00B23355" w:rsidRPr="00F53504">
        <w:t xml:space="preserve">around </w:t>
      </w:r>
      <w:r w:rsidR="00717475" w:rsidRPr="00F53504">
        <w:t xml:space="preserve">450,000 job seekers </w:t>
      </w:r>
      <w:r>
        <w:t xml:space="preserve">were </w:t>
      </w:r>
      <w:r w:rsidR="00717475" w:rsidRPr="00F53504">
        <w:t xml:space="preserve">eligible for RATTUAJ </w:t>
      </w:r>
      <w:r w:rsidR="00AC13EB" w:rsidRPr="00F53504">
        <w:t xml:space="preserve">(see </w:t>
      </w:r>
      <w:r w:rsidR="00AC13EB" w:rsidRPr="00F53504">
        <w:fldChar w:fldCharType="begin"/>
      </w:r>
      <w:r w:rsidR="00AC13EB" w:rsidRPr="00F53504">
        <w:instrText xml:space="preserve"> REF _Ref497483559 \h </w:instrText>
      </w:r>
      <w:r w:rsidR="00AC13EB" w:rsidRPr="00F53504">
        <w:fldChar w:fldCharType="separate"/>
      </w:r>
      <w:r w:rsidR="00AA36FE" w:rsidRPr="00F53504">
        <w:t xml:space="preserve">Table </w:t>
      </w:r>
      <w:r w:rsidR="00AA36FE">
        <w:rPr>
          <w:noProof/>
        </w:rPr>
        <w:t>2</w:t>
      </w:r>
      <w:r w:rsidR="00AA36FE">
        <w:t>.</w:t>
      </w:r>
      <w:r w:rsidR="00AA36FE">
        <w:rPr>
          <w:noProof/>
        </w:rPr>
        <w:t>1</w:t>
      </w:r>
      <w:r w:rsidR="00AC13EB" w:rsidRPr="00F53504">
        <w:fldChar w:fldCharType="end"/>
      </w:r>
      <w:r w:rsidR="00AC13EB" w:rsidRPr="00F53504">
        <w:t>)</w:t>
      </w:r>
      <w:r>
        <w:t>.</w:t>
      </w:r>
      <w:r w:rsidR="00EE15B7" w:rsidRPr="00F53504">
        <w:t xml:space="preserve"> </w:t>
      </w:r>
    </w:p>
    <w:p w14:paraId="65608500" w14:textId="5125D820" w:rsidR="00DF2A6B" w:rsidRPr="005A443F" w:rsidRDefault="00DF2A6B" w:rsidP="00DF2A6B">
      <w:r>
        <w:t xml:space="preserve">While low, these rates need to </w:t>
      </w:r>
      <w:proofErr w:type="gramStart"/>
      <w:r>
        <w:t>be considered</w:t>
      </w:r>
      <w:proofErr w:type="gramEnd"/>
      <w:r>
        <w:t xml:space="preserve"> in the context of the small fraction of the general population that move each year for primarily employment purposes. The Productivity Commission’s </w:t>
      </w:r>
      <w:r w:rsidRPr="005A443F">
        <w:rPr>
          <w:i/>
        </w:rPr>
        <w:t>Geographic Labour Mobility</w:t>
      </w:r>
      <w:r>
        <w:rPr>
          <w:i/>
        </w:rPr>
        <w:t xml:space="preserve"> </w:t>
      </w:r>
      <w:r w:rsidRPr="005A443F">
        <w:t>Research Report (2014)</w:t>
      </w:r>
      <w:r w:rsidR="00133E15">
        <w:t xml:space="preserve"> reports that about 16 </w:t>
      </w:r>
      <w:r>
        <w:t>per</w:t>
      </w:r>
      <w:r w:rsidR="00133E15">
        <w:t> </w:t>
      </w:r>
      <w:r>
        <w:t xml:space="preserve">cent of the labour force changes residence each year, and of </w:t>
      </w:r>
      <w:proofErr w:type="gramStart"/>
      <w:r>
        <w:t>these</w:t>
      </w:r>
      <w:proofErr w:type="gramEnd"/>
      <w:r>
        <w:t xml:space="preserve"> only a small proportion move primarily for work purposes (10 to 17 per cent of residential moves). The rate of movement of people between regional labour markets is 3.3</w:t>
      </w:r>
      <w:r w:rsidR="00133E15">
        <w:t> </w:t>
      </w:r>
      <w:r>
        <w:t>per</w:t>
      </w:r>
      <w:r w:rsidR="00133E15">
        <w:t> </w:t>
      </w:r>
      <w:r>
        <w:t>cent</w:t>
      </w:r>
      <w:r w:rsidR="00041E1C">
        <w:t xml:space="preserve"> of the labour force per year</w:t>
      </w:r>
      <w:r>
        <w:t>, falling to 1.7</w:t>
      </w:r>
      <w:r w:rsidR="00133E15">
        <w:t> </w:t>
      </w:r>
      <w:r>
        <w:t>per</w:t>
      </w:r>
      <w:r w:rsidR="00133E15">
        <w:t> </w:t>
      </w:r>
      <w:r>
        <w:t>cent for interstate moves.</w:t>
      </w:r>
      <w:r w:rsidR="00067E66">
        <w:rPr>
          <w:rStyle w:val="FootnoteReference"/>
        </w:rPr>
        <w:footnoteReference w:id="11"/>
      </w:r>
    </w:p>
    <w:p w14:paraId="3AA61250" w14:textId="77777777" w:rsidR="00DF2A6B" w:rsidRPr="00F53504" w:rsidRDefault="00DF2A6B" w:rsidP="00EE15B7">
      <w:pPr>
        <w:rPr>
          <w:color w:val="FFFFFF" w:themeColor="background1"/>
          <w:sz w:val="2"/>
          <w:szCs w:val="2"/>
        </w:rPr>
      </w:pPr>
    </w:p>
    <w:p w14:paraId="617A8A25" w14:textId="7F5E95FB" w:rsidR="00EE15B7" w:rsidRPr="00F53504" w:rsidRDefault="00EE15B7" w:rsidP="00EE15B7">
      <w:pPr>
        <w:rPr>
          <w:color w:val="FFFFFF" w:themeColor="background1"/>
          <w:sz w:val="2"/>
          <w:szCs w:val="2"/>
        </w:rPr>
      </w:pPr>
      <w:r w:rsidRPr="00F53504">
        <w:t>Among job seekers with an approved</w:t>
      </w:r>
      <w:r w:rsidR="0079109F">
        <w:t xml:space="preserve"> </w:t>
      </w:r>
      <w:r w:rsidR="0079109F" w:rsidRPr="0079109F">
        <w:t>RATTUAJ</w:t>
      </w:r>
      <w:r w:rsidRPr="0079109F">
        <w:t xml:space="preserve"> </w:t>
      </w:r>
      <w:r w:rsidRPr="00F53504">
        <w:t xml:space="preserve">agreement 96 per cent went on to have a successful relocation with a confirmed employment placement. Of those job seekers with a </w:t>
      </w:r>
      <w:r w:rsidR="00812C6E" w:rsidRPr="00F53504">
        <w:t>confirmed employment placement</w:t>
      </w:r>
      <w:r w:rsidRPr="00F53504">
        <w:t>, 56 per cent were off income support payments three months after the relocation start date. Further analysis of employment and income support outcomes is in Section</w:t>
      </w:r>
      <w:r w:rsidR="00133E15">
        <w:t> </w:t>
      </w:r>
      <w:r w:rsidRPr="00F53504">
        <w:fldChar w:fldCharType="begin"/>
      </w:r>
      <w:r w:rsidRPr="00F53504">
        <w:instrText xml:space="preserve"> REF _Ref455410633 \r \h  \* MERGEFORMAT </w:instrText>
      </w:r>
      <w:r w:rsidRPr="00F53504">
        <w:fldChar w:fldCharType="separate"/>
      </w:r>
      <w:r w:rsidR="00AA36FE">
        <w:t>3.2</w:t>
      </w:r>
      <w:r w:rsidRPr="00F53504">
        <w:fldChar w:fldCharType="end"/>
      </w:r>
      <w:r w:rsidRPr="00F53504">
        <w:t xml:space="preserve">. </w:t>
      </w:r>
      <w:r w:rsidRPr="00F53504">
        <w:rPr>
          <w:color w:val="FFFFFF" w:themeColor="background1"/>
          <w:sz w:val="2"/>
          <w:szCs w:val="2"/>
        </w:rPr>
        <w:t>Text box</w:t>
      </w:r>
    </w:p>
    <w:p w14:paraId="351286FB" w14:textId="5C4A539B" w:rsidR="00EE15B7" w:rsidRPr="00F53504" w:rsidRDefault="00EE15B7" w:rsidP="007B5995">
      <w:pPr>
        <w:pStyle w:val="Caption"/>
        <w:keepLines/>
      </w:pPr>
      <w:bookmarkStart w:id="25" w:name="_Ref484421290"/>
      <w:r w:rsidRPr="00F53504">
        <w:lastRenderedPageBreak/>
        <w:t xml:space="preserve">Figure </w:t>
      </w:r>
      <w:r w:rsidR="00AA36FE">
        <w:rPr>
          <w:noProof/>
        </w:rPr>
        <w:fldChar w:fldCharType="begin"/>
      </w:r>
      <w:r w:rsidR="00AA36FE">
        <w:rPr>
          <w:noProof/>
        </w:rPr>
        <w:instrText xml:space="preserve"> STYLEREF 1 \s </w:instrText>
      </w:r>
      <w:r w:rsidR="00AA36FE">
        <w:rPr>
          <w:noProof/>
        </w:rPr>
        <w:fldChar w:fldCharType="separate"/>
      </w:r>
      <w:r w:rsidR="00AA36FE">
        <w:rPr>
          <w:noProof/>
        </w:rPr>
        <w:t>2</w:t>
      </w:r>
      <w:r w:rsidR="00AA36FE">
        <w:rPr>
          <w:noProof/>
        </w:rPr>
        <w:fldChar w:fldCharType="end"/>
      </w:r>
      <w:r w:rsidR="00B31485">
        <w:t>.</w:t>
      </w:r>
      <w:r w:rsidR="00AA36FE">
        <w:rPr>
          <w:noProof/>
        </w:rPr>
        <w:fldChar w:fldCharType="begin"/>
      </w:r>
      <w:r w:rsidR="00AA36FE">
        <w:rPr>
          <w:noProof/>
        </w:rPr>
        <w:instrText xml:space="preserve"> SEQ Figure \* ARABIC \s 1 </w:instrText>
      </w:r>
      <w:r w:rsidR="00AA36FE">
        <w:rPr>
          <w:noProof/>
        </w:rPr>
        <w:fldChar w:fldCharType="separate"/>
      </w:r>
      <w:r w:rsidR="00AA36FE">
        <w:rPr>
          <w:noProof/>
        </w:rPr>
        <w:t>1</w:t>
      </w:r>
      <w:r w:rsidR="00AA36FE">
        <w:rPr>
          <w:noProof/>
        </w:rPr>
        <w:fldChar w:fldCharType="end"/>
      </w:r>
      <w:bookmarkEnd w:id="25"/>
      <w:r w:rsidRPr="00F53504">
        <w:t xml:space="preserve">: Flowchart of job seekers with Relocation Agreements </w:t>
      </w:r>
      <w:r w:rsidR="007214E6" w:rsidRPr="00F53504">
        <w:t xml:space="preserve">with start dates between 1 July 2014 and 31 December 2015 </w:t>
      </w:r>
      <w:r w:rsidRPr="00F53504">
        <w:t xml:space="preserve">as at 31 March 2016, </w:t>
      </w:r>
      <w:r w:rsidR="007214E6" w:rsidRPr="00F53504">
        <w:t>(</w:t>
      </w:r>
      <w:r w:rsidRPr="00F53504">
        <w:t>JSA and jobactive</w:t>
      </w:r>
      <w:r w:rsidR="007214E6" w:rsidRPr="00F53504">
        <w:t>)</w:t>
      </w:r>
    </w:p>
    <w:p w14:paraId="22D12759" w14:textId="0923328F" w:rsidR="00EE15B7" w:rsidRPr="00F53504" w:rsidRDefault="007F5503" w:rsidP="006B1344">
      <w:pPr>
        <w:keepNext/>
        <w:keepLines/>
        <w:autoSpaceDE w:val="0"/>
        <w:autoSpaceDN w:val="0"/>
        <w:adjustRightInd w:val="0"/>
        <w:spacing w:before="240" w:after="0" w:line="120" w:lineRule="auto"/>
        <w:rPr>
          <w:color w:val="FFFFFF" w:themeColor="background1"/>
          <w:sz w:val="2"/>
          <w:szCs w:val="2"/>
        </w:rPr>
      </w:pPr>
      <w:r>
        <w:rPr>
          <w:noProof/>
          <w:lang w:eastAsia="en-AU"/>
        </w:rPr>
        <w:drawing>
          <wp:inline distT="0" distB="0" distL="0" distR="0" wp14:anchorId="323FEBD6" wp14:editId="59F0BB7D">
            <wp:extent cx="5731510" cy="3426967"/>
            <wp:effectExtent l="0" t="0" r="0" b="2540"/>
            <wp:docPr id="7" name="Picture 7" descr="Picture is a flow chart. The flow chart outline is as follows:&#10;1. Job seekers with draft agreements 915&#10;1.1. Job seekers with Approved agreements 648 (71%)&#10;1.1.1 Relocated and job placement 620  (96%)&#10;1.1.1.1 Off income support 348 (56%)&#10;1.1.1.2. On income support 272 (44%)&#10;1.1.2. Not relocated or No job placement(a) 28 (4%)&#10;1.1.2.1. Off income support 7 (25%)&#10; 1.1.2.2. On income support 21 (75%)&#10;1.2. Job seekers withdrawn 267 (29%)&#10;1.2.1. Job placement 162 (61%)&#10;1.2.1.1. Off income support 92 (57%)&#10;1.2.1.2. On income support 70 (43%)&#10;1.2.2. No job placement 105 (39%)&#10;1.2.2.1. Off income support 30 (29%)&#10;1.2.2.2. On income support 75 (71%)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26967"/>
                    </a:xfrm>
                    <a:prstGeom prst="rect">
                      <a:avLst/>
                    </a:prstGeom>
                    <a:noFill/>
                  </pic:spPr>
                </pic:pic>
              </a:graphicData>
            </a:graphic>
          </wp:inline>
        </w:drawing>
      </w:r>
      <w:r w:rsidR="0041378D" w:rsidRPr="00F53504">
        <w:rPr>
          <w:color w:val="FFFFFF" w:themeColor="background1"/>
          <w:sz w:val="2"/>
          <w:szCs w:val="2"/>
        </w:rPr>
        <w:t xml:space="preserve"> </w:t>
      </w:r>
    </w:p>
    <w:p w14:paraId="4CDF44D8" w14:textId="77777777" w:rsidR="00EE15B7" w:rsidRPr="00F53504" w:rsidRDefault="00EE15B7" w:rsidP="007B5995">
      <w:pPr>
        <w:pStyle w:val="Source"/>
        <w:keepNext/>
        <w:keepLines/>
      </w:pPr>
      <w:r w:rsidRPr="00F53504">
        <w:t xml:space="preserve">(a) Not Relocated or No Job Placement grouped </w:t>
      </w:r>
      <w:r w:rsidR="00ED4E22" w:rsidRPr="00F53504">
        <w:t>a</w:t>
      </w:r>
      <w:r w:rsidRPr="00F53504">
        <w:t xml:space="preserve">s </w:t>
      </w:r>
      <w:r w:rsidR="00ED4E22" w:rsidRPr="00F53504">
        <w:t xml:space="preserve">EBIW data does not capture why </w:t>
      </w:r>
      <w:r w:rsidRPr="00F53504">
        <w:t xml:space="preserve">approved agreement </w:t>
      </w:r>
      <w:r w:rsidR="00ED4E22" w:rsidRPr="00F53504">
        <w:t xml:space="preserve">did not become </w:t>
      </w:r>
      <w:r w:rsidRPr="00F53504">
        <w:t xml:space="preserve">a job placement. </w:t>
      </w:r>
    </w:p>
    <w:p w14:paraId="2C60DF32" w14:textId="68485E8B" w:rsidR="00EE15B7" w:rsidRPr="00F53504" w:rsidRDefault="00133E15" w:rsidP="007B5995">
      <w:pPr>
        <w:pStyle w:val="Source"/>
        <w:keepNext/>
        <w:keepLines/>
      </w:pPr>
      <w:r w:rsidRPr="00AF6EA6">
        <w:rPr>
          <w:b/>
        </w:rPr>
        <w:t>Notes</w:t>
      </w:r>
      <w:r>
        <w:t>:</w:t>
      </w:r>
    </w:p>
    <w:p w14:paraId="1B5F5B01" w14:textId="77777777" w:rsidR="00EE15B7" w:rsidRPr="00F53504" w:rsidRDefault="00EE15B7" w:rsidP="007B5995">
      <w:pPr>
        <w:pStyle w:val="Source"/>
        <w:keepNext/>
        <w:keepLines/>
        <w:numPr>
          <w:ilvl w:val="0"/>
          <w:numId w:val="10"/>
        </w:numPr>
      </w:pPr>
      <w:r w:rsidRPr="00F53504">
        <w:t xml:space="preserve">Withdrawn job seekers </w:t>
      </w:r>
      <w:r w:rsidR="00ED4E22" w:rsidRPr="00F53504">
        <w:t xml:space="preserve">did not have an </w:t>
      </w:r>
      <w:r w:rsidRPr="00F53504">
        <w:t>agreement approved during analysis</w:t>
      </w:r>
      <w:r w:rsidR="00ED4E22" w:rsidRPr="00F53504">
        <w:t xml:space="preserve"> period, but </w:t>
      </w:r>
      <w:r w:rsidRPr="00F53504">
        <w:t xml:space="preserve">may </w:t>
      </w:r>
      <w:r w:rsidR="00123CDB" w:rsidRPr="00F53504">
        <w:t xml:space="preserve">have </w:t>
      </w:r>
      <w:r w:rsidRPr="00F53504">
        <w:t>b</w:t>
      </w:r>
      <w:r w:rsidR="00123CDB" w:rsidRPr="00F53504">
        <w:t>e</w:t>
      </w:r>
      <w:r w:rsidRPr="00F53504">
        <w:t>e</w:t>
      </w:r>
      <w:r w:rsidR="00123CDB" w:rsidRPr="00F53504">
        <w:t>n</w:t>
      </w:r>
      <w:r w:rsidRPr="00F53504">
        <w:t xml:space="preserve"> approved later.</w:t>
      </w:r>
    </w:p>
    <w:p w14:paraId="34330709" w14:textId="77777777" w:rsidR="00EE15B7" w:rsidRPr="00F53504" w:rsidRDefault="00123CDB" w:rsidP="007B5995">
      <w:pPr>
        <w:pStyle w:val="Source"/>
        <w:keepNext/>
        <w:keepLines/>
        <w:numPr>
          <w:ilvl w:val="0"/>
          <w:numId w:val="10"/>
        </w:numPr>
      </w:pPr>
      <w:r w:rsidRPr="00F53504">
        <w:t>The</w:t>
      </w:r>
      <w:r w:rsidR="00EE15B7" w:rsidRPr="00F53504">
        <w:t xml:space="preserve"> </w:t>
      </w:r>
      <w:r w:rsidR="00B20D52" w:rsidRPr="00F53504">
        <w:t>‘</w:t>
      </w:r>
      <w:r w:rsidR="00EE15B7" w:rsidRPr="00F53504">
        <w:t>job seekers with approved agreements</w:t>
      </w:r>
      <w:r w:rsidR="00B20D52" w:rsidRPr="00F53504">
        <w:t>’</w:t>
      </w:r>
      <w:r w:rsidR="00EE15B7" w:rsidRPr="00F53504">
        <w:t xml:space="preserve"> box </w:t>
      </w:r>
      <w:r w:rsidRPr="00F53504">
        <w:t xml:space="preserve">is </w:t>
      </w:r>
      <w:r w:rsidR="00EE15B7" w:rsidRPr="00F53504">
        <w:t>placements in the specific vacancy recorded in the relocation agreement.</w:t>
      </w:r>
    </w:p>
    <w:p w14:paraId="24A1BDA9" w14:textId="77777777" w:rsidR="00EE15B7" w:rsidRPr="00F53504" w:rsidRDefault="00EE15B7" w:rsidP="007B5995">
      <w:pPr>
        <w:pStyle w:val="Source"/>
        <w:keepNext/>
        <w:keepLines/>
        <w:numPr>
          <w:ilvl w:val="0"/>
          <w:numId w:val="10"/>
        </w:numPr>
      </w:pPr>
      <w:r w:rsidRPr="00F53504">
        <w:t>Job placements under the job seekers withdrawn box occurred in the period between 7 days before and 30 days after the start date of a relocation agreement.</w:t>
      </w:r>
    </w:p>
    <w:p w14:paraId="6BF5CA9E" w14:textId="77777777" w:rsidR="00EE15B7" w:rsidRPr="00F53504" w:rsidRDefault="00EE15B7" w:rsidP="007B5995">
      <w:pPr>
        <w:pStyle w:val="Source"/>
        <w:keepNext/>
        <w:keepLines/>
        <w:numPr>
          <w:ilvl w:val="0"/>
          <w:numId w:val="10"/>
        </w:numPr>
      </w:pPr>
      <w:r w:rsidRPr="00F53504">
        <w:t xml:space="preserve">Income support status </w:t>
      </w:r>
      <w:proofErr w:type="gramStart"/>
      <w:r w:rsidRPr="00F53504">
        <w:t>was calculated</w:t>
      </w:r>
      <w:proofErr w:type="gramEnd"/>
      <w:r w:rsidRPr="00F53504">
        <w:t xml:space="preserve"> at roughly 3 months (91 days) after the relocation start date.</w:t>
      </w:r>
    </w:p>
    <w:p w14:paraId="4F6B0183" w14:textId="77777777" w:rsidR="00EE15B7" w:rsidRPr="00F53504" w:rsidRDefault="00EE15B7" w:rsidP="00EE15B7">
      <w:pPr>
        <w:pStyle w:val="Source"/>
      </w:pPr>
      <w:r w:rsidRPr="00F53504">
        <w:rPr>
          <w:b/>
        </w:rPr>
        <w:t>Source:</w:t>
      </w:r>
      <w:r w:rsidRPr="00F53504">
        <w:t xml:space="preserve"> EBIW data </w:t>
      </w:r>
    </w:p>
    <w:p w14:paraId="659B9B36" w14:textId="78FEE7B3" w:rsidR="00105ECF" w:rsidRDefault="00B23355" w:rsidP="00123CDB">
      <w:r w:rsidRPr="00F53504">
        <w:t>There were a total of 407 job seekers under JSA who had an approved Relocation Agreement and 241 under jobactive. Allowing for the difference in duration of the reference periods, take up into the program was slightly higher under jobactive compared to JSA at a rate of 9.3 job seekers per week compared to 7.8 job seekers per week under JSA.</w:t>
      </w:r>
    </w:p>
    <w:p w14:paraId="660BB696" w14:textId="77777777" w:rsidR="00105ECF" w:rsidRDefault="00105ECF">
      <w:pPr>
        <w:spacing w:before="0" w:after="200"/>
      </w:pPr>
      <w:r>
        <w:br w:type="page"/>
      </w:r>
    </w:p>
    <w:p w14:paraId="1D9E5D62" w14:textId="49D600DE" w:rsidR="008C2E83" w:rsidRPr="00F53504" w:rsidRDefault="008C2E83" w:rsidP="008C2E83">
      <w:pPr>
        <w:pStyle w:val="Heading2"/>
      </w:pPr>
      <w:bookmarkStart w:id="26" w:name="_Toc484182244"/>
      <w:bookmarkStart w:id="27" w:name="_Toc484182960"/>
      <w:bookmarkStart w:id="28" w:name="_Toc484182248"/>
      <w:bookmarkStart w:id="29" w:name="_Toc484182964"/>
      <w:bookmarkStart w:id="30" w:name="_Toc512529317"/>
      <w:bookmarkEnd w:id="26"/>
      <w:bookmarkEnd w:id="27"/>
      <w:bookmarkEnd w:id="28"/>
      <w:bookmarkEnd w:id="29"/>
      <w:r w:rsidRPr="00F53504">
        <w:lastRenderedPageBreak/>
        <w:t>Job seeker characteristics</w:t>
      </w:r>
      <w:bookmarkEnd w:id="30"/>
      <w:r w:rsidRPr="00F53504">
        <w:t xml:space="preserve"> </w:t>
      </w:r>
    </w:p>
    <w:p w14:paraId="5F712841" w14:textId="3B6D0D55" w:rsidR="008C2E83" w:rsidRPr="00F53504" w:rsidRDefault="00ED4E22" w:rsidP="00347911">
      <w:pPr>
        <w:rPr>
          <w:rFonts w:cstheme="minorHAnsi"/>
        </w:rPr>
      </w:pPr>
      <w:r w:rsidRPr="00F53504">
        <w:rPr>
          <w:rFonts w:cstheme="minorHAnsi"/>
        </w:rPr>
        <w:t xml:space="preserve">The </w:t>
      </w:r>
      <w:r w:rsidR="008C2E83" w:rsidRPr="00F53504">
        <w:rPr>
          <w:rFonts w:cstheme="minorHAnsi"/>
        </w:rPr>
        <w:t xml:space="preserve">participants </w:t>
      </w:r>
      <w:r w:rsidR="00202B94" w:rsidRPr="00F53504">
        <w:rPr>
          <w:rFonts w:cstheme="minorHAnsi"/>
        </w:rPr>
        <w:t xml:space="preserve">who accessed </w:t>
      </w:r>
      <w:r w:rsidR="0041378D" w:rsidRPr="00F53504">
        <w:rPr>
          <w:rFonts w:cstheme="minorHAnsi"/>
        </w:rPr>
        <w:t>RATTUAJ</w:t>
      </w:r>
      <w:r w:rsidR="008C2E83" w:rsidRPr="00F53504">
        <w:rPr>
          <w:rFonts w:cstheme="minorHAnsi"/>
        </w:rPr>
        <w:t xml:space="preserve"> were</w:t>
      </w:r>
      <w:r w:rsidR="00B23355" w:rsidRPr="00F53504">
        <w:rPr>
          <w:rFonts w:cstheme="minorHAnsi"/>
        </w:rPr>
        <w:t xml:space="preserve"> more likely than those in the </w:t>
      </w:r>
      <w:r w:rsidRPr="00F53504">
        <w:rPr>
          <w:rFonts w:cstheme="minorHAnsi"/>
        </w:rPr>
        <w:t>eligible caseload to be men,</w:t>
      </w:r>
      <w:r w:rsidR="00F74E3B">
        <w:rPr>
          <w:rFonts w:cstheme="minorHAnsi"/>
        </w:rPr>
        <w:t xml:space="preserve"> Aboriginal or Torres Strait Islander </w:t>
      </w:r>
      <w:r w:rsidRPr="00F53504">
        <w:rPr>
          <w:rFonts w:cstheme="minorHAnsi"/>
        </w:rPr>
        <w:t>and more educated. They were less likely to have a disability and less likely to be very long term unemployed. Only 17.1 per cent had depend</w:t>
      </w:r>
      <w:r w:rsidR="00455A0A">
        <w:rPr>
          <w:rFonts w:cstheme="minorHAnsi"/>
        </w:rPr>
        <w:t>a</w:t>
      </w:r>
      <w:r w:rsidRPr="00F53504">
        <w:rPr>
          <w:rFonts w:cstheme="minorHAnsi"/>
        </w:rPr>
        <w:t>nts. They were more likely</w:t>
      </w:r>
      <w:r w:rsidR="005A1D9E">
        <w:rPr>
          <w:rFonts w:cstheme="minorHAnsi"/>
        </w:rPr>
        <w:t xml:space="preserve"> to</w:t>
      </w:r>
      <w:r w:rsidRPr="00F53504">
        <w:rPr>
          <w:rFonts w:cstheme="minorHAnsi"/>
        </w:rPr>
        <w:t xml:space="preserve"> go to a regional area (71.3 per cent) than a capital city (28.7 per cent</w:t>
      </w:r>
      <w:r w:rsidR="003306FD" w:rsidRPr="00F53504">
        <w:rPr>
          <w:rFonts w:cstheme="minorHAnsi"/>
        </w:rPr>
        <w:t>)</w:t>
      </w:r>
      <w:r w:rsidRPr="00F53504">
        <w:rPr>
          <w:rFonts w:cstheme="minorHAnsi"/>
        </w:rPr>
        <w:t>.</w:t>
      </w:r>
      <w:r w:rsidR="00BB5C7A" w:rsidRPr="00F53504">
        <w:rPr>
          <w:rStyle w:val="FootnoteReference"/>
          <w:rFonts w:cstheme="minorHAnsi"/>
        </w:rPr>
        <w:footnoteReference w:id="12"/>
      </w:r>
    </w:p>
    <w:p w14:paraId="13223389" w14:textId="040A5873" w:rsidR="00FF6BC5" w:rsidRDefault="00404594" w:rsidP="00DB1F15">
      <w:pPr>
        <w:rPr>
          <w:rFonts w:cstheme="minorHAnsi"/>
          <w:b/>
          <w:bCs/>
        </w:rPr>
      </w:pPr>
      <w:r w:rsidRPr="00F53504">
        <w:rPr>
          <w:rFonts w:cstheme="minorHAnsi"/>
        </w:rPr>
        <w:t xml:space="preserve">RATTUAJ participants were more likely to be male, however the proportion of participants aged 25 years or younger mirrored the caseload closely, particularly under JSA. Job seeker characteristics </w:t>
      </w:r>
      <w:proofErr w:type="gramStart"/>
      <w:r w:rsidRPr="00F53504">
        <w:rPr>
          <w:rFonts w:cstheme="minorHAnsi"/>
        </w:rPr>
        <w:t>are provided</w:t>
      </w:r>
      <w:proofErr w:type="gramEnd"/>
      <w:r w:rsidRPr="00F53504">
        <w:rPr>
          <w:rFonts w:cstheme="minorHAnsi"/>
        </w:rPr>
        <w:t xml:space="preserve"> in Table 2.1.</w:t>
      </w:r>
    </w:p>
    <w:p w14:paraId="3A1ABDA6" w14:textId="5D42014B" w:rsidR="001E6C1E" w:rsidRPr="00F53504" w:rsidRDefault="001E6C1E" w:rsidP="00145370">
      <w:pPr>
        <w:pStyle w:val="Caption"/>
        <w:keepLines/>
      </w:pPr>
      <w:bookmarkStart w:id="31" w:name="_Ref497483559"/>
      <w:bookmarkStart w:id="32" w:name="_Ref483909012"/>
      <w:r w:rsidRPr="00F53504">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2</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1</w:t>
      </w:r>
      <w:r w:rsidR="00AA36FE">
        <w:rPr>
          <w:noProof/>
        </w:rPr>
        <w:fldChar w:fldCharType="end"/>
      </w:r>
      <w:bookmarkEnd w:id="31"/>
      <w:r w:rsidRPr="00F53504">
        <w:t xml:space="preserve">: </w:t>
      </w:r>
      <w:r w:rsidR="002167E1" w:rsidRPr="00F53504">
        <w:t xml:space="preserve">Demographics </w:t>
      </w:r>
      <w:r w:rsidRPr="00F53504">
        <w:t>of job seekers</w:t>
      </w:r>
      <w:r w:rsidR="002167E1" w:rsidRPr="00F53504">
        <w:t>,</w:t>
      </w:r>
      <w:r w:rsidRPr="00F53504">
        <w:t xml:space="preserve"> with an approved Relocation Agreement</w:t>
      </w:r>
      <w:r w:rsidR="002167E1" w:rsidRPr="00F53504">
        <w:t>, R</w:t>
      </w:r>
      <w:r w:rsidR="00FD7347" w:rsidRPr="00F53504">
        <w:t>A</w:t>
      </w:r>
      <w:r w:rsidR="002167E1" w:rsidRPr="00F53504">
        <w:t>TTUAJ eligible population (per cent)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3"/>
        <w:gridCol w:w="1522"/>
        <w:gridCol w:w="1728"/>
        <w:gridCol w:w="1552"/>
        <w:gridCol w:w="1551"/>
      </w:tblGrid>
      <w:tr w:rsidR="00822850" w:rsidRPr="00F53504" w14:paraId="496029CC" w14:textId="77777777" w:rsidTr="00C64B44">
        <w:trPr>
          <w:cantSplit/>
          <w:trHeight w:val="340"/>
          <w:tblHeader/>
        </w:trPr>
        <w:tc>
          <w:tcPr>
            <w:tcW w:w="1481" w:type="pct"/>
            <w:shd w:val="clear" w:color="auto" w:fill="1E3D6B"/>
            <w:vAlign w:val="bottom"/>
          </w:tcPr>
          <w:p w14:paraId="2EEA6F35" w14:textId="77777777" w:rsidR="00822850" w:rsidRPr="00F53504" w:rsidRDefault="00822850" w:rsidP="00145370">
            <w:pPr>
              <w:pStyle w:val="Tableheadingleftcolumn"/>
              <w:keepNext/>
              <w:keepLines/>
            </w:pPr>
            <w:r w:rsidRPr="00F53504">
              <w:t>Participation status</w:t>
            </w:r>
          </w:p>
        </w:tc>
        <w:tc>
          <w:tcPr>
            <w:tcW w:w="843" w:type="pct"/>
            <w:shd w:val="clear" w:color="auto" w:fill="1E3D6B"/>
            <w:vAlign w:val="bottom"/>
          </w:tcPr>
          <w:p w14:paraId="42F24E52" w14:textId="1ABCC438" w:rsidR="00822850" w:rsidRPr="00F53504" w:rsidRDefault="002167E1" w:rsidP="00C64B44">
            <w:pPr>
              <w:pStyle w:val="Tableheadingrightcolumn"/>
              <w:keepNext/>
              <w:keepLines/>
              <w:ind w:left="-108"/>
            </w:pPr>
            <w:r w:rsidRPr="00F53504">
              <w:t xml:space="preserve">Per cent </w:t>
            </w:r>
            <w:r w:rsidR="00822850" w:rsidRPr="00F53504">
              <w:t>of participants JSA</w:t>
            </w:r>
            <w:r w:rsidR="00822850" w:rsidRPr="00F53504">
              <w:rPr>
                <w:vertAlign w:val="superscript"/>
              </w:rPr>
              <w:t>(a</w:t>
            </w:r>
            <w:r w:rsidRPr="00F53504">
              <w:rPr>
                <w:vertAlign w:val="superscript"/>
              </w:rPr>
              <w:t>)</w:t>
            </w:r>
          </w:p>
        </w:tc>
        <w:tc>
          <w:tcPr>
            <w:tcW w:w="957" w:type="pct"/>
            <w:tcBorders>
              <w:top w:val="single" w:sz="4" w:space="0" w:color="FFFFFF" w:themeColor="background2"/>
            </w:tcBorders>
            <w:shd w:val="clear" w:color="auto" w:fill="1E3D6B"/>
            <w:vAlign w:val="bottom"/>
          </w:tcPr>
          <w:p w14:paraId="64B3841E" w14:textId="7698752C" w:rsidR="00822850" w:rsidRPr="00F53504" w:rsidRDefault="002167E1" w:rsidP="00C64B44">
            <w:pPr>
              <w:pStyle w:val="Tableheadingrightcolumn"/>
              <w:keepNext/>
              <w:keepLines/>
            </w:pPr>
            <w:r w:rsidRPr="00F53504">
              <w:t xml:space="preserve">Per cent </w:t>
            </w:r>
            <w:r w:rsidR="00822850" w:rsidRPr="00F53504">
              <w:t>of participants jobactive</w:t>
            </w:r>
            <w:r w:rsidR="00822850" w:rsidRPr="00F53504">
              <w:rPr>
                <w:vertAlign w:val="superscript"/>
              </w:rPr>
              <w:t>(a)</w:t>
            </w:r>
          </w:p>
        </w:tc>
        <w:tc>
          <w:tcPr>
            <w:tcW w:w="860" w:type="pct"/>
            <w:tcBorders>
              <w:top w:val="single" w:sz="4" w:space="0" w:color="FFFFFF" w:themeColor="background2"/>
            </w:tcBorders>
            <w:shd w:val="clear" w:color="auto" w:fill="1E3D6B"/>
            <w:vAlign w:val="bottom"/>
          </w:tcPr>
          <w:p w14:paraId="55E0550E" w14:textId="77777777" w:rsidR="00822850" w:rsidRPr="00F53504" w:rsidRDefault="002167E1" w:rsidP="00C64B44">
            <w:pPr>
              <w:pStyle w:val="Tableheadingrightcolumn"/>
              <w:keepNext/>
              <w:keepLines/>
              <w:ind w:left="-96"/>
            </w:pPr>
            <w:r w:rsidRPr="00F53504">
              <w:t>Per cent t</w:t>
            </w:r>
            <w:r w:rsidR="00822850" w:rsidRPr="00F53504">
              <w:t>otal participants</w:t>
            </w:r>
          </w:p>
          <w:p w14:paraId="1A2BD1FB" w14:textId="56EA7415" w:rsidR="00822850" w:rsidRPr="00F53504" w:rsidRDefault="00822850" w:rsidP="00C64B44">
            <w:pPr>
              <w:pStyle w:val="Tableheadingrightcolumn"/>
              <w:keepNext/>
              <w:keepLines/>
              <w:ind w:left="-96"/>
            </w:pPr>
            <w:r w:rsidRPr="00F53504">
              <w:t>(JSA and jobactive)</w:t>
            </w:r>
          </w:p>
        </w:tc>
        <w:tc>
          <w:tcPr>
            <w:tcW w:w="859" w:type="pct"/>
            <w:tcBorders>
              <w:top w:val="single" w:sz="4" w:space="0" w:color="FFFFFF" w:themeColor="background2"/>
            </w:tcBorders>
            <w:shd w:val="clear" w:color="auto" w:fill="1E3D6B"/>
            <w:vAlign w:val="bottom"/>
          </w:tcPr>
          <w:p w14:paraId="1E234022" w14:textId="77777777" w:rsidR="00822850" w:rsidRPr="00F53504" w:rsidRDefault="002167E1" w:rsidP="00C64B44">
            <w:pPr>
              <w:pStyle w:val="Tableheadingrightcolumn"/>
              <w:keepNext/>
              <w:keepLines/>
              <w:ind w:left="-115"/>
            </w:pPr>
            <w:r w:rsidRPr="00F53504">
              <w:t>Per cent of e</w:t>
            </w:r>
            <w:r w:rsidR="00822850" w:rsidRPr="00F53504">
              <w:t>ligible caseload</w:t>
            </w:r>
            <w:r w:rsidR="00822850" w:rsidRPr="00F53504">
              <w:rPr>
                <w:vertAlign w:val="superscript"/>
              </w:rPr>
              <w:t>(b)</w:t>
            </w:r>
            <w:r w:rsidR="00822850" w:rsidRPr="00F53504">
              <w:t xml:space="preserve"> </w:t>
            </w:r>
          </w:p>
        </w:tc>
      </w:tr>
      <w:tr w:rsidR="00822850" w:rsidRPr="00F53504" w14:paraId="4560ADBB" w14:textId="77777777" w:rsidTr="00822850">
        <w:trPr>
          <w:trHeight w:val="340"/>
        </w:trPr>
        <w:tc>
          <w:tcPr>
            <w:tcW w:w="1481" w:type="pct"/>
            <w:vAlign w:val="bottom"/>
          </w:tcPr>
          <w:p w14:paraId="093061F6" w14:textId="77777777" w:rsidR="00822850" w:rsidRPr="00F53504" w:rsidRDefault="00822850" w:rsidP="00145370">
            <w:pPr>
              <w:pStyle w:val="Tablecontentleftcolumn"/>
              <w:keepNext/>
              <w:keepLines/>
            </w:pPr>
            <w:r w:rsidRPr="00F53504">
              <w:t>Female</w:t>
            </w:r>
          </w:p>
        </w:tc>
        <w:tc>
          <w:tcPr>
            <w:tcW w:w="843" w:type="pct"/>
            <w:vAlign w:val="bottom"/>
          </w:tcPr>
          <w:p w14:paraId="202ACE98" w14:textId="238E5E62" w:rsidR="00822850" w:rsidRPr="00F53504" w:rsidRDefault="00822850" w:rsidP="00145370">
            <w:pPr>
              <w:pStyle w:val="Tablecontentrightcolumn"/>
              <w:keepNext/>
              <w:keepLines/>
            </w:pPr>
            <w:r w:rsidRPr="00F53504">
              <w:t>35.1</w:t>
            </w:r>
          </w:p>
        </w:tc>
        <w:tc>
          <w:tcPr>
            <w:tcW w:w="957" w:type="pct"/>
            <w:vAlign w:val="bottom"/>
          </w:tcPr>
          <w:p w14:paraId="254467D9" w14:textId="77777777" w:rsidR="00822850" w:rsidRPr="00F53504" w:rsidRDefault="00822850" w:rsidP="00145370">
            <w:pPr>
              <w:pStyle w:val="Tablecontentrightcolumn"/>
              <w:keepNext/>
              <w:keepLines/>
            </w:pPr>
            <w:r w:rsidRPr="00F53504">
              <w:t>41.1</w:t>
            </w:r>
          </w:p>
        </w:tc>
        <w:tc>
          <w:tcPr>
            <w:tcW w:w="860" w:type="pct"/>
            <w:vAlign w:val="bottom"/>
          </w:tcPr>
          <w:p w14:paraId="4C50C660" w14:textId="4F33D597" w:rsidR="00822850" w:rsidRPr="00F53504" w:rsidRDefault="00822850" w:rsidP="00145370">
            <w:pPr>
              <w:pStyle w:val="Tablecontentrightcolumn"/>
              <w:keepNext/>
              <w:keepLines/>
            </w:pPr>
            <w:r w:rsidRPr="00F53504">
              <w:t>37.3</w:t>
            </w:r>
          </w:p>
        </w:tc>
        <w:tc>
          <w:tcPr>
            <w:tcW w:w="859" w:type="pct"/>
            <w:vAlign w:val="bottom"/>
          </w:tcPr>
          <w:p w14:paraId="51D722D9" w14:textId="77777777" w:rsidR="00822850" w:rsidRPr="00F53504" w:rsidRDefault="00822850" w:rsidP="00145370">
            <w:pPr>
              <w:pStyle w:val="Tablecontentrightcolumn"/>
              <w:keepNext/>
              <w:keepLines/>
            </w:pPr>
            <w:r w:rsidRPr="00F53504">
              <w:t>51.3</w:t>
            </w:r>
          </w:p>
        </w:tc>
      </w:tr>
      <w:tr w:rsidR="00822850" w:rsidRPr="00F53504" w14:paraId="34640E6D" w14:textId="77777777" w:rsidTr="00822850">
        <w:trPr>
          <w:trHeight w:val="340"/>
        </w:trPr>
        <w:tc>
          <w:tcPr>
            <w:tcW w:w="1481" w:type="pct"/>
            <w:shd w:val="clear" w:color="auto" w:fill="F2F2F2" w:themeFill="background1" w:themeFillShade="F2"/>
            <w:vAlign w:val="bottom"/>
          </w:tcPr>
          <w:p w14:paraId="28F5C30A" w14:textId="77777777" w:rsidR="00822850" w:rsidRPr="00F53504" w:rsidRDefault="00822850" w:rsidP="00145370">
            <w:pPr>
              <w:pStyle w:val="Tablecontentleftcolumn"/>
              <w:keepNext/>
              <w:keepLines/>
            </w:pPr>
            <w:r w:rsidRPr="00F53504">
              <w:t xml:space="preserve">Age 25 years old and under </w:t>
            </w:r>
          </w:p>
        </w:tc>
        <w:tc>
          <w:tcPr>
            <w:tcW w:w="843" w:type="pct"/>
            <w:shd w:val="clear" w:color="auto" w:fill="F2F2F2" w:themeFill="background1" w:themeFillShade="F2"/>
            <w:vAlign w:val="bottom"/>
          </w:tcPr>
          <w:p w14:paraId="774823E1" w14:textId="77777777" w:rsidR="00822850" w:rsidRPr="00F53504" w:rsidRDefault="00822850" w:rsidP="00145370">
            <w:pPr>
              <w:pStyle w:val="Tablecontentrightcolumn"/>
              <w:keepNext/>
              <w:keepLines/>
            </w:pPr>
            <w:r w:rsidRPr="00F53504">
              <w:t>24.3</w:t>
            </w:r>
          </w:p>
        </w:tc>
        <w:tc>
          <w:tcPr>
            <w:tcW w:w="957" w:type="pct"/>
            <w:shd w:val="clear" w:color="auto" w:fill="F2F2F2" w:themeFill="background1" w:themeFillShade="F2"/>
            <w:vAlign w:val="bottom"/>
          </w:tcPr>
          <w:p w14:paraId="2595795C" w14:textId="0A9F9D0D" w:rsidR="00822850" w:rsidRPr="00F53504" w:rsidRDefault="00822850" w:rsidP="00145370">
            <w:pPr>
              <w:pStyle w:val="Tablecontentrightcolumn"/>
              <w:keepNext/>
              <w:keepLines/>
            </w:pPr>
            <w:r w:rsidRPr="00F53504">
              <w:t>19.5</w:t>
            </w:r>
          </w:p>
        </w:tc>
        <w:tc>
          <w:tcPr>
            <w:tcW w:w="860" w:type="pct"/>
            <w:shd w:val="clear" w:color="auto" w:fill="F2F2F2" w:themeFill="background1" w:themeFillShade="F2"/>
            <w:vAlign w:val="bottom"/>
          </w:tcPr>
          <w:p w14:paraId="725D7365" w14:textId="7FD60129" w:rsidR="00822850" w:rsidRPr="00F53504" w:rsidRDefault="00822850" w:rsidP="00145370">
            <w:pPr>
              <w:pStyle w:val="Tablecontentrightcolumn"/>
              <w:keepNext/>
              <w:keepLines/>
            </w:pPr>
            <w:r w:rsidRPr="00F53504">
              <w:t>22.5</w:t>
            </w:r>
          </w:p>
        </w:tc>
        <w:tc>
          <w:tcPr>
            <w:tcW w:w="859" w:type="pct"/>
            <w:shd w:val="clear" w:color="auto" w:fill="F2F2F2" w:themeFill="background1" w:themeFillShade="F2"/>
            <w:vAlign w:val="bottom"/>
          </w:tcPr>
          <w:p w14:paraId="0620D3A5" w14:textId="714677A4" w:rsidR="00822850" w:rsidRPr="00F53504" w:rsidRDefault="00822850" w:rsidP="00145370">
            <w:pPr>
              <w:pStyle w:val="Tablecontentrightcolumn"/>
              <w:keepNext/>
              <w:keepLines/>
            </w:pPr>
            <w:r w:rsidRPr="00F53504">
              <w:t>24.1</w:t>
            </w:r>
          </w:p>
        </w:tc>
      </w:tr>
      <w:tr w:rsidR="00822850" w:rsidRPr="00F53504" w14:paraId="06973A8B" w14:textId="77777777" w:rsidTr="00C64B44">
        <w:trPr>
          <w:trHeight w:val="340"/>
        </w:trPr>
        <w:tc>
          <w:tcPr>
            <w:tcW w:w="1481" w:type="pct"/>
            <w:shd w:val="clear" w:color="auto" w:fill="FFFFFF" w:themeFill="background1"/>
            <w:vAlign w:val="bottom"/>
          </w:tcPr>
          <w:p w14:paraId="7D8A28E3" w14:textId="31A80C62" w:rsidR="00822850" w:rsidRPr="00F53504" w:rsidRDefault="00822850" w:rsidP="00115081">
            <w:pPr>
              <w:pStyle w:val="Tablecontentleftcolumn"/>
              <w:keepNext/>
              <w:keepLines/>
            </w:pPr>
            <w:r w:rsidRPr="00F53504">
              <w:t xml:space="preserve">Very long-term unemployed </w:t>
            </w:r>
            <w:r w:rsidRPr="00F53504">
              <w:br/>
              <w:t>(24+ months)</w:t>
            </w:r>
            <w:r w:rsidRPr="00F53504">
              <w:rPr>
                <w:vertAlign w:val="superscript"/>
              </w:rPr>
              <w:t>(</w:t>
            </w:r>
            <w:r w:rsidR="00115081">
              <w:rPr>
                <w:vertAlign w:val="superscript"/>
              </w:rPr>
              <w:t>c</w:t>
            </w:r>
            <w:r w:rsidRPr="00F53504">
              <w:rPr>
                <w:vertAlign w:val="superscript"/>
              </w:rPr>
              <w:t>)</w:t>
            </w:r>
          </w:p>
        </w:tc>
        <w:tc>
          <w:tcPr>
            <w:tcW w:w="843" w:type="pct"/>
            <w:shd w:val="clear" w:color="auto" w:fill="FFFFFF" w:themeFill="background1"/>
            <w:vAlign w:val="bottom"/>
          </w:tcPr>
          <w:p w14:paraId="384F7CA2" w14:textId="7B1289C2" w:rsidR="00822850" w:rsidRPr="00F53504" w:rsidRDefault="00822850" w:rsidP="00145370">
            <w:pPr>
              <w:pStyle w:val="Tablecontentrightcolumn"/>
              <w:keepNext/>
              <w:keepLines/>
            </w:pPr>
            <w:r w:rsidRPr="00F53504">
              <w:t>43.7</w:t>
            </w:r>
          </w:p>
        </w:tc>
        <w:tc>
          <w:tcPr>
            <w:tcW w:w="957" w:type="pct"/>
            <w:shd w:val="clear" w:color="auto" w:fill="FFFFFF" w:themeFill="background1"/>
            <w:vAlign w:val="bottom"/>
          </w:tcPr>
          <w:p w14:paraId="5C6D298B" w14:textId="77777777" w:rsidR="00822850" w:rsidRPr="00F53504" w:rsidRDefault="00822850" w:rsidP="00145370">
            <w:pPr>
              <w:pStyle w:val="Tablecontentrightcolumn"/>
              <w:keepNext/>
              <w:keepLines/>
            </w:pPr>
            <w:r w:rsidRPr="00F53504">
              <w:t>43.6</w:t>
            </w:r>
          </w:p>
        </w:tc>
        <w:tc>
          <w:tcPr>
            <w:tcW w:w="860" w:type="pct"/>
            <w:shd w:val="clear" w:color="auto" w:fill="FFFFFF" w:themeFill="background1"/>
            <w:vAlign w:val="bottom"/>
          </w:tcPr>
          <w:p w14:paraId="62DF9967" w14:textId="77777777" w:rsidR="00822850" w:rsidRPr="00F53504" w:rsidRDefault="00822850" w:rsidP="00145370">
            <w:pPr>
              <w:pStyle w:val="Tablecontentrightcolumn"/>
              <w:keepNext/>
              <w:keepLines/>
            </w:pPr>
            <w:r w:rsidRPr="00F53504">
              <w:t>43.7</w:t>
            </w:r>
          </w:p>
        </w:tc>
        <w:tc>
          <w:tcPr>
            <w:tcW w:w="859" w:type="pct"/>
            <w:shd w:val="clear" w:color="auto" w:fill="FFFFFF" w:themeFill="background1"/>
            <w:vAlign w:val="bottom"/>
          </w:tcPr>
          <w:p w14:paraId="370CF171" w14:textId="77777777" w:rsidR="00822850" w:rsidRPr="00F53504" w:rsidRDefault="00822850" w:rsidP="00145370">
            <w:pPr>
              <w:pStyle w:val="Tablecontentrightcolumn"/>
              <w:keepNext/>
              <w:keepLines/>
            </w:pPr>
            <w:r w:rsidRPr="00F53504">
              <w:t>56.5</w:t>
            </w:r>
          </w:p>
        </w:tc>
      </w:tr>
      <w:tr w:rsidR="00822850" w:rsidRPr="00F53504" w14:paraId="194772E1" w14:textId="77777777" w:rsidTr="00C64B44">
        <w:trPr>
          <w:trHeight w:val="340"/>
        </w:trPr>
        <w:tc>
          <w:tcPr>
            <w:tcW w:w="1481" w:type="pct"/>
            <w:shd w:val="clear" w:color="auto" w:fill="F2F2F2" w:themeFill="background1" w:themeFillShade="F2"/>
            <w:vAlign w:val="bottom"/>
          </w:tcPr>
          <w:p w14:paraId="72ADACB3" w14:textId="77777777" w:rsidR="00822850" w:rsidRPr="00F53504" w:rsidRDefault="00822850" w:rsidP="00145370">
            <w:pPr>
              <w:pStyle w:val="Tablecontentleftcolumn"/>
              <w:keepNext/>
              <w:keepLines/>
            </w:pPr>
            <w:r w:rsidRPr="00F53504">
              <w:t>Aboriginal or Torres Strait Islander</w:t>
            </w:r>
          </w:p>
        </w:tc>
        <w:tc>
          <w:tcPr>
            <w:tcW w:w="843" w:type="pct"/>
            <w:shd w:val="clear" w:color="auto" w:fill="F2F2F2" w:themeFill="background1" w:themeFillShade="F2"/>
            <w:vAlign w:val="bottom"/>
          </w:tcPr>
          <w:p w14:paraId="0BC756CD" w14:textId="77777777" w:rsidR="00822850" w:rsidRPr="00F53504" w:rsidRDefault="00822850" w:rsidP="00145370">
            <w:pPr>
              <w:pStyle w:val="Tablecontentrightcolumn"/>
              <w:keepNext/>
              <w:keepLines/>
            </w:pPr>
            <w:r w:rsidRPr="00F53504">
              <w:t>18.2</w:t>
            </w:r>
          </w:p>
        </w:tc>
        <w:tc>
          <w:tcPr>
            <w:tcW w:w="957" w:type="pct"/>
            <w:shd w:val="clear" w:color="auto" w:fill="F2F2F2" w:themeFill="background1" w:themeFillShade="F2"/>
            <w:vAlign w:val="bottom"/>
          </w:tcPr>
          <w:p w14:paraId="7959AF0A" w14:textId="77777777" w:rsidR="00822850" w:rsidRPr="00F53504" w:rsidRDefault="00822850" w:rsidP="00145370">
            <w:pPr>
              <w:pStyle w:val="Tablecontentrightcolumn"/>
              <w:keepNext/>
              <w:keepLines/>
            </w:pPr>
            <w:r w:rsidRPr="00F53504">
              <w:t xml:space="preserve"> 22.8</w:t>
            </w:r>
          </w:p>
        </w:tc>
        <w:tc>
          <w:tcPr>
            <w:tcW w:w="860" w:type="pct"/>
            <w:shd w:val="clear" w:color="auto" w:fill="F2F2F2" w:themeFill="background1" w:themeFillShade="F2"/>
            <w:vAlign w:val="bottom"/>
          </w:tcPr>
          <w:p w14:paraId="009D1829" w14:textId="49906BE4" w:rsidR="00822850" w:rsidRPr="00F53504" w:rsidRDefault="00822850" w:rsidP="00145370">
            <w:pPr>
              <w:pStyle w:val="Tablecontentrightcolumn"/>
              <w:keepNext/>
              <w:keepLines/>
            </w:pPr>
            <w:r w:rsidRPr="00F53504">
              <w:t>19.9</w:t>
            </w:r>
          </w:p>
        </w:tc>
        <w:tc>
          <w:tcPr>
            <w:tcW w:w="859" w:type="pct"/>
            <w:shd w:val="clear" w:color="auto" w:fill="F2F2F2" w:themeFill="background1" w:themeFillShade="F2"/>
            <w:vAlign w:val="bottom"/>
          </w:tcPr>
          <w:p w14:paraId="25B48462" w14:textId="2AA3ED28" w:rsidR="00822850" w:rsidRPr="00F53504" w:rsidRDefault="00822850" w:rsidP="00145370">
            <w:pPr>
              <w:pStyle w:val="Tablecontentrightcolumn"/>
              <w:keepNext/>
              <w:keepLines/>
            </w:pPr>
            <w:r w:rsidRPr="00F53504">
              <w:t>10.2</w:t>
            </w:r>
          </w:p>
        </w:tc>
      </w:tr>
      <w:tr w:rsidR="00822850" w:rsidRPr="00F53504" w14:paraId="4EAC388A" w14:textId="77777777" w:rsidTr="00C64B44">
        <w:trPr>
          <w:trHeight w:val="340"/>
        </w:trPr>
        <w:tc>
          <w:tcPr>
            <w:tcW w:w="1481" w:type="pct"/>
            <w:shd w:val="clear" w:color="auto" w:fill="FFFFFF" w:themeFill="background1"/>
            <w:vAlign w:val="bottom"/>
          </w:tcPr>
          <w:p w14:paraId="650EE775" w14:textId="77777777" w:rsidR="00822850" w:rsidRPr="00F53504" w:rsidRDefault="00822850" w:rsidP="00145370">
            <w:pPr>
              <w:pStyle w:val="Tablecontentleftcolumn"/>
              <w:keepNext/>
              <w:keepLines/>
            </w:pPr>
            <w:r w:rsidRPr="00F53504">
              <w:t>Ex-offender</w:t>
            </w:r>
          </w:p>
        </w:tc>
        <w:tc>
          <w:tcPr>
            <w:tcW w:w="843" w:type="pct"/>
            <w:shd w:val="clear" w:color="auto" w:fill="FFFFFF" w:themeFill="background1"/>
            <w:vAlign w:val="bottom"/>
          </w:tcPr>
          <w:p w14:paraId="07D2612A" w14:textId="5BDDD957" w:rsidR="00822850" w:rsidRPr="00F53504" w:rsidRDefault="00822850" w:rsidP="00145370">
            <w:pPr>
              <w:pStyle w:val="Tablecontentrightcolumn"/>
              <w:keepNext/>
              <w:keepLines/>
            </w:pPr>
            <w:r w:rsidRPr="00F53504">
              <w:t>11.8</w:t>
            </w:r>
          </w:p>
        </w:tc>
        <w:tc>
          <w:tcPr>
            <w:tcW w:w="957" w:type="pct"/>
            <w:shd w:val="clear" w:color="auto" w:fill="FFFFFF" w:themeFill="background1"/>
            <w:vAlign w:val="bottom"/>
          </w:tcPr>
          <w:p w14:paraId="2CE64866" w14:textId="77777777" w:rsidR="00822850" w:rsidRPr="00F53504" w:rsidRDefault="00822850" w:rsidP="00145370">
            <w:pPr>
              <w:pStyle w:val="Tablecontentrightcolumn"/>
              <w:keepNext/>
              <w:keepLines/>
            </w:pPr>
            <w:r w:rsidRPr="00F53504">
              <w:t>10.0</w:t>
            </w:r>
          </w:p>
        </w:tc>
        <w:tc>
          <w:tcPr>
            <w:tcW w:w="860" w:type="pct"/>
            <w:shd w:val="clear" w:color="auto" w:fill="FFFFFF" w:themeFill="background1"/>
            <w:vAlign w:val="bottom"/>
          </w:tcPr>
          <w:p w14:paraId="1974371E" w14:textId="77777777" w:rsidR="00822850" w:rsidRPr="00F53504" w:rsidRDefault="00822850" w:rsidP="00145370">
            <w:pPr>
              <w:pStyle w:val="Tablecontentrightcolumn"/>
              <w:keepNext/>
              <w:keepLines/>
            </w:pPr>
            <w:r w:rsidRPr="00F53504">
              <w:t>11.1</w:t>
            </w:r>
          </w:p>
        </w:tc>
        <w:tc>
          <w:tcPr>
            <w:tcW w:w="859" w:type="pct"/>
            <w:shd w:val="clear" w:color="auto" w:fill="FFFFFF" w:themeFill="background1"/>
            <w:vAlign w:val="bottom"/>
          </w:tcPr>
          <w:p w14:paraId="1A732702" w14:textId="000AC4D8" w:rsidR="00822850" w:rsidRPr="00F53504" w:rsidRDefault="00822850" w:rsidP="00145370">
            <w:pPr>
              <w:pStyle w:val="Tablecontentrightcolumn"/>
              <w:keepNext/>
              <w:keepLines/>
            </w:pPr>
            <w:r w:rsidRPr="00F53504">
              <w:t>11.3</w:t>
            </w:r>
          </w:p>
        </w:tc>
      </w:tr>
      <w:tr w:rsidR="00822850" w:rsidRPr="00F53504" w14:paraId="342F1BD1" w14:textId="77777777" w:rsidTr="00C64B44">
        <w:trPr>
          <w:trHeight w:val="340"/>
        </w:trPr>
        <w:tc>
          <w:tcPr>
            <w:tcW w:w="1481" w:type="pct"/>
            <w:shd w:val="clear" w:color="auto" w:fill="F2F2F2" w:themeFill="background1" w:themeFillShade="F2"/>
            <w:vAlign w:val="bottom"/>
          </w:tcPr>
          <w:p w14:paraId="4001E48B" w14:textId="77777777" w:rsidR="00822850" w:rsidRPr="00F53504" w:rsidRDefault="00822850" w:rsidP="00145370">
            <w:pPr>
              <w:pStyle w:val="Tablecontentleftcolumn"/>
              <w:keepNext/>
              <w:keepLines/>
            </w:pPr>
            <w:r w:rsidRPr="00F53504">
              <w:t>Disability</w:t>
            </w:r>
          </w:p>
        </w:tc>
        <w:tc>
          <w:tcPr>
            <w:tcW w:w="843" w:type="pct"/>
            <w:shd w:val="clear" w:color="auto" w:fill="F2F2F2" w:themeFill="background1" w:themeFillShade="F2"/>
            <w:vAlign w:val="bottom"/>
          </w:tcPr>
          <w:p w14:paraId="23A97D3E" w14:textId="77777777" w:rsidR="00822850" w:rsidRPr="00F53504" w:rsidRDefault="00822850" w:rsidP="00145370">
            <w:pPr>
              <w:pStyle w:val="Tablecontentrightcolumn"/>
              <w:keepNext/>
              <w:keepLines/>
            </w:pPr>
            <w:r w:rsidRPr="00F53504">
              <w:t>26.3</w:t>
            </w:r>
          </w:p>
        </w:tc>
        <w:tc>
          <w:tcPr>
            <w:tcW w:w="957" w:type="pct"/>
            <w:shd w:val="clear" w:color="auto" w:fill="F2F2F2" w:themeFill="background1" w:themeFillShade="F2"/>
            <w:vAlign w:val="bottom"/>
          </w:tcPr>
          <w:p w14:paraId="383677B6" w14:textId="7AE10475" w:rsidR="00822850" w:rsidRPr="00F53504" w:rsidRDefault="00822850" w:rsidP="00145370">
            <w:pPr>
              <w:pStyle w:val="Tablecontentrightcolumn"/>
              <w:keepNext/>
              <w:keepLines/>
            </w:pPr>
            <w:r w:rsidRPr="00F53504">
              <w:t>25.7</w:t>
            </w:r>
          </w:p>
        </w:tc>
        <w:tc>
          <w:tcPr>
            <w:tcW w:w="860" w:type="pct"/>
            <w:shd w:val="clear" w:color="auto" w:fill="F2F2F2" w:themeFill="background1" w:themeFillShade="F2"/>
            <w:vAlign w:val="bottom"/>
          </w:tcPr>
          <w:p w14:paraId="1C9B3FD6" w14:textId="1E715789" w:rsidR="00822850" w:rsidRPr="00F53504" w:rsidRDefault="00822850" w:rsidP="00145370">
            <w:pPr>
              <w:pStyle w:val="Tablecontentrightcolumn"/>
              <w:keepNext/>
              <w:keepLines/>
            </w:pPr>
            <w:r w:rsidRPr="00F53504">
              <w:t>26.1</w:t>
            </w:r>
          </w:p>
        </w:tc>
        <w:tc>
          <w:tcPr>
            <w:tcW w:w="859" w:type="pct"/>
            <w:shd w:val="clear" w:color="auto" w:fill="F2F2F2" w:themeFill="background1" w:themeFillShade="F2"/>
            <w:vAlign w:val="bottom"/>
          </w:tcPr>
          <w:p w14:paraId="0AECA97F" w14:textId="1E95FA44" w:rsidR="00822850" w:rsidRPr="00F53504" w:rsidRDefault="00822850" w:rsidP="00145370">
            <w:pPr>
              <w:pStyle w:val="Tablecontentrightcolumn"/>
              <w:keepNext/>
              <w:keepLines/>
            </w:pPr>
            <w:r w:rsidRPr="00F53504">
              <w:t>34.0</w:t>
            </w:r>
          </w:p>
        </w:tc>
      </w:tr>
      <w:tr w:rsidR="00822850" w:rsidRPr="00F53504" w14:paraId="01625AE3" w14:textId="77777777" w:rsidTr="00822850">
        <w:trPr>
          <w:trHeight w:val="340"/>
        </w:trPr>
        <w:tc>
          <w:tcPr>
            <w:tcW w:w="1481" w:type="pct"/>
            <w:shd w:val="clear" w:color="auto" w:fill="FFFFFF" w:themeFill="background1"/>
            <w:vAlign w:val="bottom"/>
          </w:tcPr>
          <w:p w14:paraId="5C731234" w14:textId="63A1F9BC" w:rsidR="00822850" w:rsidRPr="00F53504" w:rsidRDefault="00C64B44" w:rsidP="00C64B44">
            <w:pPr>
              <w:pStyle w:val="Tablecontentleftcolumn"/>
              <w:keepNext/>
              <w:keepLines/>
            </w:pPr>
            <w:r>
              <w:t xml:space="preserve">Education: </w:t>
            </w:r>
            <w:r w:rsidR="00822850" w:rsidRPr="00F53504">
              <w:t>Less than Year 10</w:t>
            </w:r>
          </w:p>
        </w:tc>
        <w:tc>
          <w:tcPr>
            <w:tcW w:w="843" w:type="pct"/>
            <w:shd w:val="clear" w:color="auto" w:fill="FFFFFF" w:themeFill="background1"/>
            <w:vAlign w:val="bottom"/>
          </w:tcPr>
          <w:p w14:paraId="458E4C1A" w14:textId="3847E8B3" w:rsidR="00822850" w:rsidRPr="00F53504" w:rsidRDefault="00822850" w:rsidP="00145370">
            <w:pPr>
              <w:pStyle w:val="Tablecontentrightcolumn"/>
              <w:keepNext/>
              <w:keepLines/>
            </w:pPr>
            <w:r w:rsidRPr="00F53504">
              <w:t>15.0</w:t>
            </w:r>
          </w:p>
        </w:tc>
        <w:tc>
          <w:tcPr>
            <w:tcW w:w="957" w:type="pct"/>
            <w:shd w:val="clear" w:color="auto" w:fill="FFFFFF" w:themeFill="background1"/>
            <w:vAlign w:val="bottom"/>
          </w:tcPr>
          <w:p w14:paraId="7F0A5AE8" w14:textId="77777777" w:rsidR="00822850" w:rsidRPr="00F53504" w:rsidRDefault="00822850" w:rsidP="00145370">
            <w:pPr>
              <w:pStyle w:val="Tablecontentrightcolumn"/>
              <w:keepNext/>
              <w:keepLines/>
            </w:pPr>
            <w:r w:rsidRPr="00F53504">
              <w:t xml:space="preserve"> 6.6</w:t>
            </w:r>
          </w:p>
        </w:tc>
        <w:tc>
          <w:tcPr>
            <w:tcW w:w="860" w:type="pct"/>
            <w:shd w:val="clear" w:color="auto" w:fill="FFFFFF" w:themeFill="background1"/>
            <w:vAlign w:val="bottom"/>
          </w:tcPr>
          <w:p w14:paraId="4B4E71D6" w14:textId="77777777" w:rsidR="00822850" w:rsidRPr="00F53504" w:rsidRDefault="00822850" w:rsidP="00145370">
            <w:pPr>
              <w:pStyle w:val="Tablecontentrightcolumn"/>
              <w:keepNext/>
              <w:keepLines/>
            </w:pPr>
            <w:r w:rsidRPr="00F53504">
              <w:t xml:space="preserve"> 11.9</w:t>
            </w:r>
          </w:p>
        </w:tc>
        <w:tc>
          <w:tcPr>
            <w:tcW w:w="859" w:type="pct"/>
            <w:shd w:val="clear" w:color="auto" w:fill="FFFFFF" w:themeFill="background1"/>
            <w:vAlign w:val="bottom"/>
          </w:tcPr>
          <w:p w14:paraId="1B720CD0" w14:textId="77777777" w:rsidR="00822850" w:rsidRPr="00F53504" w:rsidRDefault="00822850" w:rsidP="00145370">
            <w:pPr>
              <w:pStyle w:val="Tablecontentrightcolumn"/>
              <w:keepNext/>
              <w:keepLines/>
            </w:pPr>
            <w:r w:rsidRPr="00F53504">
              <w:t>13.2</w:t>
            </w:r>
          </w:p>
        </w:tc>
      </w:tr>
      <w:tr w:rsidR="00822850" w:rsidRPr="00F53504" w14:paraId="096D39F1" w14:textId="77777777" w:rsidTr="00822850">
        <w:trPr>
          <w:trHeight w:val="340"/>
        </w:trPr>
        <w:tc>
          <w:tcPr>
            <w:tcW w:w="1481" w:type="pct"/>
            <w:shd w:val="clear" w:color="auto" w:fill="F2F2F2" w:themeFill="background1" w:themeFillShade="F2"/>
            <w:vAlign w:val="bottom"/>
          </w:tcPr>
          <w:p w14:paraId="35456958" w14:textId="2060FB24" w:rsidR="00822850" w:rsidRPr="00F53504" w:rsidRDefault="00C64B44" w:rsidP="00C64B44">
            <w:pPr>
              <w:pStyle w:val="Tablecontentleftcolumn"/>
              <w:keepNext/>
              <w:keepLines/>
            </w:pPr>
            <w:r>
              <w:t xml:space="preserve">Education: </w:t>
            </w:r>
            <w:r w:rsidR="00822850" w:rsidRPr="00F53504">
              <w:t>Year 10 or 11</w:t>
            </w:r>
          </w:p>
        </w:tc>
        <w:tc>
          <w:tcPr>
            <w:tcW w:w="843" w:type="pct"/>
            <w:shd w:val="clear" w:color="auto" w:fill="F2F2F2" w:themeFill="background1" w:themeFillShade="F2"/>
            <w:vAlign w:val="bottom"/>
          </w:tcPr>
          <w:p w14:paraId="42E71542" w14:textId="77777777" w:rsidR="00822850" w:rsidRPr="00F53504" w:rsidRDefault="00822850" w:rsidP="00145370">
            <w:pPr>
              <w:pStyle w:val="Tablecontentrightcolumn"/>
              <w:keepNext/>
              <w:keepLines/>
            </w:pPr>
            <w:r w:rsidRPr="00F53504">
              <w:t>21.1</w:t>
            </w:r>
          </w:p>
        </w:tc>
        <w:tc>
          <w:tcPr>
            <w:tcW w:w="957" w:type="pct"/>
            <w:shd w:val="clear" w:color="auto" w:fill="F2F2F2" w:themeFill="background1" w:themeFillShade="F2"/>
            <w:vAlign w:val="bottom"/>
          </w:tcPr>
          <w:p w14:paraId="36276479" w14:textId="22F3997E" w:rsidR="00822850" w:rsidRPr="00F53504" w:rsidRDefault="00822850" w:rsidP="00145370">
            <w:pPr>
              <w:pStyle w:val="Tablecontentrightcolumn"/>
              <w:keepNext/>
              <w:keepLines/>
            </w:pPr>
            <w:r w:rsidRPr="00F53504">
              <w:t>23.2</w:t>
            </w:r>
          </w:p>
        </w:tc>
        <w:tc>
          <w:tcPr>
            <w:tcW w:w="860" w:type="pct"/>
            <w:shd w:val="clear" w:color="auto" w:fill="F2F2F2" w:themeFill="background1" w:themeFillShade="F2"/>
            <w:vAlign w:val="bottom"/>
          </w:tcPr>
          <w:p w14:paraId="20464FE0" w14:textId="77777777" w:rsidR="00822850" w:rsidRPr="00F53504" w:rsidRDefault="00822850" w:rsidP="00145370">
            <w:pPr>
              <w:pStyle w:val="Tablecontentrightcolumn"/>
              <w:keepNext/>
              <w:keepLines/>
            </w:pPr>
            <w:r w:rsidRPr="00F53504">
              <w:t>21.9</w:t>
            </w:r>
          </w:p>
        </w:tc>
        <w:tc>
          <w:tcPr>
            <w:tcW w:w="859" w:type="pct"/>
            <w:shd w:val="clear" w:color="auto" w:fill="F2F2F2" w:themeFill="background1" w:themeFillShade="F2"/>
            <w:vAlign w:val="bottom"/>
          </w:tcPr>
          <w:p w14:paraId="4472F6A7" w14:textId="75B4A544" w:rsidR="00822850" w:rsidRPr="00F53504" w:rsidRDefault="00822850" w:rsidP="00145370">
            <w:pPr>
              <w:pStyle w:val="Tablecontentrightcolumn"/>
              <w:keepNext/>
              <w:keepLines/>
            </w:pPr>
            <w:r w:rsidRPr="00F53504">
              <w:t>28.9</w:t>
            </w:r>
          </w:p>
        </w:tc>
      </w:tr>
      <w:tr w:rsidR="00822850" w:rsidRPr="00F53504" w14:paraId="17DFF999" w14:textId="77777777" w:rsidTr="00822850">
        <w:trPr>
          <w:trHeight w:val="340"/>
        </w:trPr>
        <w:tc>
          <w:tcPr>
            <w:tcW w:w="1481" w:type="pct"/>
            <w:shd w:val="clear" w:color="auto" w:fill="FFFFFF" w:themeFill="background1"/>
            <w:vAlign w:val="bottom"/>
          </w:tcPr>
          <w:p w14:paraId="3E547ACA" w14:textId="504D5194" w:rsidR="00822850" w:rsidRPr="00F53504" w:rsidRDefault="00C64B44" w:rsidP="00C64B44">
            <w:pPr>
              <w:pStyle w:val="Tablecontentleftcolumn"/>
              <w:keepNext/>
              <w:keepLines/>
            </w:pPr>
            <w:r>
              <w:t xml:space="preserve">Education: </w:t>
            </w:r>
            <w:r w:rsidR="00822850" w:rsidRPr="00F53504">
              <w:t>Year 12</w:t>
            </w:r>
          </w:p>
        </w:tc>
        <w:tc>
          <w:tcPr>
            <w:tcW w:w="843" w:type="pct"/>
            <w:shd w:val="clear" w:color="auto" w:fill="FFFFFF" w:themeFill="background1"/>
            <w:vAlign w:val="bottom"/>
          </w:tcPr>
          <w:p w14:paraId="49F75F9D" w14:textId="62BA3F3A" w:rsidR="00822850" w:rsidRPr="00F53504" w:rsidRDefault="00822850" w:rsidP="00C64B44">
            <w:pPr>
              <w:pStyle w:val="Tablecontentrightcolumn"/>
              <w:keepNext/>
              <w:keepLines/>
            </w:pPr>
            <w:r w:rsidRPr="00F53504">
              <w:t>13.5</w:t>
            </w:r>
          </w:p>
        </w:tc>
        <w:tc>
          <w:tcPr>
            <w:tcW w:w="957" w:type="pct"/>
            <w:shd w:val="clear" w:color="auto" w:fill="FFFFFF" w:themeFill="background1"/>
            <w:vAlign w:val="bottom"/>
          </w:tcPr>
          <w:p w14:paraId="321BE7C6" w14:textId="77777777" w:rsidR="00822850" w:rsidRPr="00F53504" w:rsidRDefault="00822850" w:rsidP="00145370">
            <w:pPr>
              <w:pStyle w:val="Tablecontentrightcolumn"/>
              <w:keepNext/>
              <w:keepLines/>
            </w:pPr>
            <w:r w:rsidRPr="00F53504">
              <w:t>14.1</w:t>
            </w:r>
          </w:p>
        </w:tc>
        <w:tc>
          <w:tcPr>
            <w:tcW w:w="860" w:type="pct"/>
            <w:shd w:val="clear" w:color="auto" w:fill="FFFFFF" w:themeFill="background1"/>
            <w:vAlign w:val="bottom"/>
          </w:tcPr>
          <w:p w14:paraId="73975352" w14:textId="77777777" w:rsidR="00822850" w:rsidRPr="00F53504" w:rsidRDefault="00822850" w:rsidP="00145370">
            <w:pPr>
              <w:pStyle w:val="Tablecontentrightcolumn"/>
              <w:keepNext/>
              <w:keepLines/>
            </w:pPr>
            <w:r w:rsidRPr="00F53504">
              <w:t xml:space="preserve"> 13.7</w:t>
            </w:r>
          </w:p>
        </w:tc>
        <w:tc>
          <w:tcPr>
            <w:tcW w:w="859" w:type="pct"/>
            <w:shd w:val="clear" w:color="auto" w:fill="FFFFFF" w:themeFill="background1"/>
            <w:vAlign w:val="bottom"/>
          </w:tcPr>
          <w:p w14:paraId="0F645A11" w14:textId="77777777" w:rsidR="00822850" w:rsidRPr="00F53504" w:rsidRDefault="00822850" w:rsidP="00145370">
            <w:pPr>
              <w:pStyle w:val="Tablecontentrightcolumn"/>
              <w:keepNext/>
              <w:keepLines/>
            </w:pPr>
            <w:r w:rsidRPr="00F53504">
              <w:t>16.1</w:t>
            </w:r>
          </w:p>
        </w:tc>
      </w:tr>
      <w:tr w:rsidR="00822850" w:rsidRPr="00F53504" w14:paraId="0B63E1EE" w14:textId="77777777" w:rsidTr="00822850">
        <w:trPr>
          <w:trHeight w:val="340"/>
        </w:trPr>
        <w:tc>
          <w:tcPr>
            <w:tcW w:w="1481" w:type="pct"/>
            <w:shd w:val="clear" w:color="auto" w:fill="F2F2F2" w:themeFill="background1" w:themeFillShade="F2"/>
            <w:vAlign w:val="bottom"/>
          </w:tcPr>
          <w:p w14:paraId="067717A3" w14:textId="28FF929A" w:rsidR="00822850" w:rsidRPr="00F53504" w:rsidRDefault="00C64B44" w:rsidP="00C64B44">
            <w:pPr>
              <w:pStyle w:val="Tablecontentleftcolumn"/>
              <w:keepNext/>
              <w:keepLines/>
            </w:pPr>
            <w:r>
              <w:t xml:space="preserve">Education: </w:t>
            </w:r>
            <w:r w:rsidR="00822850" w:rsidRPr="00F53504">
              <w:t>Non-trade vocational education or diploma equivalent or trade qualification</w:t>
            </w:r>
          </w:p>
        </w:tc>
        <w:tc>
          <w:tcPr>
            <w:tcW w:w="843" w:type="pct"/>
            <w:shd w:val="clear" w:color="auto" w:fill="F2F2F2" w:themeFill="background1" w:themeFillShade="F2"/>
            <w:vAlign w:val="bottom"/>
          </w:tcPr>
          <w:p w14:paraId="21D26C68" w14:textId="77777777" w:rsidR="00822850" w:rsidRPr="00F53504" w:rsidRDefault="00822850" w:rsidP="00145370">
            <w:pPr>
              <w:pStyle w:val="Tablecontentrightcolumn"/>
              <w:keepNext/>
              <w:keepLines/>
            </w:pPr>
            <w:r w:rsidRPr="00F53504">
              <w:t>38.6</w:t>
            </w:r>
          </w:p>
        </w:tc>
        <w:tc>
          <w:tcPr>
            <w:tcW w:w="957" w:type="pct"/>
            <w:shd w:val="clear" w:color="auto" w:fill="F2F2F2" w:themeFill="background1" w:themeFillShade="F2"/>
            <w:vAlign w:val="bottom"/>
          </w:tcPr>
          <w:p w14:paraId="2095A15B" w14:textId="6922F359" w:rsidR="00822850" w:rsidRPr="00F53504" w:rsidRDefault="00822850" w:rsidP="00145370">
            <w:pPr>
              <w:pStyle w:val="Tablecontentrightcolumn"/>
              <w:keepNext/>
              <w:keepLines/>
            </w:pPr>
            <w:r w:rsidRPr="00F53504">
              <w:t>36.9</w:t>
            </w:r>
          </w:p>
        </w:tc>
        <w:tc>
          <w:tcPr>
            <w:tcW w:w="860" w:type="pct"/>
            <w:shd w:val="clear" w:color="auto" w:fill="F2F2F2" w:themeFill="background1" w:themeFillShade="F2"/>
            <w:vAlign w:val="bottom"/>
          </w:tcPr>
          <w:p w14:paraId="275BF627" w14:textId="77777777" w:rsidR="00822850" w:rsidRPr="00F53504" w:rsidRDefault="00822850" w:rsidP="00145370">
            <w:pPr>
              <w:pStyle w:val="Tablecontentrightcolumn"/>
              <w:keepNext/>
              <w:keepLines/>
            </w:pPr>
            <w:r w:rsidRPr="00F53504">
              <w:t>38.0</w:t>
            </w:r>
          </w:p>
        </w:tc>
        <w:tc>
          <w:tcPr>
            <w:tcW w:w="859" w:type="pct"/>
            <w:shd w:val="clear" w:color="auto" w:fill="F2F2F2" w:themeFill="background1" w:themeFillShade="F2"/>
            <w:vAlign w:val="bottom"/>
          </w:tcPr>
          <w:p w14:paraId="0DFF04B2" w14:textId="75438348" w:rsidR="00822850" w:rsidRPr="00F53504" w:rsidRDefault="00822850" w:rsidP="00145370">
            <w:pPr>
              <w:pStyle w:val="Tablecontentrightcolumn"/>
              <w:keepNext/>
              <w:keepLines/>
            </w:pPr>
            <w:r w:rsidRPr="00F53504">
              <w:t>33.4</w:t>
            </w:r>
          </w:p>
        </w:tc>
      </w:tr>
      <w:tr w:rsidR="00822850" w:rsidRPr="00F53504" w14:paraId="4290FC0D" w14:textId="77777777" w:rsidTr="00822850">
        <w:trPr>
          <w:trHeight w:val="340"/>
        </w:trPr>
        <w:tc>
          <w:tcPr>
            <w:tcW w:w="1481" w:type="pct"/>
            <w:shd w:val="clear" w:color="auto" w:fill="FFFFFF" w:themeFill="background1"/>
            <w:vAlign w:val="bottom"/>
          </w:tcPr>
          <w:p w14:paraId="11DF22F5" w14:textId="28EA4B46" w:rsidR="00822850" w:rsidRPr="00F53504" w:rsidRDefault="00C64B44" w:rsidP="00C64B44">
            <w:pPr>
              <w:pStyle w:val="Tablecontentleftcolumn"/>
              <w:keepNext/>
              <w:keepLines/>
            </w:pPr>
            <w:r>
              <w:t xml:space="preserve">Education: </w:t>
            </w:r>
            <w:r w:rsidR="00822850" w:rsidRPr="00F53504">
              <w:t>Tertiary qualification</w:t>
            </w:r>
          </w:p>
        </w:tc>
        <w:tc>
          <w:tcPr>
            <w:tcW w:w="843" w:type="pct"/>
            <w:shd w:val="clear" w:color="auto" w:fill="FFFFFF" w:themeFill="background1"/>
            <w:vAlign w:val="bottom"/>
          </w:tcPr>
          <w:p w14:paraId="384CCD06" w14:textId="51A46641" w:rsidR="00822850" w:rsidRPr="00F53504" w:rsidRDefault="00822850" w:rsidP="00145370">
            <w:pPr>
              <w:pStyle w:val="Tablecontentrightcolumn"/>
              <w:keepNext/>
              <w:keepLines/>
            </w:pPr>
            <w:r w:rsidRPr="00F53504">
              <w:t>11.8</w:t>
            </w:r>
          </w:p>
        </w:tc>
        <w:tc>
          <w:tcPr>
            <w:tcW w:w="957" w:type="pct"/>
            <w:shd w:val="clear" w:color="auto" w:fill="FFFFFF" w:themeFill="background1"/>
            <w:vAlign w:val="bottom"/>
          </w:tcPr>
          <w:p w14:paraId="7562259C" w14:textId="77777777" w:rsidR="00822850" w:rsidRPr="00F53504" w:rsidRDefault="00822850" w:rsidP="00145370">
            <w:pPr>
              <w:pStyle w:val="Tablecontentrightcolumn"/>
              <w:keepNext/>
              <w:keepLines/>
            </w:pPr>
            <w:r w:rsidRPr="00F53504">
              <w:t>19.1</w:t>
            </w:r>
          </w:p>
        </w:tc>
        <w:tc>
          <w:tcPr>
            <w:tcW w:w="860" w:type="pct"/>
            <w:shd w:val="clear" w:color="auto" w:fill="FFFFFF" w:themeFill="background1"/>
            <w:vAlign w:val="bottom"/>
          </w:tcPr>
          <w:p w14:paraId="5149C7FC" w14:textId="492E728E" w:rsidR="00822850" w:rsidRPr="00F53504" w:rsidRDefault="00822850" w:rsidP="00145370">
            <w:pPr>
              <w:pStyle w:val="Tablecontentrightcolumn"/>
              <w:keepNext/>
              <w:keepLines/>
            </w:pPr>
            <w:r w:rsidRPr="00F53504">
              <w:t>14.5</w:t>
            </w:r>
          </w:p>
        </w:tc>
        <w:tc>
          <w:tcPr>
            <w:tcW w:w="859" w:type="pct"/>
            <w:shd w:val="clear" w:color="auto" w:fill="FFFFFF" w:themeFill="background1"/>
            <w:vAlign w:val="bottom"/>
          </w:tcPr>
          <w:p w14:paraId="1689E132" w14:textId="77777777" w:rsidR="00822850" w:rsidRPr="00F53504" w:rsidRDefault="00822850" w:rsidP="00145370">
            <w:pPr>
              <w:pStyle w:val="Tablecontentrightcolumn"/>
              <w:keepNext/>
              <w:keepLines/>
            </w:pPr>
            <w:r w:rsidRPr="00F53504">
              <w:t>8.3</w:t>
            </w:r>
          </w:p>
        </w:tc>
      </w:tr>
      <w:tr w:rsidR="00822850" w:rsidRPr="00F53504" w14:paraId="16DC5BF4" w14:textId="77777777" w:rsidTr="00822850">
        <w:trPr>
          <w:trHeight w:val="340"/>
        </w:trPr>
        <w:tc>
          <w:tcPr>
            <w:tcW w:w="1481" w:type="pct"/>
            <w:shd w:val="clear" w:color="auto" w:fill="8EAEDE"/>
            <w:vAlign w:val="bottom"/>
          </w:tcPr>
          <w:p w14:paraId="4F22641A" w14:textId="77777777" w:rsidR="00822850" w:rsidRPr="00F53504" w:rsidRDefault="00822850" w:rsidP="00145370">
            <w:pPr>
              <w:pStyle w:val="Tablecontentleftcolumn"/>
              <w:keepNext/>
              <w:keepLines/>
            </w:pPr>
            <w:r w:rsidRPr="00F53504">
              <w:t xml:space="preserve">All relocation </w:t>
            </w:r>
            <w:r w:rsidR="002167E1" w:rsidRPr="00F53504">
              <w:t>a</w:t>
            </w:r>
            <w:r w:rsidRPr="00F53504">
              <w:t xml:space="preserve">greements </w:t>
            </w:r>
            <w:r w:rsidR="002167E1" w:rsidRPr="00F53504">
              <w:t>(numbers)</w:t>
            </w:r>
          </w:p>
        </w:tc>
        <w:tc>
          <w:tcPr>
            <w:tcW w:w="843" w:type="pct"/>
            <w:shd w:val="clear" w:color="auto" w:fill="8EAEDE"/>
            <w:vAlign w:val="bottom"/>
          </w:tcPr>
          <w:p w14:paraId="75670A11" w14:textId="77777777" w:rsidR="00822850" w:rsidRPr="00F53504" w:rsidRDefault="00822850" w:rsidP="00145370">
            <w:pPr>
              <w:pStyle w:val="Tablecontentrightcolumn"/>
              <w:keepNext/>
              <w:keepLines/>
            </w:pPr>
            <w:r w:rsidRPr="00F53504">
              <w:t>407</w:t>
            </w:r>
          </w:p>
        </w:tc>
        <w:tc>
          <w:tcPr>
            <w:tcW w:w="957" w:type="pct"/>
            <w:shd w:val="clear" w:color="auto" w:fill="8EAEDE"/>
            <w:vAlign w:val="bottom"/>
          </w:tcPr>
          <w:p w14:paraId="0CFA191A" w14:textId="77777777" w:rsidR="00822850" w:rsidRPr="00F53504" w:rsidRDefault="00822850" w:rsidP="00145370">
            <w:pPr>
              <w:pStyle w:val="Tablecontentrightcolumn"/>
              <w:keepNext/>
              <w:keepLines/>
            </w:pPr>
            <w:r w:rsidRPr="00F53504">
              <w:t>241</w:t>
            </w:r>
          </w:p>
        </w:tc>
        <w:tc>
          <w:tcPr>
            <w:tcW w:w="860" w:type="pct"/>
            <w:shd w:val="clear" w:color="auto" w:fill="8EAEDE"/>
            <w:vAlign w:val="bottom"/>
          </w:tcPr>
          <w:p w14:paraId="71A1B5B6" w14:textId="2B5C4542" w:rsidR="00822850" w:rsidRPr="00F53504" w:rsidRDefault="00822850" w:rsidP="00C64B44">
            <w:pPr>
              <w:pStyle w:val="Tablecontentrightcolumn"/>
              <w:keepNext/>
              <w:keepLines/>
            </w:pPr>
            <w:r w:rsidRPr="00F53504">
              <w:t>648</w:t>
            </w:r>
          </w:p>
        </w:tc>
        <w:tc>
          <w:tcPr>
            <w:tcW w:w="859" w:type="pct"/>
            <w:shd w:val="clear" w:color="auto" w:fill="8EAEDE"/>
            <w:vAlign w:val="bottom"/>
          </w:tcPr>
          <w:p w14:paraId="63C4FAF4" w14:textId="13798277" w:rsidR="00822850" w:rsidRPr="00F53504" w:rsidRDefault="00822850" w:rsidP="00C64B44">
            <w:pPr>
              <w:pStyle w:val="Tablecontentrightcolumn"/>
              <w:keepNext/>
              <w:keepLines/>
            </w:pPr>
            <w:r w:rsidRPr="00F53504">
              <w:t>450,512</w:t>
            </w:r>
          </w:p>
        </w:tc>
      </w:tr>
    </w:tbl>
    <w:p w14:paraId="1EC0560A" w14:textId="77777777" w:rsidR="001E6C1E" w:rsidRPr="00F53504" w:rsidRDefault="001E6C1E" w:rsidP="00145370">
      <w:pPr>
        <w:pStyle w:val="Source"/>
        <w:keepNext/>
        <w:keepLines/>
      </w:pPr>
      <w:r w:rsidRPr="00F53504">
        <w:t xml:space="preserve">(a) Characteristics presented </w:t>
      </w:r>
      <w:proofErr w:type="gramStart"/>
      <w:r w:rsidRPr="00F53504">
        <w:t>are based</w:t>
      </w:r>
      <w:proofErr w:type="gramEnd"/>
      <w:r w:rsidRPr="00F53504">
        <w:t xml:space="preserve"> on information at relocation agreement start date.</w:t>
      </w:r>
    </w:p>
    <w:p w14:paraId="53B19287" w14:textId="77777777" w:rsidR="001E6C1E" w:rsidRPr="00F53504" w:rsidRDefault="001E6C1E" w:rsidP="00145370">
      <w:pPr>
        <w:pStyle w:val="Source"/>
        <w:keepNext/>
        <w:keepLines/>
      </w:pPr>
      <w:r w:rsidRPr="00F53504">
        <w:t xml:space="preserve">(b) </w:t>
      </w:r>
      <w:r w:rsidR="00061A7D" w:rsidRPr="00F53504">
        <w:t>Eligible to participate in RATTUAJ a</w:t>
      </w:r>
      <w:r w:rsidRPr="00F53504">
        <w:t>s at 31 January 2015.</w:t>
      </w:r>
    </w:p>
    <w:p w14:paraId="5E4F172A" w14:textId="77777777" w:rsidR="001E6C1E" w:rsidRPr="00F53504" w:rsidRDefault="001E6C1E" w:rsidP="00145370">
      <w:pPr>
        <w:pStyle w:val="Source"/>
        <w:keepNext/>
        <w:keepLines/>
      </w:pPr>
      <w:r w:rsidRPr="00F53504">
        <w:t xml:space="preserve">(c) Unemployment duration </w:t>
      </w:r>
      <w:proofErr w:type="gramStart"/>
      <w:r w:rsidRPr="00F53504">
        <w:t>is based</w:t>
      </w:r>
      <w:proofErr w:type="gramEnd"/>
      <w:r w:rsidRPr="00F53504">
        <w:t xml:space="preserve"> on the last registration date for income support with the Department of Human Services. This may not align with the requirements for eligibility for RATTUAJ.</w:t>
      </w:r>
    </w:p>
    <w:p w14:paraId="1B388319" w14:textId="77777777" w:rsidR="001E6C1E" w:rsidRPr="00F53504" w:rsidRDefault="001E6C1E" w:rsidP="00145370">
      <w:pPr>
        <w:pStyle w:val="Source"/>
        <w:keepNext/>
        <w:keepLines/>
      </w:pPr>
      <w:r w:rsidRPr="00F53504">
        <w:rPr>
          <w:b/>
        </w:rPr>
        <w:t xml:space="preserve">Source: </w:t>
      </w:r>
      <w:r w:rsidRPr="00F53504">
        <w:t>EBIW Data</w:t>
      </w:r>
    </w:p>
    <w:p w14:paraId="620A0B94" w14:textId="54ACFF42" w:rsidR="00C85245" w:rsidRPr="00F53504" w:rsidRDefault="00E221F5" w:rsidP="00E221F5">
      <w:pPr>
        <w:pStyle w:val="Heading1"/>
      </w:pPr>
      <w:bookmarkStart w:id="33" w:name="_Toc484182251"/>
      <w:bookmarkStart w:id="34" w:name="_Toc484182967"/>
      <w:bookmarkStart w:id="35" w:name="_Toc484182252"/>
      <w:bookmarkStart w:id="36" w:name="_Toc484182968"/>
      <w:bookmarkStart w:id="37" w:name="_Toc484182254"/>
      <w:bookmarkStart w:id="38" w:name="_Toc484182970"/>
      <w:bookmarkStart w:id="39" w:name="_Toc484182255"/>
      <w:bookmarkStart w:id="40" w:name="_Toc484182971"/>
      <w:bookmarkStart w:id="41" w:name="_Toc484182270"/>
      <w:bookmarkStart w:id="42" w:name="_Toc484182986"/>
      <w:bookmarkStart w:id="43" w:name="_Toc484182272"/>
      <w:bookmarkStart w:id="44" w:name="_Toc484182988"/>
      <w:bookmarkStart w:id="45" w:name="_Toc484182273"/>
      <w:bookmarkStart w:id="46" w:name="_Toc484182989"/>
      <w:bookmarkStart w:id="47" w:name="_Toc484182277"/>
      <w:bookmarkStart w:id="48" w:name="_Toc484182993"/>
      <w:bookmarkStart w:id="49" w:name="_Toc512529318"/>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F53504">
        <w:lastRenderedPageBreak/>
        <w:t>Key evaluation questions</w:t>
      </w:r>
      <w:bookmarkEnd w:id="49"/>
    </w:p>
    <w:p w14:paraId="366B2121" w14:textId="77777777" w:rsidR="00E221F5" w:rsidRPr="00F53504" w:rsidRDefault="00D67B10" w:rsidP="00920031">
      <w:pPr>
        <w:pStyle w:val="Heading2"/>
      </w:pPr>
      <w:bookmarkStart w:id="50" w:name="_Ref455473799"/>
      <w:bookmarkStart w:id="51" w:name="_Toc512529319"/>
      <w:r w:rsidRPr="00F53504">
        <w:t>Do</w:t>
      </w:r>
      <w:r w:rsidR="00E221F5" w:rsidRPr="00F53504">
        <w:t xml:space="preserve"> </w:t>
      </w:r>
      <w:r w:rsidR="007660CF" w:rsidRPr="00F53504">
        <w:t>program participants</w:t>
      </w:r>
      <w:r w:rsidR="00E221F5" w:rsidRPr="00F53504">
        <w:t xml:space="preserve"> relocate successfully?</w:t>
      </w:r>
      <w:bookmarkEnd w:id="50"/>
      <w:bookmarkEnd w:id="51"/>
    </w:p>
    <w:p w14:paraId="46E2CC33" w14:textId="77777777" w:rsidR="00DF07BA" w:rsidRPr="00F53504" w:rsidRDefault="00DF07BA" w:rsidP="00130ED6">
      <w:pPr>
        <w:pStyle w:val="Answerbox"/>
        <w:rPr>
          <w:b/>
        </w:rPr>
      </w:pPr>
      <w:r w:rsidRPr="00F53504">
        <w:rPr>
          <w:b/>
        </w:rPr>
        <w:t>Program participants relocate successfully</w:t>
      </w:r>
    </w:p>
    <w:p w14:paraId="05C098DF" w14:textId="7D0178F4" w:rsidR="00DF07BA" w:rsidRPr="00F53504" w:rsidRDefault="00E221F5" w:rsidP="001E07A7">
      <w:pPr>
        <w:pStyle w:val="Answerboxdotpoints"/>
      </w:pPr>
      <w:r w:rsidRPr="00F53504">
        <w:t xml:space="preserve">Between 1 July 2014 and </w:t>
      </w:r>
      <w:r w:rsidR="00092A6F" w:rsidRPr="00F53504">
        <w:t>31</w:t>
      </w:r>
      <w:r w:rsidRPr="00F53504">
        <w:t xml:space="preserve"> December 2015, 62</w:t>
      </w:r>
      <w:r w:rsidR="006B2BCE" w:rsidRPr="00F53504">
        <w:t>0</w:t>
      </w:r>
      <w:r w:rsidRPr="00F53504">
        <w:t xml:space="preserve"> job seekers with approved relocation agreements had a confirmed employment placement (considered as a successful relocation for the purposes of this question). This represents 96 per cent of job seekers who entered into an</w:t>
      </w:r>
      <w:r w:rsidR="00827DCB" w:rsidRPr="00F53504">
        <w:t xml:space="preserve"> approved relocation</w:t>
      </w:r>
      <w:r w:rsidR="00A826C0">
        <w:t xml:space="preserve"> agreement.</w:t>
      </w:r>
    </w:p>
    <w:p w14:paraId="48B55C68" w14:textId="26CBCB41" w:rsidR="00000C3E" w:rsidRPr="00F53504" w:rsidRDefault="00E221F5" w:rsidP="001E07A7">
      <w:pPr>
        <w:pStyle w:val="Answerbox"/>
        <w:numPr>
          <w:ilvl w:val="0"/>
          <w:numId w:val="33"/>
        </w:numPr>
        <w:spacing w:before="0" w:after="120"/>
        <w:ind w:left="357" w:hanging="357"/>
      </w:pPr>
      <w:r w:rsidRPr="00F53504">
        <w:t xml:space="preserve">Three in five </w:t>
      </w:r>
      <w:r w:rsidR="002E10D2" w:rsidRPr="00F53504">
        <w:t xml:space="preserve">participants </w:t>
      </w:r>
      <w:r w:rsidR="002E10D2">
        <w:t xml:space="preserve">who </w:t>
      </w:r>
      <w:r w:rsidR="00D67B10" w:rsidRPr="00F53504">
        <w:t xml:space="preserve">successfully relocated moved </w:t>
      </w:r>
      <w:r w:rsidRPr="00F53504">
        <w:t>to a regional area</w:t>
      </w:r>
      <w:r w:rsidR="009348CC">
        <w:t>, taking no depend</w:t>
      </w:r>
      <w:r w:rsidR="00455A0A">
        <w:t>a</w:t>
      </w:r>
      <w:r w:rsidR="009348CC">
        <w:t>nts with them</w:t>
      </w:r>
      <w:r w:rsidR="00A826C0">
        <w:t>.</w:t>
      </w:r>
      <w:r w:rsidR="00AA1555">
        <w:rPr>
          <w:rStyle w:val="FootnoteReference"/>
        </w:rPr>
        <w:footnoteReference w:id="13"/>
      </w:r>
    </w:p>
    <w:p w14:paraId="70A6E0DD" w14:textId="77777777" w:rsidR="00E221F5" w:rsidRPr="00F53504" w:rsidRDefault="00E221F5" w:rsidP="001E07A7">
      <w:pPr>
        <w:pStyle w:val="Answerbox"/>
        <w:numPr>
          <w:ilvl w:val="0"/>
          <w:numId w:val="33"/>
        </w:numPr>
        <w:spacing w:before="0" w:after="120"/>
        <w:ind w:left="357" w:hanging="357"/>
      </w:pPr>
      <w:r w:rsidRPr="00F53504">
        <w:t>The most common industry of employment for relocated job seekers was Accommodation and Food Services.</w:t>
      </w:r>
    </w:p>
    <w:p w14:paraId="4D0D6B61" w14:textId="55F9AC49" w:rsidR="00000C3E" w:rsidRPr="00F53504" w:rsidRDefault="00E221F5" w:rsidP="00E221F5">
      <w:r w:rsidRPr="00F53504">
        <w:t xml:space="preserve">For the purposes of this evaluation question, a successful relocation </w:t>
      </w:r>
      <w:proofErr w:type="gramStart"/>
      <w:r w:rsidRPr="00F53504">
        <w:t>is defined</w:t>
      </w:r>
      <w:proofErr w:type="gramEnd"/>
      <w:r w:rsidRPr="00F53504">
        <w:t xml:space="preserve"> as a job seeker with an approved relocation agreement and a confirmed employment placement. </w:t>
      </w:r>
      <w:r w:rsidR="00E46AF1" w:rsidRPr="00F53504">
        <w:t xml:space="preserve">This definition </w:t>
      </w:r>
      <w:proofErr w:type="gramStart"/>
      <w:r w:rsidR="00E46AF1" w:rsidRPr="00F53504">
        <w:t>has been chosen</w:t>
      </w:r>
      <w:proofErr w:type="gramEnd"/>
      <w:r w:rsidR="00E46AF1" w:rsidRPr="00F53504">
        <w:t xml:space="preserve"> as the best </w:t>
      </w:r>
      <w:r w:rsidR="00000C3E" w:rsidRPr="00F53504">
        <w:t xml:space="preserve">available </w:t>
      </w:r>
      <w:r w:rsidR="00E46AF1" w:rsidRPr="00F53504">
        <w:t>indicator of actual relocation, since i</w:t>
      </w:r>
      <w:r w:rsidRPr="00F53504">
        <w:t xml:space="preserve">t is not possible to ascertain </w:t>
      </w:r>
      <w:r w:rsidR="00E46AF1" w:rsidRPr="00F53504">
        <w:t xml:space="preserve">from the data available </w:t>
      </w:r>
      <w:r w:rsidRPr="00F53504">
        <w:t>whether a job seeker did in fact relocate.</w:t>
      </w:r>
    </w:p>
    <w:p w14:paraId="16DD5410" w14:textId="00977F84" w:rsidR="005839FE" w:rsidRPr="00F53504" w:rsidRDefault="00717475" w:rsidP="00973AB2">
      <w:r w:rsidRPr="00F53504">
        <w:t>B</w:t>
      </w:r>
      <w:r w:rsidR="00E221F5" w:rsidRPr="00F53504">
        <w:t xml:space="preserve">etween 1 July 2014 and </w:t>
      </w:r>
      <w:r w:rsidR="00092A6F" w:rsidRPr="00F53504">
        <w:t>31</w:t>
      </w:r>
      <w:r w:rsidR="00E221F5" w:rsidRPr="00F53504">
        <w:t xml:space="preserve"> December 2015</w:t>
      </w:r>
      <w:r w:rsidRPr="00F53504">
        <w:t>,</w:t>
      </w:r>
      <w:r w:rsidR="00E221F5" w:rsidRPr="00F53504">
        <w:t xml:space="preserve"> 648 job seekers</w:t>
      </w:r>
      <w:r w:rsidR="007A02C0" w:rsidRPr="00F53504">
        <w:t xml:space="preserve"> had an approved Relocation Agreement</w:t>
      </w:r>
      <w:r w:rsidR="00165110" w:rsidRPr="00F53504">
        <w:t>.</w:t>
      </w:r>
    </w:p>
    <w:p w14:paraId="43EEABE6" w14:textId="7A2141BB" w:rsidR="00717475" w:rsidRPr="00F53504" w:rsidRDefault="00717475" w:rsidP="00717475">
      <w:r w:rsidRPr="00F53504">
        <w:t>From 1 July 2014 to 30 June 2015 under the JSA contract, 407 job seekers entered into an approved Relocation Agreement and 389 of them successfully relocated (i.e. had a confirmed employment placement) (</w:t>
      </w:r>
      <w:r w:rsidRPr="00F53504">
        <w:fldChar w:fldCharType="begin"/>
      </w:r>
      <w:r w:rsidRPr="00F53504">
        <w:instrText xml:space="preserve"> REF _Ref483918110 \h </w:instrText>
      </w:r>
      <w:r w:rsidRPr="00F53504">
        <w:fldChar w:fldCharType="separate"/>
      </w:r>
      <w:r w:rsidR="00AA36FE" w:rsidRPr="00F53504">
        <w:t xml:space="preserve">Table </w:t>
      </w:r>
      <w:r w:rsidR="00AA36FE">
        <w:rPr>
          <w:noProof/>
        </w:rPr>
        <w:t>3</w:t>
      </w:r>
      <w:r w:rsidR="00AA36FE">
        <w:t>.</w:t>
      </w:r>
      <w:r w:rsidR="00AA36FE">
        <w:rPr>
          <w:noProof/>
        </w:rPr>
        <w:t>1</w:t>
      </w:r>
      <w:r w:rsidRPr="00F53504">
        <w:fldChar w:fldCharType="end"/>
      </w:r>
      <w:r w:rsidRPr="00F53504">
        <w:t>). Between 1 July 2015 and 31 December 2015 a further 241 job seekers entered into an approved Relocation Agreement under the jobactive contract of whom 231 successfully relocated (</w:t>
      </w:r>
      <w:r w:rsidRPr="00F53504">
        <w:fldChar w:fldCharType="begin"/>
      </w:r>
      <w:r w:rsidRPr="00F53504">
        <w:instrText xml:space="preserve"> REF _Ref454355445 \h </w:instrText>
      </w:r>
      <w:r w:rsidRPr="00F53504">
        <w:fldChar w:fldCharType="separate"/>
      </w:r>
      <w:r w:rsidR="00AA36FE" w:rsidRPr="00F53504">
        <w:t xml:space="preserve">Table </w:t>
      </w:r>
      <w:r w:rsidR="00AA36FE">
        <w:rPr>
          <w:noProof/>
        </w:rPr>
        <w:t>3</w:t>
      </w:r>
      <w:r w:rsidR="00AA36FE">
        <w:t>.</w:t>
      </w:r>
      <w:r w:rsidR="00AA36FE">
        <w:rPr>
          <w:noProof/>
        </w:rPr>
        <w:t>2</w:t>
      </w:r>
      <w:r w:rsidRPr="00F53504">
        <w:fldChar w:fldCharType="end"/>
      </w:r>
      <w:r w:rsidRPr="00F53504">
        <w:t>). In total, between 1 July 2014 to 31 December 2015, of the 648 job seekers with approved relocation agreements, 620 (96 pe</w:t>
      </w:r>
      <w:r w:rsidR="00A826C0">
        <w:t>r cent) successfully relocated.</w:t>
      </w:r>
    </w:p>
    <w:p w14:paraId="36457856" w14:textId="744CED0A" w:rsidR="00E221F5" w:rsidRPr="00F53504" w:rsidRDefault="00E221F5" w:rsidP="00E221F5">
      <w:r w:rsidRPr="00F53504">
        <w:t>The likelihood of successful relocation did not differ greatly between different streams</w:t>
      </w:r>
      <w:r w:rsidR="00EA5EA4" w:rsidRPr="00F53504">
        <w:rPr>
          <w:rStyle w:val="FootnoteReference"/>
        </w:rPr>
        <w:footnoteReference w:id="14"/>
      </w:r>
      <w:r w:rsidRPr="00F53504">
        <w:t xml:space="preserve"> varying </w:t>
      </w:r>
      <w:proofErr w:type="gramStart"/>
      <w:r w:rsidRPr="00F53504">
        <w:t>between 9</w:t>
      </w:r>
      <w:r w:rsidR="00F02197" w:rsidRPr="00F53504">
        <w:t>4</w:t>
      </w:r>
      <w:r w:rsidRPr="00F53504">
        <w:t xml:space="preserve"> per cent for Stream 4 participants to 98 per cent for Stream 1 participants under the JSA contract</w:t>
      </w:r>
      <w:proofErr w:type="gramEnd"/>
      <w:r w:rsidRPr="00F53504">
        <w:t>. Under the jobactive contract, all Stream C participants successfully relocated while 9</w:t>
      </w:r>
      <w:r w:rsidR="00F02197" w:rsidRPr="00F53504">
        <w:t>6</w:t>
      </w:r>
      <w:r w:rsidR="00D91A50">
        <w:t> </w:t>
      </w:r>
      <w:r w:rsidRPr="00F53504">
        <w:t>per</w:t>
      </w:r>
      <w:r w:rsidR="00D91A50">
        <w:t> </w:t>
      </w:r>
      <w:r w:rsidRPr="00F53504">
        <w:t>cent and 94 per cent of Streams A and B participants respe</w:t>
      </w:r>
      <w:r w:rsidR="00A826C0">
        <w:t>ctively successfully relocated.</w:t>
      </w:r>
    </w:p>
    <w:p w14:paraId="222656A8" w14:textId="7960B6FF" w:rsidR="00E221F5" w:rsidRPr="00F53504" w:rsidRDefault="00245ACA" w:rsidP="00145370">
      <w:pPr>
        <w:pStyle w:val="Caption"/>
        <w:keepLines/>
      </w:pPr>
      <w:bookmarkStart w:id="52" w:name="_Ref483918110"/>
      <w:r w:rsidRPr="00F53504">
        <w:lastRenderedPageBreak/>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1</w:t>
      </w:r>
      <w:r w:rsidR="00AA36FE">
        <w:rPr>
          <w:noProof/>
        </w:rPr>
        <w:fldChar w:fldCharType="end"/>
      </w:r>
      <w:bookmarkEnd w:id="52"/>
      <w:r w:rsidR="00E221F5" w:rsidRPr="00F53504">
        <w:t xml:space="preserve">: Number of </w:t>
      </w:r>
      <w:r w:rsidR="007168D3" w:rsidRPr="00F53504">
        <w:t>job seekers with approved agreements</w:t>
      </w:r>
      <w:r w:rsidR="00E221F5" w:rsidRPr="00F53504">
        <w:t xml:space="preserve"> by relocation status and stream – JSA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8"/>
        <w:gridCol w:w="1854"/>
        <w:gridCol w:w="1856"/>
        <w:gridCol w:w="1634"/>
        <w:gridCol w:w="1634"/>
      </w:tblGrid>
      <w:tr w:rsidR="00E221F5" w:rsidRPr="00F53504" w14:paraId="2F4F2A8B" w14:textId="77777777" w:rsidTr="002D31C0">
        <w:trPr>
          <w:trHeight w:val="340"/>
          <w:tblHeader/>
        </w:trPr>
        <w:tc>
          <w:tcPr>
            <w:tcW w:w="1809" w:type="dxa"/>
            <w:shd w:val="clear" w:color="auto" w:fill="1E3D6B"/>
            <w:vAlign w:val="bottom"/>
          </w:tcPr>
          <w:p w14:paraId="33D73596" w14:textId="77777777" w:rsidR="00E221F5" w:rsidRPr="00F53504" w:rsidRDefault="00E221F5" w:rsidP="00145370">
            <w:pPr>
              <w:pStyle w:val="Tableheadingleftcolumn"/>
              <w:keepNext/>
              <w:keepLines/>
            </w:pPr>
            <w:r w:rsidRPr="00F53504">
              <w:t>Stream</w:t>
            </w:r>
          </w:p>
        </w:tc>
        <w:tc>
          <w:tcPr>
            <w:tcW w:w="1638" w:type="dxa"/>
            <w:shd w:val="clear" w:color="auto" w:fill="1E3D6B"/>
            <w:vAlign w:val="bottom"/>
          </w:tcPr>
          <w:p w14:paraId="622F8B10" w14:textId="77777777" w:rsidR="00E221F5" w:rsidRPr="00F53504" w:rsidRDefault="00E221F5" w:rsidP="00145370">
            <w:pPr>
              <w:pStyle w:val="Tableheadingrightcolumn"/>
              <w:keepNext/>
              <w:keepLines/>
            </w:pPr>
            <w:r w:rsidRPr="00F53504">
              <w:t>Relocated</w:t>
            </w:r>
            <w:r w:rsidR="00FD514B" w:rsidRPr="00F53504">
              <w:rPr>
                <w:vertAlign w:val="superscript"/>
              </w:rPr>
              <w:t>(a)</w:t>
            </w:r>
            <w:r w:rsidRPr="00F53504">
              <w:br/>
              <w:t>(number)</w:t>
            </w:r>
          </w:p>
        </w:tc>
        <w:tc>
          <w:tcPr>
            <w:tcW w:w="1640" w:type="dxa"/>
            <w:shd w:val="clear" w:color="auto" w:fill="1E3D6B"/>
            <w:vAlign w:val="bottom"/>
          </w:tcPr>
          <w:p w14:paraId="54F6E144" w14:textId="77777777" w:rsidR="00E221F5" w:rsidRPr="00F53504" w:rsidRDefault="00E221F5" w:rsidP="00145370">
            <w:pPr>
              <w:pStyle w:val="Tableheadingrightcolumn"/>
              <w:keepNext/>
              <w:keepLines/>
            </w:pPr>
            <w:r w:rsidRPr="00F53504">
              <w:t>Not relocated</w:t>
            </w:r>
            <w:r w:rsidRPr="00F53504">
              <w:br/>
              <w:t>(number)</w:t>
            </w:r>
          </w:p>
        </w:tc>
        <w:tc>
          <w:tcPr>
            <w:tcW w:w="1444" w:type="dxa"/>
            <w:shd w:val="clear" w:color="auto" w:fill="1E3D6B"/>
            <w:vAlign w:val="bottom"/>
          </w:tcPr>
          <w:p w14:paraId="1E2CE298" w14:textId="77777777" w:rsidR="00E221F5" w:rsidRPr="00F53504" w:rsidRDefault="00E221F5" w:rsidP="00145370">
            <w:pPr>
              <w:pStyle w:val="Tableheadingrightcolumn"/>
              <w:keepNext/>
              <w:keepLines/>
            </w:pPr>
            <w:r w:rsidRPr="00F53504">
              <w:t>Total</w:t>
            </w:r>
            <w:r w:rsidRPr="00F53504">
              <w:br/>
              <w:t>(number)</w:t>
            </w:r>
          </w:p>
        </w:tc>
        <w:tc>
          <w:tcPr>
            <w:tcW w:w="1444" w:type="dxa"/>
            <w:shd w:val="clear" w:color="auto" w:fill="1E3D6B"/>
            <w:vAlign w:val="bottom"/>
          </w:tcPr>
          <w:p w14:paraId="3AFDA27B" w14:textId="77777777" w:rsidR="00E221F5" w:rsidRPr="00F53504" w:rsidRDefault="00E221F5" w:rsidP="00145370">
            <w:pPr>
              <w:pStyle w:val="Tableheadingrightcolumn"/>
              <w:keepNext/>
              <w:keepLines/>
            </w:pPr>
            <w:r w:rsidRPr="00F53504">
              <w:t>Percentage relocated</w:t>
            </w:r>
          </w:p>
        </w:tc>
      </w:tr>
      <w:tr w:rsidR="00E221F5" w:rsidRPr="00F53504" w14:paraId="3FE497EF" w14:textId="77777777" w:rsidTr="002D31C0">
        <w:trPr>
          <w:trHeight w:val="340"/>
        </w:trPr>
        <w:tc>
          <w:tcPr>
            <w:tcW w:w="1809" w:type="dxa"/>
            <w:vAlign w:val="bottom"/>
          </w:tcPr>
          <w:p w14:paraId="0B1FD284" w14:textId="77777777" w:rsidR="00E221F5" w:rsidRPr="00F53504" w:rsidRDefault="00E221F5" w:rsidP="00145370">
            <w:pPr>
              <w:pStyle w:val="Tablecontentleftcolumn"/>
              <w:keepNext/>
              <w:keepLines/>
            </w:pPr>
            <w:r w:rsidRPr="00F53504">
              <w:t>Stream 1</w:t>
            </w:r>
          </w:p>
        </w:tc>
        <w:tc>
          <w:tcPr>
            <w:tcW w:w="1638" w:type="dxa"/>
            <w:vAlign w:val="bottom"/>
          </w:tcPr>
          <w:p w14:paraId="5EDBD862" w14:textId="77777777" w:rsidR="00E221F5" w:rsidRPr="00F53504" w:rsidRDefault="00DD4506" w:rsidP="00145370">
            <w:pPr>
              <w:pStyle w:val="Tablecontentrightcolumn"/>
              <w:keepNext/>
              <w:keepLines/>
            </w:pPr>
            <w:r w:rsidRPr="00F53504">
              <w:t>62</w:t>
            </w:r>
          </w:p>
        </w:tc>
        <w:tc>
          <w:tcPr>
            <w:tcW w:w="1640" w:type="dxa"/>
            <w:vAlign w:val="bottom"/>
          </w:tcPr>
          <w:p w14:paraId="33091DEA" w14:textId="77777777" w:rsidR="00E221F5" w:rsidRPr="00F53504" w:rsidRDefault="00E221F5" w:rsidP="00145370">
            <w:pPr>
              <w:pStyle w:val="Tablecontentrightcolumn"/>
              <w:keepNext/>
              <w:keepLines/>
            </w:pPr>
            <w:r w:rsidRPr="00F53504">
              <w:t>1</w:t>
            </w:r>
          </w:p>
        </w:tc>
        <w:tc>
          <w:tcPr>
            <w:tcW w:w="1444" w:type="dxa"/>
            <w:vAlign w:val="bottom"/>
          </w:tcPr>
          <w:p w14:paraId="7FCD6C93" w14:textId="77777777" w:rsidR="00E221F5" w:rsidRPr="00F53504" w:rsidRDefault="00E221F5" w:rsidP="00145370">
            <w:pPr>
              <w:pStyle w:val="Tablecontentrightcolumn"/>
              <w:keepNext/>
              <w:keepLines/>
            </w:pPr>
            <w:r w:rsidRPr="00F53504">
              <w:t>6</w:t>
            </w:r>
            <w:r w:rsidR="00617346" w:rsidRPr="00F53504">
              <w:t>3</w:t>
            </w:r>
          </w:p>
        </w:tc>
        <w:tc>
          <w:tcPr>
            <w:tcW w:w="1444" w:type="dxa"/>
            <w:vAlign w:val="bottom"/>
          </w:tcPr>
          <w:p w14:paraId="06CB4A0D" w14:textId="77777777" w:rsidR="00E221F5" w:rsidRPr="00F53504" w:rsidRDefault="00E221F5" w:rsidP="00145370">
            <w:pPr>
              <w:pStyle w:val="Tablecontentrightcolumn"/>
              <w:keepNext/>
              <w:keepLines/>
            </w:pPr>
            <w:r w:rsidRPr="00F53504">
              <w:t>98.4</w:t>
            </w:r>
          </w:p>
        </w:tc>
      </w:tr>
      <w:tr w:rsidR="00E221F5" w:rsidRPr="00F53504" w14:paraId="75554588" w14:textId="77777777" w:rsidTr="002D31C0">
        <w:trPr>
          <w:trHeight w:val="340"/>
        </w:trPr>
        <w:tc>
          <w:tcPr>
            <w:tcW w:w="1809" w:type="dxa"/>
            <w:shd w:val="clear" w:color="auto" w:fill="F2F2F2" w:themeFill="background2" w:themeFillShade="F2"/>
            <w:vAlign w:val="bottom"/>
          </w:tcPr>
          <w:p w14:paraId="3FA5830B" w14:textId="77777777" w:rsidR="00E221F5" w:rsidRPr="00F53504" w:rsidRDefault="00E221F5" w:rsidP="00145370">
            <w:pPr>
              <w:pStyle w:val="Tablecontentleftcolumn"/>
              <w:keepNext/>
              <w:keepLines/>
            </w:pPr>
            <w:r w:rsidRPr="00F53504">
              <w:t>Stream 2</w:t>
            </w:r>
          </w:p>
        </w:tc>
        <w:tc>
          <w:tcPr>
            <w:tcW w:w="1638" w:type="dxa"/>
            <w:shd w:val="clear" w:color="auto" w:fill="F2F2F2" w:themeFill="background2" w:themeFillShade="F2"/>
            <w:vAlign w:val="bottom"/>
          </w:tcPr>
          <w:p w14:paraId="4BA100F5" w14:textId="77777777" w:rsidR="00E221F5" w:rsidRPr="00F53504" w:rsidRDefault="006F5B9D" w:rsidP="00145370">
            <w:pPr>
              <w:pStyle w:val="Tablecontentrightcolumn"/>
              <w:keepNext/>
              <w:keepLines/>
            </w:pPr>
            <w:r w:rsidRPr="00F53504">
              <w:t>135</w:t>
            </w:r>
          </w:p>
        </w:tc>
        <w:tc>
          <w:tcPr>
            <w:tcW w:w="1640" w:type="dxa"/>
            <w:shd w:val="clear" w:color="auto" w:fill="F2F2F2" w:themeFill="background2" w:themeFillShade="F2"/>
            <w:vAlign w:val="bottom"/>
          </w:tcPr>
          <w:p w14:paraId="7AAE872D" w14:textId="77777777" w:rsidR="00E221F5" w:rsidRPr="00F53504" w:rsidRDefault="00E221F5" w:rsidP="00145370">
            <w:pPr>
              <w:pStyle w:val="Tablecontentrightcolumn"/>
              <w:keepNext/>
              <w:keepLines/>
            </w:pPr>
            <w:r w:rsidRPr="00F53504">
              <w:t>6</w:t>
            </w:r>
          </w:p>
        </w:tc>
        <w:tc>
          <w:tcPr>
            <w:tcW w:w="1444" w:type="dxa"/>
            <w:shd w:val="clear" w:color="auto" w:fill="F2F2F2" w:themeFill="background2" w:themeFillShade="F2"/>
            <w:vAlign w:val="bottom"/>
          </w:tcPr>
          <w:p w14:paraId="1484B0D4" w14:textId="77777777" w:rsidR="00E221F5" w:rsidRPr="00F53504" w:rsidRDefault="006F5B9D" w:rsidP="00145370">
            <w:pPr>
              <w:pStyle w:val="Tablecontentrightcolumn"/>
              <w:keepNext/>
              <w:keepLines/>
            </w:pPr>
            <w:r w:rsidRPr="00F53504">
              <w:t>141</w:t>
            </w:r>
          </w:p>
        </w:tc>
        <w:tc>
          <w:tcPr>
            <w:tcW w:w="1444" w:type="dxa"/>
            <w:shd w:val="clear" w:color="auto" w:fill="F2F2F2" w:themeFill="background2" w:themeFillShade="F2"/>
            <w:vAlign w:val="bottom"/>
          </w:tcPr>
          <w:p w14:paraId="418062A6" w14:textId="77777777" w:rsidR="00E221F5" w:rsidRPr="00F53504" w:rsidRDefault="006F5B9D" w:rsidP="00145370">
            <w:pPr>
              <w:pStyle w:val="Tablecontentrightcolumn"/>
              <w:keepNext/>
              <w:keepLines/>
            </w:pPr>
            <w:r w:rsidRPr="00F53504">
              <w:t>95.7</w:t>
            </w:r>
          </w:p>
        </w:tc>
      </w:tr>
      <w:tr w:rsidR="00E221F5" w:rsidRPr="00F53504" w14:paraId="4B1E9CE4" w14:textId="77777777" w:rsidTr="002D31C0">
        <w:trPr>
          <w:trHeight w:val="340"/>
        </w:trPr>
        <w:tc>
          <w:tcPr>
            <w:tcW w:w="1809" w:type="dxa"/>
            <w:vAlign w:val="bottom"/>
          </w:tcPr>
          <w:p w14:paraId="63595A54" w14:textId="77777777" w:rsidR="00E221F5" w:rsidRPr="00F53504" w:rsidRDefault="00E221F5" w:rsidP="00145370">
            <w:pPr>
              <w:pStyle w:val="Tablecontentleftcolumn"/>
              <w:keepNext/>
              <w:keepLines/>
            </w:pPr>
            <w:r w:rsidRPr="00F53504">
              <w:t>Stream 3</w:t>
            </w:r>
          </w:p>
        </w:tc>
        <w:tc>
          <w:tcPr>
            <w:tcW w:w="1638" w:type="dxa"/>
            <w:vAlign w:val="bottom"/>
          </w:tcPr>
          <w:p w14:paraId="75EB4651" w14:textId="77777777" w:rsidR="00E221F5" w:rsidRPr="00F53504" w:rsidRDefault="00DD4506" w:rsidP="00145370">
            <w:pPr>
              <w:pStyle w:val="Tablecontentrightcolumn"/>
              <w:keepNext/>
              <w:keepLines/>
            </w:pPr>
            <w:r w:rsidRPr="00F53504">
              <w:t>10</w:t>
            </w:r>
            <w:r w:rsidR="006F5B9D" w:rsidRPr="00F53504">
              <w:t>2</w:t>
            </w:r>
          </w:p>
        </w:tc>
        <w:tc>
          <w:tcPr>
            <w:tcW w:w="1640" w:type="dxa"/>
            <w:vAlign w:val="bottom"/>
          </w:tcPr>
          <w:p w14:paraId="5DF590A7" w14:textId="77777777" w:rsidR="00E221F5" w:rsidRPr="00F53504" w:rsidRDefault="00E221F5" w:rsidP="00145370">
            <w:pPr>
              <w:pStyle w:val="Tablecontentrightcolumn"/>
              <w:keepNext/>
              <w:keepLines/>
            </w:pPr>
            <w:r w:rsidRPr="00F53504">
              <w:t>5</w:t>
            </w:r>
          </w:p>
        </w:tc>
        <w:tc>
          <w:tcPr>
            <w:tcW w:w="1444" w:type="dxa"/>
            <w:vAlign w:val="bottom"/>
          </w:tcPr>
          <w:p w14:paraId="30BB40FE" w14:textId="77777777" w:rsidR="00E221F5" w:rsidRPr="00F53504" w:rsidRDefault="00E221F5" w:rsidP="00145370">
            <w:pPr>
              <w:pStyle w:val="Tablecontentrightcolumn"/>
              <w:keepNext/>
              <w:keepLines/>
            </w:pPr>
            <w:r w:rsidRPr="00F53504">
              <w:t>10</w:t>
            </w:r>
            <w:r w:rsidR="006F5B9D" w:rsidRPr="00F53504">
              <w:t>7</w:t>
            </w:r>
          </w:p>
        </w:tc>
        <w:tc>
          <w:tcPr>
            <w:tcW w:w="1444" w:type="dxa"/>
            <w:vAlign w:val="bottom"/>
          </w:tcPr>
          <w:p w14:paraId="1AB92073" w14:textId="77777777" w:rsidR="00E221F5" w:rsidRPr="00F53504" w:rsidRDefault="00E221F5" w:rsidP="00145370">
            <w:pPr>
              <w:pStyle w:val="Tablecontentrightcolumn"/>
              <w:keepNext/>
              <w:keepLines/>
            </w:pPr>
            <w:r w:rsidRPr="00F53504">
              <w:t>95.3</w:t>
            </w:r>
          </w:p>
        </w:tc>
      </w:tr>
      <w:tr w:rsidR="00E221F5" w:rsidRPr="00F53504" w14:paraId="014C2BCD" w14:textId="77777777" w:rsidTr="002D31C0">
        <w:trPr>
          <w:trHeight w:val="340"/>
        </w:trPr>
        <w:tc>
          <w:tcPr>
            <w:tcW w:w="1809" w:type="dxa"/>
            <w:shd w:val="clear" w:color="auto" w:fill="F2F2F2" w:themeFill="background2" w:themeFillShade="F2"/>
            <w:vAlign w:val="bottom"/>
          </w:tcPr>
          <w:p w14:paraId="7075AABF" w14:textId="77777777" w:rsidR="00E221F5" w:rsidRPr="00F53504" w:rsidRDefault="00E221F5" w:rsidP="00145370">
            <w:pPr>
              <w:pStyle w:val="Tablecontentleftcolumn"/>
              <w:keepNext/>
              <w:keepLines/>
            </w:pPr>
            <w:r w:rsidRPr="00F53504">
              <w:t>Stream 4</w:t>
            </w:r>
          </w:p>
        </w:tc>
        <w:tc>
          <w:tcPr>
            <w:tcW w:w="1638" w:type="dxa"/>
            <w:shd w:val="clear" w:color="auto" w:fill="F2F2F2" w:themeFill="background2" w:themeFillShade="F2"/>
            <w:vAlign w:val="bottom"/>
          </w:tcPr>
          <w:p w14:paraId="6D244C02" w14:textId="77777777" w:rsidR="00E221F5" w:rsidRPr="00F53504" w:rsidRDefault="00E221F5" w:rsidP="00145370">
            <w:pPr>
              <w:pStyle w:val="Tablecontentrightcolumn"/>
              <w:keepNext/>
              <w:keepLines/>
            </w:pPr>
            <w:r w:rsidRPr="00F53504">
              <w:t>90</w:t>
            </w:r>
          </w:p>
        </w:tc>
        <w:tc>
          <w:tcPr>
            <w:tcW w:w="1640" w:type="dxa"/>
            <w:shd w:val="clear" w:color="auto" w:fill="F2F2F2" w:themeFill="background2" w:themeFillShade="F2"/>
            <w:vAlign w:val="bottom"/>
          </w:tcPr>
          <w:p w14:paraId="2484D4DA" w14:textId="77777777" w:rsidR="00E221F5" w:rsidRPr="00F53504" w:rsidRDefault="00E221F5" w:rsidP="00145370">
            <w:pPr>
              <w:pStyle w:val="Tablecontentrightcolumn"/>
              <w:keepNext/>
              <w:keepLines/>
            </w:pPr>
            <w:r w:rsidRPr="00F53504">
              <w:t>6</w:t>
            </w:r>
          </w:p>
        </w:tc>
        <w:tc>
          <w:tcPr>
            <w:tcW w:w="1444" w:type="dxa"/>
            <w:shd w:val="clear" w:color="auto" w:fill="F2F2F2" w:themeFill="background2" w:themeFillShade="F2"/>
            <w:vAlign w:val="bottom"/>
          </w:tcPr>
          <w:p w14:paraId="16E666DF" w14:textId="77777777" w:rsidR="00E221F5" w:rsidRPr="00F53504" w:rsidRDefault="00E221F5" w:rsidP="00145370">
            <w:pPr>
              <w:pStyle w:val="Tablecontentrightcolumn"/>
              <w:keepNext/>
              <w:keepLines/>
            </w:pPr>
            <w:r w:rsidRPr="00F53504">
              <w:t>96</w:t>
            </w:r>
          </w:p>
        </w:tc>
        <w:tc>
          <w:tcPr>
            <w:tcW w:w="1444" w:type="dxa"/>
            <w:shd w:val="clear" w:color="auto" w:fill="F2F2F2" w:themeFill="background2" w:themeFillShade="F2"/>
            <w:vAlign w:val="bottom"/>
          </w:tcPr>
          <w:p w14:paraId="20052AEB" w14:textId="77777777" w:rsidR="00E221F5" w:rsidRPr="00F53504" w:rsidRDefault="00E221F5" w:rsidP="00145370">
            <w:pPr>
              <w:pStyle w:val="Tablecontentrightcolumn"/>
              <w:keepNext/>
              <w:keepLines/>
            </w:pPr>
            <w:r w:rsidRPr="00F53504">
              <w:t>93.8</w:t>
            </w:r>
          </w:p>
        </w:tc>
      </w:tr>
      <w:tr w:rsidR="00E221F5" w:rsidRPr="00F53504" w14:paraId="26EA264D" w14:textId="77777777" w:rsidTr="002D31C0">
        <w:trPr>
          <w:trHeight w:val="340"/>
        </w:trPr>
        <w:tc>
          <w:tcPr>
            <w:tcW w:w="1809" w:type="dxa"/>
            <w:shd w:val="clear" w:color="auto" w:fill="8EAEDE"/>
            <w:vAlign w:val="bottom"/>
          </w:tcPr>
          <w:p w14:paraId="62391450" w14:textId="77777777" w:rsidR="00E221F5" w:rsidRPr="00F53504" w:rsidRDefault="00E221F5" w:rsidP="00145370">
            <w:pPr>
              <w:pStyle w:val="Tablecontentleftcolumn"/>
              <w:keepNext/>
              <w:keepLines/>
            </w:pPr>
            <w:r w:rsidRPr="00F53504">
              <w:t>Total</w:t>
            </w:r>
          </w:p>
        </w:tc>
        <w:tc>
          <w:tcPr>
            <w:tcW w:w="1638" w:type="dxa"/>
            <w:shd w:val="clear" w:color="auto" w:fill="8EAEDE"/>
            <w:vAlign w:val="bottom"/>
          </w:tcPr>
          <w:p w14:paraId="42CD2DC9" w14:textId="77777777" w:rsidR="00E221F5" w:rsidRPr="00F53504" w:rsidRDefault="00DD4506" w:rsidP="00145370">
            <w:pPr>
              <w:pStyle w:val="Tablecontentrightcolumn"/>
              <w:keepNext/>
              <w:keepLines/>
            </w:pPr>
            <w:r w:rsidRPr="00F53504">
              <w:t>389</w:t>
            </w:r>
          </w:p>
        </w:tc>
        <w:tc>
          <w:tcPr>
            <w:tcW w:w="1640" w:type="dxa"/>
            <w:shd w:val="clear" w:color="auto" w:fill="8EAEDE"/>
            <w:vAlign w:val="bottom"/>
          </w:tcPr>
          <w:p w14:paraId="54624C76" w14:textId="77777777" w:rsidR="00E221F5" w:rsidRPr="00F53504" w:rsidRDefault="00E221F5" w:rsidP="00145370">
            <w:pPr>
              <w:pStyle w:val="Tablecontentrightcolumn"/>
              <w:keepNext/>
              <w:keepLines/>
            </w:pPr>
            <w:r w:rsidRPr="00F53504">
              <w:t>18</w:t>
            </w:r>
          </w:p>
        </w:tc>
        <w:tc>
          <w:tcPr>
            <w:tcW w:w="1444" w:type="dxa"/>
            <w:shd w:val="clear" w:color="auto" w:fill="8EAEDE"/>
            <w:vAlign w:val="bottom"/>
          </w:tcPr>
          <w:p w14:paraId="5A1C3FE7" w14:textId="77777777" w:rsidR="00E221F5" w:rsidRPr="00F53504" w:rsidRDefault="00E221F5" w:rsidP="00145370">
            <w:pPr>
              <w:pStyle w:val="Tablecontentrightcolumn"/>
              <w:keepNext/>
              <w:keepLines/>
            </w:pPr>
            <w:r w:rsidRPr="00F53504">
              <w:t>40</w:t>
            </w:r>
            <w:r w:rsidR="00617346" w:rsidRPr="00F53504">
              <w:t>7</w:t>
            </w:r>
          </w:p>
        </w:tc>
        <w:tc>
          <w:tcPr>
            <w:tcW w:w="1444" w:type="dxa"/>
            <w:shd w:val="clear" w:color="auto" w:fill="8EAEDE"/>
            <w:vAlign w:val="bottom"/>
          </w:tcPr>
          <w:p w14:paraId="08CC767C" w14:textId="77777777" w:rsidR="00E221F5" w:rsidRPr="00F53504" w:rsidRDefault="00E221F5" w:rsidP="00145370">
            <w:pPr>
              <w:pStyle w:val="Tablecontentrightcolumn"/>
              <w:keepNext/>
              <w:keepLines/>
            </w:pPr>
            <w:r w:rsidRPr="00F53504">
              <w:t>95.6</w:t>
            </w:r>
          </w:p>
        </w:tc>
      </w:tr>
    </w:tbl>
    <w:p w14:paraId="7FCC14BC" w14:textId="77777777" w:rsidR="00FD514B" w:rsidRPr="00F53504" w:rsidRDefault="00FD514B" w:rsidP="00145370">
      <w:pPr>
        <w:pStyle w:val="Source"/>
        <w:keepNext/>
        <w:keepLines/>
      </w:pPr>
      <w:r w:rsidRPr="00F53504">
        <w:t>(a) A relocated job seeker is one with an approved relocation agreement and a confirmed job placement.</w:t>
      </w:r>
    </w:p>
    <w:p w14:paraId="0565BBC3" w14:textId="4FEA0687" w:rsidR="00145370" w:rsidRPr="00145370" w:rsidRDefault="00E221F5" w:rsidP="004F546D">
      <w:pPr>
        <w:pStyle w:val="Source"/>
        <w:keepNext/>
        <w:keepLines/>
        <w:spacing w:after="480"/>
      </w:pPr>
      <w:r w:rsidRPr="00F53504">
        <w:rPr>
          <w:b/>
        </w:rPr>
        <w:t xml:space="preserve">Source: </w:t>
      </w:r>
      <w:r w:rsidR="007168D3" w:rsidRPr="00F53504">
        <w:t xml:space="preserve">EBIW </w:t>
      </w:r>
      <w:r w:rsidRPr="00F53504">
        <w:t>data.</w:t>
      </w:r>
    </w:p>
    <w:p w14:paraId="2AE0E5BB" w14:textId="4B1260FA" w:rsidR="00E221F5" w:rsidRPr="00F53504" w:rsidRDefault="00E221F5" w:rsidP="00C2342F">
      <w:pPr>
        <w:pStyle w:val="Caption"/>
      </w:pPr>
      <w:bookmarkStart w:id="53" w:name="_Ref454355445"/>
      <w:r w:rsidRPr="00F53504">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2</w:t>
      </w:r>
      <w:r w:rsidR="00AA36FE">
        <w:rPr>
          <w:noProof/>
        </w:rPr>
        <w:fldChar w:fldCharType="end"/>
      </w:r>
      <w:bookmarkEnd w:id="53"/>
      <w:r w:rsidRPr="00F53504">
        <w:t xml:space="preserve">: Number of </w:t>
      </w:r>
      <w:r w:rsidR="007168D3" w:rsidRPr="00F53504">
        <w:t>job seekers with approved agreements</w:t>
      </w:r>
      <w:r w:rsidRPr="00F53504">
        <w:t xml:space="preserve"> by relocation status and stream – jobactive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8"/>
        <w:gridCol w:w="1854"/>
        <w:gridCol w:w="1856"/>
        <w:gridCol w:w="1634"/>
        <w:gridCol w:w="1634"/>
      </w:tblGrid>
      <w:tr w:rsidR="00E221F5" w:rsidRPr="00F53504" w14:paraId="5F5398A0" w14:textId="77777777" w:rsidTr="00FD514B">
        <w:trPr>
          <w:trHeight w:val="340"/>
          <w:tblHeader/>
        </w:trPr>
        <w:tc>
          <w:tcPr>
            <w:tcW w:w="2097" w:type="dxa"/>
            <w:shd w:val="clear" w:color="auto" w:fill="1E3D6B"/>
            <w:vAlign w:val="bottom"/>
          </w:tcPr>
          <w:p w14:paraId="10DA1220" w14:textId="77777777" w:rsidR="00E221F5" w:rsidRPr="00F53504" w:rsidRDefault="00E221F5" w:rsidP="00130ED6">
            <w:pPr>
              <w:pStyle w:val="Tableheadingleftcolumn"/>
            </w:pPr>
            <w:r w:rsidRPr="00F53504">
              <w:t>Stream</w:t>
            </w:r>
          </w:p>
        </w:tc>
        <w:tc>
          <w:tcPr>
            <w:tcW w:w="1898" w:type="dxa"/>
            <w:shd w:val="clear" w:color="auto" w:fill="1E3D6B"/>
            <w:vAlign w:val="bottom"/>
          </w:tcPr>
          <w:p w14:paraId="18F60B47" w14:textId="77777777" w:rsidR="00E221F5" w:rsidRPr="00F53504" w:rsidRDefault="00E221F5" w:rsidP="00130ED6">
            <w:pPr>
              <w:pStyle w:val="Tableheadingrightcolumn"/>
            </w:pPr>
            <w:r w:rsidRPr="00F53504">
              <w:t>Relocated</w:t>
            </w:r>
            <w:r w:rsidR="00FD514B" w:rsidRPr="00F53504">
              <w:rPr>
                <w:vertAlign w:val="superscript"/>
              </w:rPr>
              <w:t>(a)</w:t>
            </w:r>
            <w:r w:rsidRPr="00F53504">
              <w:br/>
              <w:t>(number)</w:t>
            </w:r>
          </w:p>
        </w:tc>
        <w:tc>
          <w:tcPr>
            <w:tcW w:w="1901" w:type="dxa"/>
            <w:shd w:val="clear" w:color="auto" w:fill="1E3D6B"/>
            <w:vAlign w:val="bottom"/>
          </w:tcPr>
          <w:p w14:paraId="321B585E" w14:textId="77777777" w:rsidR="00E221F5" w:rsidRPr="00F53504" w:rsidRDefault="00E221F5" w:rsidP="00130ED6">
            <w:pPr>
              <w:pStyle w:val="Tableheadingrightcolumn"/>
            </w:pPr>
            <w:r w:rsidRPr="00F53504">
              <w:t>Not relocated</w:t>
            </w:r>
            <w:r w:rsidRPr="00F53504">
              <w:br/>
              <w:t>(number)</w:t>
            </w:r>
          </w:p>
        </w:tc>
        <w:tc>
          <w:tcPr>
            <w:tcW w:w="1673" w:type="dxa"/>
            <w:shd w:val="clear" w:color="auto" w:fill="1E3D6B"/>
            <w:vAlign w:val="bottom"/>
          </w:tcPr>
          <w:p w14:paraId="5E19E31E" w14:textId="77777777" w:rsidR="00E221F5" w:rsidRPr="00F53504" w:rsidRDefault="00E221F5" w:rsidP="00130ED6">
            <w:pPr>
              <w:pStyle w:val="Tableheadingrightcolumn"/>
            </w:pPr>
            <w:r w:rsidRPr="00F53504">
              <w:t>Total</w:t>
            </w:r>
            <w:r w:rsidRPr="00F53504">
              <w:br/>
              <w:t>(number)</w:t>
            </w:r>
          </w:p>
        </w:tc>
        <w:tc>
          <w:tcPr>
            <w:tcW w:w="1673" w:type="dxa"/>
            <w:shd w:val="clear" w:color="auto" w:fill="1E3D6B"/>
            <w:vAlign w:val="bottom"/>
          </w:tcPr>
          <w:p w14:paraId="222ACEFE" w14:textId="77777777" w:rsidR="00E221F5" w:rsidRPr="00F53504" w:rsidRDefault="00E221F5" w:rsidP="00E46AF1">
            <w:pPr>
              <w:pStyle w:val="Tableheadingrightcolumn"/>
            </w:pPr>
            <w:r w:rsidRPr="00F53504">
              <w:t>Percentage relocated</w:t>
            </w:r>
          </w:p>
        </w:tc>
      </w:tr>
      <w:tr w:rsidR="00E221F5" w:rsidRPr="00F53504" w14:paraId="1271C9AF" w14:textId="77777777" w:rsidTr="00FD514B">
        <w:trPr>
          <w:trHeight w:val="340"/>
        </w:trPr>
        <w:tc>
          <w:tcPr>
            <w:tcW w:w="2097" w:type="dxa"/>
            <w:vAlign w:val="bottom"/>
          </w:tcPr>
          <w:p w14:paraId="25130E5D" w14:textId="77777777" w:rsidR="00E221F5" w:rsidRPr="00F53504" w:rsidRDefault="00E221F5" w:rsidP="00130ED6">
            <w:pPr>
              <w:pStyle w:val="Tablecontentleftcolumn"/>
            </w:pPr>
            <w:r w:rsidRPr="00F53504">
              <w:t>Stream A</w:t>
            </w:r>
          </w:p>
        </w:tc>
        <w:tc>
          <w:tcPr>
            <w:tcW w:w="1898" w:type="dxa"/>
            <w:vAlign w:val="bottom"/>
          </w:tcPr>
          <w:p w14:paraId="671AD043" w14:textId="77777777" w:rsidR="00E221F5" w:rsidRPr="00F53504" w:rsidRDefault="00E221F5" w:rsidP="00130ED6">
            <w:pPr>
              <w:pStyle w:val="Tablecontentrightcolumn"/>
            </w:pPr>
            <w:r w:rsidRPr="00F53504">
              <w:t>106</w:t>
            </w:r>
          </w:p>
        </w:tc>
        <w:tc>
          <w:tcPr>
            <w:tcW w:w="1901" w:type="dxa"/>
            <w:vAlign w:val="bottom"/>
          </w:tcPr>
          <w:p w14:paraId="0AB48950" w14:textId="77777777" w:rsidR="00E221F5" w:rsidRPr="00F53504" w:rsidRDefault="00E221F5" w:rsidP="00130ED6">
            <w:pPr>
              <w:pStyle w:val="Tablecontentrightcolumn"/>
            </w:pPr>
            <w:r w:rsidRPr="00F53504">
              <w:t>5</w:t>
            </w:r>
          </w:p>
        </w:tc>
        <w:tc>
          <w:tcPr>
            <w:tcW w:w="1673" w:type="dxa"/>
            <w:vAlign w:val="bottom"/>
          </w:tcPr>
          <w:p w14:paraId="4B0475EA" w14:textId="77777777" w:rsidR="00E221F5" w:rsidRPr="00F53504" w:rsidRDefault="00E221F5" w:rsidP="00130ED6">
            <w:pPr>
              <w:pStyle w:val="Tablecontentrightcolumn"/>
            </w:pPr>
            <w:r w:rsidRPr="00F53504">
              <w:t>111</w:t>
            </w:r>
          </w:p>
        </w:tc>
        <w:tc>
          <w:tcPr>
            <w:tcW w:w="1673" w:type="dxa"/>
            <w:vAlign w:val="bottom"/>
          </w:tcPr>
          <w:p w14:paraId="052C6029" w14:textId="77777777" w:rsidR="00E221F5" w:rsidRPr="00F53504" w:rsidRDefault="00E221F5" w:rsidP="00130ED6">
            <w:pPr>
              <w:pStyle w:val="Tablecontentrightcolumn"/>
            </w:pPr>
            <w:r w:rsidRPr="00F53504">
              <w:t>95.5</w:t>
            </w:r>
          </w:p>
        </w:tc>
      </w:tr>
      <w:tr w:rsidR="00E221F5" w:rsidRPr="00F53504" w14:paraId="6BD55CF1" w14:textId="77777777" w:rsidTr="00FD514B">
        <w:trPr>
          <w:trHeight w:val="340"/>
        </w:trPr>
        <w:tc>
          <w:tcPr>
            <w:tcW w:w="2097" w:type="dxa"/>
            <w:shd w:val="clear" w:color="auto" w:fill="F2F2F2" w:themeFill="background2" w:themeFillShade="F2"/>
            <w:vAlign w:val="bottom"/>
          </w:tcPr>
          <w:p w14:paraId="3252E84F" w14:textId="77777777" w:rsidR="00E221F5" w:rsidRPr="00F53504" w:rsidRDefault="00E221F5" w:rsidP="00130ED6">
            <w:pPr>
              <w:pStyle w:val="Tablecontentleftcolumn"/>
            </w:pPr>
            <w:r w:rsidRPr="00F53504">
              <w:t>Stream B</w:t>
            </w:r>
          </w:p>
        </w:tc>
        <w:tc>
          <w:tcPr>
            <w:tcW w:w="1898" w:type="dxa"/>
            <w:shd w:val="clear" w:color="auto" w:fill="F2F2F2" w:themeFill="background2" w:themeFillShade="F2"/>
            <w:vAlign w:val="bottom"/>
          </w:tcPr>
          <w:p w14:paraId="31A6FF35" w14:textId="77777777" w:rsidR="00E221F5" w:rsidRPr="00F53504" w:rsidRDefault="00E221F5" w:rsidP="00130ED6">
            <w:pPr>
              <w:pStyle w:val="Tablecontentrightcolumn"/>
            </w:pPr>
            <w:r w:rsidRPr="00F53504">
              <w:t>82</w:t>
            </w:r>
          </w:p>
        </w:tc>
        <w:tc>
          <w:tcPr>
            <w:tcW w:w="1901" w:type="dxa"/>
            <w:shd w:val="clear" w:color="auto" w:fill="F2F2F2" w:themeFill="background2" w:themeFillShade="F2"/>
            <w:vAlign w:val="bottom"/>
          </w:tcPr>
          <w:p w14:paraId="6E996C4B" w14:textId="77777777" w:rsidR="00E221F5" w:rsidRPr="00F53504" w:rsidRDefault="00E221F5" w:rsidP="00130ED6">
            <w:pPr>
              <w:pStyle w:val="Tablecontentrightcolumn"/>
            </w:pPr>
            <w:r w:rsidRPr="00F53504">
              <w:t>5</w:t>
            </w:r>
          </w:p>
        </w:tc>
        <w:tc>
          <w:tcPr>
            <w:tcW w:w="1673" w:type="dxa"/>
            <w:shd w:val="clear" w:color="auto" w:fill="F2F2F2" w:themeFill="background2" w:themeFillShade="F2"/>
            <w:vAlign w:val="bottom"/>
          </w:tcPr>
          <w:p w14:paraId="0EDC637F" w14:textId="77777777" w:rsidR="00E221F5" w:rsidRPr="00F53504" w:rsidRDefault="00E221F5" w:rsidP="00130ED6">
            <w:pPr>
              <w:pStyle w:val="Tablecontentrightcolumn"/>
            </w:pPr>
            <w:r w:rsidRPr="00F53504">
              <w:t>87</w:t>
            </w:r>
          </w:p>
        </w:tc>
        <w:tc>
          <w:tcPr>
            <w:tcW w:w="1673" w:type="dxa"/>
            <w:shd w:val="clear" w:color="auto" w:fill="F2F2F2" w:themeFill="background2" w:themeFillShade="F2"/>
            <w:vAlign w:val="bottom"/>
          </w:tcPr>
          <w:p w14:paraId="37E1C87E" w14:textId="77777777" w:rsidR="00E221F5" w:rsidRPr="00F53504" w:rsidRDefault="00E221F5" w:rsidP="00130ED6">
            <w:pPr>
              <w:pStyle w:val="Tablecontentrightcolumn"/>
            </w:pPr>
            <w:r w:rsidRPr="00F53504">
              <w:t>94.3</w:t>
            </w:r>
          </w:p>
        </w:tc>
      </w:tr>
      <w:tr w:rsidR="00E221F5" w:rsidRPr="00F53504" w14:paraId="30E0AC67" w14:textId="77777777" w:rsidTr="00FD514B">
        <w:trPr>
          <w:trHeight w:val="340"/>
        </w:trPr>
        <w:tc>
          <w:tcPr>
            <w:tcW w:w="2097" w:type="dxa"/>
            <w:vAlign w:val="bottom"/>
          </w:tcPr>
          <w:p w14:paraId="735B7B37" w14:textId="77777777" w:rsidR="00E221F5" w:rsidRPr="00F53504" w:rsidRDefault="00E221F5" w:rsidP="00130ED6">
            <w:pPr>
              <w:pStyle w:val="Tablecontentleftcolumn"/>
            </w:pPr>
            <w:r w:rsidRPr="00F53504">
              <w:t>Stream C</w:t>
            </w:r>
          </w:p>
        </w:tc>
        <w:tc>
          <w:tcPr>
            <w:tcW w:w="1898" w:type="dxa"/>
            <w:vAlign w:val="bottom"/>
          </w:tcPr>
          <w:p w14:paraId="1792DBF4" w14:textId="77777777" w:rsidR="00E221F5" w:rsidRPr="00F53504" w:rsidRDefault="00E221F5" w:rsidP="00130ED6">
            <w:pPr>
              <w:pStyle w:val="Tablecontentrightcolumn"/>
            </w:pPr>
            <w:r w:rsidRPr="00F53504">
              <w:t>43</w:t>
            </w:r>
          </w:p>
        </w:tc>
        <w:tc>
          <w:tcPr>
            <w:tcW w:w="1901" w:type="dxa"/>
            <w:vAlign w:val="bottom"/>
          </w:tcPr>
          <w:p w14:paraId="780CD390" w14:textId="77777777" w:rsidR="00E221F5" w:rsidRPr="00F53504" w:rsidRDefault="00E221F5" w:rsidP="00130ED6">
            <w:pPr>
              <w:pStyle w:val="Tablecontentrightcolumn"/>
            </w:pPr>
            <w:r w:rsidRPr="00F53504">
              <w:t>—</w:t>
            </w:r>
          </w:p>
        </w:tc>
        <w:tc>
          <w:tcPr>
            <w:tcW w:w="1673" w:type="dxa"/>
            <w:vAlign w:val="bottom"/>
          </w:tcPr>
          <w:p w14:paraId="1F1D36CC" w14:textId="77777777" w:rsidR="00E221F5" w:rsidRPr="00F53504" w:rsidRDefault="00E221F5" w:rsidP="00130ED6">
            <w:pPr>
              <w:pStyle w:val="Tablecontentrightcolumn"/>
            </w:pPr>
            <w:r w:rsidRPr="00F53504">
              <w:t>43</w:t>
            </w:r>
          </w:p>
        </w:tc>
        <w:tc>
          <w:tcPr>
            <w:tcW w:w="1673" w:type="dxa"/>
            <w:vAlign w:val="bottom"/>
          </w:tcPr>
          <w:p w14:paraId="3ECBF0C6" w14:textId="77777777" w:rsidR="00E221F5" w:rsidRPr="00F53504" w:rsidRDefault="00E221F5" w:rsidP="00130ED6">
            <w:pPr>
              <w:pStyle w:val="Tablecontentrightcolumn"/>
            </w:pPr>
            <w:r w:rsidRPr="00F53504">
              <w:t>100.0</w:t>
            </w:r>
          </w:p>
        </w:tc>
      </w:tr>
      <w:tr w:rsidR="00E221F5" w:rsidRPr="00F53504" w14:paraId="57AC052D" w14:textId="77777777" w:rsidTr="00FD514B">
        <w:trPr>
          <w:trHeight w:val="340"/>
        </w:trPr>
        <w:tc>
          <w:tcPr>
            <w:tcW w:w="2097" w:type="dxa"/>
            <w:shd w:val="clear" w:color="auto" w:fill="8EAEDE"/>
            <w:vAlign w:val="bottom"/>
          </w:tcPr>
          <w:p w14:paraId="3642C868" w14:textId="77777777" w:rsidR="00E221F5" w:rsidRPr="00F53504" w:rsidRDefault="00E221F5" w:rsidP="00130ED6">
            <w:pPr>
              <w:pStyle w:val="Tablecontentleftcolumn"/>
            </w:pPr>
            <w:r w:rsidRPr="00F53504">
              <w:t>Total</w:t>
            </w:r>
          </w:p>
        </w:tc>
        <w:tc>
          <w:tcPr>
            <w:tcW w:w="1898" w:type="dxa"/>
            <w:shd w:val="clear" w:color="auto" w:fill="8EAEDE"/>
            <w:vAlign w:val="bottom"/>
          </w:tcPr>
          <w:p w14:paraId="3B0F0138" w14:textId="77777777" w:rsidR="00E221F5" w:rsidRPr="00F53504" w:rsidRDefault="00E221F5" w:rsidP="00130ED6">
            <w:pPr>
              <w:pStyle w:val="Tablecontentrightcolumn"/>
            </w:pPr>
            <w:r w:rsidRPr="00F53504">
              <w:t>231</w:t>
            </w:r>
          </w:p>
        </w:tc>
        <w:tc>
          <w:tcPr>
            <w:tcW w:w="1901" w:type="dxa"/>
            <w:shd w:val="clear" w:color="auto" w:fill="8EAEDE"/>
            <w:vAlign w:val="bottom"/>
          </w:tcPr>
          <w:p w14:paraId="49AE871A" w14:textId="77777777" w:rsidR="00E221F5" w:rsidRPr="00F53504" w:rsidRDefault="00E221F5" w:rsidP="00130ED6">
            <w:pPr>
              <w:pStyle w:val="Tablecontentrightcolumn"/>
            </w:pPr>
            <w:r w:rsidRPr="00F53504">
              <w:t>10</w:t>
            </w:r>
          </w:p>
        </w:tc>
        <w:tc>
          <w:tcPr>
            <w:tcW w:w="1673" w:type="dxa"/>
            <w:shd w:val="clear" w:color="auto" w:fill="8EAEDE"/>
            <w:vAlign w:val="bottom"/>
          </w:tcPr>
          <w:p w14:paraId="4781CE68" w14:textId="77777777" w:rsidR="00E221F5" w:rsidRPr="00F53504" w:rsidRDefault="00E221F5" w:rsidP="00130ED6">
            <w:pPr>
              <w:pStyle w:val="Tablecontentrightcolumn"/>
            </w:pPr>
            <w:r w:rsidRPr="00F53504">
              <w:t>241</w:t>
            </w:r>
          </w:p>
        </w:tc>
        <w:tc>
          <w:tcPr>
            <w:tcW w:w="1673" w:type="dxa"/>
            <w:shd w:val="clear" w:color="auto" w:fill="8EAEDE"/>
            <w:vAlign w:val="bottom"/>
          </w:tcPr>
          <w:p w14:paraId="59D83D14" w14:textId="77777777" w:rsidR="00E221F5" w:rsidRPr="00F53504" w:rsidRDefault="00E221F5" w:rsidP="00130ED6">
            <w:pPr>
              <w:pStyle w:val="Tablecontentrightcolumn"/>
            </w:pPr>
            <w:r w:rsidRPr="00F53504">
              <w:t>95.9</w:t>
            </w:r>
          </w:p>
        </w:tc>
      </w:tr>
    </w:tbl>
    <w:p w14:paraId="7D4F722D" w14:textId="77777777" w:rsidR="00FD514B" w:rsidRPr="00F53504" w:rsidRDefault="00FD514B" w:rsidP="008B1A0F">
      <w:pPr>
        <w:pStyle w:val="Source"/>
      </w:pPr>
      <w:r w:rsidRPr="00F53504">
        <w:t>(a) A relocated job seeker is one with an approved relocation agreement and a confirmed job placement.</w:t>
      </w:r>
    </w:p>
    <w:p w14:paraId="6BDC1897" w14:textId="77777777" w:rsidR="00E221F5" w:rsidRPr="00F53504" w:rsidRDefault="00E221F5" w:rsidP="008B1A0F">
      <w:pPr>
        <w:pStyle w:val="Source"/>
      </w:pPr>
      <w:r w:rsidRPr="00F53504">
        <w:rPr>
          <w:b/>
        </w:rPr>
        <w:t xml:space="preserve">Source: </w:t>
      </w:r>
      <w:r w:rsidR="007168D3" w:rsidRPr="00F53504">
        <w:t xml:space="preserve">EBIW </w:t>
      </w:r>
      <w:r w:rsidRPr="00F53504">
        <w:t>data.</w:t>
      </w:r>
    </w:p>
    <w:p w14:paraId="514321AF" w14:textId="4CA90D3C" w:rsidR="00A27596" w:rsidRPr="00F53504" w:rsidRDefault="00E221F5" w:rsidP="00A27596">
      <w:r w:rsidRPr="00F53504">
        <w:t xml:space="preserve">Five industries accounted for almost two-thirds of the successful </w:t>
      </w:r>
      <w:r w:rsidR="002A61C7" w:rsidRPr="00F53504">
        <w:t>relocations</w:t>
      </w:r>
      <w:r w:rsidRPr="00F53504">
        <w:t xml:space="preserve">. These industries </w:t>
      </w:r>
      <w:proofErr w:type="gramStart"/>
      <w:r w:rsidRPr="00F53504">
        <w:t>were:</w:t>
      </w:r>
      <w:proofErr w:type="gramEnd"/>
      <w:r w:rsidRPr="00F53504">
        <w:t xml:space="preserve"> Accommodation and F</w:t>
      </w:r>
      <w:r w:rsidR="006F5B9D" w:rsidRPr="00F53504">
        <w:t>ood Services (</w:t>
      </w:r>
      <w:r w:rsidR="00F02197" w:rsidRPr="00F53504">
        <w:t>13</w:t>
      </w:r>
      <w:r w:rsidR="00B51DF9">
        <w:t>5</w:t>
      </w:r>
      <w:r w:rsidR="006F5B9D" w:rsidRPr="00F53504">
        <w:t>), Other Services (</w:t>
      </w:r>
      <w:r w:rsidR="00F02197" w:rsidRPr="00F53504">
        <w:t>101</w:t>
      </w:r>
      <w:r w:rsidRPr="00F53504">
        <w:t>), Health Care and Social Assistance (</w:t>
      </w:r>
      <w:r w:rsidR="00F02197" w:rsidRPr="00F53504">
        <w:t>60</w:t>
      </w:r>
      <w:r w:rsidRPr="00F53504">
        <w:t>), Agriculture, Forestry and Fishing (</w:t>
      </w:r>
      <w:r w:rsidR="00505271" w:rsidRPr="00F53504">
        <w:t>5</w:t>
      </w:r>
      <w:r w:rsidR="00505271">
        <w:t>7</w:t>
      </w:r>
      <w:r w:rsidRPr="00F53504">
        <w:t>) and Manufacturing (</w:t>
      </w:r>
      <w:r w:rsidR="00505271" w:rsidRPr="00F53504">
        <w:t>5</w:t>
      </w:r>
      <w:r w:rsidR="00505271">
        <w:t>6</w:t>
      </w:r>
      <w:r w:rsidRPr="00F53504">
        <w:t xml:space="preserve">). </w:t>
      </w:r>
      <w:r w:rsidR="00A27596" w:rsidRPr="00F53504">
        <w:t xml:space="preserve">A breakdown of approved Relocation Agreements by relocation status and the 10 most common industries for RATTUAJ participants is at Table </w:t>
      </w:r>
      <w:r w:rsidR="00E84BCE" w:rsidRPr="00F53504">
        <w:t>3.3</w:t>
      </w:r>
      <w:r w:rsidR="00B3343C" w:rsidRPr="00F53504">
        <w:t>.</w:t>
      </w:r>
      <w:r w:rsidR="00B733D5" w:rsidRPr="00F53504">
        <w:t xml:space="preserve"> </w:t>
      </w:r>
    </w:p>
    <w:p w14:paraId="177026E5" w14:textId="5D65C840" w:rsidR="00E84BCE" w:rsidRPr="00BE12AC" w:rsidRDefault="00E84BCE" w:rsidP="00145370">
      <w:pPr>
        <w:pStyle w:val="Caption"/>
        <w:keepLines/>
      </w:pPr>
      <w:r w:rsidRPr="00BE12AC">
        <w:lastRenderedPageBreak/>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08140A" w:rsidRPr="00BE12AC">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3</w:t>
      </w:r>
      <w:r w:rsidR="00AA36FE">
        <w:rPr>
          <w:noProof/>
        </w:rPr>
        <w:fldChar w:fldCharType="end"/>
      </w:r>
      <w:r w:rsidRPr="00BE12AC">
        <w:t>: Approved Relocation Agreements by relocation status and the 10 most common industries for RATTUAJ participants</w:t>
      </w:r>
    </w:p>
    <w:tbl>
      <w:tblPr>
        <w:tblStyle w:val="DEEWRTable"/>
        <w:tblW w:w="5000" w:type="pct"/>
        <w:tblLayout w:type="fixed"/>
        <w:tblLook w:val="0420" w:firstRow="1" w:lastRow="0" w:firstColumn="0" w:lastColumn="0" w:noHBand="0" w:noVBand="1"/>
      </w:tblPr>
      <w:tblGrid>
        <w:gridCol w:w="3402"/>
        <w:gridCol w:w="1269"/>
        <w:gridCol w:w="1096"/>
        <w:gridCol w:w="1243"/>
        <w:gridCol w:w="2016"/>
      </w:tblGrid>
      <w:tr w:rsidR="00E84BCE" w:rsidRPr="00BE12AC" w14:paraId="2DF08811" w14:textId="77777777" w:rsidTr="00B51DF9">
        <w:trPr>
          <w:cnfStyle w:val="100000000000" w:firstRow="1" w:lastRow="0" w:firstColumn="0" w:lastColumn="0" w:oddVBand="0" w:evenVBand="0" w:oddHBand="0" w:evenHBand="0" w:firstRowFirstColumn="0" w:firstRowLastColumn="0" w:lastRowFirstColumn="0" w:lastRowLastColumn="0"/>
          <w:cantSplit w:val="0"/>
        </w:trPr>
        <w:tc>
          <w:tcPr>
            <w:tcW w:w="3402" w:type="dxa"/>
            <w:tcBorders>
              <w:bottom w:val="nil"/>
            </w:tcBorders>
            <w:shd w:val="clear" w:color="auto" w:fill="1E3D6B"/>
            <w:vAlign w:val="bottom"/>
          </w:tcPr>
          <w:p w14:paraId="4490DD62" w14:textId="77777777" w:rsidR="00E84BCE" w:rsidRPr="00BE12AC" w:rsidRDefault="00E84BCE" w:rsidP="00145370">
            <w:pPr>
              <w:pStyle w:val="Tablecontentleftcolumn"/>
              <w:keepNext/>
              <w:keepLines/>
            </w:pPr>
            <w:r w:rsidRPr="00BE12AC">
              <w:t>Industry</w:t>
            </w:r>
          </w:p>
        </w:tc>
        <w:tc>
          <w:tcPr>
            <w:tcW w:w="1269" w:type="dxa"/>
            <w:tcBorders>
              <w:bottom w:val="nil"/>
            </w:tcBorders>
            <w:shd w:val="clear" w:color="auto" w:fill="1E3D6B"/>
            <w:vAlign w:val="bottom"/>
          </w:tcPr>
          <w:p w14:paraId="0489C94E" w14:textId="6EDF7753" w:rsidR="00E84BCE" w:rsidRPr="00BE12AC" w:rsidRDefault="00E84BCE" w:rsidP="00145370">
            <w:pPr>
              <w:pStyle w:val="Tablecontentrightcolumn"/>
              <w:keepNext/>
              <w:keepLines/>
            </w:pPr>
            <w:r w:rsidRPr="00BE12AC">
              <w:t>Relocated</w:t>
            </w:r>
            <w:r w:rsidR="00A2174B">
              <w:rPr>
                <w:vertAlign w:val="superscript"/>
              </w:rPr>
              <w:t>(a</w:t>
            </w:r>
            <w:r w:rsidR="00B51DF9" w:rsidRPr="00B51DF9">
              <w:rPr>
                <w:vertAlign w:val="superscript"/>
              </w:rPr>
              <w:t>)</w:t>
            </w:r>
          </w:p>
          <w:p w14:paraId="34FC5A80" w14:textId="77777777" w:rsidR="00E84BCE" w:rsidRPr="00BE12AC" w:rsidRDefault="00E84BCE" w:rsidP="00145370">
            <w:pPr>
              <w:pStyle w:val="Tablecontentrightcolumn"/>
              <w:keepNext/>
              <w:keepLines/>
            </w:pPr>
            <w:r w:rsidRPr="00BE12AC">
              <w:t>(per cent)</w:t>
            </w:r>
          </w:p>
        </w:tc>
        <w:tc>
          <w:tcPr>
            <w:tcW w:w="1096" w:type="dxa"/>
            <w:tcBorders>
              <w:bottom w:val="nil"/>
            </w:tcBorders>
            <w:shd w:val="clear" w:color="auto" w:fill="1E3D6B"/>
            <w:vAlign w:val="bottom"/>
          </w:tcPr>
          <w:p w14:paraId="5028BDEF" w14:textId="77777777" w:rsidR="00E84BCE" w:rsidRPr="00BE12AC" w:rsidRDefault="00E84BCE" w:rsidP="00145370">
            <w:pPr>
              <w:pStyle w:val="Tablecontentrightcolumn"/>
              <w:keepNext/>
              <w:keepLines/>
            </w:pPr>
            <w:r w:rsidRPr="00BE12AC">
              <w:t>Not relocated</w:t>
            </w:r>
          </w:p>
          <w:p w14:paraId="460B6712" w14:textId="77777777" w:rsidR="00E84BCE" w:rsidRPr="00BE12AC" w:rsidRDefault="00E84BCE" w:rsidP="00145370">
            <w:pPr>
              <w:pStyle w:val="Tablecontentrightcolumn"/>
              <w:keepNext/>
              <w:keepLines/>
            </w:pPr>
            <w:r w:rsidRPr="00BE12AC">
              <w:t>(per cent)</w:t>
            </w:r>
          </w:p>
        </w:tc>
        <w:tc>
          <w:tcPr>
            <w:tcW w:w="1243" w:type="dxa"/>
            <w:tcBorders>
              <w:bottom w:val="nil"/>
            </w:tcBorders>
            <w:shd w:val="clear" w:color="auto" w:fill="1E3D6B"/>
            <w:vAlign w:val="bottom"/>
          </w:tcPr>
          <w:p w14:paraId="3E7DF0EF" w14:textId="77777777" w:rsidR="00E84BCE" w:rsidRPr="00BE12AC" w:rsidRDefault="00E84BCE" w:rsidP="00145370">
            <w:pPr>
              <w:pStyle w:val="Tablecontentrightcolumn"/>
              <w:keepNext/>
              <w:keepLines/>
            </w:pPr>
            <w:r w:rsidRPr="00BE12AC">
              <w:t>Total approved agreements</w:t>
            </w:r>
          </w:p>
          <w:p w14:paraId="0090E109" w14:textId="77777777" w:rsidR="00E84BCE" w:rsidRPr="00BE12AC" w:rsidRDefault="00E84BCE" w:rsidP="00145370">
            <w:pPr>
              <w:pStyle w:val="Tablecontentrightcolumn"/>
              <w:keepNext/>
              <w:keepLines/>
            </w:pPr>
            <w:r w:rsidRPr="00BE12AC">
              <w:t>(per cent)</w:t>
            </w:r>
          </w:p>
        </w:tc>
        <w:tc>
          <w:tcPr>
            <w:tcW w:w="2016" w:type="dxa"/>
            <w:tcBorders>
              <w:bottom w:val="nil"/>
            </w:tcBorders>
            <w:shd w:val="clear" w:color="auto" w:fill="1E3D6B"/>
            <w:vAlign w:val="bottom"/>
          </w:tcPr>
          <w:p w14:paraId="5115D270" w14:textId="4F03C5A2" w:rsidR="00E84BCE" w:rsidRPr="00BE12AC" w:rsidRDefault="00BE12AC" w:rsidP="00145370">
            <w:pPr>
              <w:pStyle w:val="Tablecontentrightcolumn"/>
              <w:keepNext/>
              <w:keepLines/>
            </w:pPr>
            <w:r>
              <w:t>J</w:t>
            </w:r>
            <w:r w:rsidR="00E84BCE" w:rsidRPr="00BE12AC">
              <w:t>ob placements</w:t>
            </w:r>
            <w:r w:rsidR="00570136" w:rsidRPr="00570136">
              <w:rPr>
                <w:vertAlign w:val="superscript"/>
              </w:rPr>
              <w:t>(</w:t>
            </w:r>
            <w:r w:rsidR="00B51DF9">
              <w:rPr>
                <w:vertAlign w:val="superscript"/>
              </w:rPr>
              <w:t>b</w:t>
            </w:r>
            <w:r w:rsidR="00570136" w:rsidRPr="00570136">
              <w:rPr>
                <w:vertAlign w:val="superscript"/>
              </w:rPr>
              <w:t>)</w:t>
            </w:r>
          </w:p>
          <w:p w14:paraId="4D36E70F" w14:textId="2F42F5A5" w:rsidR="00E84BCE" w:rsidRPr="00BE12AC" w:rsidRDefault="00E84BCE" w:rsidP="00145370">
            <w:pPr>
              <w:pStyle w:val="Tablecontentrightcolumn"/>
              <w:keepNext/>
              <w:keepLines/>
            </w:pPr>
            <w:r w:rsidRPr="00BE12AC">
              <w:t xml:space="preserve">N = </w:t>
            </w:r>
            <w:r w:rsidR="00BE12AC" w:rsidRPr="00BE12AC">
              <w:t>486</w:t>
            </w:r>
            <w:r w:rsidR="00BE12AC">
              <w:t>,</w:t>
            </w:r>
            <w:r w:rsidR="00BE12AC" w:rsidRPr="00BE12AC">
              <w:t>169</w:t>
            </w:r>
          </w:p>
          <w:p w14:paraId="4E4AFD9E" w14:textId="77777777" w:rsidR="00E84BCE" w:rsidRPr="00BE12AC" w:rsidRDefault="00E84BCE" w:rsidP="00145370">
            <w:pPr>
              <w:pStyle w:val="Tablecontentrightcolumn"/>
              <w:keepNext/>
              <w:keepLines/>
            </w:pPr>
            <w:r w:rsidRPr="00BE12AC">
              <w:t>(per cent)</w:t>
            </w:r>
          </w:p>
        </w:tc>
      </w:tr>
      <w:tr w:rsidR="00E84BCE" w:rsidRPr="00BE12AC" w14:paraId="56438F99" w14:textId="77777777" w:rsidTr="00B51DF9">
        <w:trPr>
          <w:trHeight w:val="283"/>
        </w:trPr>
        <w:tc>
          <w:tcPr>
            <w:tcW w:w="3402" w:type="dxa"/>
            <w:tcBorders>
              <w:top w:val="nil"/>
              <w:bottom w:val="nil"/>
            </w:tcBorders>
            <w:vAlign w:val="bottom"/>
          </w:tcPr>
          <w:p w14:paraId="7FA0BCB4" w14:textId="77777777" w:rsidR="00E84BCE" w:rsidRPr="00BE12AC" w:rsidRDefault="00E84BCE" w:rsidP="00145370">
            <w:pPr>
              <w:pStyle w:val="Tablecontentleftcolumn"/>
              <w:keepNext/>
              <w:keepLines/>
            </w:pPr>
            <w:r w:rsidRPr="00BE12AC">
              <w:t>Accommodation and Food Services</w:t>
            </w:r>
          </w:p>
        </w:tc>
        <w:tc>
          <w:tcPr>
            <w:tcW w:w="1269" w:type="dxa"/>
            <w:tcBorders>
              <w:top w:val="nil"/>
              <w:bottom w:val="nil"/>
            </w:tcBorders>
            <w:vAlign w:val="bottom"/>
          </w:tcPr>
          <w:p w14:paraId="54743F00" w14:textId="77777777" w:rsidR="00E84BCE" w:rsidRPr="00BE12AC" w:rsidRDefault="00E84BCE" w:rsidP="00145370">
            <w:pPr>
              <w:pStyle w:val="Tablecontentrightcolumn"/>
              <w:keepNext/>
              <w:keepLines/>
            </w:pPr>
            <w:r w:rsidRPr="00BE12AC">
              <w:t>21.7</w:t>
            </w:r>
          </w:p>
        </w:tc>
        <w:tc>
          <w:tcPr>
            <w:tcW w:w="1096" w:type="dxa"/>
            <w:tcBorders>
              <w:top w:val="nil"/>
              <w:bottom w:val="nil"/>
            </w:tcBorders>
            <w:vAlign w:val="bottom"/>
          </w:tcPr>
          <w:p w14:paraId="0AA1B55A" w14:textId="77777777" w:rsidR="00E84BCE" w:rsidRPr="00BE12AC" w:rsidRDefault="00E84BCE" w:rsidP="00145370">
            <w:pPr>
              <w:pStyle w:val="Tablecontentrightcolumn"/>
              <w:keepNext/>
              <w:keepLines/>
            </w:pPr>
            <w:r w:rsidRPr="00BE12AC">
              <w:t>21.4</w:t>
            </w:r>
          </w:p>
        </w:tc>
        <w:tc>
          <w:tcPr>
            <w:tcW w:w="1243" w:type="dxa"/>
            <w:tcBorders>
              <w:top w:val="nil"/>
              <w:bottom w:val="nil"/>
            </w:tcBorders>
            <w:vAlign w:val="bottom"/>
          </w:tcPr>
          <w:p w14:paraId="78B6E2B5" w14:textId="77777777" w:rsidR="00E84BCE" w:rsidRPr="00BE12AC" w:rsidRDefault="00E84BCE" w:rsidP="00145370">
            <w:pPr>
              <w:pStyle w:val="Tablecontentrightcolumn"/>
              <w:keepNext/>
              <w:keepLines/>
            </w:pPr>
            <w:r w:rsidRPr="00BE12AC">
              <w:t>21.7</w:t>
            </w:r>
          </w:p>
        </w:tc>
        <w:tc>
          <w:tcPr>
            <w:tcW w:w="2016" w:type="dxa"/>
            <w:tcBorders>
              <w:top w:val="nil"/>
              <w:bottom w:val="nil"/>
            </w:tcBorders>
            <w:vAlign w:val="bottom"/>
          </w:tcPr>
          <w:p w14:paraId="1B242F9E" w14:textId="56249AFD" w:rsidR="00E84BCE" w:rsidRPr="00BE12AC" w:rsidRDefault="00E84BCE" w:rsidP="00BE12AC">
            <w:pPr>
              <w:pStyle w:val="Tablecontentrightcolumn"/>
              <w:keepNext/>
              <w:keepLines/>
            </w:pPr>
            <w:r w:rsidRPr="00BE12AC">
              <w:t>12.</w:t>
            </w:r>
            <w:r w:rsidR="00BE12AC">
              <w:t>6</w:t>
            </w:r>
          </w:p>
        </w:tc>
      </w:tr>
      <w:tr w:rsidR="00E84BCE" w:rsidRPr="00BE12AC" w14:paraId="013F2238" w14:textId="77777777" w:rsidTr="00B51DF9">
        <w:trPr>
          <w:trHeight w:val="283"/>
        </w:trPr>
        <w:tc>
          <w:tcPr>
            <w:tcW w:w="3402" w:type="dxa"/>
            <w:tcBorders>
              <w:top w:val="nil"/>
              <w:bottom w:val="nil"/>
            </w:tcBorders>
            <w:shd w:val="clear" w:color="auto" w:fill="F2F2F2" w:themeFill="background1" w:themeFillShade="F2"/>
            <w:vAlign w:val="bottom"/>
          </w:tcPr>
          <w:p w14:paraId="78E8BA31" w14:textId="77777777" w:rsidR="00E84BCE" w:rsidRPr="00BE12AC" w:rsidRDefault="00E84BCE" w:rsidP="00145370">
            <w:pPr>
              <w:pStyle w:val="Tablecontentleftcolumn"/>
              <w:keepNext/>
              <w:keepLines/>
            </w:pPr>
            <w:r w:rsidRPr="00BE12AC">
              <w:t>Other Services</w:t>
            </w:r>
          </w:p>
        </w:tc>
        <w:tc>
          <w:tcPr>
            <w:tcW w:w="1269" w:type="dxa"/>
            <w:tcBorders>
              <w:top w:val="nil"/>
              <w:bottom w:val="nil"/>
            </w:tcBorders>
            <w:shd w:val="clear" w:color="auto" w:fill="F2F2F2" w:themeFill="background1" w:themeFillShade="F2"/>
            <w:vAlign w:val="bottom"/>
          </w:tcPr>
          <w:p w14:paraId="133BF34C" w14:textId="77777777" w:rsidR="00E84BCE" w:rsidRPr="00BE12AC" w:rsidRDefault="00E84BCE" w:rsidP="00145370">
            <w:pPr>
              <w:pStyle w:val="Tablecontentrightcolumn"/>
              <w:keepNext/>
              <w:keepLines/>
            </w:pPr>
            <w:r w:rsidRPr="00BE12AC">
              <w:t>16.2</w:t>
            </w:r>
          </w:p>
        </w:tc>
        <w:tc>
          <w:tcPr>
            <w:tcW w:w="1096" w:type="dxa"/>
            <w:tcBorders>
              <w:top w:val="nil"/>
              <w:bottom w:val="nil"/>
            </w:tcBorders>
            <w:shd w:val="clear" w:color="auto" w:fill="F2F2F2" w:themeFill="background1" w:themeFillShade="F2"/>
            <w:vAlign w:val="bottom"/>
          </w:tcPr>
          <w:p w14:paraId="7DF16A12" w14:textId="77777777" w:rsidR="00E84BCE" w:rsidRPr="00BE12AC" w:rsidRDefault="00E84BCE" w:rsidP="00145370">
            <w:pPr>
              <w:pStyle w:val="Tablecontentrightcolumn"/>
              <w:keepNext/>
              <w:keepLines/>
            </w:pPr>
            <w:r w:rsidRPr="00BE12AC">
              <w:t>28.6</w:t>
            </w:r>
          </w:p>
        </w:tc>
        <w:tc>
          <w:tcPr>
            <w:tcW w:w="1243" w:type="dxa"/>
            <w:tcBorders>
              <w:top w:val="nil"/>
              <w:bottom w:val="nil"/>
            </w:tcBorders>
            <w:shd w:val="clear" w:color="auto" w:fill="F2F2F2" w:themeFill="background1" w:themeFillShade="F2"/>
            <w:vAlign w:val="bottom"/>
          </w:tcPr>
          <w:p w14:paraId="317F2EF9" w14:textId="77777777" w:rsidR="00E84BCE" w:rsidRPr="00BE12AC" w:rsidRDefault="00E84BCE" w:rsidP="00145370">
            <w:pPr>
              <w:pStyle w:val="Tablecontentrightcolumn"/>
              <w:keepNext/>
              <w:keepLines/>
            </w:pPr>
            <w:r w:rsidRPr="00BE12AC">
              <w:t>16.8</w:t>
            </w:r>
          </w:p>
        </w:tc>
        <w:tc>
          <w:tcPr>
            <w:tcW w:w="2016" w:type="dxa"/>
            <w:tcBorders>
              <w:top w:val="nil"/>
              <w:bottom w:val="nil"/>
            </w:tcBorders>
            <w:shd w:val="clear" w:color="auto" w:fill="F2F2F2" w:themeFill="background1" w:themeFillShade="F2"/>
            <w:vAlign w:val="bottom"/>
          </w:tcPr>
          <w:p w14:paraId="7739D8CD" w14:textId="3D1743E4" w:rsidR="00E84BCE" w:rsidRPr="00BE12AC" w:rsidRDefault="00BE12AC" w:rsidP="00145370">
            <w:pPr>
              <w:pStyle w:val="Tablecontentrightcolumn"/>
              <w:keepNext/>
              <w:keepLines/>
            </w:pPr>
            <w:r>
              <w:t>18.6</w:t>
            </w:r>
          </w:p>
        </w:tc>
      </w:tr>
      <w:tr w:rsidR="00E84BCE" w:rsidRPr="00BE12AC" w14:paraId="0A7C405F" w14:textId="77777777" w:rsidTr="00B51DF9">
        <w:trPr>
          <w:trHeight w:val="283"/>
        </w:trPr>
        <w:tc>
          <w:tcPr>
            <w:tcW w:w="3402" w:type="dxa"/>
            <w:tcBorders>
              <w:bottom w:val="nil"/>
            </w:tcBorders>
            <w:vAlign w:val="bottom"/>
          </w:tcPr>
          <w:p w14:paraId="6E1067A0" w14:textId="77777777" w:rsidR="00E84BCE" w:rsidRPr="00BE12AC" w:rsidRDefault="00E84BCE" w:rsidP="00145370">
            <w:pPr>
              <w:pStyle w:val="Tablecontentleftcolumn"/>
              <w:keepNext/>
              <w:keepLines/>
            </w:pPr>
            <w:r w:rsidRPr="00BE12AC">
              <w:t>Health Care and Social Assistance</w:t>
            </w:r>
          </w:p>
        </w:tc>
        <w:tc>
          <w:tcPr>
            <w:tcW w:w="1269" w:type="dxa"/>
            <w:tcBorders>
              <w:bottom w:val="nil"/>
            </w:tcBorders>
            <w:vAlign w:val="bottom"/>
          </w:tcPr>
          <w:p w14:paraId="0664688E" w14:textId="77777777" w:rsidR="00E84BCE" w:rsidRPr="00BE12AC" w:rsidRDefault="00E84BCE" w:rsidP="00145370">
            <w:pPr>
              <w:pStyle w:val="Tablecontentrightcolumn"/>
              <w:keepNext/>
              <w:keepLines/>
            </w:pPr>
            <w:r w:rsidRPr="00BE12AC">
              <w:t>9.6</w:t>
            </w:r>
          </w:p>
        </w:tc>
        <w:tc>
          <w:tcPr>
            <w:tcW w:w="1096" w:type="dxa"/>
            <w:tcBorders>
              <w:bottom w:val="nil"/>
            </w:tcBorders>
            <w:vAlign w:val="bottom"/>
          </w:tcPr>
          <w:p w14:paraId="550BBF2A" w14:textId="77777777" w:rsidR="00E84BCE" w:rsidRPr="00BE12AC" w:rsidRDefault="00E84BCE" w:rsidP="00145370">
            <w:pPr>
              <w:pStyle w:val="Tablecontentrightcolumn"/>
              <w:keepNext/>
              <w:keepLines/>
            </w:pPr>
            <w:r w:rsidRPr="00BE12AC">
              <w:t>7.1</w:t>
            </w:r>
          </w:p>
        </w:tc>
        <w:tc>
          <w:tcPr>
            <w:tcW w:w="1243" w:type="dxa"/>
            <w:tcBorders>
              <w:bottom w:val="nil"/>
            </w:tcBorders>
            <w:vAlign w:val="bottom"/>
          </w:tcPr>
          <w:p w14:paraId="3EB19536" w14:textId="77777777" w:rsidR="00E84BCE" w:rsidRPr="00BE12AC" w:rsidRDefault="00E84BCE" w:rsidP="00145370">
            <w:pPr>
              <w:pStyle w:val="Tablecontentrightcolumn"/>
              <w:keepNext/>
              <w:keepLines/>
            </w:pPr>
            <w:r w:rsidRPr="00BE12AC">
              <w:t>9.5</w:t>
            </w:r>
          </w:p>
        </w:tc>
        <w:tc>
          <w:tcPr>
            <w:tcW w:w="2016" w:type="dxa"/>
            <w:tcBorders>
              <w:bottom w:val="nil"/>
            </w:tcBorders>
            <w:vAlign w:val="bottom"/>
          </w:tcPr>
          <w:p w14:paraId="3DB6021F" w14:textId="0446C85A" w:rsidR="00E84BCE" w:rsidRPr="00BE12AC" w:rsidRDefault="00BE12AC" w:rsidP="00145370">
            <w:pPr>
              <w:pStyle w:val="Tablecontentrightcolumn"/>
              <w:keepNext/>
              <w:keepLines/>
            </w:pPr>
            <w:r>
              <w:t>6.7</w:t>
            </w:r>
          </w:p>
        </w:tc>
      </w:tr>
      <w:tr w:rsidR="00E84BCE" w:rsidRPr="00BE12AC" w14:paraId="25B88AC5" w14:textId="77777777" w:rsidTr="00B51DF9">
        <w:trPr>
          <w:trHeight w:val="283"/>
        </w:trPr>
        <w:tc>
          <w:tcPr>
            <w:tcW w:w="3402" w:type="dxa"/>
            <w:tcBorders>
              <w:bottom w:val="nil"/>
            </w:tcBorders>
            <w:shd w:val="clear" w:color="auto" w:fill="F2F2F2" w:themeFill="background1" w:themeFillShade="F2"/>
            <w:vAlign w:val="bottom"/>
          </w:tcPr>
          <w:p w14:paraId="5BBE3F92" w14:textId="77777777" w:rsidR="00E84BCE" w:rsidRPr="00BE12AC" w:rsidRDefault="00E84BCE" w:rsidP="00145370">
            <w:pPr>
              <w:pStyle w:val="Tablecontentleftcolumn"/>
              <w:keepNext/>
              <w:keepLines/>
            </w:pPr>
            <w:r w:rsidRPr="00BE12AC">
              <w:t>Agriculture, Forestry, Fishing</w:t>
            </w:r>
          </w:p>
        </w:tc>
        <w:tc>
          <w:tcPr>
            <w:tcW w:w="1269" w:type="dxa"/>
            <w:tcBorders>
              <w:bottom w:val="nil"/>
            </w:tcBorders>
            <w:shd w:val="clear" w:color="auto" w:fill="F2F2F2" w:themeFill="background1" w:themeFillShade="F2"/>
            <w:vAlign w:val="bottom"/>
          </w:tcPr>
          <w:p w14:paraId="2C99B3AF" w14:textId="77777777" w:rsidR="00E84BCE" w:rsidRPr="00BE12AC" w:rsidRDefault="00E84BCE" w:rsidP="00145370">
            <w:pPr>
              <w:pStyle w:val="Tablecontentrightcolumn"/>
              <w:keepNext/>
              <w:keepLines/>
            </w:pPr>
            <w:r w:rsidRPr="00BE12AC">
              <w:t>9.2</w:t>
            </w:r>
          </w:p>
        </w:tc>
        <w:tc>
          <w:tcPr>
            <w:tcW w:w="1096" w:type="dxa"/>
            <w:tcBorders>
              <w:bottom w:val="nil"/>
            </w:tcBorders>
            <w:shd w:val="clear" w:color="auto" w:fill="F2F2F2" w:themeFill="background1" w:themeFillShade="F2"/>
            <w:vAlign w:val="bottom"/>
          </w:tcPr>
          <w:p w14:paraId="1F8F0CC7" w14:textId="77777777" w:rsidR="00E84BCE" w:rsidRPr="00BE12AC" w:rsidRDefault="00E84BCE" w:rsidP="00145370">
            <w:pPr>
              <w:pStyle w:val="Tablecontentrightcolumn"/>
              <w:keepNext/>
              <w:keepLines/>
            </w:pPr>
            <w:r w:rsidRPr="00BE12AC">
              <w:t>7.1</w:t>
            </w:r>
          </w:p>
        </w:tc>
        <w:tc>
          <w:tcPr>
            <w:tcW w:w="1243" w:type="dxa"/>
            <w:tcBorders>
              <w:bottom w:val="nil"/>
            </w:tcBorders>
            <w:shd w:val="clear" w:color="auto" w:fill="F2F2F2" w:themeFill="background1" w:themeFillShade="F2"/>
            <w:vAlign w:val="bottom"/>
          </w:tcPr>
          <w:p w14:paraId="4DE9FDB7" w14:textId="77777777" w:rsidR="00E84BCE" w:rsidRPr="00BE12AC" w:rsidRDefault="00E84BCE" w:rsidP="00145370">
            <w:pPr>
              <w:pStyle w:val="Tablecontentrightcolumn"/>
              <w:keepNext/>
              <w:keepLines/>
            </w:pPr>
            <w:r w:rsidRPr="00BE12AC">
              <w:t>9.1</w:t>
            </w:r>
          </w:p>
        </w:tc>
        <w:tc>
          <w:tcPr>
            <w:tcW w:w="2016" w:type="dxa"/>
            <w:tcBorders>
              <w:bottom w:val="nil"/>
            </w:tcBorders>
            <w:shd w:val="clear" w:color="auto" w:fill="F2F2F2" w:themeFill="background1" w:themeFillShade="F2"/>
            <w:vAlign w:val="bottom"/>
          </w:tcPr>
          <w:p w14:paraId="24B74400" w14:textId="77777777" w:rsidR="00E84BCE" w:rsidRPr="00BE12AC" w:rsidRDefault="00E84BCE" w:rsidP="00145370">
            <w:pPr>
              <w:pStyle w:val="Tablecontentrightcolumn"/>
              <w:keepNext/>
              <w:keepLines/>
            </w:pPr>
            <w:r w:rsidRPr="00BE12AC">
              <w:t>5.2</w:t>
            </w:r>
          </w:p>
        </w:tc>
      </w:tr>
      <w:tr w:rsidR="00E84BCE" w:rsidRPr="00BE12AC" w14:paraId="1C77CBFD" w14:textId="77777777" w:rsidTr="00B51DF9">
        <w:trPr>
          <w:trHeight w:val="283"/>
        </w:trPr>
        <w:tc>
          <w:tcPr>
            <w:tcW w:w="3402" w:type="dxa"/>
            <w:tcBorders>
              <w:bottom w:val="nil"/>
            </w:tcBorders>
            <w:vAlign w:val="bottom"/>
          </w:tcPr>
          <w:p w14:paraId="33B06815" w14:textId="77777777" w:rsidR="00E84BCE" w:rsidRPr="00BE12AC" w:rsidRDefault="00E84BCE" w:rsidP="00145370">
            <w:pPr>
              <w:pStyle w:val="Tablecontentleftcolumn"/>
              <w:keepNext/>
              <w:keepLines/>
            </w:pPr>
            <w:r w:rsidRPr="00BE12AC">
              <w:t>Manufacturing</w:t>
            </w:r>
          </w:p>
        </w:tc>
        <w:tc>
          <w:tcPr>
            <w:tcW w:w="1269" w:type="dxa"/>
            <w:tcBorders>
              <w:bottom w:val="nil"/>
            </w:tcBorders>
            <w:vAlign w:val="bottom"/>
          </w:tcPr>
          <w:p w14:paraId="1195B02B" w14:textId="77777777" w:rsidR="00E84BCE" w:rsidRPr="00BE12AC" w:rsidRDefault="00E84BCE" w:rsidP="00145370">
            <w:pPr>
              <w:pStyle w:val="Tablecontentrightcolumn"/>
              <w:keepNext/>
              <w:keepLines/>
            </w:pPr>
            <w:r w:rsidRPr="00BE12AC">
              <w:t>9.0</w:t>
            </w:r>
          </w:p>
        </w:tc>
        <w:tc>
          <w:tcPr>
            <w:tcW w:w="1096" w:type="dxa"/>
            <w:tcBorders>
              <w:bottom w:val="nil"/>
            </w:tcBorders>
            <w:vAlign w:val="bottom"/>
          </w:tcPr>
          <w:p w14:paraId="3694207D" w14:textId="77777777" w:rsidR="00E84BCE" w:rsidRPr="00BE12AC" w:rsidRDefault="00E84BCE" w:rsidP="00145370">
            <w:pPr>
              <w:pStyle w:val="Tablecontentrightcolumn"/>
              <w:keepNext/>
              <w:keepLines/>
            </w:pPr>
            <w:r w:rsidRPr="00BE12AC">
              <w:t>3.6</w:t>
            </w:r>
          </w:p>
        </w:tc>
        <w:tc>
          <w:tcPr>
            <w:tcW w:w="1243" w:type="dxa"/>
            <w:tcBorders>
              <w:bottom w:val="nil"/>
            </w:tcBorders>
            <w:vAlign w:val="bottom"/>
          </w:tcPr>
          <w:p w14:paraId="6BAF1E18" w14:textId="77777777" w:rsidR="00E84BCE" w:rsidRPr="00BE12AC" w:rsidRDefault="00E84BCE" w:rsidP="00145370">
            <w:pPr>
              <w:pStyle w:val="Tablecontentrightcolumn"/>
              <w:keepNext/>
              <w:keepLines/>
            </w:pPr>
            <w:r w:rsidRPr="00BE12AC">
              <w:t>8.8</w:t>
            </w:r>
          </w:p>
        </w:tc>
        <w:tc>
          <w:tcPr>
            <w:tcW w:w="2016" w:type="dxa"/>
            <w:tcBorders>
              <w:bottom w:val="nil"/>
            </w:tcBorders>
            <w:vAlign w:val="bottom"/>
          </w:tcPr>
          <w:p w14:paraId="382271E2" w14:textId="73B6BC48" w:rsidR="00E84BCE" w:rsidRPr="00BE12AC" w:rsidRDefault="00BE12AC" w:rsidP="00145370">
            <w:pPr>
              <w:pStyle w:val="Tablecontentrightcolumn"/>
              <w:keepNext/>
              <w:keepLines/>
            </w:pPr>
            <w:r>
              <w:t>8.1</w:t>
            </w:r>
          </w:p>
        </w:tc>
      </w:tr>
      <w:tr w:rsidR="00E84BCE" w:rsidRPr="00BE12AC" w14:paraId="525CA24D" w14:textId="77777777" w:rsidTr="00B51DF9">
        <w:trPr>
          <w:trHeight w:val="283"/>
        </w:trPr>
        <w:tc>
          <w:tcPr>
            <w:tcW w:w="3402" w:type="dxa"/>
            <w:tcBorders>
              <w:bottom w:val="nil"/>
            </w:tcBorders>
            <w:shd w:val="clear" w:color="auto" w:fill="F2F2F2" w:themeFill="background1" w:themeFillShade="F2"/>
            <w:vAlign w:val="bottom"/>
          </w:tcPr>
          <w:p w14:paraId="3AD95711" w14:textId="77777777" w:rsidR="00E84BCE" w:rsidRPr="00BE12AC" w:rsidRDefault="00E84BCE" w:rsidP="00145370">
            <w:pPr>
              <w:pStyle w:val="Tablecontentleftcolumn"/>
              <w:keepNext/>
              <w:keepLines/>
            </w:pPr>
            <w:r w:rsidRPr="00BE12AC">
              <w:t>Construction</w:t>
            </w:r>
          </w:p>
        </w:tc>
        <w:tc>
          <w:tcPr>
            <w:tcW w:w="1269" w:type="dxa"/>
            <w:tcBorders>
              <w:bottom w:val="nil"/>
            </w:tcBorders>
            <w:shd w:val="clear" w:color="auto" w:fill="F2F2F2" w:themeFill="background1" w:themeFillShade="F2"/>
            <w:vAlign w:val="bottom"/>
          </w:tcPr>
          <w:p w14:paraId="3EEDFCD2" w14:textId="77777777" w:rsidR="00E84BCE" w:rsidRPr="00BE12AC" w:rsidRDefault="00E84BCE" w:rsidP="00145370">
            <w:pPr>
              <w:pStyle w:val="Tablecontentrightcolumn"/>
              <w:keepNext/>
              <w:keepLines/>
            </w:pPr>
            <w:r w:rsidRPr="00BE12AC">
              <w:t>6.1</w:t>
            </w:r>
          </w:p>
        </w:tc>
        <w:tc>
          <w:tcPr>
            <w:tcW w:w="1096" w:type="dxa"/>
            <w:tcBorders>
              <w:bottom w:val="nil"/>
            </w:tcBorders>
            <w:shd w:val="clear" w:color="auto" w:fill="F2F2F2" w:themeFill="background1" w:themeFillShade="F2"/>
            <w:vAlign w:val="bottom"/>
          </w:tcPr>
          <w:p w14:paraId="4B08CF5E" w14:textId="77777777" w:rsidR="00E84BCE" w:rsidRPr="00BE12AC" w:rsidRDefault="00E84BCE" w:rsidP="00145370">
            <w:pPr>
              <w:pStyle w:val="Tablecontentrightcolumn"/>
              <w:keepNext/>
              <w:keepLines/>
            </w:pPr>
            <w:r w:rsidRPr="00BE12AC">
              <w:t>10.7</w:t>
            </w:r>
          </w:p>
        </w:tc>
        <w:tc>
          <w:tcPr>
            <w:tcW w:w="1243" w:type="dxa"/>
            <w:tcBorders>
              <w:bottom w:val="nil"/>
            </w:tcBorders>
            <w:shd w:val="clear" w:color="auto" w:fill="F2F2F2" w:themeFill="background1" w:themeFillShade="F2"/>
            <w:vAlign w:val="bottom"/>
          </w:tcPr>
          <w:p w14:paraId="2C082324" w14:textId="77777777" w:rsidR="00E84BCE" w:rsidRPr="00BE12AC" w:rsidRDefault="00E84BCE" w:rsidP="00145370">
            <w:pPr>
              <w:pStyle w:val="Tablecontentrightcolumn"/>
              <w:keepNext/>
              <w:keepLines/>
            </w:pPr>
            <w:r w:rsidRPr="00BE12AC">
              <w:t>6.3</w:t>
            </w:r>
          </w:p>
        </w:tc>
        <w:tc>
          <w:tcPr>
            <w:tcW w:w="2016" w:type="dxa"/>
            <w:tcBorders>
              <w:bottom w:val="nil"/>
            </w:tcBorders>
            <w:shd w:val="clear" w:color="auto" w:fill="F2F2F2" w:themeFill="background1" w:themeFillShade="F2"/>
            <w:vAlign w:val="bottom"/>
          </w:tcPr>
          <w:p w14:paraId="4F38D553" w14:textId="689C95CA" w:rsidR="00E84BCE" w:rsidRPr="00BE12AC" w:rsidRDefault="00BE12AC" w:rsidP="00145370">
            <w:pPr>
              <w:pStyle w:val="Tablecontentrightcolumn"/>
              <w:keepNext/>
              <w:keepLines/>
            </w:pPr>
            <w:r>
              <w:t>9.2</w:t>
            </w:r>
          </w:p>
        </w:tc>
      </w:tr>
      <w:tr w:rsidR="00E84BCE" w:rsidRPr="00BE12AC" w14:paraId="7A5D0921" w14:textId="77777777" w:rsidTr="00B51DF9">
        <w:trPr>
          <w:trHeight w:val="283"/>
        </w:trPr>
        <w:tc>
          <w:tcPr>
            <w:tcW w:w="3402" w:type="dxa"/>
            <w:tcBorders>
              <w:top w:val="nil"/>
              <w:bottom w:val="nil"/>
            </w:tcBorders>
            <w:vAlign w:val="bottom"/>
          </w:tcPr>
          <w:p w14:paraId="46CB32F2" w14:textId="77777777" w:rsidR="00E84BCE" w:rsidRPr="00BE12AC" w:rsidRDefault="00E84BCE" w:rsidP="00145370">
            <w:pPr>
              <w:pStyle w:val="Tablecontentleftcolumn"/>
              <w:keepNext/>
              <w:keepLines/>
            </w:pPr>
            <w:r w:rsidRPr="00BE12AC">
              <w:t>Retail Trade</w:t>
            </w:r>
          </w:p>
        </w:tc>
        <w:tc>
          <w:tcPr>
            <w:tcW w:w="1269" w:type="dxa"/>
            <w:tcBorders>
              <w:top w:val="nil"/>
              <w:bottom w:val="nil"/>
            </w:tcBorders>
            <w:vAlign w:val="bottom"/>
          </w:tcPr>
          <w:p w14:paraId="7C6E58FC" w14:textId="77777777" w:rsidR="00E84BCE" w:rsidRPr="00BE12AC" w:rsidRDefault="00E84BCE" w:rsidP="00145370">
            <w:pPr>
              <w:pStyle w:val="Tablecontentrightcolumn"/>
              <w:keepNext/>
              <w:keepLines/>
            </w:pPr>
            <w:r w:rsidRPr="00BE12AC">
              <w:t>5.1</w:t>
            </w:r>
          </w:p>
        </w:tc>
        <w:tc>
          <w:tcPr>
            <w:tcW w:w="1096" w:type="dxa"/>
            <w:tcBorders>
              <w:top w:val="nil"/>
              <w:bottom w:val="nil"/>
            </w:tcBorders>
            <w:vAlign w:val="bottom"/>
          </w:tcPr>
          <w:p w14:paraId="3058AB0B" w14:textId="77777777" w:rsidR="00E84BCE" w:rsidRPr="00BE12AC" w:rsidRDefault="00E84BCE" w:rsidP="00145370">
            <w:pPr>
              <w:pStyle w:val="Tablecontentrightcolumn"/>
              <w:keepNext/>
              <w:keepLines/>
            </w:pPr>
            <w:r w:rsidRPr="00BE12AC">
              <w:t>3.6</w:t>
            </w:r>
          </w:p>
        </w:tc>
        <w:tc>
          <w:tcPr>
            <w:tcW w:w="1243" w:type="dxa"/>
            <w:tcBorders>
              <w:top w:val="nil"/>
              <w:bottom w:val="nil"/>
            </w:tcBorders>
            <w:vAlign w:val="bottom"/>
          </w:tcPr>
          <w:p w14:paraId="54A68343" w14:textId="77777777" w:rsidR="00E84BCE" w:rsidRPr="00BE12AC" w:rsidRDefault="00E84BCE" w:rsidP="00145370">
            <w:pPr>
              <w:pStyle w:val="Tablecontentrightcolumn"/>
              <w:keepNext/>
              <w:keepLines/>
            </w:pPr>
            <w:r w:rsidRPr="00BE12AC">
              <w:t>5.1</w:t>
            </w:r>
          </w:p>
        </w:tc>
        <w:tc>
          <w:tcPr>
            <w:tcW w:w="2016" w:type="dxa"/>
            <w:tcBorders>
              <w:top w:val="nil"/>
              <w:bottom w:val="nil"/>
            </w:tcBorders>
            <w:vAlign w:val="bottom"/>
          </w:tcPr>
          <w:p w14:paraId="13067902" w14:textId="025D6979" w:rsidR="00E84BCE" w:rsidRPr="00BE12AC" w:rsidRDefault="00BE12AC" w:rsidP="00145370">
            <w:pPr>
              <w:pStyle w:val="Tablecontentrightcolumn"/>
              <w:keepNext/>
              <w:keepLines/>
            </w:pPr>
            <w:r>
              <w:t>12.2</w:t>
            </w:r>
          </w:p>
        </w:tc>
      </w:tr>
      <w:tr w:rsidR="00E84BCE" w:rsidRPr="00BE12AC" w14:paraId="5DB4E368" w14:textId="77777777" w:rsidTr="00B51DF9">
        <w:trPr>
          <w:trHeight w:val="283"/>
        </w:trPr>
        <w:tc>
          <w:tcPr>
            <w:tcW w:w="3402" w:type="dxa"/>
            <w:tcBorders>
              <w:top w:val="nil"/>
              <w:bottom w:val="nil"/>
            </w:tcBorders>
            <w:shd w:val="clear" w:color="auto" w:fill="F2F2F2" w:themeFill="background1" w:themeFillShade="F2"/>
            <w:vAlign w:val="bottom"/>
          </w:tcPr>
          <w:p w14:paraId="5E343B29" w14:textId="77777777" w:rsidR="00E84BCE" w:rsidRPr="00BE12AC" w:rsidRDefault="00E84BCE" w:rsidP="00145370">
            <w:pPr>
              <w:pStyle w:val="Tablecontentleftcolumn"/>
              <w:keepNext/>
              <w:keepLines/>
            </w:pPr>
            <w:r w:rsidRPr="00BE12AC">
              <w:t>Education and Training</w:t>
            </w:r>
          </w:p>
        </w:tc>
        <w:tc>
          <w:tcPr>
            <w:tcW w:w="1269" w:type="dxa"/>
            <w:tcBorders>
              <w:top w:val="nil"/>
              <w:bottom w:val="nil"/>
            </w:tcBorders>
            <w:shd w:val="clear" w:color="auto" w:fill="F2F2F2" w:themeFill="background1" w:themeFillShade="F2"/>
            <w:vAlign w:val="bottom"/>
          </w:tcPr>
          <w:p w14:paraId="14CE7D9F" w14:textId="77777777" w:rsidR="00E84BCE" w:rsidRPr="00BE12AC" w:rsidRDefault="00E84BCE" w:rsidP="00145370">
            <w:pPr>
              <w:pStyle w:val="Tablecontentrightcolumn"/>
              <w:keepNext/>
              <w:keepLines/>
            </w:pPr>
            <w:r w:rsidRPr="00BE12AC">
              <w:t>4.7</w:t>
            </w:r>
          </w:p>
        </w:tc>
        <w:tc>
          <w:tcPr>
            <w:tcW w:w="1096" w:type="dxa"/>
            <w:tcBorders>
              <w:top w:val="nil"/>
              <w:bottom w:val="nil"/>
            </w:tcBorders>
            <w:shd w:val="clear" w:color="auto" w:fill="F2F2F2" w:themeFill="background1" w:themeFillShade="F2"/>
            <w:vAlign w:val="bottom"/>
          </w:tcPr>
          <w:p w14:paraId="50B5FB8D" w14:textId="77777777" w:rsidR="00E84BCE" w:rsidRPr="00BE12AC" w:rsidRDefault="00E84BCE" w:rsidP="00145370">
            <w:pPr>
              <w:pStyle w:val="Tablecontentrightcolumn"/>
              <w:keepNext/>
              <w:keepLines/>
            </w:pPr>
            <w:r w:rsidRPr="00BE12AC">
              <w:t>3.6</w:t>
            </w:r>
          </w:p>
        </w:tc>
        <w:tc>
          <w:tcPr>
            <w:tcW w:w="1243" w:type="dxa"/>
            <w:tcBorders>
              <w:top w:val="nil"/>
              <w:bottom w:val="nil"/>
            </w:tcBorders>
            <w:shd w:val="clear" w:color="auto" w:fill="F2F2F2" w:themeFill="background1" w:themeFillShade="F2"/>
            <w:vAlign w:val="bottom"/>
          </w:tcPr>
          <w:p w14:paraId="7080324D" w14:textId="77777777" w:rsidR="00E84BCE" w:rsidRPr="00BE12AC" w:rsidRDefault="00E84BCE" w:rsidP="00145370">
            <w:pPr>
              <w:pStyle w:val="Tablecontentrightcolumn"/>
              <w:keepNext/>
              <w:keepLines/>
            </w:pPr>
            <w:r w:rsidRPr="00BE12AC">
              <w:t>4.6</w:t>
            </w:r>
          </w:p>
        </w:tc>
        <w:tc>
          <w:tcPr>
            <w:tcW w:w="2016" w:type="dxa"/>
            <w:tcBorders>
              <w:top w:val="nil"/>
              <w:bottom w:val="nil"/>
            </w:tcBorders>
            <w:shd w:val="clear" w:color="auto" w:fill="F2F2F2" w:themeFill="background1" w:themeFillShade="F2"/>
            <w:vAlign w:val="bottom"/>
          </w:tcPr>
          <w:p w14:paraId="0116AB43" w14:textId="13CD179D" w:rsidR="00E84BCE" w:rsidRPr="00BE12AC" w:rsidRDefault="00BE12AC" w:rsidP="00145370">
            <w:pPr>
              <w:pStyle w:val="Tablecontentrightcolumn"/>
              <w:keepNext/>
              <w:keepLines/>
            </w:pPr>
            <w:r>
              <w:t>3.1</w:t>
            </w:r>
          </w:p>
        </w:tc>
      </w:tr>
      <w:tr w:rsidR="00E84BCE" w:rsidRPr="00BE12AC" w14:paraId="5656CE1C" w14:textId="77777777" w:rsidTr="00B51DF9">
        <w:trPr>
          <w:trHeight w:val="283"/>
        </w:trPr>
        <w:tc>
          <w:tcPr>
            <w:tcW w:w="3402" w:type="dxa"/>
            <w:tcBorders>
              <w:top w:val="nil"/>
              <w:bottom w:val="nil"/>
            </w:tcBorders>
            <w:vAlign w:val="bottom"/>
          </w:tcPr>
          <w:p w14:paraId="7F850437" w14:textId="77777777" w:rsidR="00E84BCE" w:rsidRPr="00BE12AC" w:rsidRDefault="00E84BCE" w:rsidP="00145370">
            <w:pPr>
              <w:pStyle w:val="Tablecontentleftcolumn"/>
              <w:keepNext/>
              <w:keepLines/>
            </w:pPr>
            <w:r w:rsidRPr="00BE12AC">
              <w:t>Professional, Scientific, Technical Services</w:t>
            </w:r>
          </w:p>
        </w:tc>
        <w:tc>
          <w:tcPr>
            <w:tcW w:w="1269" w:type="dxa"/>
            <w:tcBorders>
              <w:top w:val="nil"/>
              <w:bottom w:val="nil"/>
            </w:tcBorders>
            <w:vAlign w:val="bottom"/>
          </w:tcPr>
          <w:p w14:paraId="2CFFABD1" w14:textId="77777777" w:rsidR="00E84BCE" w:rsidRPr="00BE12AC" w:rsidRDefault="00E84BCE" w:rsidP="00145370">
            <w:pPr>
              <w:pStyle w:val="Tablecontentrightcolumn"/>
              <w:keepNext/>
              <w:keepLines/>
            </w:pPr>
            <w:r w:rsidRPr="00BE12AC">
              <w:t>3.5</w:t>
            </w:r>
          </w:p>
        </w:tc>
        <w:tc>
          <w:tcPr>
            <w:tcW w:w="1096" w:type="dxa"/>
            <w:tcBorders>
              <w:top w:val="nil"/>
              <w:bottom w:val="nil"/>
            </w:tcBorders>
            <w:vAlign w:val="bottom"/>
          </w:tcPr>
          <w:p w14:paraId="676F31E3" w14:textId="77777777" w:rsidR="00E84BCE" w:rsidRPr="00BE12AC" w:rsidRDefault="00E84BCE" w:rsidP="00145370">
            <w:pPr>
              <w:pStyle w:val="Tablecontentrightcolumn"/>
              <w:keepNext/>
              <w:keepLines/>
            </w:pPr>
            <w:r w:rsidRPr="00BE12AC">
              <w:t>0.0</w:t>
            </w:r>
          </w:p>
        </w:tc>
        <w:tc>
          <w:tcPr>
            <w:tcW w:w="1243" w:type="dxa"/>
            <w:tcBorders>
              <w:top w:val="nil"/>
              <w:bottom w:val="nil"/>
            </w:tcBorders>
            <w:vAlign w:val="bottom"/>
          </w:tcPr>
          <w:p w14:paraId="2FD9BDD0" w14:textId="77777777" w:rsidR="00E84BCE" w:rsidRPr="00BE12AC" w:rsidRDefault="00E84BCE" w:rsidP="00145370">
            <w:pPr>
              <w:pStyle w:val="Tablecontentrightcolumn"/>
              <w:keepNext/>
              <w:keepLines/>
            </w:pPr>
            <w:r w:rsidRPr="00BE12AC">
              <w:t>3.4</w:t>
            </w:r>
          </w:p>
        </w:tc>
        <w:tc>
          <w:tcPr>
            <w:tcW w:w="2016" w:type="dxa"/>
            <w:tcBorders>
              <w:top w:val="nil"/>
              <w:bottom w:val="nil"/>
            </w:tcBorders>
            <w:vAlign w:val="bottom"/>
          </w:tcPr>
          <w:p w14:paraId="4F53A110" w14:textId="45753A03" w:rsidR="00E84BCE" w:rsidRPr="00BE12AC" w:rsidRDefault="00BE12AC" w:rsidP="00145370">
            <w:pPr>
              <w:pStyle w:val="Tablecontentrightcolumn"/>
              <w:keepNext/>
              <w:keepLines/>
            </w:pPr>
            <w:r>
              <w:t>5.7</w:t>
            </w:r>
          </w:p>
        </w:tc>
      </w:tr>
      <w:tr w:rsidR="00E84BCE" w:rsidRPr="00BE12AC" w14:paraId="3039088B" w14:textId="77777777" w:rsidTr="00B51DF9">
        <w:trPr>
          <w:trHeight w:val="283"/>
        </w:trPr>
        <w:tc>
          <w:tcPr>
            <w:tcW w:w="3402" w:type="dxa"/>
            <w:tcBorders>
              <w:top w:val="nil"/>
              <w:bottom w:val="nil"/>
            </w:tcBorders>
            <w:shd w:val="clear" w:color="auto" w:fill="F2F2F2" w:themeFill="background1" w:themeFillShade="F2"/>
            <w:vAlign w:val="bottom"/>
          </w:tcPr>
          <w:p w14:paraId="5B2DE635" w14:textId="77777777" w:rsidR="00E84BCE" w:rsidRPr="00BE12AC" w:rsidRDefault="00E84BCE" w:rsidP="00145370">
            <w:pPr>
              <w:pStyle w:val="Tablecontentleftcolumn"/>
              <w:keepNext/>
              <w:keepLines/>
            </w:pPr>
            <w:r w:rsidRPr="00BE12AC">
              <w:t>Transport, Postal and Warehousing</w:t>
            </w:r>
          </w:p>
        </w:tc>
        <w:tc>
          <w:tcPr>
            <w:tcW w:w="1269" w:type="dxa"/>
            <w:tcBorders>
              <w:top w:val="nil"/>
              <w:bottom w:val="nil"/>
            </w:tcBorders>
            <w:shd w:val="clear" w:color="auto" w:fill="F2F2F2" w:themeFill="background1" w:themeFillShade="F2"/>
            <w:vAlign w:val="bottom"/>
          </w:tcPr>
          <w:p w14:paraId="0AE55786" w14:textId="77777777" w:rsidR="00E84BCE" w:rsidRPr="00BE12AC" w:rsidRDefault="00E84BCE" w:rsidP="00145370">
            <w:pPr>
              <w:pStyle w:val="Tablecontentrightcolumn"/>
              <w:keepNext/>
              <w:keepLines/>
            </w:pPr>
            <w:r w:rsidRPr="00BE12AC">
              <w:t>2.9</w:t>
            </w:r>
          </w:p>
        </w:tc>
        <w:tc>
          <w:tcPr>
            <w:tcW w:w="1096" w:type="dxa"/>
            <w:tcBorders>
              <w:top w:val="nil"/>
              <w:bottom w:val="nil"/>
            </w:tcBorders>
            <w:shd w:val="clear" w:color="auto" w:fill="F2F2F2" w:themeFill="background1" w:themeFillShade="F2"/>
            <w:vAlign w:val="bottom"/>
          </w:tcPr>
          <w:p w14:paraId="1B5B621C" w14:textId="77777777" w:rsidR="00E84BCE" w:rsidRPr="00BE12AC" w:rsidRDefault="00E84BCE" w:rsidP="00145370">
            <w:pPr>
              <w:pStyle w:val="Tablecontentrightcolumn"/>
              <w:keepNext/>
              <w:keepLines/>
            </w:pPr>
            <w:r w:rsidRPr="00BE12AC">
              <w:t>3.6</w:t>
            </w:r>
          </w:p>
        </w:tc>
        <w:tc>
          <w:tcPr>
            <w:tcW w:w="1243" w:type="dxa"/>
            <w:tcBorders>
              <w:top w:val="nil"/>
              <w:bottom w:val="nil"/>
            </w:tcBorders>
            <w:shd w:val="clear" w:color="auto" w:fill="F2F2F2" w:themeFill="background1" w:themeFillShade="F2"/>
            <w:vAlign w:val="bottom"/>
          </w:tcPr>
          <w:p w14:paraId="1BCF8904" w14:textId="77777777" w:rsidR="00E84BCE" w:rsidRPr="00BE12AC" w:rsidRDefault="00E84BCE" w:rsidP="00145370">
            <w:pPr>
              <w:pStyle w:val="Tablecontentrightcolumn"/>
              <w:keepNext/>
              <w:keepLines/>
            </w:pPr>
            <w:r w:rsidRPr="00BE12AC">
              <w:t>2.9</w:t>
            </w:r>
          </w:p>
        </w:tc>
        <w:tc>
          <w:tcPr>
            <w:tcW w:w="2016" w:type="dxa"/>
            <w:tcBorders>
              <w:top w:val="nil"/>
              <w:bottom w:val="nil"/>
            </w:tcBorders>
            <w:shd w:val="clear" w:color="auto" w:fill="F2F2F2" w:themeFill="background1" w:themeFillShade="F2"/>
            <w:vAlign w:val="bottom"/>
          </w:tcPr>
          <w:p w14:paraId="03C824D1" w14:textId="77777777" w:rsidR="00E84BCE" w:rsidRPr="00BE12AC" w:rsidRDefault="00E84BCE" w:rsidP="00145370">
            <w:pPr>
              <w:pStyle w:val="Tablecontentrightcolumn"/>
              <w:keepNext/>
              <w:keepLines/>
            </w:pPr>
            <w:r w:rsidRPr="00BE12AC">
              <w:t>6.0</w:t>
            </w:r>
          </w:p>
        </w:tc>
      </w:tr>
    </w:tbl>
    <w:p w14:paraId="61AA54C7" w14:textId="19C9CB84" w:rsidR="00B51DF9" w:rsidRDefault="00B51DF9" w:rsidP="00570136">
      <w:pPr>
        <w:pStyle w:val="Source"/>
      </w:pPr>
      <w:r>
        <w:t xml:space="preserve">(a) This column </w:t>
      </w:r>
      <w:proofErr w:type="gramStart"/>
      <w:r>
        <w:t>is based</w:t>
      </w:r>
      <w:proofErr w:type="gramEnd"/>
      <w:r>
        <w:t xml:space="preserve"> off 622 Relocation Agreements, which relates to 620 job seekers.</w:t>
      </w:r>
    </w:p>
    <w:p w14:paraId="2D6899E4" w14:textId="2A0AF751" w:rsidR="00570136" w:rsidRPr="00F53504" w:rsidRDefault="00570136" w:rsidP="00570136">
      <w:pPr>
        <w:pStyle w:val="Source"/>
      </w:pPr>
      <w:r w:rsidRPr="00F53504">
        <w:t>(</w:t>
      </w:r>
      <w:r w:rsidR="00B51DF9">
        <w:t>b</w:t>
      </w:r>
      <w:r w:rsidRPr="00F53504">
        <w:t xml:space="preserve">) </w:t>
      </w:r>
      <w:r>
        <w:t>All job placements from 1 July 2014 to 31 December 2015.</w:t>
      </w:r>
    </w:p>
    <w:p w14:paraId="17099331" w14:textId="6C14FCA0" w:rsidR="00E84BCE" w:rsidRPr="00F53504" w:rsidRDefault="00E84BCE" w:rsidP="00145370">
      <w:pPr>
        <w:pStyle w:val="Source"/>
        <w:keepNext/>
        <w:keepLines/>
      </w:pPr>
      <w:r w:rsidRPr="00BE12AC">
        <w:rPr>
          <w:b/>
        </w:rPr>
        <w:t>Source:</w:t>
      </w:r>
      <w:r w:rsidRPr="00BE12AC">
        <w:t xml:space="preserve"> EBIW data.</w:t>
      </w:r>
    </w:p>
    <w:p w14:paraId="40F5B4FD" w14:textId="00AEC5BD" w:rsidR="002819F2" w:rsidRPr="00F53504" w:rsidRDefault="00B3343C" w:rsidP="004F546D">
      <w:pPr>
        <w:spacing w:before="360"/>
        <w:rPr>
          <w:rFonts w:ascii="Calibri" w:eastAsiaTheme="majorEastAsia" w:hAnsi="Calibri" w:cstheme="majorBidi"/>
          <w:b/>
          <w:bCs/>
          <w:sz w:val="28"/>
          <w:szCs w:val="28"/>
        </w:rPr>
      </w:pPr>
      <w:r w:rsidRPr="00F53504">
        <w:t>O</w:t>
      </w:r>
      <w:r w:rsidR="00E221F5" w:rsidRPr="00F53504">
        <w:t xml:space="preserve">nly 28 job seekers did not progress from an approved agreement to a confirmed employment placement, </w:t>
      </w:r>
      <w:r w:rsidRPr="00F53504">
        <w:t>which mean</w:t>
      </w:r>
      <w:r w:rsidR="00145370">
        <w:t>s there is insufficient data to</w:t>
      </w:r>
      <w:r w:rsidR="00067D33" w:rsidRPr="00F53504">
        <w:t xml:space="preserve"> analyse</w:t>
      </w:r>
      <w:r w:rsidR="00E221F5" w:rsidRPr="00F53504">
        <w:t xml:space="preserve"> any </w:t>
      </w:r>
      <w:r w:rsidR="00EB2D8A" w:rsidRPr="00F53504">
        <w:t>e</w:t>
      </w:r>
      <w:r w:rsidR="00E221F5" w:rsidRPr="00F53504">
        <w:t xml:space="preserve">ffect the </w:t>
      </w:r>
      <w:r w:rsidR="00067D33" w:rsidRPr="00F53504">
        <w:t xml:space="preserve">characteristics of job seekers or the jobs for which they relocated </w:t>
      </w:r>
      <w:r w:rsidR="00E221F5" w:rsidRPr="00F53504">
        <w:t>may have had on the likelihood of successfully relocating.</w:t>
      </w:r>
      <w:r w:rsidR="002819F2" w:rsidRPr="00F53504">
        <w:br w:type="page"/>
      </w:r>
    </w:p>
    <w:p w14:paraId="2D2D32C4" w14:textId="0B4211C5" w:rsidR="002819F2" w:rsidRPr="00F53504" w:rsidRDefault="0080649D" w:rsidP="00920031">
      <w:pPr>
        <w:pStyle w:val="Heading2"/>
      </w:pPr>
      <w:bookmarkStart w:id="54" w:name="_Ref455410633"/>
      <w:bookmarkStart w:id="55" w:name="_Toc512529320"/>
      <w:r w:rsidRPr="00F53504">
        <w:lastRenderedPageBreak/>
        <w:t>Do</w:t>
      </w:r>
      <w:r w:rsidR="002819F2" w:rsidRPr="00F53504">
        <w:t xml:space="preserve"> relocated job seekers achieve </w:t>
      </w:r>
      <w:r w:rsidR="00764698" w:rsidRPr="00F53504">
        <w:t xml:space="preserve">paid </w:t>
      </w:r>
      <w:r w:rsidR="002819F2" w:rsidRPr="00F53504">
        <w:t>employment outcomes?</w:t>
      </w:r>
      <w:bookmarkEnd w:id="54"/>
      <w:bookmarkEnd w:id="55"/>
    </w:p>
    <w:p w14:paraId="3A014F69" w14:textId="77777777" w:rsidR="00DF07BA" w:rsidRPr="00F53504" w:rsidRDefault="00DF07BA" w:rsidP="00130ED6">
      <w:pPr>
        <w:pStyle w:val="Answerbox"/>
        <w:rPr>
          <w:b/>
        </w:rPr>
      </w:pPr>
      <w:r w:rsidRPr="00F53504">
        <w:rPr>
          <w:b/>
        </w:rPr>
        <w:t>Relocated job seekers achieve employment outcomes</w:t>
      </w:r>
    </w:p>
    <w:p w14:paraId="5F50508D" w14:textId="0AB49A3C" w:rsidR="00000C3E" w:rsidRPr="00F53504" w:rsidRDefault="00F56804" w:rsidP="001E07A7">
      <w:pPr>
        <w:pStyle w:val="Answerboxdotpoints"/>
      </w:pPr>
      <w:r w:rsidRPr="00F53504">
        <w:t>T</w:t>
      </w:r>
      <w:r w:rsidR="00B3611C" w:rsidRPr="00F53504">
        <w:t>wo-</w:t>
      </w:r>
      <w:r w:rsidR="00B3611C" w:rsidRPr="00E2571B">
        <w:t xml:space="preserve">thirds </w:t>
      </w:r>
      <w:r w:rsidR="00E2571B" w:rsidRPr="00E2571B">
        <w:t>(66</w:t>
      </w:r>
      <w:r w:rsidRPr="00E2571B">
        <w:t xml:space="preserve"> per cent) of</w:t>
      </w:r>
      <w:r w:rsidRPr="00F53504">
        <w:t xml:space="preserve"> successful </w:t>
      </w:r>
      <w:proofErr w:type="spellStart"/>
      <w:r w:rsidR="002A61C7" w:rsidRPr="00F53504">
        <w:t>relocators</w:t>
      </w:r>
      <w:proofErr w:type="spellEnd"/>
      <w:r w:rsidR="002A61C7" w:rsidRPr="00F53504">
        <w:t xml:space="preserve"> whose</w:t>
      </w:r>
      <w:r w:rsidRPr="00F53504">
        <w:t xml:space="preserve"> </w:t>
      </w:r>
      <w:r w:rsidR="00B3611C" w:rsidRPr="00F53504">
        <w:t>Relocation A</w:t>
      </w:r>
      <w:r w:rsidRPr="00F53504">
        <w:t>greements started during the JSA period of this evaluation (1 July 2014 – 3</w:t>
      </w:r>
      <w:r w:rsidR="00CF272F" w:rsidRPr="00F53504">
        <w:t>0</w:t>
      </w:r>
      <w:r w:rsidRPr="00F53504">
        <w:t xml:space="preserve"> June 2015) achieved a 13</w:t>
      </w:r>
      <w:r w:rsidR="00E2571B">
        <w:t xml:space="preserve"> week employment outcome and 49 per cent a</w:t>
      </w:r>
      <w:r w:rsidR="00A826C0">
        <w:t xml:space="preserve"> 26 week employment outcome.</w:t>
      </w:r>
    </w:p>
    <w:p w14:paraId="272F1029" w14:textId="7E9780D6" w:rsidR="00000C3E" w:rsidRPr="00F53504" w:rsidRDefault="002819F2" w:rsidP="001E07A7">
      <w:pPr>
        <w:pStyle w:val="Answerboxdotpoints"/>
      </w:pPr>
      <w:r w:rsidRPr="00F53504">
        <w:t>For</w:t>
      </w:r>
      <w:r w:rsidR="00F56804" w:rsidRPr="00F53504">
        <w:t xml:space="preserve"> successful </w:t>
      </w:r>
      <w:r w:rsidR="002A61C7" w:rsidRPr="00F53504">
        <w:t xml:space="preserve">relocations with </w:t>
      </w:r>
      <w:r w:rsidR="00F56804" w:rsidRPr="00F53504">
        <w:t>agreement start dates during</w:t>
      </w:r>
      <w:r w:rsidRPr="00F53504">
        <w:t xml:space="preserve"> the </w:t>
      </w:r>
      <w:r w:rsidR="00F56804" w:rsidRPr="00F53504">
        <w:t xml:space="preserve">jobactive </w:t>
      </w:r>
      <w:r w:rsidRPr="00F53504">
        <w:t>period</w:t>
      </w:r>
      <w:r w:rsidR="00F84FF1" w:rsidRPr="00F53504">
        <w:t xml:space="preserve"> of this evaluation</w:t>
      </w:r>
      <w:r w:rsidRPr="00F53504">
        <w:t xml:space="preserve"> </w:t>
      </w:r>
      <w:r w:rsidR="00F56804" w:rsidRPr="00F53504">
        <w:t>(</w:t>
      </w:r>
      <w:r w:rsidRPr="00F53504">
        <w:t xml:space="preserve">1 July 2015 </w:t>
      </w:r>
      <w:r w:rsidR="00F56804" w:rsidRPr="00F53504">
        <w:t xml:space="preserve">– </w:t>
      </w:r>
      <w:r w:rsidR="00E2571B">
        <w:t>30</w:t>
      </w:r>
      <w:r w:rsidRPr="00F53504">
        <w:t xml:space="preserve"> </w:t>
      </w:r>
      <w:r w:rsidR="00E2571B">
        <w:t>June</w:t>
      </w:r>
      <w:r w:rsidRPr="00F53504">
        <w:t xml:space="preserve"> 201</w:t>
      </w:r>
      <w:r w:rsidR="00E2571B">
        <w:t>6</w:t>
      </w:r>
      <w:r w:rsidR="00F56804" w:rsidRPr="00F53504">
        <w:t>)</w:t>
      </w:r>
      <w:r w:rsidRPr="00F53504">
        <w:t xml:space="preserve">, </w:t>
      </w:r>
      <w:r w:rsidR="00E2571B">
        <w:t>79</w:t>
      </w:r>
      <w:r w:rsidRPr="00F53504">
        <w:t xml:space="preserve"> per cent achieved a</w:t>
      </w:r>
      <w:r w:rsidR="00E2571B">
        <w:t xml:space="preserve"> 12 week</w:t>
      </w:r>
      <w:r w:rsidRPr="00F53504">
        <w:t xml:space="preserve"> employment outcome</w:t>
      </w:r>
      <w:r w:rsidR="00F56804" w:rsidRPr="00F53504">
        <w:t xml:space="preserve"> </w:t>
      </w:r>
      <w:r w:rsidR="00E2571B">
        <w:t>and 64 per cent a</w:t>
      </w:r>
      <w:r w:rsidR="00F56804" w:rsidRPr="00F53504">
        <w:t xml:space="preserve"> 26 week</w:t>
      </w:r>
      <w:r w:rsidR="00E2571B">
        <w:t xml:space="preserve"> employment outcome</w:t>
      </w:r>
      <w:r w:rsidRPr="00F53504">
        <w:t>.</w:t>
      </w:r>
    </w:p>
    <w:p w14:paraId="30932D01" w14:textId="24AA9BA4" w:rsidR="002819F2" w:rsidRPr="00F53504" w:rsidRDefault="002819F2" w:rsidP="002819F2">
      <w:r w:rsidRPr="00F53504">
        <w:t>For the period 1 July 2014 to 30 June 2015</w:t>
      </w:r>
      <w:r w:rsidR="00DA76B0" w:rsidRPr="00F53504">
        <w:t>,</w:t>
      </w:r>
      <w:r w:rsidR="006E0AC3">
        <w:t xml:space="preserve"> under </w:t>
      </w:r>
      <w:r w:rsidRPr="00F53504">
        <w:t>JSA</w:t>
      </w:r>
      <w:r w:rsidR="00DA76B0" w:rsidRPr="00F53504">
        <w:t>,</w:t>
      </w:r>
      <w:r w:rsidRPr="00F53504">
        <w:t xml:space="preserve"> employment outcome</w:t>
      </w:r>
      <w:r w:rsidR="00DA76B0" w:rsidRPr="00F53504">
        <w:t xml:space="preserve"> payments were </w:t>
      </w:r>
      <w:r w:rsidR="00C42951">
        <w:t>paid</w:t>
      </w:r>
      <w:r w:rsidRPr="00F53504">
        <w:t xml:space="preserve"> </w:t>
      </w:r>
      <w:r w:rsidR="00113DCC" w:rsidRPr="00F53504">
        <w:t xml:space="preserve">to providers for job seekers in Stream 2, 3 or 4 who achieved </w:t>
      </w:r>
      <w:r w:rsidRPr="00F53504">
        <w:t xml:space="preserve">13 and </w:t>
      </w:r>
      <w:proofErr w:type="gramStart"/>
      <w:r w:rsidRPr="00F53504">
        <w:t>26</w:t>
      </w:r>
      <w:r w:rsidR="00D67EBE">
        <w:t> </w:t>
      </w:r>
      <w:r w:rsidRPr="00F53504">
        <w:t>week</w:t>
      </w:r>
      <w:proofErr w:type="gramEnd"/>
      <w:r w:rsidR="00617346" w:rsidRPr="00F53504">
        <w:t xml:space="preserve"> employment</w:t>
      </w:r>
      <w:r w:rsidR="00F75DDD">
        <w:t xml:space="preserve"> outcomes</w:t>
      </w:r>
      <w:r w:rsidR="007F44DF" w:rsidRPr="00F53504">
        <w:t xml:space="preserve"> (Stream 1 job seekers did not attract outcome payments unless they had been unemployed for 12 months or more)</w:t>
      </w:r>
      <w:r w:rsidR="00617346" w:rsidRPr="00F53504">
        <w:t>. For the period 1 </w:t>
      </w:r>
      <w:r w:rsidRPr="00F53504">
        <w:t xml:space="preserve">July 2015 to </w:t>
      </w:r>
      <w:r w:rsidR="00092A6F" w:rsidRPr="00F53504">
        <w:t>3</w:t>
      </w:r>
      <w:r w:rsidR="00E2571B">
        <w:t>0</w:t>
      </w:r>
      <w:r w:rsidR="00BD5B02">
        <w:t> </w:t>
      </w:r>
      <w:r w:rsidR="00E2571B">
        <w:t>June</w:t>
      </w:r>
      <w:r w:rsidR="00BD5B02">
        <w:t> </w:t>
      </w:r>
      <w:r w:rsidRPr="00F53504">
        <w:t>201</w:t>
      </w:r>
      <w:r w:rsidR="00E2571B">
        <w:t>6</w:t>
      </w:r>
      <w:r w:rsidRPr="00F53504">
        <w:t xml:space="preserve">, </w:t>
      </w:r>
      <w:r w:rsidR="00DA76B0" w:rsidRPr="00F53504">
        <w:t xml:space="preserve">under </w:t>
      </w:r>
      <w:r w:rsidRPr="00F53504">
        <w:t>jobactive</w:t>
      </w:r>
      <w:r w:rsidR="00DA76B0" w:rsidRPr="00F53504">
        <w:t xml:space="preserve">, </w:t>
      </w:r>
      <w:r w:rsidRPr="00F53504">
        <w:t>employment outcome</w:t>
      </w:r>
      <w:r w:rsidR="00DA76B0" w:rsidRPr="00F53504">
        <w:t xml:space="preserve"> payments </w:t>
      </w:r>
      <w:proofErr w:type="gramStart"/>
      <w:r w:rsidR="00DA76B0" w:rsidRPr="00F53504">
        <w:t xml:space="preserve">were </w:t>
      </w:r>
      <w:r w:rsidR="00C42951">
        <w:t>paid</w:t>
      </w:r>
      <w:proofErr w:type="gramEnd"/>
      <w:r w:rsidR="00DA76B0" w:rsidRPr="00F53504">
        <w:t xml:space="preserve"> at</w:t>
      </w:r>
      <w:r w:rsidRPr="00F53504">
        <w:t xml:space="preserve"> 4, 12 and 26 weeks</w:t>
      </w:r>
      <w:r w:rsidR="00DA76B0" w:rsidRPr="00F53504">
        <w:t xml:space="preserve"> of employment</w:t>
      </w:r>
      <w:r w:rsidRPr="00F53504">
        <w:t>.</w:t>
      </w:r>
    </w:p>
    <w:p w14:paraId="193240B4" w14:textId="77777777" w:rsidR="009A7A7C" w:rsidRPr="00F53504" w:rsidRDefault="002819F2" w:rsidP="002819F2">
      <w:r w:rsidRPr="00F53504">
        <w:t xml:space="preserve">Employment outcome payments reported in this section are </w:t>
      </w:r>
      <w:r w:rsidR="00E23ADF" w:rsidRPr="00F53504">
        <w:t xml:space="preserve">only </w:t>
      </w:r>
      <w:r w:rsidRPr="00F53504">
        <w:t>those directly linked to the job specified in the relocation agreement</w:t>
      </w:r>
      <w:r w:rsidR="0080649D" w:rsidRPr="00F53504">
        <w:t>.</w:t>
      </w:r>
      <w:r w:rsidR="00DA4983" w:rsidRPr="00F53504">
        <w:t xml:space="preserve"> </w:t>
      </w:r>
      <w:r w:rsidR="00E23ADF" w:rsidRPr="00F53504">
        <w:t>P</w:t>
      </w:r>
      <w:r w:rsidR="00DA4983" w:rsidRPr="00F53504">
        <w:t>ayments made where a participant secured a different job to the one specified in their relocation agreement are excluded from the analysis</w:t>
      </w:r>
      <w:r w:rsidR="00933DFD">
        <w:t xml:space="preserve">, since </w:t>
      </w:r>
      <w:r w:rsidR="00F831CB">
        <w:t>in these (few) cases it is not always clear whether the planned relocation actually took place</w:t>
      </w:r>
      <w:r w:rsidRPr="00F53504">
        <w:t>.</w:t>
      </w:r>
    </w:p>
    <w:p w14:paraId="37E8FBDA" w14:textId="77777777" w:rsidR="002819F2" w:rsidRPr="00F53504" w:rsidRDefault="002819F2" w:rsidP="001835B8">
      <w:pPr>
        <w:pStyle w:val="Heading3"/>
      </w:pPr>
      <w:r w:rsidRPr="00F53504">
        <w:t>Job Services Australia</w:t>
      </w:r>
    </w:p>
    <w:p w14:paraId="0012B876" w14:textId="7897F8A3" w:rsidR="00E23ADF" w:rsidRPr="00F53504" w:rsidRDefault="00B3611C" w:rsidP="002819F2">
      <w:r w:rsidRPr="00F53504">
        <w:t xml:space="preserve">As at 31 March 2016, </w:t>
      </w:r>
      <w:r w:rsidR="002819F2" w:rsidRPr="00F53504">
        <w:t xml:space="preserve">of all participants </w:t>
      </w:r>
      <w:r w:rsidR="00DE3A40" w:rsidRPr="00F53504">
        <w:t xml:space="preserve">who </w:t>
      </w:r>
      <w:r w:rsidR="002819F2" w:rsidRPr="00F53504">
        <w:t xml:space="preserve">had an approved relocation agreement and a confirmed employment placement (“relocated” – see section </w:t>
      </w:r>
      <w:r w:rsidR="00FF0725" w:rsidRPr="00F53504">
        <w:fldChar w:fldCharType="begin"/>
      </w:r>
      <w:r w:rsidR="00FF0725" w:rsidRPr="00F53504">
        <w:instrText xml:space="preserve"> REF _Ref455473799 \r \h </w:instrText>
      </w:r>
      <w:r w:rsidR="00FF0725" w:rsidRPr="00F53504">
        <w:fldChar w:fldCharType="separate"/>
      </w:r>
      <w:r w:rsidR="00AA36FE">
        <w:t>3.1</w:t>
      </w:r>
      <w:r w:rsidR="00FF0725" w:rsidRPr="00F53504">
        <w:fldChar w:fldCharType="end"/>
      </w:r>
      <w:r w:rsidR="002819F2" w:rsidRPr="00F53504">
        <w:t>) during the JSA contract</w:t>
      </w:r>
      <w:r w:rsidR="00E23ADF" w:rsidRPr="00F53504">
        <w:t>:</w:t>
      </w:r>
    </w:p>
    <w:p w14:paraId="1D5FF47E" w14:textId="7E0EF602" w:rsidR="00E23ADF" w:rsidRDefault="00764698" w:rsidP="00941532">
      <w:pPr>
        <w:pStyle w:val="ListBullet"/>
      </w:pPr>
      <w:r w:rsidRPr="00E2571B">
        <w:t>two thirds (66 per cent)</w:t>
      </w:r>
      <w:r w:rsidRPr="00F53504">
        <w:t xml:space="preserve"> </w:t>
      </w:r>
      <w:r w:rsidR="00891A8E">
        <w:t xml:space="preserve">of </w:t>
      </w:r>
      <w:r w:rsidR="00305C64">
        <w:t>placements</w:t>
      </w:r>
      <w:r w:rsidR="00891A8E">
        <w:t xml:space="preserve"> resulted </w:t>
      </w:r>
      <w:r w:rsidR="00305C64">
        <w:t xml:space="preserve">in </w:t>
      </w:r>
      <w:r w:rsidR="00105ECF" w:rsidRPr="00F53504">
        <w:t>a</w:t>
      </w:r>
      <w:r w:rsidR="00105ECF">
        <w:t> </w:t>
      </w:r>
      <w:r w:rsidRPr="00F53504">
        <w:t>13</w:t>
      </w:r>
      <w:r w:rsidR="00105ECF">
        <w:t> </w:t>
      </w:r>
      <w:r w:rsidRPr="00F53504">
        <w:t>week</w:t>
      </w:r>
      <w:r w:rsidR="00836D9B">
        <w:t xml:space="preserve"> employment</w:t>
      </w:r>
      <w:r w:rsidRPr="00F53504">
        <w:t xml:space="preserve"> outcome and </w:t>
      </w:r>
      <w:r w:rsidR="0059437F" w:rsidRPr="00F53504">
        <w:t>49</w:t>
      </w:r>
      <w:r w:rsidR="00E528EE">
        <w:t> </w:t>
      </w:r>
      <w:r w:rsidR="0059437F" w:rsidRPr="00F53504">
        <w:t>per</w:t>
      </w:r>
      <w:r w:rsidR="00E528EE">
        <w:t> </w:t>
      </w:r>
      <w:r w:rsidR="004B1EC6">
        <w:t>cent with a 26 </w:t>
      </w:r>
      <w:r w:rsidR="00BD5B02">
        <w:t>week employment outcome</w:t>
      </w:r>
    </w:p>
    <w:p w14:paraId="6C9CF893" w14:textId="7CF351AB" w:rsidR="007F69CE" w:rsidRPr="00F53504" w:rsidRDefault="00D01B47" w:rsidP="007F69CE">
      <w:pPr>
        <w:pStyle w:val="ListBullet"/>
      </w:pPr>
      <w:proofErr w:type="gramStart"/>
      <w:r>
        <w:t>the</w:t>
      </w:r>
      <w:proofErr w:type="gramEnd"/>
      <w:r>
        <w:t xml:space="preserve"> remaining </w:t>
      </w:r>
      <w:r w:rsidR="007F69CE" w:rsidRPr="00F53504">
        <w:t>third had no employment outcome</w:t>
      </w:r>
      <w:r w:rsidR="001F32E8">
        <w:t>.</w:t>
      </w:r>
    </w:p>
    <w:p w14:paraId="1CC5B448" w14:textId="60A8C675" w:rsidR="00147111" w:rsidRPr="00F53504" w:rsidRDefault="00147111" w:rsidP="00147111">
      <w:r w:rsidRPr="00F53504">
        <w:t xml:space="preserve">For </w:t>
      </w:r>
      <w:r w:rsidR="0059437F" w:rsidRPr="00F53504">
        <w:t>more disadvantage</w:t>
      </w:r>
      <w:r w:rsidR="00A0483E" w:rsidRPr="00F53504">
        <w:t>d</w:t>
      </w:r>
      <w:r w:rsidR="00E528EE">
        <w:t xml:space="preserve"> </w:t>
      </w:r>
      <w:r w:rsidR="00E528EE" w:rsidRPr="00E528EE">
        <w:t>RATTUAJ</w:t>
      </w:r>
      <w:r w:rsidR="0059437F" w:rsidRPr="00E528EE">
        <w:t xml:space="preserve"> </w:t>
      </w:r>
      <w:r w:rsidR="00836D9B">
        <w:t>participants</w:t>
      </w:r>
      <w:r w:rsidR="0059437F" w:rsidRPr="00F53504">
        <w:t xml:space="preserve"> (</w:t>
      </w:r>
      <w:r w:rsidRPr="00F53504">
        <w:t>Streams 2, 3 and 4</w:t>
      </w:r>
      <w:r w:rsidR="0059437F" w:rsidRPr="00F53504">
        <w:t>)</w:t>
      </w:r>
      <w:r w:rsidR="00013969" w:rsidRPr="00F53504">
        <w:t xml:space="preserve"> under JSA</w:t>
      </w:r>
      <w:r w:rsidRPr="00F53504">
        <w:t>, the likelihood of achieving an employment outcome decreased with increasing disadvantage. Relocated participants in Streams 2 and 3 were more likely to attain a 26 week outcome (54</w:t>
      </w:r>
      <w:r w:rsidR="001318A2" w:rsidRPr="00F53504">
        <w:t> </w:t>
      </w:r>
      <w:r w:rsidRPr="00F53504">
        <w:t>and 53</w:t>
      </w:r>
      <w:r w:rsidR="001318A2" w:rsidRPr="00F53504">
        <w:t> </w:t>
      </w:r>
      <w:r w:rsidRPr="00F53504">
        <w:t>per cent respectively) compared to Stream 4 (41 per cent).</w:t>
      </w:r>
    </w:p>
    <w:p w14:paraId="67A1F0EA" w14:textId="121870BB" w:rsidR="0059437F" w:rsidRPr="00F53504" w:rsidRDefault="00147111" w:rsidP="00147111">
      <w:r w:rsidRPr="00F53504">
        <w:t xml:space="preserve">Counterintuitively, </w:t>
      </w:r>
      <w:r w:rsidR="002A32DF" w:rsidRPr="00F53504">
        <w:t xml:space="preserve">participants </w:t>
      </w:r>
      <w:r w:rsidR="0059437F" w:rsidRPr="00F53504">
        <w:t xml:space="preserve">with less disadvantage (Stream 1) </w:t>
      </w:r>
      <w:r w:rsidR="002A32DF" w:rsidRPr="00F53504">
        <w:t xml:space="preserve">were less likely to </w:t>
      </w:r>
      <w:r w:rsidR="0059437F" w:rsidRPr="00F53504">
        <w:t xml:space="preserve">have </w:t>
      </w:r>
      <w:r w:rsidR="002819F2" w:rsidRPr="00F53504">
        <w:t xml:space="preserve">an employment outcome </w:t>
      </w:r>
      <w:r w:rsidR="007F69CE">
        <w:t xml:space="preserve">recorded </w:t>
      </w:r>
      <w:r w:rsidR="009F1494" w:rsidRPr="00F53504">
        <w:t>(</w:t>
      </w:r>
      <w:r w:rsidR="002819F2" w:rsidRPr="00F53504">
        <w:t xml:space="preserve">at </w:t>
      </w:r>
      <w:r w:rsidR="000033D2" w:rsidRPr="00F53504">
        <w:t>4</w:t>
      </w:r>
      <w:r w:rsidR="00D67EBE">
        <w:t>3</w:t>
      </w:r>
      <w:r w:rsidR="002819F2" w:rsidRPr="00F53504">
        <w:t xml:space="preserve"> per cent</w:t>
      </w:r>
      <w:r w:rsidR="009F1494" w:rsidRPr="00F53504">
        <w:t>)</w:t>
      </w:r>
      <w:r w:rsidR="00484C35" w:rsidRPr="00F53504">
        <w:t xml:space="preserve"> </w:t>
      </w:r>
      <w:r w:rsidR="002A32DF" w:rsidRPr="00F53504">
        <w:t>than participants in other streams</w:t>
      </w:r>
      <w:r w:rsidR="00FE29F8">
        <w:t xml:space="preserve"> (</w:t>
      </w:r>
      <w:r w:rsidR="00414457">
        <w:t>Table 3.4</w:t>
      </w:r>
      <w:r w:rsidR="00FE29F8">
        <w:t>)</w:t>
      </w:r>
      <w:r w:rsidR="002819F2" w:rsidRPr="00F53504">
        <w:t xml:space="preserve">. </w:t>
      </w:r>
      <w:r w:rsidR="001B3A63">
        <w:t>Of the Stream 1 RATTUAJ participants, a</w:t>
      </w:r>
      <w:r w:rsidR="001F3EB2">
        <w:t>t least</w:t>
      </w:r>
      <w:r w:rsidR="001C379C">
        <w:t xml:space="preserve"> </w:t>
      </w:r>
      <w:r w:rsidR="002E09B1">
        <w:t>13</w:t>
      </w:r>
      <w:r w:rsidR="00FB18BC">
        <w:t xml:space="preserve"> were not eligible for outcome payments.</w:t>
      </w:r>
      <w:r w:rsidR="002A20B5">
        <w:rPr>
          <w:rStyle w:val="FootnoteReference"/>
        </w:rPr>
        <w:footnoteReference w:id="15"/>
      </w:r>
      <w:r w:rsidR="00FB18BC">
        <w:t xml:space="preserve"> </w:t>
      </w:r>
      <w:r w:rsidR="00414457">
        <w:t xml:space="preserve">When </w:t>
      </w:r>
      <w:r w:rsidR="001B3A63">
        <w:t xml:space="preserve">participants </w:t>
      </w:r>
      <w:r w:rsidR="00731DD0">
        <w:t xml:space="preserve">ineligible for outcome payments </w:t>
      </w:r>
      <w:proofErr w:type="gramStart"/>
      <w:r w:rsidR="001B3A63">
        <w:t>are excluded</w:t>
      </w:r>
      <w:proofErr w:type="gramEnd"/>
      <w:r w:rsidR="001B3A63">
        <w:t xml:space="preserve"> from analysis</w:t>
      </w:r>
      <w:r w:rsidR="00414457">
        <w:t xml:space="preserve">, </w:t>
      </w:r>
      <w:r w:rsidR="00FB18BC">
        <w:t>2</w:t>
      </w:r>
      <w:r w:rsidR="00D53494">
        <w:t>8</w:t>
      </w:r>
      <w:r w:rsidR="004250B1">
        <w:t xml:space="preserve"> </w:t>
      </w:r>
      <w:r w:rsidR="00FB18BC">
        <w:t xml:space="preserve">per cent of Stream 1 participants would have no outcome, </w:t>
      </w:r>
      <w:r w:rsidR="00414457">
        <w:t xml:space="preserve">which is </w:t>
      </w:r>
      <w:r w:rsidR="00FB18BC">
        <w:t>in line with Stream 2</w:t>
      </w:r>
      <w:r w:rsidR="0059437F" w:rsidRPr="00F53504">
        <w:t>.</w:t>
      </w:r>
      <w:r w:rsidR="0059437F" w:rsidRPr="00F53504">
        <w:rPr>
          <w:rStyle w:val="FootnoteReference"/>
        </w:rPr>
        <w:footnoteReference w:id="16"/>
      </w:r>
    </w:p>
    <w:p w14:paraId="197DB0C4" w14:textId="56051210" w:rsidR="003C6836" w:rsidRPr="00F53504" w:rsidDel="004018BC" w:rsidRDefault="003C6836" w:rsidP="00920797">
      <w:pPr>
        <w:rPr>
          <w:lang w:eastAsia="en-AU"/>
        </w:rPr>
      </w:pPr>
      <w:r w:rsidRPr="00F53504" w:rsidDel="004018BC">
        <w:rPr>
          <w:lang w:eastAsia="en-AU"/>
        </w:rPr>
        <w:lastRenderedPageBreak/>
        <w:t>The transition between the JSA and jobactive contracts may have led to some outcomes never being claimed, since not all JSA providers went on to become jobactive providers.</w:t>
      </w:r>
      <w:r w:rsidR="00D04EA4" w:rsidDel="004018BC">
        <w:rPr>
          <w:lang w:eastAsia="en-AU"/>
        </w:rPr>
        <w:t xml:space="preserve"> </w:t>
      </w:r>
      <w:r w:rsidRPr="00F53504" w:rsidDel="004018BC">
        <w:rPr>
          <w:lang w:eastAsia="en-AU"/>
        </w:rPr>
        <w:t xml:space="preserve">This may </w:t>
      </w:r>
      <w:r w:rsidR="004F6355" w:rsidDel="004018BC">
        <w:rPr>
          <w:lang w:eastAsia="en-AU"/>
        </w:rPr>
        <w:t>have contributed to the</w:t>
      </w:r>
      <w:r w:rsidRPr="00F53504" w:rsidDel="004018BC">
        <w:rPr>
          <w:lang w:eastAsia="en-AU"/>
        </w:rPr>
        <w:t xml:space="preserve"> comparatively higher </w:t>
      </w:r>
      <w:proofErr w:type="gramStart"/>
      <w:r w:rsidRPr="00F53504" w:rsidDel="004018BC">
        <w:rPr>
          <w:lang w:eastAsia="en-AU"/>
        </w:rPr>
        <w:t>12 week</w:t>
      </w:r>
      <w:proofErr w:type="gramEnd"/>
      <w:r w:rsidRPr="00F53504" w:rsidDel="004018BC">
        <w:rPr>
          <w:lang w:eastAsia="en-AU"/>
        </w:rPr>
        <w:t xml:space="preserve"> outcome rate for jobactive</w:t>
      </w:r>
      <w:r w:rsidR="004018BC">
        <w:rPr>
          <w:lang w:eastAsia="en-AU"/>
        </w:rPr>
        <w:t xml:space="preserve"> (Table 3.5)</w:t>
      </w:r>
      <w:r w:rsidRPr="00F53504" w:rsidDel="004018BC">
        <w:rPr>
          <w:lang w:eastAsia="en-AU"/>
        </w:rPr>
        <w:t>.</w:t>
      </w:r>
      <w:r w:rsidR="00E95215" w:rsidDel="004018BC">
        <w:rPr>
          <w:lang w:eastAsia="en-AU"/>
        </w:rPr>
        <w:t xml:space="preserve"> </w:t>
      </w:r>
    </w:p>
    <w:p w14:paraId="05F31D22" w14:textId="32B21628" w:rsidR="00920797" w:rsidRPr="00F53504" w:rsidRDefault="00920797" w:rsidP="00920797">
      <w:pPr>
        <w:pStyle w:val="Caption"/>
      </w:pPr>
      <w:r w:rsidRPr="00F53504">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4</w:t>
      </w:r>
      <w:r w:rsidR="00AA36FE">
        <w:rPr>
          <w:noProof/>
        </w:rPr>
        <w:fldChar w:fldCharType="end"/>
      </w:r>
      <w:r w:rsidRPr="00F53504">
        <w:t>: Employment outcome by stream as at 31 March 2016 for all Relocation Agreements that had a confirmed job placement – JSA</w:t>
      </w:r>
    </w:p>
    <w:tbl>
      <w:tblPr>
        <w:tblStyle w:val="DEEWRTable"/>
        <w:tblW w:w="5000" w:type="pct"/>
        <w:tblLook w:val="0420" w:firstRow="1" w:lastRow="0" w:firstColumn="0" w:lastColumn="0" w:noHBand="0" w:noVBand="1"/>
      </w:tblPr>
      <w:tblGrid>
        <w:gridCol w:w="1714"/>
        <w:gridCol w:w="1715"/>
        <w:gridCol w:w="1867"/>
        <w:gridCol w:w="1865"/>
        <w:gridCol w:w="1865"/>
      </w:tblGrid>
      <w:tr w:rsidR="00920797" w:rsidRPr="00F53504" w14:paraId="76BEA1C2" w14:textId="77777777" w:rsidTr="0006046F">
        <w:trPr>
          <w:cnfStyle w:val="100000000000" w:firstRow="1" w:lastRow="0" w:firstColumn="0" w:lastColumn="0" w:oddVBand="0" w:evenVBand="0" w:oddHBand="0" w:evenHBand="0" w:firstRowFirstColumn="0" w:firstRowLastColumn="0" w:lastRowFirstColumn="0" w:lastRowLastColumn="0"/>
          <w:cantSplit w:val="0"/>
        </w:trPr>
        <w:tc>
          <w:tcPr>
            <w:tcW w:w="950" w:type="pct"/>
            <w:tcBorders>
              <w:bottom w:val="nil"/>
            </w:tcBorders>
            <w:shd w:val="clear" w:color="auto" w:fill="1E3D6B"/>
            <w:vAlign w:val="bottom"/>
          </w:tcPr>
          <w:p w14:paraId="5AB1513B" w14:textId="77777777" w:rsidR="00920797" w:rsidRPr="00F53504" w:rsidRDefault="00920797" w:rsidP="0064221B">
            <w:pPr>
              <w:pStyle w:val="Tableheadingleftcolumn"/>
              <w:rPr>
                <w:b/>
              </w:rPr>
            </w:pPr>
            <w:r w:rsidRPr="00F53504">
              <w:rPr>
                <w:b/>
              </w:rPr>
              <w:t>JSA Stream</w:t>
            </w:r>
          </w:p>
        </w:tc>
        <w:tc>
          <w:tcPr>
            <w:tcW w:w="950" w:type="pct"/>
            <w:tcBorders>
              <w:bottom w:val="nil"/>
            </w:tcBorders>
            <w:shd w:val="clear" w:color="auto" w:fill="1E3D6B"/>
            <w:vAlign w:val="bottom"/>
          </w:tcPr>
          <w:p w14:paraId="5F8620E5" w14:textId="77777777" w:rsidR="00920797" w:rsidRPr="00F53504" w:rsidRDefault="00920797" w:rsidP="0064221B">
            <w:pPr>
              <w:pStyle w:val="Tableheadingrightcolumn"/>
              <w:rPr>
                <w:b/>
              </w:rPr>
            </w:pPr>
            <w:r w:rsidRPr="00F53504">
              <w:rPr>
                <w:b/>
              </w:rPr>
              <w:t>Relocated</w:t>
            </w:r>
            <w:r w:rsidRPr="00F53504">
              <w:rPr>
                <w:b/>
              </w:rPr>
              <w:br/>
              <w:t>(number)</w:t>
            </w:r>
          </w:p>
        </w:tc>
        <w:tc>
          <w:tcPr>
            <w:tcW w:w="1034" w:type="pct"/>
            <w:tcBorders>
              <w:bottom w:val="nil"/>
            </w:tcBorders>
            <w:shd w:val="clear" w:color="auto" w:fill="1E3D6B"/>
            <w:vAlign w:val="bottom"/>
          </w:tcPr>
          <w:p w14:paraId="37A8D093" w14:textId="77777777" w:rsidR="00920797" w:rsidRPr="00F53504" w:rsidRDefault="00920797" w:rsidP="00FB31BF">
            <w:pPr>
              <w:pStyle w:val="Tableheadingrightcolumn"/>
              <w:rPr>
                <w:b/>
              </w:rPr>
            </w:pPr>
            <w:r w:rsidRPr="00F53504">
              <w:rPr>
                <w:b/>
              </w:rPr>
              <w:t>13 week outcome</w:t>
            </w:r>
            <w:r w:rsidRPr="00F53504">
              <w:rPr>
                <w:b/>
              </w:rPr>
              <w:br/>
              <w:t>(</w:t>
            </w:r>
            <w:r w:rsidR="00FB31BF" w:rsidRPr="00F53504">
              <w:rPr>
                <w:b/>
              </w:rPr>
              <w:t>per cent</w:t>
            </w:r>
            <w:r w:rsidRPr="00F53504">
              <w:rPr>
                <w:b/>
              </w:rPr>
              <w:t>)</w:t>
            </w:r>
          </w:p>
        </w:tc>
        <w:tc>
          <w:tcPr>
            <w:tcW w:w="1033" w:type="pct"/>
            <w:tcBorders>
              <w:bottom w:val="nil"/>
            </w:tcBorders>
            <w:shd w:val="clear" w:color="auto" w:fill="1E3D6B"/>
            <w:vAlign w:val="bottom"/>
          </w:tcPr>
          <w:p w14:paraId="62567A02" w14:textId="77777777" w:rsidR="00920797" w:rsidRPr="00F53504" w:rsidRDefault="00920797" w:rsidP="00FB31BF">
            <w:pPr>
              <w:pStyle w:val="Tableheadingrightcolumn"/>
              <w:rPr>
                <w:b/>
              </w:rPr>
            </w:pPr>
            <w:r w:rsidRPr="00F53504">
              <w:rPr>
                <w:b/>
              </w:rPr>
              <w:t>26 week outcome</w:t>
            </w:r>
            <w:r w:rsidRPr="00F53504">
              <w:rPr>
                <w:b/>
              </w:rPr>
              <w:br/>
              <w:t>(</w:t>
            </w:r>
            <w:r w:rsidR="00FB31BF" w:rsidRPr="00F53504">
              <w:rPr>
                <w:b/>
              </w:rPr>
              <w:t>per cent</w:t>
            </w:r>
            <w:r w:rsidRPr="00F53504">
              <w:rPr>
                <w:b/>
              </w:rPr>
              <w:t>)</w:t>
            </w:r>
          </w:p>
        </w:tc>
        <w:tc>
          <w:tcPr>
            <w:tcW w:w="1034" w:type="pct"/>
            <w:tcBorders>
              <w:bottom w:val="nil"/>
            </w:tcBorders>
            <w:shd w:val="clear" w:color="auto" w:fill="1E3D6B"/>
            <w:vAlign w:val="bottom"/>
          </w:tcPr>
          <w:p w14:paraId="2A937A11" w14:textId="77777777" w:rsidR="00920797" w:rsidRPr="00F53504" w:rsidRDefault="00920797" w:rsidP="0064221B">
            <w:pPr>
              <w:pStyle w:val="Tableheadingrightcolumn"/>
              <w:rPr>
                <w:b/>
              </w:rPr>
            </w:pPr>
            <w:r w:rsidRPr="00F53504">
              <w:rPr>
                <w:b/>
              </w:rPr>
              <w:t>Conversion rate 13 to 26 week</w:t>
            </w:r>
            <w:r w:rsidRPr="00F53504">
              <w:rPr>
                <w:b/>
              </w:rPr>
              <w:br/>
              <w:t>(per cent)</w:t>
            </w:r>
          </w:p>
        </w:tc>
      </w:tr>
      <w:tr w:rsidR="00920797" w:rsidRPr="00F53504" w14:paraId="3F982A48" w14:textId="77777777" w:rsidTr="00FB31BF">
        <w:trPr>
          <w:trHeight w:val="270"/>
        </w:trPr>
        <w:tc>
          <w:tcPr>
            <w:tcW w:w="950" w:type="pct"/>
            <w:vAlign w:val="bottom"/>
          </w:tcPr>
          <w:p w14:paraId="0A50898A" w14:textId="77777777" w:rsidR="00920797" w:rsidRPr="00F53504" w:rsidRDefault="00920797" w:rsidP="0064221B">
            <w:pPr>
              <w:pStyle w:val="Tablecontentleftcolumn"/>
            </w:pPr>
            <w:r w:rsidRPr="00F53504">
              <w:t>Stream 1</w:t>
            </w:r>
          </w:p>
        </w:tc>
        <w:tc>
          <w:tcPr>
            <w:tcW w:w="950" w:type="pct"/>
            <w:vAlign w:val="bottom"/>
          </w:tcPr>
          <w:p w14:paraId="4EB92290" w14:textId="77777777" w:rsidR="00920797" w:rsidRPr="00F53504" w:rsidRDefault="00920797" w:rsidP="0064221B">
            <w:pPr>
              <w:pStyle w:val="Tablecontentrightcolumn"/>
            </w:pPr>
            <w:r w:rsidRPr="00F53504">
              <w:t>63</w:t>
            </w:r>
          </w:p>
        </w:tc>
        <w:tc>
          <w:tcPr>
            <w:tcW w:w="1034" w:type="pct"/>
            <w:vAlign w:val="bottom"/>
          </w:tcPr>
          <w:p w14:paraId="2F6FC754" w14:textId="77777777" w:rsidR="00920797" w:rsidRPr="00F53504" w:rsidRDefault="00920797" w:rsidP="0064221B">
            <w:pPr>
              <w:pStyle w:val="Tablecontentrightcolumn"/>
            </w:pPr>
            <w:r w:rsidRPr="00F53504">
              <w:t>57.1</w:t>
            </w:r>
          </w:p>
        </w:tc>
        <w:tc>
          <w:tcPr>
            <w:tcW w:w="1033" w:type="pct"/>
            <w:vAlign w:val="bottom"/>
          </w:tcPr>
          <w:p w14:paraId="6E3EB343" w14:textId="77777777" w:rsidR="00920797" w:rsidRPr="00F53504" w:rsidRDefault="00920797" w:rsidP="0064221B">
            <w:pPr>
              <w:pStyle w:val="Tablecontentrightcolumn"/>
            </w:pPr>
            <w:r w:rsidRPr="00F53504">
              <w:t>46.0</w:t>
            </w:r>
          </w:p>
        </w:tc>
        <w:tc>
          <w:tcPr>
            <w:tcW w:w="1034" w:type="pct"/>
            <w:vAlign w:val="bottom"/>
          </w:tcPr>
          <w:p w14:paraId="766FF1B2" w14:textId="77777777" w:rsidR="00920797" w:rsidRPr="00F53504" w:rsidRDefault="00920797" w:rsidP="0064221B">
            <w:pPr>
              <w:pStyle w:val="Tablecontentrightcolumn"/>
            </w:pPr>
            <w:r w:rsidRPr="00F53504">
              <w:t>80.6</w:t>
            </w:r>
          </w:p>
        </w:tc>
      </w:tr>
      <w:tr w:rsidR="00920797" w:rsidRPr="00F53504" w14:paraId="509531B4" w14:textId="77777777" w:rsidTr="00FB31BF">
        <w:trPr>
          <w:trHeight w:val="283"/>
        </w:trPr>
        <w:tc>
          <w:tcPr>
            <w:tcW w:w="950" w:type="pct"/>
            <w:shd w:val="clear" w:color="auto" w:fill="F2F2F2" w:themeFill="background1" w:themeFillShade="F2"/>
            <w:vAlign w:val="bottom"/>
          </w:tcPr>
          <w:p w14:paraId="4B9AE64B" w14:textId="77777777" w:rsidR="00920797" w:rsidRPr="00F53504" w:rsidRDefault="00920797" w:rsidP="0064221B">
            <w:pPr>
              <w:pStyle w:val="Tablecontentleftcolumn"/>
            </w:pPr>
            <w:r w:rsidRPr="00F53504">
              <w:t>Stream 2</w:t>
            </w:r>
          </w:p>
        </w:tc>
        <w:tc>
          <w:tcPr>
            <w:tcW w:w="950" w:type="pct"/>
            <w:shd w:val="clear" w:color="auto" w:fill="F2F2F2" w:themeFill="background1" w:themeFillShade="F2"/>
            <w:vAlign w:val="bottom"/>
          </w:tcPr>
          <w:p w14:paraId="1081B8CB" w14:textId="77777777" w:rsidR="00920797" w:rsidRPr="00F53504" w:rsidRDefault="00920797" w:rsidP="0064221B">
            <w:pPr>
              <w:pStyle w:val="Tablecontentrightcolumn"/>
            </w:pPr>
            <w:r w:rsidRPr="00F53504">
              <w:t>136</w:t>
            </w:r>
          </w:p>
        </w:tc>
        <w:tc>
          <w:tcPr>
            <w:tcW w:w="1034" w:type="pct"/>
            <w:shd w:val="clear" w:color="auto" w:fill="F2F2F2" w:themeFill="background1" w:themeFillShade="F2"/>
            <w:vAlign w:val="bottom"/>
          </w:tcPr>
          <w:p w14:paraId="5B9B0CA6" w14:textId="77777777" w:rsidR="00920797" w:rsidRPr="00F53504" w:rsidRDefault="00920797" w:rsidP="0064221B">
            <w:pPr>
              <w:pStyle w:val="Tablecontentrightcolumn"/>
            </w:pPr>
            <w:r w:rsidRPr="00F53504">
              <w:t>70.6</w:t>
            </w:r>
          </w:p>
        </w:tc>
        <w:tc>
          <w:tcPr>
            <w:tcW w:w="1033" w:type="pct"/>
            <w:shd w:val="clear" w:color="auto" w:fill="F2F2F2" w:themeFill="background1" w:themeFillShade="F2"/>
            <w:vAlign w:val="bottom"/>
          </w:tcPr>
          <w:p w14:paraId="66413264" w14:textId="77777777" w:rsidR="00920797" w:rsidRPr="00F53504" w:rsidRDefault="00920797" w:rsidP="0064221B">
            <w:pPr>
              <w:pStyle w:val="Tablecontentrightcolumn"/>
            </w:pPr>
            <w:r w:rsidRPr="00F53504">
              <w:t>53.7</w:t>
            </w:r>
          </w:p>
        </w:tc>
        <w:tc>
          <w:tcPr>
            <w:tcW w:w="1034" w:type="pct"/>
            <w:shd w:val="clear" w:color="auto" w:fill="F2F2F2" w:themeFill="background1" w:themeFillShade="F2"/>
            <w:vAlign w:val="bottom"/>
          </w:tcPr>
          <w:p w14:paraId="6E370A5B" w14:textId="77777777" w:rsidR="00920797" w:rsidRPr="00F53504" w:rsidRDefault="00920797" w:rsidP="0064221B">
            <w:pPr>
              <w:pStyle w:val="Tablecontentrightcolumn"/>
            </w:pPr>
            <w:r w:rsidRPr="00F53504">
              <w:t>76.0</w:t>
            </w:r>
          </w:p>
        </w:tc>
      </w:tr>
      <w:tr w:rsidR="00920797" w:rsidRPr="00F53504" w14:paraId="4720D94A" w14:textId="77777777" w:rsidTr="00FB31BF">
        <w:trPr>
          <w:trHeight w:val="283"/>
        </w:trPr>
        <w:tc>
          <w:tcPr>
            <w:tcW w:w="950" w:type="pct"/>
            <w:vAlign w:val="bottom"/>
          </w:tcPr>
          <w:p w14:paraId="06A0AEEB" w14:textId="77777777" w:rsidR="00920797" w:rsidRPr="00F53504" w:rsidRDefault="00920797" w:rsidP="0064221B">
            <w:pPr>
              <w:pStyle w:val="Tablecontentleftcolumn"/>
            </w:pPr>
            <w:r w:rsidRPr="00F53504">
              <w:t>Stream 3</w:t>
            </w:r>
          </w:p>
        </w:tc>
        <w:tc>
          <w:tcPr>
            <w:tcW w:w="950" w:type="pct"/>
            <w:vAlign w:val="bottom"/>
          </w:tcPr>
          <w:p w14:paraId="5D632FC2" w14:textId="77777777" w:rsidR="00920797" w:rsidRPr="00F53504" w:rsidRDefault="00920797" w:rsidP="0064221B">
            <w:pPr>
              <w:pStyle w:val="Tablecontentrightcolumn"/>
            </w:pPr>
            <w:r w:rsidRPr="00F53504">
              <w:t>102</w:t>
            </w:r>
          </w:p>
        </w:tc>
        <w:tc>
          <w:tcPr>
            <w:tcW w:w="1034" w:type="pct"/>
            <w:vAlign w:val="bottom"/>
          </w:tcPr>
          <w:p w14:paraId="412BFCC5" w14:textId="77777777" w:rsidR="00920797" w:rsidRPr="00F53504" w:rsidRDefault="00920797" w:rsidP="0064221B">
            <w:pPr>
              <w:pStyle w:val="Tablecontentrightcolumn"/>
            </w:pPr>
            <w:r w:rsidRPr="00F53504">
              <w:t>67.6</w:t>
            </w:r>
          </w:p>
        </w:tc>
        <w:tc>
          <w:tcPr>
            <w:tcW w:w="1033" w:type="pct"/>
            <w:vAlign w:val="bottom"/>
          </w:tcPr>
          <w:p w14:paraId="4F8CDC7E" w14:textId="77777777" w:rsidR="00920797" w:rsidRPr="00F53504" w:rsidRDefault="00920797" w:rsidP="0064221B">
            <w:pPr>
              <w:pStyle w:val="Tablecontentrightcolumn"/>
            </w:pPr>
            <w:r w:rsidRPr="00F53504">
              <w:t>52.9</w:t>
            </w:r>
          </w:p>
        </w:tc>
        <w:tc>
          <w:tcPr>
            <w:tcW w:w="1034" w:type="pct"/>
            <w:vAlign w:val="bottom"/>
          </w:tcPr>
          <w:p w14:paraId="69F3C030" w14:textId="77777777" w:rsidR="00920797" w:rsidRPr="00F53504" w:rsidRDefault="00920797" w:rsidP="0064221B">
            <w:pPr>
              <w:pStyle w:val="Tablecontentrightcolumn"/>
            </w:pPr>
            <w:r w:rsidRPr="00F53504">
              <w:t>78.3</w:t>
            </w:r>
          </w:p>
        </w:tc>
      </w:tr>
      <w:tr w:rsidR="00920797" w:rsidRPr="00F53504" w14:paraId="4982591A" w14:textId="77777777" w:rsidTr="00FB31BF">
        <w:trPr>
          <w:trHeight w:val="283"/>
        </w:trPr>
        <w:tc>
          <w:tcPr>
            <w:tcW w:w="950" w:type="pct"/>
            <w:tcBorders>
              <w:bottom w:val="nil"/>
            </w:tcBorders>
            <w:shd w:val="clear" w:color="auto" w:fill="F2F2F2" w:themeFill="background1" w:themeFillShade="F2"/>
            <w:vAlign w:val="bottom"/>
          </w:tcPr>
          <w:p w14:paraId="523CBC48" w14:textId="77777777" w:rsidR="00920797" w:rsidRPr="00F53504" w:rsidRDefault="00920797" w:rsidP="0064221B">
            <w:pPr>
              <w:pStyle w:val="Tablecontentleftcolumn"/>
            </w:pPr>
            <w:r w:rsidRPr="00F53504">
              <w:t>Stream 4</w:t>
            </w:r>
          </w:p>
        </w:tc>
        <w:tc>
          <w:tcPr>
            <w:tcW w:w="950" w:type="pct"/>
            <w:tcBorders>
              <w:bottom w:val="nil"/>
            </w:tcBorders>
            <w:shd w:val="clear" w:color="auto" w:fill="F2F2F2" w:themeFill="background1" w:themeFillShade="F2"/>
            <w:vAlign w:val="bottom"/>
          </w:tcPr>
          <w:p w14:paraId="7F0FEC2C" w14:textId="77777777" w:rsidR="00920797" w:rsidRPr="00F53504" w:rsidRDefault="00920797" w:rsidP="0064221B">
            <w:pPr>
              <w:pStyle w:val="Tablecontentrightcolumn"/>
            </w:pPr>
            <w:r w:rsidRPr="00F53504">
              <w:t>90</w:t>
            </w:r>
          </w:p>
        </w:tc>
        <w:tc>
          <w:tcPr>
            <w:tcW w:w="1034" w:type="pct"/>
            <w:tcBorders>
              <w:bottom w:val="nil"/>
            </w:tcBorders>
            <w:shd w:val="clear" w:color="auto" w:fill="F2F2F2" w:themeFill="background1" w:themeFillShade="F2"/>
            <w:vAlign w:val="bottom"/>
          </w:tcPr>
          <w:p w14:paraId="20E441E8" w14:textId="77777777" w:rsidR="00920797" w:rsidRPr="00F53504" w:rsidRDefault="00920797" w:rsidP="0064221B">
            <w:pPr>
              <w:pStyle w:val="Tablecontentrightcolumn"/>
            </w:pPr>
            <w:r w:rsidRPr="00F53504">
              <w:t>64.4</w:t>
            </w:r>
          </w:p>
        </w:tc>
        <w:tc>
          <w:tcPr>
            <w:tcW w:w="1033" w:type="pct"/>
            <w:tcBorders>
              <w:bottom w:val="nil"/>
            </w:tcBorders>
            <w:shd w:val="clear" w:color="auto" w:fill="F2F2F2" w:themeFill="background1" w:themeFillShade="F2"/>
            <w:vAlign w:val="bottom"/>
          </w:tcPr>
          <w:p w14:paraId="6FC126BD" w14:textId="77777777" w:rsidR="00920797" w:rsidRPr="00F53504" w:rsidRDefault="00920797" w:rsidP="0064221B">
            <w:pPr>
              <w:pStyle w:val="Tablecontentrightcolumn"/>
            </w:pPr>
            <w:r w:rsidRPr="00F53504">
              <w:t>41.1</w:t>
            </w:r>
          </w:p>
        </w:tc>
        <w:tc>
          <w:tcPr>
            <w:tcW w:w="1034" w:type="pct"/>
            <w:tcBorders>
              <w:bottom w:val="nil"/>
            </w:tcBorders>
            <w:shd w:val="clear" w:color="auto" w:fill="F2F2F2" w:themeFill="background1" w:themeFillShade="F2"/>
            <w:vAlign w:val="bottom"/>
          </w:tcPr>
          <w:p w14:paraId="5FF8091C" w14:textId="77777777" w:rsidR="00920797" w:rsidRPr="00F53504" w:rsidRDefault="00920797" w:rsidP="0064221B">
            <w:pPr>
              <w:pStyle w:val="Tablecontentrightcolumn"/>
            </w:pPr>
            <w:r w:rsidRPr="00F53504">
              <w:t>63.8</w:t>
            </w:r>
          </w:p>
        </w:tc>
      </w:tr>
      <w:tr w:rsidR="00920797" w:rsidRPr="00F53504" w14:paraId="22AF7239" w14:textId="77777777" w:rsidTr="00FB31BF">
        <w:trPr>
          <w:trHeight w:val="283"/>
        </w:trPr>
        <w:tc>
          <w:tcPr>
            <w:tcW w:w="950" w:type="pct"/>
            <w:tcBorders>
              <w:top w:val="nil"/>
              <w:bottom w:val="nil"/>
            </w:tcBorders>
            <w:shd w:val="clear" w:color="auto" w:fill="8EAEDE"/>
            <w:vAlign w:val="bottom"/>
          </w:tcPr>
          <w:p w14:paraId="28A123CC" w14:textId="77777777" w:rsidR="00920797" w:rsidRPr="00F53504" w:rsidRDefault="00920797" w:rsidP="0064221B">
            <w:pPr>
              <w:pStyle w:val="Tablecontentleftcolumn"/>
            </w:pPr>
            <w:r w:rsidRPr="00F53504">
              <w:t>Total</w:t>
            </w:r>
          </w:p>
        </w:tc>
        <w:tc>
          <w:tcPr>
            <w:tcW w:w="950" w:type="pct"/>
            <w:tcBorders>
              <w:top w:val="nil"/>
              <w:bottom w:val="nil"/>
            </w:tcBorders>
            <w:shd w:val="clear" w:color="auto" w:fill="8EAEDE"/>
            <w:vAlign w:val="bottom"/>
          </w:tcPr>
          <w:p w14:paraId="48E70B6C" w14:textId="77777777" w:rsidR="00920797" w:rsidRPr="00F53504" w:rsidRDefault="00920797" w:rsidP="0064221B">
            <w:pPr>
              <w:pStyle w:val="Tablecontentrightcolumn"/>
            </w:pPr>
            <w:r w:rsidRPr="00F53504">
              <w:t>391</w:t>
            </w:r>
          </w:p>
        </w:tc>
        <w:tc>
          <w:tcPr>
            <w:tcW w:w="1034" w:type="pct"/>
            <w:tcBorders>
              <w:top w:val="nil"/>
              <w:bottom w:val="nil"/>
            </w:tcBorders>
            <w:shd w:val="clear" w:color="auto" w:fill="8EAEDE"/>
            <w:vAlign w:val="bottom"/>
          </w:tcPr>
          <w:p w14:paraId="62ADFE8E" w14:textId="77777777" w:rsidR="00920797" w:rsidRPr="00F53504" w:rsidRDefault="00920797" w:rsidP="00FB31BF">
            <w:pPr>
              <w:pStyle w:val="Tablecontentrightcolumn"/>
            </w:pPr>
            <w:r w:rsidRPr="00C61F7A">
              <w:t>66.5</w:t>
            </w:r>
          </w:p>
        </w:tc>
        <w:tc>
          <w:tcPr>
            <w:tcW w:w="1033" w:type="pct"/>
            <w:tcBorders>
              <w:top w:val="nil"/>
              <w:bottom w:val="nil"/>
            </w:tcBorders>
            <w:shd w:val="clear" w:color="auto" w:fill="8EAEDE"/>
            <w:vAlign w:val="bottom"/>
          </w:tcPr>
          <w:p w14:paraId="480B8300" w14:textId="77777777" w:rsidR="00920797" w:rsidRPr="00F53504" w:rsidRDefault="00920797" w:rsidP="00FB31BF">
            <w:pPr>
              <w:pStyle w:val="Tablecontentrightcolumn"/>
            </w:pPr>
            <w:r w:rsidRPr="00F53504">
              <w:t>49.4</w:t>
            </w:r>
          </w:p>
        </w:tc>
        <w:tc>
          <w:tcPr>
            <w:tcW w:w="1034" w:type="pct"/>
            <w:tcBorders>
              <w:top w:val="nil"/>
              <w:bottom w:val="nil"/>
            </w:tcBorders>
            <w:shd w:val="clear" w:color="auto" w:fill="8EAEDE"/>
            <w:vAlign w:val="bottom"/>
          </w:tcPr>
          <w:p w14:paraId="7CAD62AD" w14:textId="77777777" w:rsidR="00920797" w:rsidRPr="00F53504" w:rsidRDefault="00920797" w:rsidP="0064221B">
            <w:pPr>
              <w:pStyle w:val="Tablecontentrightcolumn"/>
            </w:pPr>
            <w:r w:rsidRPr="00F53504">
              <w:t>74.2</w:t>
            </w:r>
          </w:p>
        </w:tc>
      </w:tr>
    </w:tbl>
    <w:p w14:paraId="3FBDB36C" w14:textId="77777777" w:rsidR="00920797" w:rsidRPr="00F53504" w:rsidRDefault="00920797" w:rsidP="00920797">
      <w:pPr>
        <w:pStyle w:val="Source"/>
        <w:rPr>
          <w:b/>
        </w:rPr>
      </w:pPr>
      <w:r w:rsidRPr="00F53504">
        <w:rPr>
          <w:b/>
        </w:rPr>
        <w:t xml:space="preserve">Note: </w:t>
      </w:r>
      <w:r w:rsidRPr="00F53504">
        <w:t xml:space="preserve">Given a data extract date of 31 March </w:t>
      </w:r>
      <w:proofErr w:type="gramStart"/>
      <w:r w:rsidRPr="00F53504">
        <w:t>2016</w:t>
      </w:r>
      <w:proofErr w:type="gramEnd"/>
      <w:r w:rsidRPr="00F53504">
        <w:t xml:space="preserve"> all JSA outcomes should have been finalised. </w:t>
      </w:r>
      <w:r w:rsidR="009E6313" w:rsidRPr="00F53504">
        <w:br/>
        <w:t xml:space="preserve">The table excludes Relocation </w:t>
      </w:r>
      <w:proofErr w:type="gramStart"/>
      <w:r w:rsidR="009E6313" w:rsidRPr="00F53504">
        <w:t>Agreements which</w:t>
      </w:r>
      <w:proofErr w:type="gramEnd"/>
      <w:r w:rsidR="009E6313" w:rsidRPr="00F53504">
        <w:t xml:space="preserve"> did not result in relocation.</w:t>
      </w:r>
    </w:p>
    <w:p w14:paraId="6B991158" w14:textId="77777777" w:rsidR="00920797" w:rsidRPr="00F53504" w:rsidRDefault="00920797" w:rsidP="00920797">
      <w:pPr>
        <w:pStyle w:val="Source"/>
      </w:pPr>
      <w:r w:rsidRPr="00F53504">
        <w:rPr>
          <w:b/>
        </w:rPr>
        <w:t>Source:</w:t>
      </w:r>
      <w:r w:rsidRPr="00F53504">
        <w:t xml:space="preserve"> EBIW data.</w:t>
      </w:r>
    </w:p>
    <w:p w14:paraId="6A3B5860" w14:textId="77777777" w:rsidR="002819F2" w:rsidRPr="00F53504" w:rsidRDefault="002819F2" w:rsidP="001835B8">
      <w:pPr>
        <w:pStyle w:val="Heading3"/>
      </w:pPr>
      <w:proofErr w:type="gramStart"/>
      <w:r w:rsidRPr="00F53504">
        <w:t>jobactive</w:t>
      </w:r>
      <w:proofErr w:type="gramEnd"/>
    </w:p>
    <w:p w14:paraId="4E9239EA" w14:textId="41379EB9" w:rsidR="00637ECA" w:rsidRDefault="002819F2" w:rsidP="002819F2">
      <w:r w:rsidRPr="00F53504">
        <w:t xml:space="preserve">The jobactive contract began on 1 July 2015. </w:t>
      </w:r>
      <w:r w:rsidR="004018BC">
        <w:t xml:space="preserve">Table 3.5 reports </w:t>
      </w:r>
      <w:r w:rsidR="00801315">
        <w:t xml:space="preserve">as at 31 December 2017 </w:t>
      </w:r>
      <w:r w:rsidR="004018BC">
        <w:t>the number of employment outcomes for all Relocation Agreements</w:t>
      </w:r>
      <w:r w:rsidR="00801315">
        <w:t>, with a start date between 1 July 2015 and 30 June 2016,</w:t>
      </w:r>
      <w:r w:rsidR="004018BC">
        <w:t xml:space="preserve"> </w:t>
      </w:r>
      <w:r w:rsidR="00801315">
        <w:t xml:space="preserve">which </w:t>
      </w:r>
      <w:r w:rsidR="004018BC">
        <w:t>had a confirmed job placement under jobactive</w:t>
      </w:r>
      <w:r w:rsidR="00637ECA">
        <w:t>.</w:t>
      </w:r>
    </w:p>
    <w:p w14:paraId="6306F1E1" w14:textId="6679AC5C" w:rsidR="004018BC" w:rsidRDefault="00FC4A84" w:rsidP="0008140A">
      <w:r w:rsidRPr="00F53504">
        <w:t xml:space="preserve">As with participants relocated under JSA, employment outcome results varied depending on the </w:t>
      </w:r>
      <w:r>
        <w:t xml:space="preserve">service </w:t>
      </w:r>
      <w:r w:rsidRPr="00F53504">
        <w:t>Stream of the participant</w:t>
      </w:r>
      <w:r>
        <w:t>. More than</w:t>
      </w:r>
      <w:r w:rsidRPr="00FC4A84">
        <w:t xml:space="preserve"> </w:t>
      </w:r>
      <w:r>
        <w:t>four</w:t>
      </w:r>
      <w:r w:rsidRPr="00FC4A84">
        <w:t>-</w:t>
      </w:r>
      <w:r>
        <w:t xml:space="preserve">fifths </w:t>
      </w:r>
      <w:r w:rsidRPr="00FC4A84">
        <w:t>(</w:t>
      </w:r>
      <w:r>
        <w:t>88</w:t>
      </w:r>
      <w:r w:rsidRPr="00FC4A84">
        <w:t xml:space="preserve"> per cent) of Stream A participants, the least disadvantaged, had attained a 12 week employment outcome, compared to </w:t>
      </w:r>
      <w:r>
        <w:t>62</w:t>
      </w:r>
      <w:r w:rsidRPr="00FC4A84">
        <w:t xml:space="preserve"> per cent of Stream C, the most disadvantaged (Table 3.5).</w:t>
      </w:r>
      <w:r w:rsidR="004018BC">
        <w:t xml:space="preserve"> Overall,</w:t>
      </w:r>
      <w:r>
        <w:t xml:space="preserve"> </w:t>
      </w:r>
      <w:r w:rsidR="004018BC">
        <w:t>a</w:t>
      </w:r>
      <w:r w:rsidR="00E3586C">
        <w:t>lmost two-thirds (64 per cent) attracted a 26</w:t>
      </w:r>
      <w:r w:rsidR="00B36DC8">
        <w:t> </w:t>
      </w:r>
      <w:r w:rsidR="00E3586C">
        <w:t xml:space="preserve">week employment outcome payment. </w:t>
      </w:r>
      <w:r w:rsidRPr="00F53504">
        <w:t xml:space="preserve">Unlike Stream 1 participants in JSA, </w:t>
      </w:r>
      <w:r>
        <w:t>a</w:t>
      </w:r>
      <w:r w:rsidRPr="00916422">
        <w:t xml:space="preserve">n Employment Outcome </w:t>
      </w:r>
      <w:proofErr w:type="gramStart"/>
      <w:r w:rsidR="00C61F7A">
        <w:t>can</w:t>
      </w:r>
      <w:r w:rsidRPr="00916422">
        <w:t xml:space="preserve"> be claimed</w:t>
      </w:r>
      <w:proofErr w:type="gramEnd"/>
      <w:r w:rsidRPr="00916422">
        <w:t xml:space="preserve"> for a Stream A job seeker</w:t>
      </w:r>
      <w:r w:rsidR="00C61F7A">
        <w:t xml:space="preserve"> after three months of receiving continuous service.</w:t>
      </w:r>
    </w:p>
    <w:p w14:paraId="3C199465" w14:textId="0E61B7EF" w:rsidR="0008140A" w:rsidRPr="00F53504" w:rsidRDefault="0008140A" w:rsidP="004250B1">
      <w:pPr>
        <w:pStyle w:val="Caption"/>
      </w:pPr>
      <w:r>
        <w:lastRenderedPageBreak/>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5</w:t>
      </w:r>
      <w:r w:rsidR="00AA36FE">
        <w:rPr>
          <w:noProof/>
        </w:rPr>
        <w:fldChar w:fldCharType="end"/>
      </w:r>
      <w:r w:rsidRPr="00F53504">
        <w:t>: Employment outcome</w:t>
      </w:r>
      <w:r>
        <w:t>s</w:t>
      </w:r>
      <w:r w:rsidRPr="00F53504">
        <w:t xml:space="preserve"> by stream</w:t>
      </w:r>
      <w:r w:rsidR="00AF5FAB">
        <w:t xml:space="preserve"> as at 31 December 2017</w:t>
      </w:r>
      <w:r w:rsidRPr="00F53504">
        <w:t xml:space="preserve"> for all Relocation Agreements </w:t>
      </w:r>
      <w:r>
        <w:t>with</w:t>
      </w:r>
      <w:r w:rsidRPr="00F53504">
        <w:t xml:space="preserve"> a confirmed job placement</w:t>
      </w:r>
      <w:r w:rsidR="00801315">
        <w:t xml:space="preserve"> – jobactive</w:t>
      </w:r>
    </w:p>
    <w:tbl>
      <w:tblPr>
        <w:tblW w:w="9356" w:type="dxa"/>
        <w:tblLook w:val="04A0" w:firstRow="1" w:lastRow="0" w:firstColumn="1" w:lastColumn="0" w:noHBand="0" w:noVBand="1"/>
      </w:tblPr>
      <w:tblGrid>
        <w:gridCol w:w="1101"/>
        <w:gridCol w:w="1449"/>
        <w:gridCol w:w="1698"/>
        <w:gridCol w:w="1848"/>
        <w:gridCol w:w="1701"/>
        <w:gridCol w:w="1559"/>
      </w:tblGrid>
      <w:tr w:rsidR="0083524C" w:rsidRPr="007C433A" w14:paraId="039C2775" w14:textId="77777777" w:rsidTr="004F546D">
        <w:trPr>
          <w:trHeight w:val="788"/>
          <w:tblHeader/>
        </w:trPr>
        <w:tc>
          <w:tcPr>
            <w:tcW w:w="1101" w:type="dxa"/>
            <w:tcBorders>
              <w:top w:val="nil"/>
              <w:left w:val="nil"/>
              <w:bottom w:val="nil"/>
              <w:right w:val="nil"/>
            </w:tcBorders>
            <w:shd w:val="clear" w:color="000000" w:fill="1E3D6B"/>
            <w:vAlign w:val="bottom"/>
          </w:tcPr>
          <w:p w14:paraId="3710CECB" w14:textId="614CBEE1"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FFFFFF" w:themeColor="background2"/>
                <w:sz w:val="20"/>
                <w:szCs w:val="20"/>
                <w:lang w:eastAsia="en-AU"/>
              </w:rPr>
              <w:t>jobactive stream</w:t>
            </w:r>
          </w:p>
        </w:tc>
        <w:tc>
          <w:tcPr>
            <w:tcW w:w="1449" w:type="dxa"/>
            <w:tcBorders>
              <w:top w:val="nil"/>
              <w:left w:val="nil"/>
              <w:right w:val="nil"/>
            </w:tcBorders>
            <w:shd w:val="clear" w:color="000000" w:fill="1E3D6B"/>
            <w:vAlign w:val="bottom"/>
          </w:tcPr>
          <w:p w14:paraId="5843BAF1" w14:textId="77777777" w:rsidR="0083524C" w:rsidRPr="007C433A" w:rsidRDefault="0083524C" w:rsidP="004250B1">
            <w:pPr>
              <w:keepNext/>
              <w:spacing w:before="0" w:after="0" w:line="240" w:lineRule="auto"/>
              <w:jc w:val="right"/>
              <w:rPr>
                <w:rFonts w:ascii="Calibri" w:eastAsia="Times New Roman" w:hAnsi="Calibri" w:cs="Calibri"/>
                <w:b/>
                <w:bCs/>
                <w:color w:val="EEECE1"/>
                <w:sz w:val="20"/>
                <w:szCs w:val="20"/>
                <w:lang w:eastAsia="en-AU"/>
              </w:rPr>
            </w:pPr>
            <w:r w:rsidRPr="007C433A">
              <w:rPr>
                <w:rFonts w:ascii="Calibri" w:eastAsia="Times New Roman" w:hAnsi="Calibri" w:cs="Calibri"/>
                <w:b/>
                <w:bCs/>
                <w:color w:val="FFFFFF" w:themeColor="background2"/>
                <w:sz w:val="20"/>
                <w:szCs w:val="20"/>
                <w:lang w:eastAsia="en-AU"/>
              </w:rPr>
              <w:t>Relocated</w:t>
            </w:r>
          </w:p>
          <w:p w14:paraId="1ADA0B1A" w14:textId="39679D65"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EEECE1"/>
                <w:sz w:val="20"/>
                <w:szCs w:val="20"/>
                <w:lang w:eastAsia="en-AU"/>
              </w:rPr>
              <w:t>(number)</w:t>
            </w:r>
          </w:p>
        </w:tc>
        <w:tc>
          <w:tcPr>
            <w:tcW w:w="1698" w:type="dxa"/>
            <w:tcBorders>
              <w:top w:val="nil"/>
              <w:left w:val="nil"/>
              <w:right w:val="nil"/>
            </w:tcBorders>
            <w:shd w:val="clear" w:color="000000" w:fill="1E3D6B"/>
            <w:vAlign w:val="bottom"/>
          </w:tcPr>
          <w:p w14:paraId="570E1078" w14:textId="77777777" w:rsidR="0083524C" w:rsidRPr="007C433A" w:rsidRDefault="0083524C" w:rsidP="004250B1">
            <w:pPr>
              <w:keepNext/>
              <w:spacing w:before="0" w:after="0" w:line="240" w:lineRule="auto"/>
              <w:jc w:val="right"/>
              <w:rPr>
                <w:rFonts w:ascii="Calibri" w:eastAsia="Times New Roman" w:hAnsi="Calibri" w:cs="Calibri"/>
                <w:b/>
                <w:bCs/>
                <w:color w:val="EEECE1"/>
                <w:sz w:val="20"/>
                <w:szCs w:val="20"/>
                <w:lang w:eastAsia="en-AU"/>
              </w:rPr>
            </w:pPr>
            <w:r w:rsidRPr="007C433A">
              <w:rPr>
                <w:rFonts w:ascii="Calibri" w:eastAsia="Times New Roman" w:hAnsi="Calibri" w:cs="Calibri"/>
                <w:b/>
                <w:bCs/>
                <w:color w:val="FFFFFF" w:themeColor="background2"/>
                <w:sz w:val="20"/>
                <w:szCs w:val="20"/>
                <w:lang w:eastAsia="en-AU"/>
              </w:rPr>
              <w:t>4 week outcome</w:t>
            </w:r>
          </w:p>
          <w:p w14:paraId="39E8B79E" w14:textId="519AB132"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EEECE1"/>
                <w:sz w:val="20"/>
                <w:szCs w:val="20"/>
                <w:lang w:eastAsia="en-AU"/>
              </w:rPr>
              <w:t>(per cent)</w:t>
            </w:r>
          </w:p>
        </w:tc>
        <w:tc>
          <w:tcPr>
            <w:tcW w:w="1848" w:type="dxa"/>
            <w:tcBorders>
              <w:top w:val="nil"/>
              <w:left w:val="nil"/>
              <w:right w:val="nil"/>
            </w:tcBorders>
            <w:shd w:val="clear" w:color="000000" w:fill="1E3D6B"/>
            <w:vAlign w:val="bottom"/>
          </w:tcPr>
          <w:p w14:paraId="368CB0B1" w14:textId="77777777" w:rsidR="0083524C" w:rsidRPr="007C433A" w:rsidRDefault="0083524C" w:rsidP="004250B1">
            <w:pPr>
              <w:keepNext/>
              <w:spacing w:before="0" w:after="0" w:line="240" w:lineRule="auto"/>
              <w:jc w:val="right"/>
              <w:rPr>
                <w:rFonts w:ascii="Calibri" w:eastAsia="Times New Roman" w:hAnsi="Calibri" w:cs="Calibri"/>
                <w:b/>
                <w:bCs/>
                <w:color w:val="EEECE1"/>
                <w:sz w:val="20"/>
                <w:szCs w:val="20"/>
                <w:lang w:eastAsia="en-AU"/>
              </w:rPr>
            </w:pPr>
            <w:r w:rsidRPr="007C433A">
              <w:rPr>
                <w:rFonts w:ascii="Calibri" w:eastAsia="Times New Roman" w:hAnsi="Calibri" w:cs="Calibri"/>
                <w:b/>
                <w:bCs/>
                <w:color w:val="FFFFFF" w:themeColor="background2"/>
                <w:sz w:val="20"/>
                <w:szCs w:val="20"/>
                <w:lang w:eastAsia="en-AU"/>
              </w:rPr>
              <w:t>12 week outcome</w:t>
            </w:r>
          </w:p>
          <w:p w14:paraId="2FD8F3B4" w14:textId="4E6354DC"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EEECE1"/>
                <w:sz w:val="20"/>
                <w:szCs w:val="20"/>
                <w:lang w:eastAsia="en-AU"/>
              </w:rPr>
              <w:t>(per cent)</w:t>
            </w:r>
          </w:p>
        </w:tc>
        <w:tc>
          <w:tcPr>
            <w:tcW w:w="1701" w:type="dxa"/>
            <w:tcBorders>
              <w:top w:val="nil"/>
              <w:left w:val="nil"/>
              <w:right w:val="nil"/>
            </w:tcBorders>
            <w:shd w:val="clear" w:color="000000" w:fill="1E3D6B"/>
            <w:vAlign w:val="bottom"/>
          </w:tcPr>
          <w:p w14:paraId="53BB5E9A" w14:textId="77777777" w:rsidR="0083524C" w:rsidRPr="007C433A" w:rsidRDefault="0083524C" w:rsidP="004250B1">
            <w:pPr>
              <w:keepNext/>
              <w:spacing w:before="0" w:after="0" w:line="240" w:lineRule="auto"/>
              <w:jc w:val="right"/>
              <w:rPr>
                <w:rFonts w:ascii="Calibri" w:eastAsia="Times New Roman" w:hAnsi="Calibri" w:cs="Calibri"/>
                <w:b/>
                <w:bCs/>
                <w:color w:val="EEECE1"/>
                <w:sz w:val="20"/>
                <w:szCs w:val="20"/>
                <w:lang w:eastAsia="en-AU"/>
              </w:rPr>
            </w:pPr>
            <w:r w:rsidRPr="007C433A">
              <w:rPr>
                <w:rFonts w:ascii="Calibri" w:eastAsia="Times New Roman" w:hAnsi="Calibri" w:cs="Calibri"/>
                <w:b/>
                <w:bCs/>
                <w:color w:val="FFFFFF" w:themeColor="background2"/>
                <w:sz w:val="20"/>
                <w:szCs w:val="20"/>
                <w:lang w:eastAsia="en-AU"/>
              </w:rPr>
              <w:t>26 week outcome</w:t>
            </w:r>
          </w:p>
          <w:p w14:paraId="310A08EC" w14:textId="56291C40"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EEECE1"/>
                <w:sz w:val="20"/>
                <w:szCs w:val="20"/>
                <w:lang w:eastAsia="en-AU"/>
              </w:rPr>
              <w:t>(per cent)</w:t>
            </w:r>
          </w:p>
        </w:tc>
        <w:tc>
          <w:tcPr>
            <w:tcW w:w="1559" w:type="dxa"/>
            <w:tcBorders>
              <w:top w:val="nil"/>
              <w:left w:val="nil"/>
              <w:right w:val="nil"/>
            </w:tcBorders>
            <w:shd w:val="clear" w:color="000000" w:fill="1E3D6B"/>
            <w:vAlign w:val="bottom"/>
          </w:tcPr>
          <w:p w14:paraId="022DA915" w14:textId="77777777" w:rsidR="0083524C"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FFFFFF" w:themeColor="background2"/>
                <w:sz w:val="20"/>
                <w:szCs w:val="20"/>
                <w:lang w:eastAsia="en-AU"/>
              </w:rPr>
              <w:t xml:space="preserve">Conversion rate </w:t>
            </w:r>
          </w:p>
          <w:p w14:paraId="2CBC3856" w14:textId="77777777" w:rsidR="0083524C" w:rsidRPr="007C433A" w:rsidRDefault="0083524C" w:rsidP="004250B1">
            <w:pPr>
              <w:keepNext/>
              <w:spacing w:before="0" w:after="0" w:line="240" w:lineRule="auto"/>
              <w:jc w:val="right"/>
              <w:rPr>
                <w:rFonts w:ascii="Calibri" w:eastAsia="Times New Roman" w:hAnsi="Calibri" w:cs="Calibri"/>
                <w:b/>
                <w:bCs/>
                <w:color w:val="EEECE1"/>
                <w:sz w:val="20"/>
                <w:szCs w:val="20"/>
                <w:lang w:eastAsia="en-AU"/>
              </w:rPr>
            </w:pPr>
            <w:r w:rsidRPr="007C433A">
              <w:rPr>
                <w:rFonts w:ascii="Calibri" w:eastAsia="Times New Roman" w:hAnsi="Calibri" w:cs="Calibri"/>
                <w:b/>
                <w:bCs/>
                <w:color w:val="FFFFFF" w:themeColor="background2"/>
                <w:sz w:val="20"/>
                <w:szCs w:val="20"/>
                <w:lang w:eastAsia="en-AU"/>
              </w:rPr>
              <w:t>4 to 26 week</w:t>
            </w:r>
          </w:p>
          <w:p w14:paraId="690518FA" w14:textId="4BCA0D71" w:rsidR="0083524C" w:rsidRPr="007C433A" w:rsidRDefault="0083524C" w:rsidP="004250B1">
            <w:pPr>
              <w:keepNext/>
              <w:spacing w:before="0" w:after="0" w:line="240" w:lineRule="auto"/>
              <w:jc w:val="right"/>
              <w:rPr>
                <w:rFonts w:ascii="Calibri" w:eastAsia="Times New Roman" w:hAnsi="Calibri" w:cs="Calibri"/>
                <w:b/>
                <w:bCs/>
                <w:color w:val="FFFFFF" w:themeColor="background2"/>
                <w:sz w:val="20"/>
                <w:szCs w:val="20"/>
                <w:lang w:eastAsia="en-AU"/>
              </w:rPr>
            </w:pPr>
            <w:r w:rsidRPr="007C433A">
              <w:rPr>
                <w:rFonts w:ascii="Calibri" w:eastAsia="Times New Roman" w:hAnsi="Calibri" w:cs="Calibri"/>
                <w:b/>
                <w:bCs/>
                <w:color w:val="EEECE1"/>
                <w:sz w:val="20"/>
                <w:szCs w:val="20"/>
                <w:lang w:eastAsia="en-AU"/>
              </w:rPr>
              <w:t>(per cent)</w:t>
            </w:r>
          </w:p>
        </w:tc>
      </w:tr>
      <w:tr w:rsidR="0083524C" w:rsidRPr="007C433A" w14:paraId="1971DDF0" w14:textId="77777777" w:rsidTr="0008140A">
        <w:trPr>
          <w:cantSplit/>
          <w:trHeight w:val="300"/>
        </w:trPr>
        <w:tc>
          <w:tcPr>
            <w:tcW w:w="1101" w:type="dxa"/>
            <w:tcBorders>
              <w:top w:val="nil"/>
              <w:left w:val="nil"/>
              <w:bottom w:val="nil"/>
              <w:right w:val="nil"/>
            </w:tcBorders>
            <w:shd w:val="clear" w:color="auto" w:fill="auto"/>
            <w:vAlign w:val="center"/>
            <w:hideMark/>
          </w:tcPr>
          <w:p w14:paraId="40A121E4" w14:textId="77777777" w:rsidR="0083524C" w:rsidRPr="007C433A" w:rsidRDefault="0083524C" w:rsidP="004250B1">
            <w:pPr>
              <w:keepNext/>
              <w:spacing w:before="0" w:after="0" w:line="240" w:lineRule="auto"/>
              <w:rPr>
                <w:rFonts w:ascii="Calibri" w:eastAsia="Times New Roman" w:hAnsi="Calibri" w:cs="Calibri"/>
                <w:color w:val="000000"/>
                <w:sz w:val="20"/>
                <w:szCs w:val="20"/>
                <w:lang w:eastAsia="en-AU"/>
              </w:rPr>
            </w:pPr>
            <w:r w:rsidRPr="007C433A">
              <w:rPr>
                <w:rFonts w:ascii="Calibri" w:eastAsia="Times New Roman" w:hAnsi="Calibri" w:cs="Calibri"/>
                <w:color w:val="000000" w:themeColor="text1"/>
                <w:sz w:val="20"/>
                <w:szCs w:val="20"/>
                <w:lang w:eastAsia="en-AU"/>
              </w:rPr>
              <w:t>Stream A</w:t>
            </w:r>
          </w:p>
        </w:tc>
        <w:tc>
          <w:tcPr>
            <w:tcW w:w="1449" w:type="dxa"/>
            <w:tcBorders>
              <w:top w:val="nil"/>
              <w:left w:val="nil"/>
              <w:bottom w:val="nil"/>
              <w:right w:val="nil"/>
            </w:tcBorders>
            <w:shd w:val="clear" w:color="auto" w:fill="auto"/>
            <w:vAlign w:val="center"/>
            <w:hideMark/>
          </w:tcPr>
          <w:p w14:paraId="009DF7C8"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233</w:t>
            </w:r>
          </w:p>
        </w:tc>
        <w:tc>
          <w:tcPr>
            <w:tcW w:w="1698" w:type="dxa"/>
            <w:tcBorders>
              <w:top w:val="nil"/>
              <w:left w:val="nil"/>
              <w:bottom w:val="nil"/>
              <w:right w:val="nil"/>
            </w:tcBorders>
            <w:shd w:val="clear" w:color="auto" w:fill="auto"/>
            <w:vAlign w:val="center"/>
            <w:hideMark/>
          </w:tcPr>
          <w:p w14:paraId="47375FDD"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88.7</w:t>
            </w:r>
          </w:p>
        </w:tc>
        <w:tc>
          <w:tcPr>
            <w:tcW w:w="1848" w:type="dxa"/>
            <w:tcBorders>
              <w:top w:val="nil"/>
              <w:left w:val="nil"/>
              <w:bottom w:val="nil"/>
              <w:right w:val="nil"/>
            </w:tcBorders>
            <w:shd w:val="clear" w:color="auto" w:fill="auto"/>
            <w:vAlign w:val="center"/>
            <w:hideMark/>
          </w:tcPr>
          <w:p w14:paraId="32658192"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88.2</w:t>
            </w:r>
          </w:p>
        </w:tc>
        <w:tc>
          <w:tcPr>
            <w:tcW w:w="1701" w:type="dxa"/>
            <w:tcBorders>
              <w:top w:val="nil"/>
              <w:left w:val="nil"/>
              <w:bottom w:val="nil"/>
              <w:right w:val="nil"/>
            </w:tcBorders>
            <w:shd w:val="clear" w:color="auto" w:fill="auto"/>
            <w:vAlign w:val="center"/>
            <w:hideMark/>
          </w:tcPr>
          <w:p w14:paraId="7B288CA3"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78.7</w:t>
            </w:r>
          </w:p>
        </w:tc>
        <w:tc>
          <w:tcPr>
            <w:tcW w:w="1559" w:type="dxa"/>
            <w:tcBorders>
              <w:top w:val="nil"/>
              <w:left w:val="nil"/>
              <w:bottom w:val="nil"/>
              <w:right w:val="nil"/>
            </w:tcBorders>
            <w:shd w:val="clear" w:color="auto" w:fill="auto"/>
            <w:vAlign w:val="center"/>
            <w:hideMark/>
          </w:tcPr>
          <w:p w14:paraId="5DA837CF"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88.8</w:t>
            </w:r>
          </w:p>
        </w:tc>
      </w:tr>
      <w:tr w:rsidR="0083524C" w:rsidRPr="007C433A" w14:paraId="70BF464D" w14:textId="77777777" w:rsidTr="0052695D">
        <w:trPr>
          <w:cantSplit/>
          <w:trHeight w:val="300"/>
        </w:trPr>
        <w:tc>
          <w:tcPr>
            <w:tcW w:w="1101" w:type="dxa"/>
            <w:tcBorders>
              <w:top w:val="nil"/>
              <w:left w:val="nil"/>
              <w:bottom w:val="nil"/>
              <w:right w:val="nil"/>
            </w:tcBorders>
            <w:shd w:val="clear" w:color="000000" w:fill="F2F2F2"/>
            <w:vAlign w:val="center"/>
            <w:hideMark/>
          </w:tcPr>
          <w:p w14:paraId="405BFC94" w14:textId="77777777" w:rsidR="0083524C" w:rsidRPr="007C433A" w:rsidRDefault="0083524C" w:rsidP="004250B1">
            <w:pPr>
              <w:keepNext/>
              <w:spacing w:before="0" w:after="0" w:line="240" w:lineRule="auto"/>
              <w:rPr>
                <w:rFonts w:ascii="Calibri" w:eastAsia="Times New Roman" w:hAnsi="Calibri" w:cs="Calibri"/>
                <w:color w:val="000000"/>
                <w:sz w:val="20"/>
                <w:szCs w:val="20"/>
                <w:lang w:eastAsia="en-AU"/>
              </w:rPr>
            </w:pPr>
            <w:r w:rsidRPr="007C433A">
              <w:rPr>
                <w:rFonts w:ascii="Calibri" w:eastAsia="Times New Roman" w:hAnsi="Calibri" w:cs="Calibri"/>
                <w:color w:val="000000" w:themeColor="text1"/>
                <w:sz w:val="20"/>
                <w:szCs w:val="20"/>
                <w:lang w:eastAsia="en-AU"/>
              </w:rPr>
              <w:t>Stream B</w:t>
            </w:r>
          </w:p>
        </w:tc>
        <w:tc>
          <w:tcPr>
            <w:tcW w:w="1449" w:type="dxa"/>
            <w:tcBorders>
              <w:top w:val="nil"/>
              <w:left w:val="nil"/>
              <w:bottom w:val="nil"/>
              <w:right w:val="nil"/>
            </w:tcBorders>
            <w:shd w:val="clear" w:color="auto" w:fill="F2F2F2" w:themeFill="background1" w:themeFillShade="F2"/>
            <w:vAlign w:val="center"/>
            <w:hideMark/>
          </w:tcPr>
          <w:p w14:paraId="23F5A30B"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191</w:t>
            </w:r>
          </w:p>
        </w:tc>
        <w:tc>
          <w:tcPr>
            <w:tcW w:w="1698" w:type="dxa"/>
            <w:tcBorders>
              <w:top w:val="nil"/>
              <w:left w:val="nil"/>
              <w:bottom w:val="nil"/>
              <w:right w:val="nil"/>
            </w:tcBorders>
            <w:shd w:val="clear" w:color="000000" w:fill="F2F2F2"/>
            <w:vAlign w:val="center"/>
            <w:hideMark/>
          </w:tcPr>
          <w:p w14:paraId="217C9857"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82.4</w:t>
            </w:r>
          </w:p>
        </w:tc>
        <w:tc>
          <w:tcPr>
            <w:tcW w:w="1848" w:type="dxa"/>
            <w:tcBorders>
              <w:top w:val="nil"/>
              <w:left w:val="nil"/>
              <w:bottom w:val="nil"/>
              <w:right w:val="nil"/>
            </w:tcBorders>
            <w:shd w:val="clear" w:color="000000" w:fill="F2F2F2"/>
            <w:vAlign w:val="center"/>
            <w:hideMark/>
          </w:tcPr>
          <w:p w14:paraId="43ED160D"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76.1</w:t>
            </w:r>
          </w:p>
        </w:tc>
        <w:tc>
          <w:tcPr>
            <w:tcW w:w="1701" w:type="dxa"/>
            <w:tcBorders>
              <w:top w:val="nil"/>
              <w:left w:val="nil"/>
              <w:bottom w:val="nil"/>
              <w:right w:val="nil"/>
            </w:tcBorders>
            <w:shd w:val="clear" w:color="000000" w:fill="F2F2F2"/>
            <w:vAlign w:val="center"/>
            <w:hideMark/>
          </w:tcPr>
          <w:p w14:paraId="7973BF65"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56.9</w:t>
            </w:r>
          </w:p>
        </w:tc>
        <w:tc>
          <w:tcPr>
            <w:tcW w:w="1559" w:type="dxa"/>
            <w:tcBorders>
              <w:top w:val="nil"/>
              <w:left w:val="nil"/>
              <w:bottom w:val="nil"/>
              <w:right w:val="nil"/>
            </w:tcBorders>
            <w:shd w:val="clear" w:color="000000" w:fill="F2F2F2"/>
            <w:vAlign w:val="center"/>
            <w:hideMark/>
          </w:tcPr>
          <w:p w14:paraId="68827B40"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69.0</w:t>
            </w:r>
          </w:p>
        </w:tc>
      </w:tr>
      <w:tr w:rsidR="0083524C" w:rsidRPr="007C433A" w14:paraId="3B6FF219" w14:textId="77777777" w:rsidTr="0008140A">
        <w:trPr>
          <w:cantSplit/>
          <w:trHeight w:val="300"/>
        </w:trPr>
        <w:tc>
          <w:tcPr>
            <w:tcW w:w="1101" w:type="dxa"/>
            <w:tcBorders>
              <w:top w:val="nil"/>
              <w:left w:val="nil"/>
              <w:bottom w:val="nil"/>
              <w:right w:val="nil"/>
            </w:tcBorders>
            <w:shd w:val="clear" w:color="auto" w:fill="auto"/>
            <w:vAlign w:val="center"/>
            <w:hideMark/>
          </w:tcPr>
          <w:p w14:paraId="74F8E211" w14:textId="77777777" w:rsidR="0083524C" w:rsidRPr="007C433A" w:rsidRDefault="0083524C" w:rsidP="004250B1">
            <w:pPr>
              <w:keepNext/>
              <w:spacing w:before="0" w:after="0" w:line="240" w:lineRule="auto"/>
              <w:rPr>
                <w:rFonts w:ascii="Calibri" w:eastAsia="Times New Roman" w:hAnsi="Calibri" w:cs="Calibri"/>
                <w:color w:val="000000"/>
                <w:sz w:val="20"/>
                <w:szCs w:val="20"/>
                <w:lang w:eastAsia="en-AU"/>
              </w:rPr>
            </w:pPr>
            <w:r w:rsidRPr="007C433A">
              <w:rPr>
                <w:rFonts w:ascii="Calibri" w:eastAsia="Times New Roman" w:hAnsi="Calibri" w:cs="Calibri"/>
                <w:color w:val="000000" w:themeColor="text1"/>
                <w:sz w:val="20"/>
                <w:szCs w:val="20"/>
                <w:lang w:eastAsia="en-AU"/>
              </w:rPr>
              <w:t>Stream C</w:t>
            </w:r>
          </w:p>
        </w:tc>
        <w:tc>
          <w:tcPr>
            <w:tcW w:w="1449" w:type="dxa"/>
            <w:tcBorders>
              <w:top w:val="nil"/>
              <w:left w:val="nil"/>
              <w:bottom w:val="nil"/>
              <w:right w:val="nil"/>
            </w:tcBorders>
            <w:shd w:val="clear" w:color="auto" w:fill="auto"/>
            <w:vAlign w:val="center"/>
            <w:hideMark/>
          </w:tcPr>
          <w:p w14:paraId="0B05AE2D"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88</w:t>
            </w:r>
          </w:p>
        </w:tc>
        <w:tc>
          <w:tcPr>
            <w:tcW w:w="1698" w:type="dxa"/>
            <w:tcBorders>
              <w:top w:val="nil"/>
              <w:left w:val="nil"/>
              <w:bottom w:val="nil"/>
              <w:right w:val="nil"/>
            </w:tcBorders>
            <w:shd w:val="clear" w:color="auto" w:fill="auto"/>
            <w:vAlign w:val="center"/>
            <w:hideMark/>
          </w:tcPr>
          <w:p w14:paraId="73F79B88"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73.6</w:t>
            </w:r>
          </w:p>
        </w:tc>
        <w:tc>
          <w:tcPr>
            <w:tcW w:w="1848" w:type="dxa"/>
            <w:tcBorders>
              <w:top w:val="nil"/>
              <w:left w:val="nil"/>
              <w:bottom w:val="nil"/>
              <w:right w:val="nil"/>
            </w:tcBorders>
            <w:shd w:val="clear" w:color="auto" w:fill="auto"/>
            <w:vAlign w:val="center"/>
            <w:hideMark/>
          </w:tcPr>
          <w:p w14:paraId="7D16B088"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62.1</w:t>
            </w:r>
          </w:p>
        </w:tc>
        <w:tc>
          <w:tcPr>
            <w:tcW w:w="1701" w:type="dxa"/>
            <w:tcBorders>
              <w:top w:val="nil"/>
              <w:left w:val="nil"/>
              <w:bottom w:val="nil"/>
              <w:right w:val="nil"/>
            </w:tcBorders>
            <w:shd w:val="clear" w:color="auto" w:fill="auto"/>
            <w:vAlign w:val="center"/>
            <w:hideMark/>
          </w:tcPr>
          <w:p w14:paraId="6A7F429F"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41.4</w:t>
            </w:r>
          </w:p>
        </w:tc>
        <w:tc>
          <w:tcPr>
            <w:tcW w:w="1559" w:type="dxa"/>
            <w:tcBorders>
              <w:top w:val="nil"/>
              <w:left w:val="nil"/>
              <w:bottom w:val="nil"/>
              <w:right w:val="nil"/>
            </w:tcBorders>
            <w:shd w:val="clear" w:color="auto" w:fill="auto"/>
            <w:vAlign w:val="center"/>
            <w:hideMark/>
          </w:tcPr>
          <w:p w14:paraId="2F2BB949"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56.3</w:t>
            </w:r>
          </w:p>
        </w:tc>
      </w:tr>
      <w:tr w:rsidR="0083524C" w:rsidRPr="007C433A" w14:paraId="2AA3C859" w14:textId="77777777" w:rsidTr="0008140A">
        <w:trPr>
          <w:cantSplit/>
          <w:trHeight w:val="300"/>
        </w:trPr>
        <w:tc>
          <w:tcPr>
            <w:tcW w:w="1101" w:type="dxa"/>
            <w:tcBorders>
              <w:top w:val="nil"/>
              <w:left w:val="nil"/>
              <w:bottom w:val="nil"/>
              <w:right w:val="nil"/>
            </w:tcBorders>
            <w:shd w:val="clear" w:color="000000" w:fill="8EAEDE"/>
            <w:vAlign w:val="center"/>
            <w:hideMark/>
          </w:tcPr>
          <w:p w14:paraId="50A774FC" w14:textId="77777777" w:rsidR="0083524C" w:rsidRPr="007C433A" w:rsidRDefault="0083524C" w:rsidP="004250B1">
            <w:pPr>
              <w:keepNext/>
              <w:spacing w:before="0" w:after="0" w:line="240" w:lineRule="auto"/>
              <w:rPr>
                <w:rFonts w:ascii="Calibri" w:eastAsia="Times New Roman" w:hAnsi="Calibri" w:cs="Calibri"/>
                <w:color w:val="000000"/>
                <w:sz w:val="20"/>
                <w:szCs w:val="20"/>
                <w:lang w:eastAsia="en-AU"/>
              </w:rPr>
            </w:pPr>
            <w:r w:rsidRPr="007C433A">
              <w:rPr>
                <w:rFonts w:ascii="Calibri" w:eastAsia="Times New Roman" w:hAnsi="Calibri" w:cs="Calibri"/>
                <w:color w:val="000000" w:themeColor="text1"/>
                <w:sz w:val="20"/>
                <w:szCs w:val="20"/>
                <w:lang w:eastAsia="en-AU"/>
              </w:rPr>
              <w:t>Total</w:t>
            </w:r>
          </w:p>
        </w:tc>
        <w:tc>
          <w:tcPr>
            <w:tcW w:w="1449" w:type="dxa"/>
            <w:tcBorders>
              <w:top w:val="nil"/>
              <w:left w:val="nil"/>
              <w:bottom w:val="nil"/>
              <w:right w:val="nil"/>
            </w:tcBorders>
            <w:shd w:val="clear" w:color="000000" w:fill="8EAEDE"/>
            <w:vAlign w:val="center"/>
            <w:hideMark/>
          </w:tcPr>
          <w:p w14:paraId="433FC176"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512</w:t>
            </w:r>
          </w:p>
        </w:tc>
        <w:tc>
          <w:tcPr>
            <w:tcW w:w="1698" w:type="dxa"/>
            <w:tcBorders>
              <w:top w:val="nil"/>
              <w:left w:val="nil"/>
              <w:bottom w:val="nil"/>
              <w:right w:val="nil"/>
            </w:tcBorders>
            <w:shd w:val="clear" w:color="000000" w:fill="8EAEDE"/>
            <w:vAlign w:val="center"/>
            <w:hideMark/>
          </w:tcPr>
          <w:p w14:paraId="7FEDA481"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83.7</w:t>
            </w:r>
          </w:p>
        </w:tc>
        <w:tc>
          <w:tcPr>
            <w:tcW w:w="1848" w:type="dxa"/>
            <w:tcBorders>
              <w:top w:val="nil"/>
              <w:left w:val="nil"/>
              <w:bottom w:val="nil"/>
              <w:right w:val="nil"/>
            </w:tcBorders>
            <w:shd w:val="clear" w:color="000000" w:fill="8EAEDE"/>
            <w:vAlign w:val="center"/>
            <w:hideMark/>
          </w:tcPr>
          <w:p w14:paraId="5ACCE47E"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79.0</w:t>
            </w:r>
          </w:p>
        </w:tc>
        <w:tc>
          <w:tcPr>
            <w:tcW w:w="1701" w:type="dxa"/>
            <w:tcBorders>
              <w:top w:val="nil"/>
              <w:left w:val="nil"/>
              <w:bottom w:val="nil"/>
              <w:right w:val="nil"/>
            </w:tcBorders>
            <w:shd w:val="clear" w:color="000000" w:fill="8EAEDE"/>
            <w:vAlign w:val="center"/>
            <w:hideMark/>
          </w:tcPr>
          <w:p w14:paraId="0166AAE4"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63.9</w:t>
            </w:r>
          </w:p>
        </w:tc>
        <w:tc>
          <w:tcPr>
            <w:tcW w:w="1559" w:type="dxa"/>
            <w:tcBorders>
              <w:top w:val="nil"/>
              <w:left w:val="nil"/>
              <w:bottom w:val="nil"/>
              <w:right w:val="nil"/>
            </w:tcBorders>
            <w:shd w:val="clear" w:color="000000" w:fill="8EAEDE"/>
            <w:vAlign w:val="center"/>
            <w:hideMark/>
          </w:tcPr>
          <w:p w14:paraId="5AB69CA2" w14:textId="77777777" w:rsidR="0083524C" w:rsidRPr="007C433A" w:rsidRDefault="0083524C" w:rsidP="004250B1">
            <w:pPr>
              <w:keepNext/>
              <w:spacing w:before="0" w:after="0" w:line="240" w:lineRule="auto"/>
              <w:jc w:val="right"/>
              <w:rPr>
                <w:rFonts w:ascii="Calibri" w:eastAsia="Times New Roman" w:hAnsi="Calibri" w:cs="Calibri"/>
                <w:color w:val="000000"/>
                <w:sz w:val="20"/>
                <w:szCs w:val="20"/>
                <w:lang w:eastAsia="en-AU"/>
              </w:rPr>
            </w:pPr>
            <w:r w:rsidRPr="007C433A">
              <w:rPr>
                <w:rFonts w:ascii="Calibri" w:eastAsia="Times New Roman" w:hAnsi="Calibri" w:cs="Calibri"/>
                <w:color w:val="000000"/>
                <w:sz w:val="20"/>
                <w:szCs w:val="20"/>
                <w:lang w:eastAsia="en-AU"/>
              </w:rPr>
              <w:t>76.4</w:t>
            </w:r>
          </w:p>
        </w:tc>
      </w:tr>
    </w:tbl>
    <w:p w14:paraId="6849C6EF" w14:textId="77777777" w:rsidR="0008140A" w:rsidRPr="00F53504" w:rsidRDefault="0008140A" w:rsidP="004250B1">
      <w:pPr>
        <w:pStyle w:val="Source"/>
        <w:keepNext/>
        <w:rPr>
          <w:b/>
        </w:rPr>
      </w:pPr>
      <w:r w:rsidRPr="00F53504">
        <w:rPr>
          <w:b/>
        </w:rPr>
        <w:t>Notes:</w:t>
      </w:r>
    </w:p>
    <w:p w14:paraId="7161BF66" w14:textId="16CE01E7" w:rsidR="0008140A" w:rsidRDefault="0008140A" w:rsidP="004250B1">
      <w:pPr>
        <w:pStyle w:val="Source"/>
        <w:keepNext/>
      </w:pPr>
      <w:r w:rsidRPr="00F53504">
        <w:t xml:space="preserve">1. </w:t>
      </w:r>
      <w:r w:rsidR="001F4178">
        <w:t xml:space="preserve">Data </w:t>
      </w:r>
      <w:proofErr w:type="gramStart"/>
      <w:r w:rsidR="001F4178">
        <w:t>is presented</w:t>
      </w:r>
      <w:proofErr w:type="gramEnd"/>
      <w:r w:rsidR="001F4178">
        <w:t xml:space="preserve"> as at 31 </w:t>
      </w:r>
      <w:r>
        <w:t>December</w:t>
      </w:r>
      <w:r w:rsidR="001F4178">
        <w:t> </w:t>
      </w:r>
      <w:r>
        <w:t xml:space="preserve">2017 and represents all jobactive participants who were relocated </w:t>
      </w:r>
      <w:r w:rsidR="001F4178">
        <w:t>and placed in a job between 1 </w:t>
      </w:r>
      <w:r>
        <w:t>July</w:t>
      </w:r>
      <w:r w:rsidR="001F4178">
        <w:t> </w:t>
      </w:r>
      <w:r>
        <w:t>2015 and 30</w:t>
      </w:r>
      <w:r w:rsidR="001F4178">
        <w:t> </w:t>
      </w:r>
      <w:r>
        <w:t>June</w:t>
      </w:r>
      <w:r w:rsidR="001F4178">
        <w:t> </w:t>
      </w:r>
      <w:r>
        <w:t xml:space="preserve">2016. Outcomes for these participants </w:t>
      </w:r>
      <w:proofErr w:type="gramStart"/>
      <w:r>
        <w:t>are reported</w:t>
      </w:r>
      <w:proofErr w:type="gramEnd"/>
      <w:r>
        <w:t xml:space="preserve"> as at 31</w:t>
      </w:r>
      <w:r w:rsidR="001F4178">
        <w:t> </w:t>
      </w:r>
      <w:r>
        <w:t>December</w:t>
      </w:r>
      <w:r w:rsidR="001F4178">
        <w:t> </w:t>
      </w:r>
      <w:r>
        <w:t xml:space="preserve">2017, allowing a minimum </w:t>
      </w:r>
      <w:r w:rsidR="001F4178">
        <w:t>18-month</w:t>
      </w:r>
      <w:r>
        <w:t xml:space="preserve"> observation period.</w:t>
      </w:r>
    </w:p>
    <w:p w14:paraId="608B2EEC" w14:textId="516EAA44" w:rsidR="00916422" w:rsidRPr="00F53504" w:rsidRDefault="002B20D6" w:rsidP="004250B1">
      <w:pPr>
        <w:pStyle w:val="Source"/>
        <w:keepNext/>
      </w:pPr>
      <w:r w:rsidRPr="00F53504">
        <w:t xml:space="preserve">2. </w:t>
      </w:r>
      <w:r w:rsidR="00685057" w:rsidRPr="00F53504">
        <w:t>This may</w:t>
      </w:r>
      <w:r w:rsidR="00685057">
        <w:t xml:space="preserve"> </w:t>
      </w:r>
      <w:r w:rsidR="00685057" w:rsidRPr="00F53504">
        <w:t xml:space="preserve">be an under report of </w:t>
      </w:r>
      <w:r w:rsidR="00685057">
        <w:t>26 outcomes because not all 26 outcomes may be claimed by the data extract date of 31 December 2017</w:t>
      </w:r>
      <w:r w:rsidRPr="00F53504">
        <w:t>.</w:t>
      </w:r>
      <w:r w:rsidR="00916422" w:rsidRPr="00F53504">
        <w:t xml:space="preserve"> </w:t>
      </w:r>
      <w:r w:rsidR="00916422">
        <w:t xml:space="preserve">Note that if the </w:t>
      </w:r>
      <w:r w:rsidR="00916422" w:rsidRPr="00916422">
        <w:t xml:space="preserve">Outcome Period ended on or after 5 May 2016, providers have until 12 months after the Completion Date of their </w:t>
      </w:r>
      <w:r w:rsidR="00916422" w:rsidRPr="00916422">
        <w:rPr>
          <w:i/>
        </w:rPr>
        <w:t>jobactive Deed 2015-2020</w:t>
      </w:r>
      <w:r w:rsidR="00916422" w:rsidRPr="00916422">
        <w:t xml:space="preserve"> to claim Outcome Payments</w:t>
      </w:r>
      <w:r w:rsidR="00916422">
        <w:t>.</w:t>
      </w:r>
    </w:p>
    <w:p w14:paraId="12C412F3" w14:textId="715844A8" w:rsidR="00E84BCE" w:rsidRPr="00386308" w:rsidRDefault="0008140A" w:rsidP="004250B1">
      <w:pPr>
        <w:pStyle w:val="Source"/>
        <w:keepNext/>
        <w:spacing w:after="360"/>
        <w:rPr>
          <w:b/>
        </w:rPr>
      </w:pPr>
      <w:r w:rsidRPr="00F53504">
        <w:rPr>
          <w:b/>
        </w:rPr>
        <w:t>Source:</w:t>
      </w:r>
      <w:r w:rsidRPr="00386308">
        <w:rPr>
          <w:b/>
        </w:rPr>
        <w:t xml:space="preserve"> </w:t>
      </w:r>
      <w:r w:rsidRPr="00386308">
        <w:t>EBIW data.</w:t>
      </w:r>
      <w:r w:rsidR="00E84BCE" w:rsidRPr="00386308">
        <w:rPr>
          <w:b/>
        </w:rPr>
        <w:br w:type="page"/>
      </w:r>
    </w:p>
    <w:p w14:paraId="0717B5D8" w14:textId="271FAE06" w:rsidR="00EA78CC" w:rsidRPr="00F53504" w:rsidRDefault="00C85456" w:rsidP="00920031">
      <w:pPr>
        <w:pStyle w:val="Heading2"/>
      </w:pPr>
      <w:bookmarkStart w:id="56" w:name="_Toc486494121"/>
      <w:bookmarkStart w:id="57" w:name="_Toc486494199"/>
      <w:bookmarkStart w:id="58" w:name="_Toc486494277"/>
      <w:bookmarkStart w:id="59" w:name="_Toc486494354"/>
      <w:bookmarkStart w:id="60" w:name="_Toc486494476"/>
      <w:bookmarkStart w:id="61" w:name="_Toc486494553"/>
      <w:bookmarkStart w:id="62" w:name="_Toc486494655"/>
      <w:bookmarkStart w:id="63" w:name="_Toc486494754"/>
      <w:bookmarkStart w:id="64" w:name="_Toc486494853"/>
      <w:bookmarkStart w:id="65" w:name="_Toc486494157"/>
      <w:bookmarkStart w:id="66" w:name="_Toc486494235"/>
      <w:bookmarkStart w:id="67" w:name="_Toc486494313"/>
      <w:bookmarkStart w:id="68" w:name="_Toc486494390"/>
      <w:bookmarkStart w:id="69" w:name="_Toc486494512"/>
      <w:bookmarkStart w:id="70" w:name="_Toc486494589"/>
      <w:bookmarkStart w:id="71" w:name="_Toc486494691"/>
      <w:bookmarkStart w:id="72" w:name="_Toc486494790"/>
      <w:bookmarkStart w:id="73" w:name="_Toc486494889"/>
      <w:bookmarkStart w:id="74" w:name="_Ref455994189"/>
      <w:bookmarkStart w:id="75" w:name="_Toc512529321"/>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F53504">
        <w:lastRenderedPageBreak/>
        <w:t>Do</w:t>
      </w:r>
      <w:r w:rsidR="00EA78CC" w:rsidRPr="00F53504">
        <w:t xml:space="preserve"> relocated job seekers remain off income support or report earnings?</w:t>
      </w:r>
      <w:bookmarkEnd w:id="74"/>
      <w:bookmarkEnd w:id="75"/>
    </w:p>
    <w:p w14:paraId="33A7D079" w14:textId="77777777" w:rsidR="00DF07BA" w:rsidRPr="00F53504" w:rsidRDefault="00901F10" w:rsidP="00130ED6">
      <w:pPr>
        <w:pStyle w:val="Answerbox"/>
        <w:rPr>
          <w:b/>
        </w:rPr>
      </w:pPr>
      <w:r w:rsidRPr="00F53504">
        <w:rPr>
          <w:b/>
        </w:rPr>
        <w:t>The majority of r</w:t>
      </w:r>
      <w:r w:rsidR="00DF07BA" w:rsidRPr="00F53504">
        <w:rPr>
          <w:b/>
        </w:rPr>
        <w:t>elocated job seekers remain off income support payments or report earnings</w:t>
      </w:r>
    </w:p>
    <w:p w14:paraId="47F583DA" w14:textId="503BEB8F" w:rsidR="0021642C" w:rsidRPr="00F53504" w:rsidRDefault="00EA78CC" w:rsidP="001E07A7">
      <w:pPr>
        <w:pStyle w:val="Answerboxdotpoints"/>
        <w:rPr>
          <w:rFonts w:eastAsiaTheme="majorEastAsia"/>
        </w:rPr>
      </w:pPr>
      <w:r w:rsidRPr="00F53504">
        <w:t xml:space="preserve">Twelve months after the start of their relocation agreements, 58 per cent of relocated </w:t>
      </w:r>
      <w:r w:rsidR="006A4066" w:rsidRPr="00F53504">
        <w:t xml:space="preserve">JSA </w:t>
      </w:r>
      <w:r w:rsidRPr="00F53504">
        <w:t xml:space="preserve">participants in </w:t>
      </w:r>
      <w:r w:rsidR="0041378D" w:rsidRPr="00F53504">
        <w:t>RATTUAJ</w:t>
      </w:r>
      <w:r w:rsidRPr="00F53504">
        <w:rPr>
          <w:rFonts w:eastAsiaTheme="majorEastAsia"/>
        </w:rPr>
        <w:t xml:space="preserve"> were off income support</w:t>
      </w:r>
      <w:r w:rsidR="00630877">
        <w:rPr>
          <w:rFonts w:eastAsiaTheme="majorEastAsia"/>
        </w:rPr>
        <w:t xml:space="preserve"> and 63 per cent under jobactive were off income support</w:t>
      </w:r>
      <w:r w:rsidRPr="00F53504">
        <w:rPr>
          <w:rFonts w:eastAsiaTheme="majorEastAsia"/>
        </w:rPr>
        <w:t xml:space="preserve">. </w:t>
      </w:r>
      <w:r w:rsidR="0021642C" w:rsidRPr="00F53504">
        <w:rPr>
          <w:rFonts w:eastAsiaTheme="majorEastAsia"/>
        </w:rPr>
        <w:t xml:space="preserve">This is greater than </w:t>
      </w:r>
      <w:r w:rsidR="00695EF1" w:rsidRPr="00F53504">
        <w:rPr>
          <w:rFonts w:eastAsiaTheme="majorEastAsia"/>
        </w:rPr>
        <w:t xml:space="preserve">for </w:t>
      </w:r>
      <w:r w:rsidR="0021642C" w:rsidRPr="00F53504">
        <w:rPr>
          <w:rFonts w:eastAsiaTheme="majorEastAsia"/>
        </w:rPr>
        <w:t xml:space="preserve">job seekers who </w:t>
      </w:r>
      <w:proofErr w:type="gramStart"/>
      <w:r w:rsidR="0021642C" w:rsidRPr="00F53504">
        <w:rPr>
          <w:rFonts w:eastAsiaTheme="majorEastAsia"/>
        </w:rPr>
        <w:t>were placed</w:t>
      </w:r>
      <w:proofErr w:type="gramEnd"/>
      <w:r w:rsidR="0021642C" w:rsidRPr="00F53504">
        <w:rPr>
          <w:rFonts w:eastAsiaTheme="majorEastAsia"/>
        </w:rPr>
        <w:t xml:space="preserve"> in on-going employment but were not part of </w:t>
      </w:r>
      <w:r w:rsidR="0041378D" w:rsidRPr="00F53504">
        <w:rPr>
          <w:rFonts w:eastAsiaTheme="majorEastAsia"/>
        </w:rPr>
        <w:t>RATTUAJ</w:t>
      </w:r>
      <w:r w:rsidR="006A1E4F" w:rsidRPr="00F53504">
        <w:rPr>
          <w:rFonts w:eastAsiaTheme="majorEastAsia"/>
        </w:rPr>
        <w:t>,</w:t>
      </w:r>
      <w:r w:rsidR="0021642C" w:rsidRPr="00F53504">
        <w:rPr>
          <w:rFonts w:eastAsiaTheme="majorEastAsia"/>
        </w:rPr>
        <w:t xml:space="preserve"> with 36 per cent </w:t>
      </w:r>
      <w:r w:rsidR="00695EF1" w:rsidRPr="00F53504">
        <w:rPr>
          <w:rFonts w:eastAsiaTheme="majorEastAsia"/>
        </w:rPr>
        <w:t xml:space="preserve">of these job seekers </w:t>
      </w:r>
      <w:r w:rsidR="0021642C" w:rsidRPr="00F53504">
        <w:rPr>
          <w:rFonts w:eastAsiaTheme="majorEastAsia"/>
        </w:rPr>
        <w:t>off income support 12 months after placement</w:t>
      </w:r>
      <w:r w:rsidR="00695EF1" w:rsidRPr="00F53504">
        <w:rPr>
          <w:rFonts w:eastAsiaTheme="majorEastAsia"/>
        </w:rPr>
        <w:t>.</w:t>
      </w:r>
    </w:p>
    <w:p w14:paraId="30D0307E" w14:textId="4E5C2A9F" w:rsidR="00EA78CC" w:rsidRPr="00D17F4A" w:rsidRDefault="00EA78CC" w:rsidP="001E07A7">
      <w:pPr>
        <w:pStyle w:val="Answerboxdotpoints"/>
      </w:pPr>
      <w:r w:rsidRPr="00F53504">
        <w:rPr>
          <w:rFonts w:eastAsiaTheme="majorEastAsia"/>
        </w:rPr>
        <w:t>In total, 91 per cent of</w:t>
      </w:r>
      <w:r w:rsidR="00630877">
        <w:rPr>
          <w:rFonts w:eastAsiaTheme="majorEastAsia"/>
        </w:rPr>
        <w:t xml:space="preserve"> JSA</w:t>
      </w:r>
      <w:r w:rsidRPr="00F53504">
        <w:rPr>
          <w:rFonts w:eastAsiaTheme="majorEastAsia"/>
        </w:rPr>
        <w:t xml:space="preserve"> </w:t>
      </w:r>
      <w:r w:rsidR="0021642C" w:rsidRPr="00F53504">
        <w:rPr>
          <w:rFonts w:eastAsiaTheme="majorEastAsia"/>
        </w:rPr>
        <w:t xml:space="preserve">RATTUAJ </w:t>
      </w:r>
      <w:r w:rsidRPr="00F53504">
        <w:rPr>
          <w:rFonts w:eastAsiaTheme="majorEastAsia"/>
        </w:rPr>
        <w:t xml:space="preserve">participants were </w:t>
      </w:r>
      <w:proofErr w:type="gramStart"/>
      <w:r w:rsidRPr="00F53504">
        <w:rPr>
          <w:rFonts w:eastAsiaTheme="majorEastAsia"/>
        </w:rPr>
        <w:t>either off income support or reporting</w:t>
      </w:r>
      <w:proofErr w:type="gramEnd"/>
      <w:r w:rsidRPr="00F53504">
        <w:rPr>
          <w:rFonts w:eastAsiaTheme="majorEastAsia"/>
        </w:rPr>
        <w:t xml:space="preserve"> earnings by the second month after </w:t>
      </w:r>
      <w:r w:rsidR="009A495F" w:rsidRPr="00F53504">
        <w:rPr>
          <w:rFonts w:eastAsiaTheme="majorEastAsia"/>
        </w:rPr>
        <w:t xml:space="preserve">the start of their </w:t>
      </w:r>
      <w:r w:rsidRPr="00F53504">
        <w:rPr>
          <w:rFonts w:eastAsiaTheme="majorEastAsia"/>
        </w:rPr>
        <w:t xml:space="preserve">agreement. </w:t>
      </w:r>
      <w:r w:rsidR="00630877">
        <w:rPr>
          <w:rFonts w:eastAsiaTheme="majorEastAsia"/>
        </w:rPr>
        <w:t>B</w:t>
      </w:r>
      <w:r w:rsidRPr="00F53504">
        <w:rPr>
          <w:rFonts w:eastAsiaTheme="majorEastAsia"/>
        </w:rPr>
        <w:t xml:space="preserve">y the twelfth </w:t>
      </w:r>
      <w:proofErr w:type="gramStart"/>
      <w:r w:rsidRPr="00F53504">
        <w:rPr>
          <w:rFonts w:eastAsiaTheme="majorEastAsia"/>
        </w:rPr>
        <w:t>month</w:t>
      </w:r>
      <w:proofErr w:type="gramEnd"/>
      <w:r w:rsidRPr="00F53504">
        <w:rPr>
          <w:rFonts w:eastAsiaTheme="majorEastAsia"/>
        </w:rPr>
        <w:t xml:space="preserve"> this had fallen to 71 per cent. The remaining 29 per cent of relocated participants were on income support with no earnings.</w:t>
      </w:r>
    </w:p>
    <w:p w14:paraId="40DBE23F" w14:textId="39BFEADC" w:rsidR="00D17F4A" w:rsidRPr="00F53504" w:rsidRDefault="00D17F4A" w:rsidP="00D17F4A">
      <w:pPr>
        <w:pStyle w:val="Answerboxdotpoints"/>
      </w:pPr>
      <w:r w:rsidRPr="00D17F4A">
        <w:t xml:space="preserve">In total, </w:t>
      </w:r>
      <w:r>
        <w:t>8</w:t>
      </w:r>
      <w:r w:rsidRPr="00D17F4A">
        <w:t xml:space="preserve">1 per cent of </w:t>
      </w:r>
      <w:r>
        <w:t>jobactive</w:t>
      </w:r>
      <w:r w:rsidRPr="00D17F4A">
        <w:t xml:space="preserve"> RATTUAJ participants were </w:t>
      </w:r>
      <w:proofErr w:type="gramStart"/>
      <w:r w:rsidRPr="00D17F4A">
        <w:t>either off income support or reporting</w:t>
      </w:r>
      <w:proofErr w:type="gramEnd"/>
      <w:r w:rsidRPr="00D17F4A">
        <w:t xml:space="preserve"> earnings by the second month after the start of their agreement. By the twelfth </w:t>
      </w:r>
      <w:proofErr w:type="gramStart"/>
      <w:r w:rsidRPr="00D17F4A">
        <w:t>month</w:t>
      </w:r>
      <w:proofErr w:type="gramEnd"/>
      <w:r w:rsidRPr="00D17F4A">
        <w:t xml:space="preserve"> this had fallen to </w:t>
      </w:r>
      <w:r>
        <w:t>72</w:t>
      </w:r>
      <w:r w:rsidRPr="00D17F4A">
        <w:t xml:space="preserve"> per cent. The remaining 2</w:t>
      </w:r>
      <w:r>
        <w:t>8</w:t>
      </w:r>
      <w:r w:rsidRPr="00D17F4A">
        <w:t xml:space="preserve"> per cent of relocated participants were on income support with no earnings.</w:t>
      </w:r>
    </w:p>
    <w:p w14:paraId="3DE113A3" w14:textId="72A96E7E" w:rsidR="00A275BB" w:rsidRDefault="00901F10" w:rsidP="00EA78CC">
      <w:pPr>
        <w:rPr>
          <w:rFonts w:eastAsiaTheme="majorEastAsia"/>
        </w:rPr>
      </w:pPr>
      <w:r w:rsidRPr="00F53504">
        <w:rPr>
          <w:rFonts w:eastAsiaTheme="majorEastAsia"/>
        </w:rPr>
        <w:t>T</w:t>
      </w:r>
      <w:r w:rsidR="00EA78CC" w:rsidRPr="00F53504">
        <w:rPr>
          <w:rFonts w:eastAsiaTheme="majorEastAsia"/>
        </w:rPr>
        <w:t xml:space="preserve">he aim of the RATTUAJ </w:t>
      </w:r>
      <w:r w:rsidR="004F68D9" w:rsidRPr="00F53504">
        <w:rPr>
          <w:rFonts w:eastAsiaTheme="majorEastAsia"/>
        </w:rPr>
        <w:t>program</w:t>
      </w:r>
      <w:r w:rsidR="002D0E6E">
        <w:rPr>
          <w:rFonts w:eastAsiaTheme="majorEastAsia"/>
        </w:rPr>
        <w:t>me</w:t>
      </w:r>
      <w:r w:rsidR="00EA78CC" w:rsidRPr="00F53504">
        <w:rPr>
          <w:rFonts w:eastAsiaTheme="majorEastAsia"/>
        </w:rPr>
        <w:t xml:space="preserve"> is to assist long-term unemployed job seekers to relocate for ongoing employment. A measure of the success of this </w:t>
      </w:r>
      <w:r w:rsidR="004F68D9" w:rsidRPr="00F53504">
        <w:rPr>
          <w:rFonts w:eastAsiaTheme="majorEastAsia"/>
        </w:rPr>
        <w:t>program</w:t>
      </w:r>
      <w:r w:rsidR="00EA78CC" w:rsidRPr="00F53504">
        <w:rPr>
          <w:rFonts w:eastAsiaTheme="majorEastAsia"/>
        </w:rPr>
        <w:t xml:space="preserve"> is the number of participants </w:t>
      </w:r>
      <w:r w:rsidR="006A4066" w:rsidRPr="00F53504">
        <w:rPr>
          <w:rFonts w:eastAsiaTheme="majorEastAsia"/>
        </w:rPr>
        <w:t xml:space="preserve">who </w:t>
      </w:r>
      <w:r w:rsidR="006A1E4F" w:rsidRPr="00F53504">
        <w:rPr>
          <w:rFonts w:eastAsiaTheme="majorEastAsia"/>
        </w:rPr>
        <w:t>leave</w:t>
      </w:r>
      <w:r w:rsidR="00EA78CC" w:rsidRPr="00F53504">
        <w:rPr>
          <w:rFonts w:eastAsiaTheme="majorEastAsia"/>
        </w:rPr>
        <w:t xml:space="preserve"> income support or</w:t>
      </w:r>
      <w:r w:rsidR="008868A8" w:rsidRPr="00F53504">
        <w:rPr>
          <w:rFonts w:eastAsiaTheme="majorEastAsia"/>
        </w:rPr>
        <w:t>, to a lesser extent,</w:t>
      </w:r>
      <w:r w:rsidR="00EA78CC" w:rsidRPr="00F53504">
        <w:rPr>
          <w:rFonts w:eastAsiaTheme="majorEastAsia"/>
        </w:rPr>
        <w:t xml:space="preserve"> </w:t>
      </w:r>
      <w:r w:rsidR="006A1E4F" w:rsidRPr="00F53504">
        <w:rPr>
          <w:rFonts w:eastAsiaTheme="majorEastAsia"/>
        </w:rPr>
        <w:t>reduce their reliance on</w:t>
      </w:r>
      <w:r w:rsidR="00EA78CC" w:rsidRPr="00F53504">
        <w:rPr>
          <w:rFonts w:eastAsiaTheme="majorEastAsia"/>
        </w:rPr>
        <w:t xml:space="preserve"> income support</w:t>
      </w:r>
      <w:r w:rsidR="006A1E4F" w:rsidRPr="00F53504">
        <w:rPr>
          <w:rFonts w:eastAsiaTheme="majorEastAsia"/>
        </w:rPr>
        <w:t xml:space="preserve">, </w:t>
      </w:r>
      <w:r w:rsidR="00EA78CC" w:rsidRPr="00F53504">
        <w:rPr>
          <w:rFonts w:eastAsiaTheme="majorEastAsia"/>
        </w:rPr>
        <w:t>report</w:t>
      </w:r>
      <w:r w:rsidR="006A1E4F" w:rsidRPr="00F53504">
        <w:rPr>
          <w:rFonts w:eastAsiaTheme="majorEastAsia"/>
        </w:rPr>
        <w:t>ing</w:t>
      </w:r>
      <w:r w:rsidR="00EA78CC" w:rsidRPr="00F53504">
        <w:rPr>
          <w:rFonts w:eastAsiaTheme="majorEastAsia"/>
        </w:rPr>
        <w:t xml:space="preserve"> additional earnings to the Depar</w:t>
      </w:r>
      <w:r w:rsidR="001E07A7" w:rsidRPr="00F53504">
        <w:rPr>
          <w:rFonts w:eastAsiaTheme="majorEastAsia"/>
        </w:rPr>
        <w:t>tment of Human Services (DHS).</w:t>
      </w:r>
    </w:p>
    <w:p w14:paraId="6900D893" w14:textId="69E27EF5" w:rsidR="00287975" w:rsidRPr="00F53504" w:rsidRDefault="00287975" w:rsidP="00287975">
      <w:pPr>
        <w:pStyle w:val="Heading3"/>
      </w:pPr>
      <w:r>
        <w:t>Job Services Australia</w:t>
      </w:r>
    </w:p>
    <w:p w14:paraId="7EBB2116" w14:textId="3F8551F7" w:rsidR="00A275BB" w:rsidRPr="00F53504" w:rsidRDefault="00A275BB" w:rsidP="00EA78CC">
      <w:pPr>
        <w:rPr>
          <w:rFonts w:eastAsiaTheme="majorEastAsia"/>
        </w:rPr>
      </w:pPr>
      <w:r w:rsidRPr="00F53504">
        <w:rPr>
          <w:rFonts w:eastAsiaTheme="majorEastAsia"/>
        </w:rPr>
        <w:t xml:space="preserve">In order to examine the outcomes for participants over time, a cohort </w:t>
      </w:r>
      <w:proofErr w:type="gramStart"/>
      <w:r w:rsidRPr="00F53504">
        <w:rPr>
          <w:rFonts w:eastAsiaTheme="majorEastAsia"/>
        </w:rPr>
        <w:t>was identified</w:t>
      </w:r>
      <w:proofErr w:type="gramEnd"/>
      <w:r w:rsidRPr="00F53504">
        <w:rPr>
          <w:rFonts w:eastAsiaTheme="majorEastAsia"/>
        </w:rPr>
        <w:t xml:space="preserve"> comprising 321 RATTUAJ participants with approved agreements, a confirmed employment placement (‘relocated’), and </w:t>
      </w:r>
      <w:r w:rsidR="007F69CE">
        <w:rPr>
          <w:rFonts w:eastAsiaTheme="majorEastAsia"/>
        </w:rPr>
        <w:t xml:space="preserve">for whom </w:t>
      </w:r>
      <w:r w:rsidRPr="00F53504">
        <w:rPr>
          <w:rFonts w:eastAsiaTheme="majorEastAsia"/>
        </w:rPr>
        <w:t>sufficient time</w:t>
      </w:r>
      <w:r w:rsidR="00B525EF">
        <w:rPr>
          <w:rFonts w:eastAsiaTheme="majorEastAsia"/>
        </w:rPr>
        <w:t xml:space="preserve"> had elapsed</w:t>
      </w:r>
      <w:r w:rsidRPr="00F53504">
        <w:rPr>
          <w:rFonts w:eastAsiaTheme="majorEastAsia"/>
        </w:rPr>
        <w:t xml:space="preserve"> </w:t>
      </w:r>
      <w:r w:rsidR="001472E1">
        <w:rPr>
          <w:rFonts w:eastAsiaTheme="majorEastAsia"/>
        </w:rPr>
        <w:t xml:space="preserve">after relocation </w:t>
      </w:r>
      <w:r w:rsidRPr="00F53504">
        <w:rPr>
          <w:rFonts w:eastAsiaTheme="majorEastAsia"/>
        </w:rPr>
        <w:t>that they could be tracked each month for 12</w:t>
      </w:r>
      <w:r w:rsidR="00D94CD2">
        <w:rPr>
          <w:rFonts w:eastAsiaTheme="majorEastAsia"/>
        </w:rPr>
        <w:t> </w:t>
      </w:r>
      <w:r w:rsidRPr="00F53504">
        <w:rPr>
          <w:rFonts w:eastAsiaTheme="majorEastAsia"/>
        </w:rPr>
        <w:t>months from the start date of their agreement.</w:t>
      </w:r>
      <w:r w:rsidR="00661498">
        <w:rPr>
          <w:rStyle w:val="FootnoteReference"/>
          <w:rFonts w:eastAsiaTheme="majorEastAsia"/>
        </w:rPr>
        <w:footnoteReference w:id="17"/>
      </w:r>
      <w:r w:rsidRPr="00F53504">
        <w:t xml:space="preserve"> </w:t>
      </w:r>
      <w:r w:rsidRPr="00F53504">
        <w:rPr>
          <w:rFonts w:eastAsiaTheme="majorEastAsia"/>
        </w:rPr>
        <w:t xml:space="preserve">By the second month after the start of their agreement, 91 per cent of the relocated RATTUAJ participants </w:t>
      </w:r>
      <w:proofErr w:type="gramStart"/>
      <w:r w:rsidRPr="00F53504">
        <w:rPr>
          <w:rFonts w:eastAsiaTheme="majorEastAsia"/>
        </w:rPr>
        <w:t>had either</w:t>
      </w:r>
      <w:proofErr w:type="gramEnd"/>
      <w:r w:rsidRPr="00F53504">
        <w:rPr>
          <w:rFonts w:eastAsiaTheme="majorEastAsia"/>
        </w:rPr>
        <w:t xml:space="preserve"> </w:t>
      </w:r>
      <w:r w:rsidR="004F2EF3" w:rsidRPr="00F53504">
        <w:rPr>
          <w:rFonts w:eastAsiaTheme="majorEastAsia"/>
        </w:rPr>
        <w:t>left</w:t>
      </w:r>
      <w:r w:rsidRPr="00F53504">
        <w:rPr>
          <w:rFonts w:eastAsiaTheme="majorEastAsia"/>
        </w:rPr>
        <w:t xml:space="preserve"> income support all together, or were still on income support but report</w:t>
      </w:r>
      <w:r w:rsidR="004F2EF3" w:rsidRPr="00F53504">
        <w:rPr>
          <w:rFonts w:eastAsiaTheme="majorEastAsia"/>
        </w:rPr>
        <w:t>ing</w:t>
      </w:r>
      <w:r w:rsidRPr="00F53504">
        <w:rPr>
          <w:rFonts w:eastAsiaTheme="majorEastAsia"/>
        </w:rPr>
        <w:t xml:space="preserve"> earnings to DHS. This is very similar to the proportion of job seekers who </w:t>
      </w:r>
      <w:proofErr w:type="gramStart"/>
      <w:r w:rsidRPr="00F53504">
        <w:rPr>
          <w:rFonts w:eastAsiaTheme="majorEastAsia"/>
        </w:rPr>
        <w:t>were placed</w:t>
      </w:r>
      <w:proofErr w:type="gramEnd"/>
      <w:r w:rsidRPr="00F53504">
        <w:rPr>
          <w:rFonts w:eastAsiaTheme="majorEastAsia"/>
        </w:rPr>
        <w:t xml:space="preserve"> into ongoing employment but were not part of RATTUAJ at 88 per cent. The pattern over the 12 months of tracking for both groups mirrored each other and differed by only a few percentage points. This pattern showed that the combined proportion of job seekers off income support or on income support with earnings plateaued from 6 months at around 70 to 75 per cent for relocated job seekers and 67 to 69 per cent for non-relocated job seekers</w:t>
      </w:r>
    </w:p>
    <w:p w14:paraId="6BF15721" w14:textId="42EAEA0C" w:rsidR="00EA78CC" w:rsidRPr="00F53504" w:rsidRDefault="00EA51F3" w:rsidP="00EA78CC">
      <w:pPr>
        <w:rPr>
          <w:rFonts w:eastAsiaTheme="majorEastAsia"/>
        </w:rPr>
      </w:pPr>
      <w:r w:rsidRPr="00F53504">
        <w:rPr>
          <w:rFonts w:eastAsiaTheme="majorEastAsia"/>
        </w:rPr>
        <w:fldChar w:fldCharType="begin"/>
      </w:r>
      <w:r w:rsidRPr="00F53504">
        <w:rPr>
          <w:rFonts w:eastAsiaTheme="majorEastAsia"/>
        </w:rPr>
        <w:instrText xml:space="preserve"> REF _Ref487722238 </w:instrText>
      </w:r>
      <w:r w:rsidRPr="00F53504">
        <w:rPr>
          <w:rFonts w:eastAsiaTheme="majorEastAsia"/>
        </w:rPr>
        <w:fldChar w:fldCharType="separate"/>
      </w:r>
      <w:r w:rsidR="00AA36FE" w:rsidRPr="00F53504">
        <w:t xml:space="preserve">Figure </w:t>
      </w:r>
      <w:r w:rsidR="00AA36FE">
        <w:rPr>
          <w:noProof/>
        </w:rPr>
        <w:t>3</w:t>
      </w:r>
      <w:r w:rsidR="00AA36FE">
        <w:t>.</w:t>
      </w:r>
      <w:r w:rsidR="00AA36FE">
        <w:rPr>
          <w:noProof/>
        </w:rPr>
        <w:t>1</w:t>
      </w:r>
      <w:r w:rsidRPr="00F53504">
        <w:rPr>
          <w:rFonts w:eastAsiaTheme="majorEastAsia"/>
        </w:rPr>
        <w:fldChar w:fldCharType="end"/>
      </w:r>
      <w:r w:rsidRPr="00F53504">
        <w:rPr>
          <w:rFonts w:eastAsiaTheme="majorEastAsia"/>
        </w:rPr>
        <w:t xml:space="preserve"> </w:t>
      </w:r>
      <w:r w:rsidR="00EA78CC" w:rsidRPr="00F53504">
        <w:rPr>
          <w:rFonts w:eastAsiaTheme="majorEastAsia"/>
        </w:rPr>
        <w:t xml:space="preserve">shows the proportion of this cohort that was either off income support or on income support with reported earnings each month </w:t>
      </w:r>
      <w:r w:rsidR="001167A1" w:rsidRPr="00F53504">
        <w:rPr>
          <w:rFonts w:eastAsiaTheme="majorEastAsia"/>
        </w:rPr>
        <w:t xml:space="preserve">after </w:t>
      </w:r>
      <w:r w:rsidR="00EA78CC" w:rsidRPr="00F53504">
        <w:rPr>
          <w:rFonts w:eastAsiaTheme="majorEastAsia"/>
        </w:rPr>
        <w:t xml:space="preserve">the start of </w:t>
      </w:r>
      <w:r w:rsidR="001167A1" w:rsidRPr="00F53504">
        <w:rPr>
          <w:rFonts w:eastAsiaTheme="majorEastAsia"/>
        </w:rPr>
        <w:t xml:space="preserve">the </w:t>
      </w:r>
      <w:r w:rsidR="00EA78CC" w:rsidRPr="00F53504">
        <w:rPr>
          <w:rFonts w:eastAsiaTheme="majorEastAsia"/>
        </w:rPr>
        <w:t xml:space="preserve">agreement. </w:t>
      </w:r>
      <w:r w:rsidR="003E4A14" w:rsidRPr="00F53504">
        <w:rPr>
          <w:rFonts w:eastAsiaTheme="majorEastAsia"/>
        </w:rPr>
        <w:t xml:space="preserve">Alongside is a </w:t>
      </w:r>
      <w:r w:rsidR="003E4A14" w:rsidRPr="00F53504">
        <w:rPr>
          <w:rFonts w:eastAsiaTheme="majorEastAsia"/>
        </w:rPr>
        <w:lastRenderedPageBreak/>
        <w:t xml:space="preserve">comparable group of job seekers </w:t>
      </w:r>
      <w:r w:rsidR="00D479B4">
        <w:rPr>
          <w:rFonts w:eastAsiaTheme="majorEastAsia"/>
        </w:rPr>
        <w:t>who</w:t>
      </w:r>
      <w:r w:rsidR="00D479B4" w:rsidRPr="00F53504">
        <w:rPr>
          <w:rFonts w:eastAsiaTheme="majorEastAsia"/>
        </w:rPr>
        <w:t xml:space="preserve"> </w:t>
      </w:r>
      <w:proofErr w:type="gramStart"/>
      <w:r w:rsidR="003E4A14" w:rsidRPr="00F53504">
        <w:rPr>
          <w:rFonts w:eastAsiaTheme="majorEastAsia"/>
        </w:rPr>
        <w:t>were placed</w:t>
      </w:r>
      <w:proofErr w:type="gramEnd"/>
      <w:r w:rsidR="003E4A14" w:rsidRPr="00F53504">
        <w:rPr>
          <w:rFonts w:eastAsiaTheme="majorEastAsia"/>
        </w:rPr>
        <w:t xml:space="preserve"> in</w:t>
      </w:r>
      <w:r w:rsidR="00407CAA">
        <w:rPr>
          <w:rFonts w:eastAsiaTheme="majorEastAsia"/>
        </w:rPr>
        <w:t>to ongoing employment between 1 </w:t>
      </w:r>
      <w:r w:rsidR="003E4A14" w:rsidRPr="00F53504">
        <w:rPr>
          <w:rFonts w:eastAsiaTheme="majorEastAsia"/>
        </w:rPr>
        <w:t>January and 31</w:t>
      </w:r>
      <w:r w:rsidR="00407CAA">
        <w:rPr>
          <w:rFonts w:eastAsiaTheme="majorEastAsia"/>
        </w:rPr>
        <w:t> </w:t>
      </w:r>
      <w:r w:rsidR="003E4A14" w:rsidRPr="00F53504">
        <w:rPr>
          <w:rFonts w:eastAsiaTheme="majorEastAsia"/>
        </w:rPr>
        <w:t>January</w:t>
      </w:r>
      <w:r w:rsidR="00407CAA">
        <w:rPr>
          <w:rFonts w:eastAsiaTheme="majorEastAsia"/>
        </w:rPr>
        <w:t> </w:t>
      </w:r>
      <w:r w:rsidR="003E4A14" w:rsidRPr="00F53504">
        <w:rPr>
          <w:rFonts w:eastAsiaTheme="majorEastAsia"/>
        </w:rPr>
        <w:t xml:space="preserve">2015, but were not part of </w:t>
      </w:r>
      <w:r w:rsidR="0041378D" w:rsidRPr="00F53504">
        <w:rPr>
          <w:rFonts w:eastAsiaTheme="majorEastAsia"/>
        </w:rPr>
        <w:t>RATTUAJ</w:t>
      </w:r>
      <w:r w:rsidR="003E4A14" w:rsidRPr="00F53504">
        <w:rPr>
          <w:rFonts w:eastAsiaTheme="majorEastAsia"/>
        </w:rPr>
        <w:t>.</w:t>
      </w:r>
    </w:p>
    <w:p w14:paraId="24A87CDC" w14:textId="16A08710" w:rsidR="009D58E3" w:rsidRPr="00F53504" w:rsidRDefault="009D58E3" w:rsidP="009D58E3">
      <w:pPr>
        <w:pStyle w:val="Caption"/>
      </w:pPr>
      <w:bookmarkStart w:id="76" w:name="_Ref487722238"/>
      <w:bookmarkStart w:id="77" w:name="_Ref454355867"/>
      <w:r w:rsidRPr="00F53504">
        <w:t xml:space="preserve">Figure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B31485">
        <w:t>.</w:t>
      </w:r>
      <w:r w:rsidR="00AA36FE">
        <w:rPr>
          <w:noProof/>
        </w:rPr>
        <w:fldChar w:fldCharType="begin"/>
      </w:r>
      <w:r w:rsidR="00AA36FE">
        <w:rPr>
          <w:noProof/>
        </w:rPr>
        <w:instrText xml:space="preserve"> SEQ Figure \* ARABIC \s 1 </w:instrText>
      </w:r>
      <w:r w:rsidR="00AA36FE">
        <w:rPr>
          <w:noProof/>
        </w:rPr>
        <w:fldChar w:fldCharType="separate"/>
      </w:r>
      <w:r w:rsidR="00AA36FE">
        <w:rPr>
          <w:noProof/>
        </w:rPr>
        <w:t>1</w:t>
      </w:r>
      <w:r w:rsidR="00AA36FE">
        <w:rPr>
          <w:noProof/>
        </w:rPr>
        <w:fldChar w:fldCharType="end"/>
      </w:r>
      <w:bookmarkEnd w:id="76"/>
      <w:r w:rsidRPr="00F53504">
        <w:t>: Monthly income support status of relocated participants and non-relocated job seekers</w:t>
      </w:r>
      <w:r w:rsidR="003A2F0C">
        <w:t xml:space="preserve"> - JSA</w:t>
      </w:r>
    </w:p>
    <w:bookmarkEnd w:id="77"/>
    <w:p w14:paraId="6ECABEBD" w14:textId="77777777" w:rsidR="00EA78CC" w:rsidRPr="00F53504" w:rsidRDefault="003E4A14" w:rsidP="00441213">
      <w:pPr>
        <w:spacing w:after="0"/>
      </w:pPr>
      <w:r w:rsidRPr="00F53504">
        <w:rPr>
          <w:noProof/>
          <w:lang w:eastAsia="en-AU"/>
        </w:rPr>
        <w:drawing>
          <wp:inline distT="0" distB="0" distL="0" distR="0" wp14:anchorId="1EAC9956" wp14:editId="5E833023">
            <wp:extent cx="5886450" cy="2346721"/>
            <wp:effectExtent l="0" t="0" r="0" b="0"/>
            <wp:docPr id="44" name="Picture 44" descr="Two line graphs depicting data in figure caption. Description of line graphs in text following notes and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6450" cy="2346721"/>
                    </a:xfrm>
                    <a:prstGeom prst="rect">
                      <a:avLst/>
                    </a:prstGeom>
                    <a:noFill/>
                  </pic:spPr>
                </pic:pic>
              </a:graphicData>
            </a:graphic>
          </wp:inline>
        </w:drawing>
      </w:r>
    </w:p>
    <w:p w14:paraId="7304490D" w14:textId="77777777" w:rsidR="00714042" w:rsidRPr="00F53504" w:rsidRDefault="00EA78CC" w:rsidP="00441213">
      <w:pPr>
        <w:pStyle w:val="Source"/>
      </w:pPr>
      <w:r w:rsidRPr="00F53504">
        <w:rPr>
          <w:b/>
        </w:rPr>
        <w:t>Note</w:t>
      </w:r>
      <w:r w:rsidR="00714042" w:rsidRPr="00F53504">
        <w:rPr>
          <w:b/>
        </w:rPr>
        <w:t>s</w:t>
      </w:r>
      <w:r w:rsidRPr="00F53504">
        <w:rPr>
          <w:b/>
        </w:rPr>
        <w:t>:</w:t>
      </w:r>
      <w:r w:rsidRPr="00F53504">
        <w:t xml:space="preserve"> </w:t>
      </w:r>
    </w:p>
    <w:p w14:paraId="06736340" w14:textId="3723CB3A" w:rsidR="00EA78CC" w:rsidRPr="00F53504" w:rsidRDefault="003E4A14" w:rsidP="003E4A14">
      <w:pPr>
        <w:pStyle w:val="Source"/>
        <w:tabs>
          <w:tab w:val="left" w:pos="284"/>
        </w:tabs>
      </w:pPr>
      <w:r w:rsidRPr="00F53504">
        <w:t>1.</w:t>
      </w:r>
      <w:r w:rsidR="00D61F3A" w:rsidRPr="00F53504">
        <w:tab/>
        <w:t xml:space="preserve">“Relocated RATTUAJ participants” </w:t>
      </w:r>
      <w:r w:rsidR="00B1311A">
        <w:t>includes</w:t>
      </w:r>
      <w:r w:rsidR="00D61F3A" w:rsidRPr="00F53504">
        <w:t xml:space="preserve"> </w:t>
      </w:r>
      <w:r w:rsidR="00EA78CC" w:rsidRPr="00F53504">
        <w:t xml:space="preserve">321 participants in </w:t>
      </w:r>
      <w:r w:rsidR="0041378D" w:rsidRPr="00F53504">
        <w:t>RATTUAJ</w:t>
      </w:r>
      <w:r w:rsidR="00EA78CC" w:rsidRPr="00F53504">
        <w:t xml:space="preserve"> with approved agreements, a confirmed employment placement and</w:t>
      </w:r>
      <w:r w:rsidR="00D61F3A" w:rsidRPr="00F53504">
        <w:t xml:space="preserve"> for whom enough time had lapsed so they could</w:t>
      </w:r>
      <w:r w:rsidR="00EA78CC" w:rsidRPr="00F53504">
        <w:t xml:space="preserve"> be tracked for 12 months.</w:t>
      </w:r>
    </w:p>
    <w:p w14:paraId="0F111362" w14:textId="77777777" w:rsidR="00195813" w:rsidRDefault="003E4A14" w:rsidP="003E4A14">
      <w:pPr>
        <w:pStyle w:val="Source"/>
        <w:tabs>
          <w:tab w:val="left" w:pos="284"/>
        </w:tabs>
      </w:pPr>
      <w:r w:rsidRPr="00F53504">
        <w:t>2.</w:t>
      </w:r>
      <w:r w:rsidR="00D61F3A" w:rsidRPr="00F53504">
        <w:tab/>
        <w:t xml:space="preserve">“Non-relocated job seekers placed in ongoing employment” </w:t>
      </w:r>
      <w:r w:rsidR="00FC2410" w:rsidRPr="00F53504">
        <w:t>are 6247</w:t>
      </w:r>
      <w:r w:rsidR="00D61F3A" w:rsidRPr="00F53504">
        <w:t xml:space="preserve"> job seekers who would be eligible for </w:t>
      </w:r>
      <w:r w:rsidR="0041378D" w:rsidRPr="00F53504">
        <w:t>RATTUAJ</w:t>
      </w:r>
      <w:r w:rsidR="00BC4915">
        <w:t xml:space="preserve"> (as at 31 January </w:t>
      </w:r>
      <w:r w:rsidR="00D61F3A" w:rsidRPr="00F53504">
        <w:t>2015) placed into ongoing employment between 1 January and 31 January 2015.</w:t>
      </w:r>
    </w:p>
    <w:p w14:paraId="13B3348B" w14:textId="07ACE670" w:rsidR="00D61F3A" w:rsidRPr="00F53504" w:rsidRDefault="00D84567" w:rsidP="003E4A14">
      <w:pPr>
        <w:pStyle w:val="Source"/>
        <w:tabs>
          <w:tab w:val="left" w:pos="284"/>
        </w:tabs>
      </w:pPr>
      <w:r w:rsidRPr="00F53504">
        <w:t>3.</w:t>
      </w:r>
      <w:r w:rsidRPr="00F53504">
        <w:tab/>
        <w:t xml:space="preserve">The “Total” value includes all participants who </w:t>
      </w:r>
      <w:proofErr w:type="gramStart"/>
      <w:r w:rsidRPr="00F53504">
        <w:t>were either</w:t>
      </w:r>
      <w:proofErr w:type="gramEnd"/>
      <w:r w:rsidRPr="00F53504">
        <w:t xml:space="preserve"> off Income Support or had earnings.</w:t>
      </w:r>
      <w:r w:rsidR="00D04EA4">
        <w:t xml:space="preserve"> </w:t>
      </w:r>
      <w:r w:rsidRPr="00F53504">
        <w:t>Subtracting “Total” from 100 provides the percentage of participants who remained on Income Support with no earnings.</w:t>
      </w:r>
    </w:p>
    <w:p w14:paraId="5CF36501" w14:textId="2D21CB9B" w:rsidR="0046386E" w:rsidRPr="00F53504" w:rsidRDefault="006A4F55" w:rsidP="0046386E">
      <w:pPr>
        <w:rPr>
          <w:rFonts w:eastAsiaTheme="majorEastAsia"/>
        </w:rPr>
      </w:pPr>
      <w:r w:rsidRPr="00F53504">
        <w:rPr>
          <w:rFonts w:eastAsiaTheme="majorEastAsia"/>
        </w:rPr>
        <w:t>D</w:t>
      </w:r>
      <w:r w:rsidR="0046386E" w:rsidRPr="00F53504">
        <w:rPr>
          <w:rFonts w:eastAsiaTheme="majorEastAsia"/>
        </w:rPr>
        <w:t xml:space="preserve">ifferences between the two groups of job seekers became evident when the patterns for the off income support and on income support with earnings </w:t>
      </w:r>
      <w:proofErr w:type="gramStart"/>
      <w:r w:rsidR="0046386E" w:rsidRPr="00F53504">
        <w:rPr>
          <w:rFonts w:eastAsiaTheme="majorEastAsia"/>
        </w:rPr>
        <w:t>were compared</w:t>
      </w:r>
      <w:proofErr w:type="gramEnd"/>
      <w:r w:rsidR="0046386E" w:rsidRPr="00F53504">
        <w:rPr>
          <w:rFonts w:eastAsiaTheme="majorEastAsia"/>
        </w:rPr>
        <w:t xml:space="preserve"> </w:t>
      </w:r>
      <w:r w:rsidR="00727EE3">
        <w:rPr>
          <w:rFonts w:eastAsiaTheme="majorEastAsia"/>
        </w:rPr>
        <w:t xml:space="preserve">individually. Throughout the </w:t>
      </w:r>
      <w:proofErr w:type="gramStart"/>
      <w:r w:rsidR="00727EE3">
        <w:rPr>
          <w:rFonts w:eastAsiaTheme="majorEastAsia"/>
        </w:rPr>
        <w:t>12 </w:t>
      </w:r>
      <w:r w:rsidR="0046386E" w:rsidRPr="00F53504">
        <w:rPr>
          <w:rFonts w:eastAsiaTheme="majorEastAsia"/>
        </w:rPr>
        <w:t>month</w:t>
      </w:r>
      <w:proofErr w:type="gramEnd"/>
      <w:r w:rsidR="0046386E" w:rsidRPr="00F53504">
        <w:rPr>
          <w:rFonts w:eastAsiaTheme="majorEastAsia"/>
        </w:rPr>
        <w:t xml:space="preserve"> period the majority of relocated RATTUAJ participants were off</w:t>
      </w:r>
      <w:r w:rsidR="00727EE3">
        <w:rPr>
          <w:rFonts w:eastAsiaTheme="majorEastAsia"/>
        </w:rPr>
        <w:t xml:space="preserve"> income support, rising from 54 </w:t>
      </w:r>
      <w:r w:rsidR="0046386E" w:rsidRPr="00F53504">
        <w:rPr>
          <w:rFonts w:eastAsiaTheme="majorEastAsia"/>
        </w:rPr>
        <w:t>per</w:t>
      </w:r>
      <w:r w:rsidR="00727EE3">
        <w:rPr>
          <w:rFonts w:eastAsiaTheme="majorEastAsia"/>
        </w:rPr>
        <w:t> </w:t>
      </w:r>
      <w:r w:rsidR="0046386E" w:rsidRPr="00F53504">
        <w:rPr>
          <w:rFonts w:eastAsiaTheme="majorEastAsia"/>
        </w:rPr>
        <w:t>cent in the second month to 62</w:t>
      </w:r>
      <w:r w:rsidR="00727EE3">
        <w:rPr>
          <w:rFonts w:eastAsiaTheme="majorEastAsia"/>
        </w:rPr>
        <w:t> </w:t>
      </w:r>
      <w:r w:rsidR="0046386E" w:rsidRPr="00F53504">
        <w:rPr>
          <w:rFonts w:eastAsiaTheme="majorEastAsia"/>
        </w:rPr>
        <w:t>per</w:t>
      </w:r>
      <w:r w:rsidR="00727EE3">
        <w:rPr>
          <w:rFonts w:eastAsiaTheme="majorEastAsia"/>
        </w:rPr>
        <w:t> </w:t>
      </w:r>
      <w:r w:rsidR="0046386E" w:rsidRPr="00F53504">
        <w:rPr>
          <w:rFonts w:eastAsiaTheme="majorEastAsia"/>
        </w:rPr>
        <w:t>cent in the sixth month, and remaining fairly stable at around 60</w:t>
      </w:r>
      <w:r w:rsidR="00727EE3">
        <w:rPr>
          <w:rFonts w:eastAsiaTheme="majorEastAsia"/>
        </w:rPr>
        <w:t> </w:t>
      </w:r>
      <w:r w:rsidR="0046386E" w:rsidRPr="00F53504">
        <w:rPr>
          <w:rFonts w:eastAsiaTheme="majorEastAsia"/>
        </w:rPr>
        <w:t>per</w:t>
      </w:r>
      <w:r w:rsidR="00727EE3">
        <w:rPr>
          <w:rFonts w:eastAsiaTheme="majorEastAsia"/>
        </w:rPr>
        <w:t> </w:t>
      </w:r>
      <w:r w:rsidR="0046386E" w:rsidRPr="00F53504">
        <w:rPr>
          <w:rFonts w:eastAsiaTheme="majorEastAsia"/>
        </w:rPr>
        <w:t xml:space="preserve">cent thereafter. However, two months after non-relocated job seekers </w:t>
      </w:r>
      <w:proofErr w:type="gramStart"/>
      <w:r w:rsidR="0046386E" w:rsidRPr="00F53504">
        <w:rPr>
          <w:rFonts w:eastAsiaTheme="majorEastAsia"/>
        </w:rPr>
        <w:t>were placed</w:t>
      </w:r>
      <w:proofErr w:type="gramEnd"/>
      <w:r w:rsidR="0046386E" w:rsidRPr="00F53504">
        <w:rPr>
          <w:rFonts w:eastAsiaTheme="majorEastAsia"/>
        </w:rPr>
        <w:t xml:space="preserve"> in a job, 81</w:t>
      </w:r>
      <w:r w:rsidR="00727EE3">
        <w:rPr>
          <w:rFonts w:eastAsiaTheme="majorEastAsia"/>
        </w:rPr>
        <w:t> </w:t>
      </w:r>
      <w:r w:rsidR="0046386E" w:rsidRPr="00F53504">
        <w:rPr>
          <w:rFonts w:eastAsiaTheme="majorEastAsia"/>
        </w:rPr>
        <w:t>per</w:t>
      </w:r>
      <w:r w:rsidR="00727EE3">
        <w:rPr>
          <w:rFonts w:eastAsiaTheme="majorEastAsia"/>
        </w:rPr>
        <w:t> </w:t>
      </w:r>
      <w:r w:rsidR="0046386E" w:rsidRPr="00F53504">
        <w:rPr>
          <w:rFonts w:eastAsiaTheme="majorEastAsia"/>
        </w:rPr>
        <w:t xml:space="preserve">cent were still on income support but were reporting some earnings. This proportion fell dramatically over the 12 months </w:t>
      </w:r>
      <w:r w:rsidR="000812C0" w:rsidRPr="00F53504">
        <w:rPr>
          <w:rFonts w:eastAsiaTheme="majorEastAsia"/>
        </w:rPr>
        <w:t>to 30</w:t>
      </w:r>
      <w:r w:rsidR="00727EE3">
        <w:rPr>
          <w:rFonts w:eastAsiaTheme="majorEastAsia"/>
        </w:rPr>
        <w:t> </w:t>
      </w:r>
      <w:r w:rsidR="000812C0" w:rsidRPr="00F53504">
        <w:rPr>
          <w:rFonts w:eastAsiaTheme="majorEastAsia"/>
        </w:rPr>
        <w:t>per</w:t>
      </w:r>
      <w:r w:rsidR="00727EE3">
        <w:rPr>
          <w:rFonts w:eastAsiaTheme="majorEastAsia"/>
        </w:rPr>
        <w:t> </w:t>
      </w:r>
      <w:r w:rsidR="000812C0" w:rsidRPr="00F53504">
        <w:rPr>
          <w:rFonts w:eastAsiaTheme="majorEastAsia"/>
        </w:rPr>
        <w:t xml:space="preserve">cent. </w:t>
      </w:r>
      <w:proofErr w:type="gramStart"/>
      <w:r w:rsidR="000812C0" w:rsidRPr="00F53504">
        <w:rPr>
          <w:rFonts w:eastAsiaTheme="majorEastAsia"/>
        </w:rPr>
        <w:t>Conversely</w:t>
      </w:r>
      <w:proofErr w:type="gramEnd"/>
      <w:r w:rsidR="000812C0" w:rsidRPr="00F53504">
        <w:rPr>
          <w:rFonts w:eastAsiaTheme="majorEastAsia"/>
        </w:rPr>
        <w:t xml:space="preserve"> the proportion of non-relocated job seekers off income support all together rose throughout the 12 months from 7</w:t>
      </w:r>
      <w:r w:rsidR="00727EE3">
        <w:rPr>
          <w:rFonts w:eastAsiaTheme="majorEastAsia"/>
        </w:rPr>
        <w:t> </w:t>
      </w:r>
      <w:r w:rsidR="000812C0" w:rsidRPr="00F53504">
        <w:rPr>
          <w:rFonts w:eastAsiaTheme="majorEastAsia"/>
        </w:rPr>
        <w:t>per</w:t>
      </w:r>
      <w:r w:rsidR="00727EE3">
        <w:rPr>
          <w:rFonts w:eastAsiaTheme="majorEastAsia"/>
        </w:rPr>
        <w:t> </w:t>
      </w:r>
      <w:r w:rsidR="000812C0" w:rsidRPr="00F53504">
        <w:rPr>
          <w:rFonts w:eastAsiaTheme="majorEastAsia"/>
        </w:rPr>
        <w:t xml:space="preserve">cent for the first month to </w:t>
      </w:r>
      <w:r w:rsidR="00DC4B15" w:rsidRPr="00F53504">
        <w:rPr>
          <w:rFonts w:eastAsiaTheme="majorEastAsia"/>
        </w:rPr>
        <w:t>3</w:t>
      </w:r>
      <w:r w:rsidR="00DC4B15">
        <w:rPr>
          <w:rFonts w:eastAsiaTheme="majorEastAsia"/>
        </w:rPr>
        <w:t>6 </w:t>
      </w:r>
      <w:r w:rsidR="005D5993" w:rsidRPr="00F53504">
        <w:rPr>
          <w:rFonts w:eastAsiaTheme="majorEastAsia"/>
        </w:rPr>
        <w:t>per</w:t>
      </w:r>
      <w:r w:rsidR="00727EE3">
        <w:rPr>
          <w:rFonts w:eastAsiaTheme="majorEastAsia"/>
        </w:rPr>
        <w:t> </w:t>
      </w:r>
      <w:r w:rsidR="005D5993" w:rsidRPr="00F53504">
        <w:rPr>
          <w:rFonts w:eastAsiaTheme="majorEastAsia"/>
        </w:rPr>
        <w:t>cent by the twelfth month, but never achieving a similar rate as that for relocated RATTUAJ participants off income support.</w:t>
      </w:r>
    </w:p>
    <w:p w14:paraId="0076AD29" w14:textId="45A88B59" w:rsidR="00130ED6" w:rsidRDefault="000812C0" w:rsidP="000812C0">
      <w:pPr>
        <w:rPr>
          <w:rFonts w:eastAsiaTheme="majorEastAsia"/>
        </w:rPr>
      </w:pPr>
      <w:r w:rsidRPr="00F53504">
        <w:rPr>
          <w:rFonts w:eastAsiaTheme="majorEastAsia"/>
        </w:rPr>
        <w:t>This difference in patterns reflects</w:t>
      </w:r>
      <w:r w:rsidR="00955299">
        <w:rPr>
          <w:rFonts w:eastAsiaTheme="majorEastAsia"/>
        </w:rPr>
        <w:t xml:space="preserve"> an expectation that employment will be ongoing and full-time following relocation</w:t>
      </w:r>
      <w:r w:rsidR="005D5993" w:rsidRPr="00F53504">
        <w:rPr>
          <w:rFonts w:eastAsiaTheme="majorEastAsia"/>
        </w:rPr>
        <w:t>. I</w:t>
      </w:r>
      <w:r w:rsidRPr="00F53504">
        <w:rPr>
          <w:rFonts w:eastAsiaTheme="majorEastAsia"/>
        </w:rPr>
        <w:t xml:space="preserve">ndividuals are unlikely to consider making the significant step of </w:t>
      </w:r>
      <w:r w:rsidR="006A4F55" w:rsidRPr="00F53504">
        <w:rPr>
          <w:rFonts w:eastAsiaTheme="majorEastAsia"/>
        </w:rPr>
        <w:t xml:space="preserve">moving </w:t>
      </w:r>
      <w:r w:rsidRPr="00F53504">
        <w:rPr>
          <w:rFonts w:eastAsiaTheme="majorEastAsia"/>
        </w:rPr>
        <w:t xml:space="preserve">to another location, </w:t>
      </w:r>
      <w:r w:rsidR="007F69CE">
        <w:rPr>
          <w:rFonts w:eastAsiaTheme="majorEastAsia"/>
        </w:rPr>
        <w:t xml:space="preserve">given </w:t>
      </w:r>
      <w:r w:rsidRPr="00F53504">
        <w:rPr>
          <w:rFonts w:eastAsiaTheme="majorEastAsia"/>
        </w:rPr>
        <w:t xml:space="preserve">the </w:t>
      </w:r>
      <w:r w:rsidR="00057509" w:rsidRPr="00F53504">
        <w:rPr>
          <w:rFonts w:eastAsiaTheme="majorEastAsia"/>
        </w:rPr>
        <w:t xml:space="preserve">personal </w:t>
      </w:r>
      <w:r w:rsidRPr="00F53504">
        <w:rPr>
          <w:rFonts w:eastAsiaTheme="majorEastAsia"/>
        </w:rPr>
        <w:t>and financial stress involve</w:t>
      </w:r>
      <w:r w:rsidR="00057509" w:rsidRPr="00F53504">
        <w:rPr>
          <w:rFonts w:eastAsiaTheme="majorEastAsia"/>
        </w:rPr>
        <w:t>d</w:t>
      </w:r>
      <w:r w:rsidRPr="00F53504">
        <w:rPr>
          <w:rFonts w:eastAsiaTheme="majorEastAsia"/>
        </w:rPr>
        <w:t xml:space="preserve"> and the challenges of leaving established social </w:t>
      </w:r>
      <w:r w:rsidR="00AD6C6B" w:rsidRPr="00F53504">
        <w:rPr>
          <w:rFonts w:eastAsiaTheme="majorEastAsia"/>
        </w:rPr>
        <w:t xml:space="preserve">support </w:t>
      </w:r>
      <w:r w:rsidRPr="00F53504">
        <w:rPr>
          <w:rFonts w:eastAsiaTheme="majorEastAsia"/>
        </w:rPr>
        <w:t xml:space="preserve">networks, without being relatively confident that their future job will result in enough income and </w:t>
      </w:r>
      <w:r w:rsidR="00057509" w:rsidRPr="00F53504">
        <w:rPr>
          <w:rFonts w:eastAsiaTheme="majorEastAsia"/>
        </w:rPr>
        <w:t>will be</w:t>
      </w:r>
      <w:r w:rsidRPr="00F53504">
        <w:rPr>
          <w:rFonts w:eastAsiaTheme="majorEastAsia"/>
        </w:rPr>
        <w:t xml:space="preserve"> relatively secure. </w:t>
      </w:r>
      <w:proofErr w:type="gramStart"/>
      <w:r w:rsidRPr="00F53504">
        <w:rPr>
          <w:rFonts w:eastAsiaTheme="majorEastAsia"/>
        </w:rPr>
        <w:t>Hence</w:t>
      </w:r>
      <w:proofErr w:type="gramEnd"/>
      <w:r w:rsidRPr="00F53504">
        <w:rPr>
          <w:rFonts w:eastAsiaTheme="majorEastAsia"/>
        </w:rPr>
        <w:t xml:space="preserve"> relocated RATTUAJ job seekers are more likely to have </w:t>
      </w:r>
      <w:r w:rsidR="005D5993" w:rsidRPr="00F53504">
        <w:rPr>
          <w:rFonts w:eastAsiaTheme="majorEastAsia"/>
        </w:rPr>
        <w:t>earnings</w:t>
      </w:r>
      <w:r w:rsidRPr="00F53504">
        <w:rPr>
          <w:rFonts w:eastAsiaTheme="majorEastAsia"/>
        </w:rPr>
        <w:t xml:space="preserve"> allowing them to come off income support, and stay off for a longer period of time.</w:t>
      </w:r>
    </w:p>
    <w:p w14:paraId="6DF6A8BA" w14:textId="02C80ED8" w:rsidR="00287975" w:rsidRDefault="00287975" w:rsidP="00287975">
      <w:pPr>
        <w:pStyle w:val="Heading3"/>
      </w:pPr>
      <w:proofErr w:type="gramStart"/>
      <w:r>
        <w:lastRenderedPageBreak/>
        <w:t>jobactive</w:t>
      </w:r>
      <w:proofErr w:type="gramEnd"/>
    </w:p>
    <w:p w14:paraId="27ED0D96" w14:textId="597B2FA9" w:rsidR="0008140A" w:rsidRDefault="00630877" w:rsidP="0008140A">
      <w:r>
        <w:t>Based on a</w:t>
      </w:r>
      <w:r w:rsidR="003A2F0C">
        <w:t>nalysis</w:t>
      </w:r>
      <w:r>
        <w:t xml:space="preserve"> for</w:t>
      </w:r>
      <w:r w:rsidR="003A2F0C">
        <w:t xml:space="preserve"> RATTUAJ participants under jobactive</w:t>
      </w:r>
      <w:r>
        <w:t xml:space="preserve"> </w:t>
      </w:r>
      <w:r w:rsidR="0008140A">
        <w:t xml:space="preserve">one month after </w:t>
      </w:r>
      <w:r w:rsidR="005D5E42">
        <w:t>the agreement start date</w:t>
      </w:r>
      <w:r w:rsidR="0008140A">
        <w:t>, 81</w:t>
      </w:r>
      <w:r>
        <w:t> </w:t>
      </w:r>
      <w:r w:rsidR="0008140A">
        <w:t>per</w:t>
      </w:r>
      <w:r>
        <w:t> </w:t>
      </w:r>
      <w:r w:rsidR="0008140A">
        <w:t xml:space="preserve">cent of relocated job seekers </w:t>
      </w:r>
      <w:r>
        <w:t>were off income s</w:t>
      </w:r>
      <w:r w:rsidR="0008140A">
        <w:t xml:space="preserve">upport </w:t>
      </w:r>
      <w:r>
        <w:t>or on income support with reported earnings.</w:t>
      </w:r>
      <w:r w:rsidR="0008140A">
        <w:t xml:space="preserve"> </w:t>
      </w:r>
      <w:r>
        <w:t>T</w:t>
      </w:r>
      <w:r w:rsidR="0008140A">
        <w:t>his had fallen to 72</w:t>
      </w:r>
      <w:r>
        <w:t> </w:t>
      </w:r>
      <w:r w:rsidR="0008140A">
        <w:t>per</w:t>
      </w:r>
      <w:r>
        <w:t> </w:t>
      </w:r>
      <w:r w:rsidR="0008140A">
        <w:t xml:space="preserve">cent by 12 months after </w:t>
      </w:r>
      <w:r w:rsidR="005D5E42">
        <w:t>the agreement start date</w:t>
      </w:r>
      <w:r w:rsidR="0008140A">
        <w:t xml:space="preserve">. </w:t>
      </w:r>
      <w:r w:rsidR="001E62C0">
        <w:t>F</w:t>
      </w:r>
      <w:r w:rsidR="00267B31">
        <w:t>igure</w:t>
      </w:r>
      <w:r>
        <w:t> </w:t>
      </w:r>
      <w:r w:rsidR="001E62C0">
        <w:t>3.2</w:t>
      </w:r>
      <w:r w:rsidR="00267B31">
        <w:t xml:space="preserve"> below shows how income support reliance developed over the </w:t>
      </w:r>
      <w:proofErr w:type="gramStart"/>
      <w:r w:rsidR="00267B31">
        <w:t>12 month</w:t>
      </w:r>
      <w:proofErr w:type="gramEnd"/>
      <w:r w:rsidR="00267B31">
        <w:t xml:space="preserve"> period after the agreement started </w:t>
      </w:r>
      <w:r w:rsidR="00E67054">
        <w:t>and includes the</w:t>
      </w:r>
      <w:r w:rsidR="00267B31">
        <w:t xml:space="preserve"> same 512 job seekers shown in Table 3.</w:t>
      </w:r>
      <w:r w:rsidR="006A7423">
        <w:t>5</w:t>
      </w:r>
      <w:r w:rsidR="00267B31">
        <w:t>. It provides an updated version of Figure 3.1</w:t>
      </w:r>
      <w:r w:rsidR="00C2264C">
        <w:t xml:space="preserve"> for jobactive RATTUAJ participants</w:t>
      </w:r>
      <w:r w:rsidR="00AF5FAB">
        <w:t xml:space="preserve"> with data as at 5 January 2018</w:t>
      </w:r>
      <w:r w:rsidR="00267B31">
        <w:t xml:space="preserve">. The proportion of relocated job seekers who were off income support one month after their agreement started was 45 per cent. By 12 months after </w:t>
      </w:r>
      <w:r w:rsidR="001E62C0">
        <w:t xml:space="preserve">the </w:t>
      </w:r>
      <w:r w:rsidR="00267B31">
        <w:t xml:space="preserve">agreement start date, 63 per cent were off income </w:t>
      </w:r>
      <w:r w:rsidR="00305C64">
        <w:t>support. These</w:t>
      </w:r>
      <w:r w:rsidR="0008140A">
        <w:t xml:space="preserve"> patterns are broadly s</w:t>
      </w:r>
      <w:r w:rsidR="00B73900">
        <w:t>imilar to those shown in Figure </w:t>
      </w:r>
      <w:r w:rsidR="0008140A">
        <w:t>3.1.</w:t>
      </w:r>
    </w:p>
    <w:p w14:paraId="4C2F07C9" w14:textId="45F616BB" w:rsidR="0008140A" w:rsidRDefault="00B31485" w:rsidP="00B31485">
      <w:pPr>
        <w:pStyle w:val="Caption"/>
      </w:pPr>
      <w:r>
        <w:t xml:space="preserve">Figure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t>.</w:t>
      </w:r>
      <w:r w:rsidR="00AA36FE">
        <w:rPr>
          <w:noProof/>
        </w:rPr>
        <w:fldChar w:fldCharType="begin"/>
      </w:r>
      <w:r w:rsidR="00AA36FE">
        <w:rPr>
          <w:noProof/>
        </w:rPr>
        <w:instrText xml:space="preserve"> SEQ Figure \* ARABIC \s 1 </w:instrText>
      </w:r>
      <w:r w:rsidR="00AA36FE">
        <w:rPr>
          <w:noProof/>
        </w:rPr>
        <w:fldChar w:fldCharType="separate"/>
      </w:r>
      <w:r w:rsidR="00AA36FE">
        <w:rPr>
          <w:noProof/>
        </w:rPr>
        <w:t>2</w:t>
      </w:r>
      <w:r w:rsidR="00AA36FE">
        <w:rPr>
          <w:noProof/>
        </w:rPr>
        <w:fldChar w:fldCharType="end"/>
      </w:r>
      <w:r w:rsidR="0008140A">
        <w:t xml:space="preserve">: Income </w:t>
      </w:r>
      <w:r>
        <w:t>s</w:t>
      </w:r>
      <w:r w:rsidR="0008140A">
        <w:t xml:space="preserve">upport reliance of RATTUAJ participants during the 12 months after </w:t>
      </w:r>
      <w:r w:rsidR="004E2E08">
        <w:t>agreement start date</w:t>
      </w:r>
      <w:r w:rsidR="003A2F0C">
        <w:t xml:space="preserve"> - jobactive</w:t>
      </w:r>
    </w:p>
    <w:p w14:paraId="38683037" w14:textId="1E6682CB" w:rsidR="008577E3" w:rsidRPr="008577E3" w:rsidRDefault="00DA635F" w:rsidP="008577E3">
      <w:r>
        <w:rPr>
          <w:noProof/>
          <w:lang w:eastAsia="en-AU"/>
        </w:rPr>
        <w:drawing>
          <wp:inline distT="0" distB="0" distL="0" distR="0" wp14:anchorId="112B6B9F" wp14:editId="671DCC4B">
            <wp:extent cx="5365115" cy="3676015"/>
            <wp:effectExtent l="0" t="0" r="6985" b="635"/>
            <wp:docPr id="11" name="Picture 11" descr="A line graph depicting data in figure caption. Description of line graphs in text preceding the figure. Notes follow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5115" cy="3676015"/>
                    </a:xfrm>
                    <a:prstGeom prst="rect">
                      <a:avLst/>
                    </a:prstGeom>
                    <a:noFill/>
                  </pic:spPr>
                </pic:pic>
              </a:graphicData>
            </a:graphic>
          </wp:inline>
        </w:drawing>
      </w:r>
    </w:p>
    <w:p w14:paraId="19F3A12F" w14:textId="77777777" w:rsidR="008577E3" w:rsidRPr="00F53504" w:rsidRDefault="008577E3" w:rsidP="008577E3">
      <w:pPr>
        <w:pStyle w:val="Source"/>
        <w:rPr>
          <w:b/>
        </w:rPr>
      </w:pPr>
      <w:r w:rsidRPr="00F53504">
        <w:rPr>
          <w:b/>
        </w:rPr>
        <w:t>Notes:</w:t>
      </w:r>
    </w:p>
    <w:p w14:paraId="327B478A" w14:textId="588C5FAE" w:rsidR="008577E3" w:rsidRDefault="008577E3" w:rsidP="008577E3">
      <w:pPr>
        <w:pStyle w:val="Source"/>
      </w:pPr>
      <w:r w:rsidRPr="00F53504">
        <w:t xml:space="preserve">1. </w:t>
      </w:r>
      <w:r w:rsidR="00DA635F" w:rsidRPr="00F53504">
        <w:t xml:space="preserve">“Relocated RATTUAJ participants” </w:t>
      </w:r>
      <w:r w:rsidR="00E67054">
        <w:t>includes</w:t>
      </w:r>
      <w:r w:rsidR="00DA635F" w:rsidRPr="00F53504">
        <w:t xml:space="preserve"> </w:t>
      </w:r>
      <w:r w:rsidR="00DA635F">
        <w:t>512</w:t>
      </w:r>
      <w:r w:rsidR="00DA635F" w:rsidRPr="00F53504">
        <w:t xml:space="preserve"> participants in RATTUAJ with approved agreements, a confirmed employment placement and for whom enough time had </w:t>
      </w:r>
      <w:r w:rsidR="001F69CC">
        <w:t>e</w:t>
      </w:r>
      <w:r w:rsidR="00DA635F" w:rsidRPr="00F53504">
        <w:t>lapsed so they could be tracked for 12 months</w:t>
      </w:r>
      <w:r>
        <w:t>.</w:t>
      </w:r>
    </w:p>
    <w:p w14:paraId="64DCAA43" w14:textId="76890DFA" w:rsidR="008C0D79" w:rsidRPr="008C0D79" w:rsidRDefault="008C0D79" w:rsidP="008C0D79">
      <w:pPr>
        <w:pStyle w:val="Source"/>
      </w:pPr>
      <w:r>
        <w:t xml:space="preserve">2. </w:t>
      </w:r>
      <w:r w:rsidRPr="00F53504">
        <w:t xml:space="preserve">The “Total” value includes all participants who </w:t>
      </w:r>
      <w:proofErr w:type="gramStart"/>
      <w:r w:rsidRPr="00F53504">
        <w:t>were either</w:t>
      </w:r>
      <w:proofErr w:type="gramEnd"/>
      <w:r w:rsidRPr="00F53504">
        <w:t xml:space="preserve"> off Income Support or had earnings.</w:t>
      </w:r>
      <w:r>
        <w:t xml:space="preserve"> </w:t>
      </w:r>
      <w:r w:rsidRPr="00F53504">
        <w:t xml:space="preserve">Subtracting “Total” from 100 provides the percentage of participants who remained on </w:t>
      </w:r>
      <w:r>
        <w:t>i</w:t>
      </w:r>
      <w:r w:rsidRPr="00F53504">
        <w:t xml:space="preserve">ncome </w:t>
      </w:r>
      <w:r>
        <w:t>s</w:t>
      </w:r>
      <w:r w:rsidRPr="00F53504">
        <w:t>upport with no earnings.</w:t>
      </w:r>
    </w:p>
    <w:p w14:paraId="63DDB08B" w14:textId="77777777" w:rsidR="00E84BCE" w:rsidRPr="00F53504" w:rsidRDefault="00E84BCE">
      <w:pPr>
        <w:spacing w:before="0" w:after="200"/>
        <w:rPr>
          <w:rFonts w:eastAsiaTheme="majorEastAsia"/>
        </w:rPr>
      </w:pPr>
      <w:r w:rsidRPr="00F53504">
        <w:rPr>
          <w:rFonts w:eastAsiaTheme="majorEastAsia"/>
        </w:rPr>
        <w:br w:type="page"/>
      </w:r>
    </w:p>
    <w:p w14:paraId="4ACABC9B" w14:textId="77777777" w:rsidR="00130ED6" w:rsidRPr="00F53504" w:rsidRDefault="00130ED6" w:rsidP="00920031">
      <w:pPr>
        <w:pStyle w:val="Heading2"/>
      </w:pPr>
      <w:bookmarkStart w:id="78" w:name="_Toc512529322"/>
      <w:r w:rsidRPr="00F53504">
        <w:lastRenderedPageBreak/>
        <w:t>What factors contribute to successful relocation and sustained employment?</w:t>
      </w:r>
      <w:bookmarkEnd w:id="78"/>
    </w:p>
    <w:p w14:paraId="5EB27221" w14:textId="77777777" w:rsidR="00DF07BA" w:rsidRPr="00F53504" w:rsidRDefault="00DF07BA" w:rsidP="004A422E">
      <w:pPr>
        <w:pStyle w:val="Answerbox"/>
        <w:rPr>
          <w:b/>
        </w:rPr>
      </w:pPr>
      <w:r w:rsidRPr="00F53504">
        <w:rPr>
          <w:b/>
        </w:rPr>
        <w:t>There are key factors for successful relocation and sustained employment</w:t>
      </w:r>
    </w:p>
    <w:p w14:paraId="7ED1446F" w14:textId="3C5DA976" w:rsidR="004A422E" w:rsidRPr="00F53504" w:rsidRDefault="00DF07BA" w:rsidP="004A422E">
      <w:pPr>
        <w:pStyle w:val="Answerbox"/>
      </w:pPr>
      <w:r w:rsidRPr="00F53504">
        <w:t>S</w:t>
      </w:r>
      <w:r w:rsidR="004A422E" w:rsidRPr="00F53504">
        <w:t xml:space="preserve">ocial </w:t>
      </w:r>
      <w:r w:rsidR="00D1352F" w:rsidRPr="00F53504">
        <w:t xml:space="preserve">support </w:t>
      </w:r>
      <w:r w:rsidR="004A422E" w:rsidRPr="00F53504">
        <w:t xml:space="preserve">networks, financial assistance, job matching, </w:t>
      </w:r>
      <w:r w:rsidR="00132AC9" w:rsidRPr="00F53504">
        <w:t xml:space="preserve">new </w:t>
      </w:r>
      <w:r w:rsidR="004A422E" w:rsidRPr="00F53504">
        <w:t xml:space="preserve">opportunities, the support of </w:t>
      </w:r>
      <w:r w:rsidR="00B36A3A" w:rsidRPr="00F53504">
        <w:t>providers</w:t>
      </w:r>
      <w:r w:rsidR="004A422E" w:rsidRPr="00F53504">
        <w:t xml:space="preserve"> in assisting participants, and finally, finding suitable accommodation</w:t>
      </w:r>
      <w:r w:rsidRPr="00F53504">
        <w:t xml:space="preserve"> are key factors that contribute to successful relocation and sustained employment</w:t>
      </w:r>
      <w:r w:rsidR="00727EE3">
        <w:t>.</w:t>
      </w:r>
    </w:p>
    <w:p w14:paraId="3D3B5E78" w14:textId="77777777" w:rsidR="004A422E" w:rsidRPr="00F53504" w:rsidRDefault="004A422E" w:rsidP="004A422E">
      <w:r w:rsidRPr="00F53504">
        <w:t xml:space="preserve">For the purposes of this evaluation question, a successful relocation </w:t>
      </w:r>
      <w:proofErr w:type="gramStart"/>
      <w:r w:rsidRPr="00F53504">
        <w:t>is defined</w:t>
      </w:r>
      <w:proofErr w:type="gramEnd"/>
      <w:r w:rsidRPr="00F53504">
        <w:t xml:space="preserve"> as a job seeker in </w:t>
      </w:r>
      <w:r w:rsidR="0041378D" w:rsidRPr="00F53504">
        <w:t>RATTUAJ</w:t>
      </w:r>
      <w:r w:rsidRPr="00F53504">
        <w:t xml:space="preserve"> moving to a new location to </w:t>
      </w:r>
      <w:r w:rsidR="009A495F" w:rsidRPr="00F53504">
        <w:t>work in the job specified in their relocation agreement</w:t>
      </w:r>
      <w:r w:rsidRPr="00F53504">
        <w:t xml:space="preserve">. Factors contributing to sustaining that employment </w:t>
      </w:r>
      <w:proofErr w:type="gramStart"/>
      <w:r w:rsidRPr="00F53504">
        <w:t>are also examined</w:t>
      </w:r>
      <w:proofErr w:type="gramEnd"/>
      <w:r w:rsidRPr="00F53504">
        <w:t xml:space="preserve">. </w:t>
      </w:r>
    </w:p>
    <w:p w14:paraId="29A3FD15" w14:textId="77777777" w:rsidR="008A3697" w:rsidRPr="00F53504" w:rsidRDefault="00E27964" w:rsidP="008A3697">
      <w:pPr>
        <w:pStyle w:val="Heading3"/>
      </w:pPr>
      <w:r w:rsidRPr="00F53504">
        <w:t>Factors that contribute to successful relocation and sustained employment</w:t>
      </w:r>
    </w:p>
    <w:p w14:paraId="1330E027" w14:textId="4149BC40" w:rsidR="0030296C" w:rsidRPr="00F53504" w:rsidRDefault="0030296C" w:rsidP="0030296C">
      <w:r w:rsidRPr="00F53504">
        <w:t>Of the 50 RATTUAJ participants</w:t>
      </w:r>
      <w:r w:rsidR="00B34719">
        <w:t xml:space="preserve"> </w:t>
      </w:r>
      <w:r w:rsidR="00B34719" w:rsidRPr="00F53504">
        <w:t>initially interviewed</w:t>
      </w:r>
      <w:r w:rsidRPr="00F53504">
        <w:t xml:space="preserve">, 29 were able to be re-interviewed approximately three months </w:t>
      </w:r>
      <w:r w:rsidR="005B59DF" w:rsidRPr="00F53504">
        <w:t>later</w:t>
      </w:r>
      <w:r w:rsidRPr="00F53504">
        <w:t xml:space="preserve">. These follow-up interviews </w:t>
      </w:r>
      <w:proofErr w:type="gramStart"/>
      <w:r w:rsidRPr="00F53504">
        <w:t>were conducted</w:t>
      </w:r>
      <w:proofErr w:type="gramEnd"/>
      <w:r w:rsidRPr="00F53504">
        <w:t xml:space="preserve"> to obtain participants</w:t>
      </w:r>
      <w:r w:rsidR="003B003E" w:rsidRPr="00F53504">
        <w:t>’</w:t>
      </w:r>
      <w:r w:rsidRPr="00F53504">
        <w:t xml:space="preserve"> perspectives and experiences following their relocation. Of the 29, 23 </w:t>
      </w:r>
      <w:proofErr w:type="gramStart"/>
      <w:r w:rsidRPr="00F53504">
        <w:t>were employed</w:t>
      </w:r>
      <w:proofErr w:type="gramEnd"/>
      <w:r w:rsidRPr="00F53504">
        <w:t xml:space="preserve"> in the job </w:t>
      </w:r>
      <w:r w:rsidR="006A4F55" w:rsidRPr="00F53504">
        <w:t>for which they relocated</w:t>
      </w:r>
      <w:r w:rsidRPr="00F53504">
        <w:t>, six were not and one did not commence employment or complete the relocation process.</w:t>
      </w:r>
    </w:p>
    <w:p w14:paraId="5514039F" w14:textId="552B01A3" w:rsidR="00D442E9" w:rsidRPr="00F53504" w:rsidRDefault="003B003E" w:rsidP="00D442E9">
      <w:r w:rsidRPr="00F53504">
        <w:t xml:space="preserve">Interviews with participants </w:t>
      </w:r>
      <w:r w:rsidR="00126CBC" w:rsidRPr="00F53504">
        <w:t>revealed</w:t>
      </w:r>
      <w:r w:rsidRPr="00F53504">
        <w:t xml:space="preserve"> the following factors</w:t>
      </w:r>
      <w:r w:rsidR="00D442E9" w:rsidRPr="00F53504">
        <w:t xml:space="preserve"> </w:t>
      </w:r>
      <w:r w:rsidR="00610FC1" w:rsidRPr="00F53504">
        <w:t>that contribute</w:t>
      </w:r>
      <w:r w:rsidR="0030296C" w:rsidRPr="00F53504">
        <w:t>d</w:t>
      </w:r>
      <w:r w:rsidR="00610FC1" w:rsidRPr="00F53504">
        <w:t xml:space="preserve"> to successful relocation and sustained employment</w:t>
      </w:r>
      <w:r w:rsidR="00D442E9" w:rsidRPr="00F53504">
        <w:t>:</w:t>
      </w:r>
    </w:p>
    <w:p w14:paraId="7BDBC13A" w14:textId="77777777" w:rsidR="00D442E9" w:rsidRPr="00F53504" w:rsidRDefault="009D58E3" w:rsidP="002653AD">
      <w:pPr>
        <w:pStyle w:val="ListBullet"/>
      </w:pPr>
      <w:r w:rsidRPr="00F53504">
        <w:t>t</w:t>
      </w:r>
      <w:r w:rsidR="00D442E9" w:rsidRPr="00F53504">
        <w:t xml:space="preserve">he financial assistance provided by </w:t>
      </w:r>
      <w:r w:rsidR="0041378D" w:rsidRPr="00F53504">
        <w:t>RATTUAJ</w:t>
      </w:r>
      <w:r w:rsidR="00D442E9" w:rsidRPr="00F53504">
        <w:t xml:space="preserve"> was crucial to </w:t>
      </w:r>
      <w:r w:rsidR="003B003E" w:rsidRPr="00F53504">
        <w:t>their</w:t>
      </w:r>
      <w:r w:rsidR="00D442E9" w:rsidRPr="00F53504">
        <w:t xml:space="preserve"> decision to relocate</w:t>
      </w:r>
    </w:p>
    <w:p w14:paraId="3890BF70" w14:textId="77777777" w:rsidR="00D442E9" w:rsidRPr="00F53504" w:rsidRDefault="009D58E3" w:rsidP="002653AD">
      <w:pPr>
        <w:pStyle w:val="ListBullet"/>
      </w:pPr>
      <w:r w:rsidRPr="00F53504">
        <w:t>r</w:t>
      </w:r>
      <w:r w:rsidR="00D442E9" w:rsidRPr="00F53504">
        <w:t xml:space="preserve">elocation was problematic for </w:t>
      </w:r>
      <w:r w:rsidR="00B508C9" w:rsidRPr="00F53504">
        <w:t>those</w:t>
      </w:r>
      <w:r w:rsidR="00D442E9" w:rsidRPr="00F53504">
        <w:t xml:space="preserve"> who did not have family members or other connections to provide social support</w:t>
      </w:r>
    </w:p>
    <w:p w14:paraId="240CFEC9" w14:textId="77777777" w:rsidR="00D442E9" w:rsidRPr="00F53504" w:rsidRDefault="009D58E3" w:rsidP="002653AD">
      <w:pPr>
        <w:pStyle w:val="ListBullet"/>
      </w:pPr>
      <w:r w:rsidRPr="00F53504">
        <w:t>j</w:t>
      </w:r>
      <w:r w:rsidR="00D442E9" w:rsidRPr="00F53504">
        <w:t>ob matching was an important factor for successful relocation and sustaining employment post relocation</w:t>
      </w:r>
    </w:p>
    <w:p w14:paraId="2197295B" w14:textId="77777777" w:rsidR="00D442E9" w:rsidRPr="00F53504" w:rsidRDefault="009D58E3" w:rsidP="002653AD">
      <w:pPr>
        <w:pStyle w:val="ListBullet"/>
      </w:pPr>
      <w:r w:rsidRPr="00F53504">
        <w:t>s</w:t>
      </w:r>
      <w:r w:rsidR="00D442E9" w:rsidRPr="00F53504">
        <w:t>ome participants reported that they would have been willing to relocate for ‘any job’ rather than staying in the same location and remaining unemployed</w:t>
      </w:r>
    </w:p>
    <w:p w14:paraId="3F1A54B6" w14:textId="77777777" w:rsidR="00D442E9" w:rsidRPr="00F53504" w:rsidRDefault="009D58E3" w:rsidP="002653AD">
      <w:pPr>
        <w:pStyle w:val="ListBullet"/>
      </w:pPr>
      <w:r w:rsidRPr="00F53504">
        <w:t>t</w:t>
      </w:r>
      <w:r w:rsidR="00D442E9" w:rsidRPr="00F53504">
        <w:t>he interactions participants had with their providers in accessing the program had an important impact on their perceptions of relocation, and on the ability of participants to successfully integrate into their new locations</w:t>
      </w:r>
    </w:p>
    <w:p w14:paraId="70309CFC" w14:textId="77777777" w:rsidR="00D442E9" w:rsidRPr="00F53504" w:rsidRDefault="009D58E3" w:rsidP="002653AD">
      <w:pPr>
        <w:pStyle w:val="ListBullet"/>
      </w:pPr>
      <w:r w:rsidRPr="00F53504">
        <w:t>h</w:t>
      </w:r>
      <w:r w:rsidR="00D442E9" w:rsidRPr="00F53504">
        <w:t>alf of participants indicated in their first interview that they were pleased with the assistance they received from their providers during the relocation process</w:t>
      </w:r>
    </w:p>
    <w:p w14:paraId="14036BB5" w14:textId="77777777" w:rsidR="00D442E9" w:rsidRPr="00F53504" w:rsidRDefault="009D58E3" w:rsidP="002653AD">
      <w:pPr>
        <w:pStyle w:val="ListBullet"/>
      </w:pPr>
      <w:proofErr w:type="gramStart"/>
      <w:r w:rsidRPr="00F53504">
        <w:t>w</w:t>
      </w:r>
      <w:r w:rsidR="002653AD" w:rsidRPr="00F53504">
        <w:t>hen</w:t>
      </w:r>
      <w:proofErr w:type="gramEnd"/>
      <w:r w:rsidR="002653AD" w:rsidRPr="00F53504">
        <w:t xml:space="preserve"> followed up</w:t>
      </w:r>
      <w:r w:rsidR="00D442E9" w:rsidRPr="00F53504">
        <w:t xml:space="preserve"> around three months after their initial interviews, approximately half</w:t>
      </w:r>
      <w:r w:rsidR="002653AD" w:rsidRPr="00F53504">
        <w:t xml:space="preserve"> the participants</w:t>
      </w:r>
      <w:r w:rsidR="00D442E9" w:rsidRPr="00F53504">
        <w:t xml:space="preserve"> reported having had further contact from their providers after relocation. Some appreciated this post-relocation contact</w:t>
      </w:r>
      <w:r w:rsidR="00126CBC" w:rsidRPr="00F53504">
        <w:t>, and</w:t>
      </w:r>
    </w:p>
    <w:p w14:paraId="6247B17B" w14:textId="77777777" w:rsidR="00D442E9" w:rsidRPr="00F53504" w:rsidRDefault="009D58E3" w:rsidP="002653AD">
      <w:pPr>
        <w:pStyle w:val="ListBullet"/>
      </w:pPr>
      <w:proofErr w:type="gramStart"/>
      <w:r w:rsidRPr="00F53504">
        <w:t>for</w:t>
      </w:r>
      <w:proofErr w:type="gramEnd"/>
      <w:r w:rsidRPr="00F53504">
        <w:t xml:space="preserve"> </w:t>
      </w:r>
      <w:r w:rsidR="00D442E9" w:rsidRPr="00F53504">
        <w:t>many participants, finding suitable accommodation either on an interim or longer-term basis was particularly difficult.</w:t>
      </w:r>
    </w:p>
    <w:p w14:paraId="73709465" w14:textId="5344ADF1" w:rsidR="002851E1" w:rsidRPr="00F53504" w:rsidRDefault="002851E1" w:rsidP="002851E1">
      <w:r w:rsidRPr="00F53504">
        <w:t xml:space="preserve">Most of the participants who </w:t>
      </w:r>
      <w:proofErr w:type="gramStart"/>
      <w:r w:rsidRPr="00F53504">
        <w:t>were still in the same job reported enjoying</w:t>
      </w:r>
      <w:proofErr w:type="gramEnd"/>
      <w:r w:rsidRPr="00F53504">
        <w:t xml:space="preserve"> the work and many said they had had no negative experiences in their new position. Participants reported positive experiences of the employment they relocated for</w:t>
      </w:r>
      <w:r w:rsidR="00126CBC" w:rsidRPr="00F53504">
        <w:t>,</w:t>
      </w:r>
      <w:r w:rsidRPr="00F53504">
        <w:t xml:space="preserve"> including</w:t>
      </w:r>
      <w:r w:rsidR="00126CBC" w:rsidRPr="00F53504">
        <w:t>:</w:t>
      </w:r>
      <w:r w:rsidRPr="00F53504">
        <w:t xml:space="preserve"> having financial independence and the </w:t>
      </w:r>
      <w:r w:rsidRPr="00F53504">
        <w:lastRenderedPageBreak/>
        <w:t>ability to save money</w:t>
      </w:r>
      <w:r w:rsidR="00126CBC" w:rsidRPr="00F53504">
        <w:t>;</w:t>
      </w:r>
      <w:r w:rsidRPr="00F53504">
        <w:t xml:space="preserve"> learning new skills</w:t>
      </w:r>
      <w:r w:rsidR="00126CBC" w:rsidRPr="00F53504">
        <w:t>; being able to use</w:t>
      </w:r>
      <w:r w:rsidRPr="00F53504">
        <w:t xml:space="preserve"> transferrable skills from previous jobs in their current role</w:t>
      </w:r>
      <w:r w:rsidR="00126CBC" w:rsidRPr="00F53504">
        <w:t>;</w:t>
      </w:r>
      <w:r w:rsidRPr="00F53504">
        <w:t xml:space="preserve"> and making new friends. Participants </w:t>
      </w:r>
      <w:r w:rsidR="003E30E3">
        <w:t>who</w:t>
      </w:r>
      <w:r w:rsidR="00F63ABE">
        <w:t xml:space="preserve"> reported </w:t>
      </w:r>
      <w:r w:rsidRPr="00F53504">
        <w:t xml:space="preserve">a good job match </w:t>
      </w:r>
      <w:r w:rsidR="00F63ABE">
        <w:t>described having</w:t>
      </w:r>
      <w:r w:rsidRPr="00F53504">
        <w:t xml:space="preserve"> higher levels of satisfaction with their relocation and with </w:t>
      </w:r>
      <w:r w:rsidR="0041378D" w:rsidRPr="00F53504">
        <w:t>RATTUAJ</w:t>
      </w:r>
      <w:r w:rsidRPr="00F53504">
        <w:t>.</w:t>
      </w:r>
    </w:p>
    <w:p w14:paraId="40F9E94B" w14:textId="7B55186B" w:rsidR="0020393D" w:rsidRPr="00F53504" w:rsidRDefault="002851E1" w:rsidP="0020393D">
      <w:r w:rsidRPr="00F53504">
        <w:t xml:space="preserve">Of those no longer in the job </w:t>
      </w:r>
      <w:r w:rsidR="006A4F55" w:rsidRPr="00F53504">
        <w:t xml:space="preserve">for which </w:t>
      </w:r>
      <w:r w:rsidRPr="00F53504">
        <w:t>they relocated, a</w:t>
      </w:r>
      <w:r w:rsidR="0020393D" w:rsidRPr="00F53504">
        <w:t xml:space="preserve"> few participants stated they left employment due to poor job matching. Other reasons for leaving employment included returning to their original location in order to be closer to family, </w:t>
      </w:r>
      <w:proofErr w:type="gramStart"/>
      <w:r w:rsidR="0020393D" w:rsidRPr="00F53504">
        <w:t>being terminated</w:t>
      </w:r>
      <w:proofErr w:type="gramEnd"/>
      <w:r w:rsidR="0020393D" w:rsidRPr="00F53504">
        <w:t xml:space="preserve"> and</w:t>
      </w:r>
      <w:r w:rsidR="00D65262" w:rsidRPr="00F53504">
        <w:t>,</w:t>
      </w:r>
      <w:r w:rsidR="0020393D" w:rsidRPr="00F53504">
        <w:t xml:space="preserve"> in one participant’s case, b</w:t>
      </w:r>
      <w:r w:rsidR="00166249">
        <w:t>eing allegedly</w:t>
      </w:r>
      <w:r w:rsidR="0020393D" w:rsidRPr="00F53504">
        <w:t xml:space="preserve"> underpaid in the job. Of the participants who </w:t>
      </w:r>
      <w:proofErr w:type="gramStart"/>
      <w:r w:rsidR="0020393D" w:rsidRPr="00F53504">
        <w:t>were no longer employed</w:t>
      </w:r>
      <w:proofErr w:type="gramEnd"/>
      <w:r w:rsidR="0020393D" w:rsidRPr="00F53504">
        <w:t xml:space="preserve"> in the job </w:t>
      </w:r>
      <w:r w:rsidR="006A4F55" w:rsidRPr="00F53504">
        <w:t xml:space="preserve">for which </w:t>
      </w:r>
      <w:r w:rsidR="0020393D" w:rsidRPr="00F53504">
        <w:t>they relocated, many ultimately returned home but a few stayed in their new location. At the time of the follow-up interview, only a few of these participants had found alternative</w:t>
      </w:r>
      <w:r w:rsidR="0020393D" w:rsidRPr="00F53504" w:rsidDel="00F316F4">
        <w:t xml:space="preserve"> </w:t>
      </w:r>
      <w:r w:rsidR="0020393D" w:rsidRPr="00F53504">
        <w:t>employment.</w:t>
      </w:r>
    </w:p>
    <w:p w14:paraId="4E77ACCD" w14:textId="77777777" w:rsidR="004A422E" w:rsidRPr="00F53504" w:rsidRDefault="004A422E" w:rsidP="0030296C">
      <w:pPr>
        <w:pStyle w:val="Heading3"/>
      </w:pPr>
      <w:r w:rsidRPr="00F53504">
        <w:t xml:space="preserve">Financial assistance </w:t>
      </w:r>
    </w:p>
    <w:p w14:paraId="602D040B" w14:textId="440C6B22" w:rsidR="0030365F" w:rsidRPr="00F53504" w:rsidRDefault="0030365F" w:rsidP="0030365F">
      <w:r w:rsidRPr="00F53504">
        <w:t xml:space="preserve">As at 31 March 2016 expenditure to </w:t>
      </w:r>
      <w:proofErr w:type="gramStart"/>
      <w:r w:rsidRPr="00F53504">
        <w:t>assist</w:t>
      </w:r>
      <w:proofErr w:type="gramEnd"/>
      <w:r w:rsidRPr="00F53504">
        <w:t xml:space="preserve"> job seekers, with Relocation Agreements with start dates between 1 July 2014 and 31 December 2015, totalled $1.408 million (Table A.</w:t>
      </w:r>
      <w:r w:rsidR="005129E7">
        <w:t>6</w:t>
      </w:r>
      <w:r w:rsidR="00D130A5" w:rsidRPr="00F53504">
        <w:t>)</w:t>
      </w:r>
      <w:r w:rsidRPr="00F53504">
        <w:t>. This was at an average cost per participant of $2,903 (</w:t>
      </w:r>
      <w:r w:rsidR="00D130A5" w:rsidRPr="00F53504">
        <w:t>Tables A.</w:t>
      </w:r>
      <w:r w:rsidR="005129E7">
        <w:t>7</w:t>
      </w:r>
      <w:r w:rsidR="00D130A5" w:rsidRPr="00F53504">
        <w:t xml:space="preserve">). Additional information on expenditure is in </w:t>
      </w:r>
      <w:r w:rsidRPr="00F53504">
        <w:t>Appendix A.</w:t>
      </w:r>
    </w:p>
    <w:p w14:paraId="48265F7A" w14:textId="432A37B0" w:rsidR="00FD7230" w:rsidRDefault="001B3A63" w:rsidP="004A422E">
      <w:r>
        <w:t>Some i</w:t>
      </w:r>
      <w:r w:rsidR="00AD785F">
        <w:t>nterviewed j</w:t>
      </w:r>
      <w:r w:rsidR="00B96343" w:rsidRPr="00F53504">
        <w:t>ob seekers</w:t>
      </w:r>
      <w:r w:rsidR="00AD785F">
        <w:t xml:space="preserve"> also reported that</w:t>
      </w:r>
      <w:r w:rsidR="004A422E" w:rsidRPr="00F53504">
        <w:t xml:space="preserve"> </w:t>
      </w:r>
      <w:r w:rsidR="00E664C0">
        <w:t xml:space="preserve">receiving </w:t>
      </w:r>
      <w:r w:rsidR="004A422E" w:rsidRPr="00F53504">
        <w:t>income support for at least 12 months</w:t>
      </w:r>
      <w:r w:rsidR="009E108A">
        <w:t xml:space="preserve"> -</w:t>
      </w:r>
      <w:r w:rsidR="00E664C0">
        <w:t xml:space="preserve"> </w:t>
      </w:r>
      <w:r w:rsidR="00B96343" w:rsidRPr="00F53504">
        <w:t xml:space="preserve">a requisite for eligibility for the </w:t>
      </w:r>
      <w:r w:rsidR="004F68D9" w:rsidRPr="00F53504">
        <w:t>program</w:t>
      </w:r>
      <w:r w:rsidR="009E108A">
        <w:t xml:space="preserve"> -</w:t>
      </w:r>
      <w:r w:rsidR="00955299">
        <w:t xml:space="preserve"> </w:t>
      </w:r>
      <w:r w:rsidR="009E108A">
        <w:t>meant that they</w:t>
      </w:r>
      <w:r w:rsidR="004A422E" w:rsidRPr="00F53504">
        <w:t xml:space="preserve"> generally had </w:t>
      </w:r>
      <w:r w:rsidR="00FD7230">
        <w:t xml:space="preserve">difficulty </w:t>
      </w:r>
      <w:r w:rsidR="004A422E" w:rsidRPr="00F53504">
        <w:t>saving</w:t>
      </w:r>
      <w:r w:rsidR="00FD7230">
        <w:t xml:space="preserve"> money</w:t>
      </w:r>
      <w:r w:rsidR="00D56463">
        <w:t>.</w:t>
      </w:r>
    </w:p>
    <w:p w14:paraId="70C0A373" w14:textId="149DE925" w:rsidR="00FD7230" w:rsidRDefault="00FD7230" w:rsidP="00FD7230">
      <w:pPr>
        <w:pStyle w:val="Quote"/>
        <w:rPr>
          <w:lang w:val="en-AU"/>
        </w:rPr>
      </w:pPr>
      <w:r w:rsidRPr="00FD7230">
        <w:rPr>
          <w:lang w:val="en-AU"/>
        </w:rPr>
        <w:t>“</w:t>
      </w:r>
      <w:r>
        <w:rPr>
          <w:lang w:val="en-AU"/>
        </w:rPr>
        <w:t>…</w:t>
      </w:r>
      <w:r w:rsidRPr="00FD7230">
        <w:rPr>
          <w:lang w:val="en-AU"/>
        </w:rPr>
        <w:t>it’s not easy to save money to move when you are still paying all your bills and that just on Centrelink money</w:t>
      </w:r>
      <w:r>
        <w:rPr>
          <w:lang w:val="en-AU"/>
        </w:rPr>
        <w:t>.</w:t>
      </w:r>
      <w:r w:rsidRPr="00FD7230">
        <w:rPr>
          <w:lang w:val="en-AU"/>
        </w:rPr>
        <w:t>”</w:t>
      </w:r>
    </w:p>
    <w:p w14:paraId="611B8274" w14:textId="12F94992" w:rsidR="00FD7230" w:rsidRPr="00FD7230" w:rsidRDefault="00FD7230" w:rsidP="00FD7230">
      <w:pPr>
        <w:pStyle w:val="Quoteattribution"/>
      </w:pPr>
      <w:r>
        <w:t>Male, 30s, from regional area, to capital city</w:t>
      </w:r>
    </w:p>
    <w:p w14:paraId="3A011674" w14:textId="47CB9EC2" w:rsidR="004A422E" w:rsidRPr="00F53504" w:rsidRDefault="00FD7230" w:rsidP="00FD7230">
      <w:r>
        <w:t>According to most interviewed job seekers,</w:t>
      </w:r>
      <w:r w:rsidRPr="00F53504">
        <w:t xml:space="preserve"> financial assistance provided by RATTUAJ was crucial to a participant’s decision to relocate.</w:t>
      </w:r>
      <w:r w:rsidR="004A422E" w:rsidRPr="00F53504">
        <w:t xml:space="preserve"> Many of the participants said that without the assistance of the </w:t>
      </w:r>
      <w:r w:rsidR="004F68D9" w:rsidRPr="00F53504">
        <w:t>program</w:t>
      </w:r>
      <w:r w:rsidR="004A422E" w:rsidRPr="00F53504">
        <w:t xml:space="preserve">, they would </w:t>
      </w:r>
      <w:r w:rsidR="006F19E9">
        <w:t>not have been able to relocate.</w:t>
      </w:r>
    </w:p>
    <w:p w14:paraId="56C72EAA" w14:textId="457C7A2D" w:rsidR="004A422E" w:rsidRPr="00F53504" w:rsidRDefault="004A422E" w:rsidP="004A422E">
      <w:pPr>
        <w:pStyle w:val="Quote"/>
        <w:rPr>
          <w:lang w:val="en-AU"/>
        </w:rPr>
      </w:pPr>
      <w:r w:rsidRPr="00F53504">
        <w:rPr>
          <w:lang w:val="en-AU"/>
        </w:rPr>
        <w:t xml:space="preserve">“Oh it was </w:t>
      </w:r>
      <w:proofErr w:type="gramStart"/>
      <w:r w:rsidRPr="00F53504">
        <w:rPr>
          <w:lang w:val="en-AU"/>
        </w:rPr>
        <w:t>everything,</w:t>
      </w:r>
      <w:proofErr w:type="gramEnd"/>
      <w:r w:rsidRPr="00F53504">
        <w:rPr>
          <w:lang w:val="en-AU"/>
        </w:rPr>
        <w:t xml:space="preserve"> otherwise we wouldn’t have been able to do it. We wouldn’t have been able to afford to move at all.”</w:t>
      </w:r>
    </w:p>
    <w:p w14:paraId="32561763" w14:textId="77777777" w:rsidR="004A422E" w:rsidRPr="00F53504" w:rsidRDefault="004A422E" w:rsidP="004A422E">
      <w:pPr>
        <w:pStyle w:val="Quoteattribution"/>
      </w:pPr>
      <w:r w:rsidRPr="00F53504">
        <w:t>Male, 40s, from regional area, to regional area</w:t>
      </w:r>
    </w:p>
    <w:p w14:paraId="2BCBEC76" w14:textId="64373DC9" w:rsidR="004A422E" w:rsidRPr="00F53504" w:rsidRDefault="004A422E" w:rsidP="004A422E">
      <w:pPr>
        <w:pStyle w:val="Quote"/>
        <w:rPr>
          <w:lang w:val="en-AU"/>
        </w:rPr>
      </w:pPr>
      <w:r w:rsidRPr="00F53504">
        <w:rPr>
          <w:lang w:val="en-AU"/>
        </w:rPr>
        <w:t xml:space="preserve">“I wouldn’t have done it. I </w:t>
      </w:r>
      <w:proofErr w:type="gramStart"/>
      <w:r w:rsidRPr="00F53504">
        <w:rPr>
          <w:lang w:val="en-AU"/>
        </w:rPr>
        <w:t>wouldn’t</w:t>
      </w:r>
      <w:proofErr w:type="gramEnd"/>
      <w:r w:rsidRPr="00F53504">
        <w:rPr>
          <w:lang w:val="en-AU"/>
        </w:rPr>
        <w:t xml:space="preserve"> have been able to afford it otherwise. </w:t>
      </w:r>
      <w:proofErr w:type="gramStart"/>
      <w:r w:rsidRPr="00F53504">
        <w:rPr>
          <w:lang w:val="en-AU"/>
        </w:rPr>
        <w:t>So</w:t>
      </w:r>
      <w:proofErr w:type="gramEnd"/>
      <w:r w:rsidRPr="00F53504">
        <w:rPr>
          <w:lang w:val="en-AU"/>
        </w:rPr>
        <w:t xml:space="preserve"> that’s a big thing, a big part of it. If it </w:t>
      </w:r>
      <w:proofErr w:type="gramStart"/>
      <w:r w:rsidRPr="00F53504">
        <w:rPr>
          <w:lang w:val="en-AU"/>
        </w:rPr>
        <w:t>wasn’t</w:t>
      </w:r>
      <w:proofErr w:type="gramEnd"/>
      <w:r w:rsidRPr="00F53504">
        <w:rPr>
          <w:lang w:val="en-AU"/>
        </w:rPr>
        <w:t xml:space="preserve"> for them</w:t>
      </w:r>
      <w:r w:rsidR="00B96343" w:rsidRPr="00F53504">
        <w:rPr>
          <w:lang w:val="en-AU"/>
        </w:rPr>
        <w:t>,</w:t>
      </w:r>
      <w:r w:rsidRPr="00F53504">
        <w:rPr>
          <w:lang w:val="en-AU"/>
        </w:rPr>
        <w:t xml:space="preserve"> I wouldn’t be here</w:t>
      </w:r>
      <w:r w:rsidR="00F65436">
        <w:rPr>
          <w:lang w:val="en-AU"/>
        </w:rPr>
        <w:t>...</w:t>
      </w:r>
      <w:r w:rsidRPr="00F53504">
        <w:rPr>
          <w:lang w:val="en-AU"/>
        </w:rPr>
        <w:t xml:space="preserve"> I wouldn’t have been able to afford the ticket and food and everything like that if I didn’t go through this system.”</w:t>
      </w:r>
    </w:p>
    <w:p w14:paraId="493B26E2" w14:textId="77777777" w:rsidR="004A422E" w:rsidRPr="00F53504" w:rsidRDefault="004A422E" w:rsidP="004A422E">
      <w:pPr>
        <w:pStyle w:val="Quoteattribution"/>
      </w:pPr>
      <w:r w:rsidRPr="00F53504">
        <w:t>Male, 50s, from regional area, to regional area</w:t>
      </w:r>
    </w:p>
    <w:p w14:paraId="7D4F98E5" w14:textId="3E3758AC" w:rsidR="004A422E" w:rsidRPr="00F53504" w:rsidRDefault="004A422E" w:rsidP="004A422E">
      <w:pPr>
        <w:pStyle w:val="Quote"/>
        <w:rPr>
          <w:lang w:val="en-AU"/>
        </w:rPr>
      </w:pPr>
      <w:r w:rsidRPr="00F53504">
        <w:rPr>
          <w:lang w:val="en-AU"/>
        </w:rPr>
        <w:t xml:space="preserve">“Yeah, it </w:t>
      </w:r>
      <w:r w:rsidR="00B96343" w:rsidRPr="00F53504">
        <w:rPr>
          <w:lang w:val="en-AU"/>
        </w:rPr>
        <w:t xml:space="preserve">[financial assistance] </w:t>
      </w:r>
      <w:r w:rsidRPr="00F53504">
        <w:rPr>
          <w:lang w:val="en-AU"/>
        </w:rPr>
        <w:t>was definitely the vital factor which constituted to actually agreeing to do this. Because if I wasn’t able to get that financial support, I don’t know what I would have done because this is a great job and it was a great opportunity and I really love it here and I would have been really disappointed if I wasn’t able to get that assistance. I can’t thank the government, the people that have helped me to do that enough.”</w:t>
      </w:r>
    </w:p>
    <w:p w14:paraId="71A97F80" w14:textId="77777777" w:rsidR="004A422E" w:rsidRPr="00F53504" w:rsidRDefault="004A422E" w:rsidP="004A422E">
      <w:pPr>
        <w:pStyle w:val="Quoteattribution"/>
      </w:pPr>
      <w:r w:rsidRPr="00F53504">
        <w:t>Male, 30s, from capital city, to regional area</w:t>
      </w:r>
    </w:p>
    <w:p w14:paraId="0E8D4A83" w14:textId="77777777" w:rsidR="000F7D2F" w:rsidRPr="00F53504" w:rsidRDefault="000F7D2F" w:rsidP="000F7D2F">
      <w:proofErr w:type="gramStart"/>
      <w:r w:rsidRPr="00F53504">
        <w:t>The importance of the financial assistance was supported by providers</w:t>
      </w:r>
      <w:proofErr w:type="gramEnd"/>
      <w:r w:rsidRPr="00F53504">
        <w:t>:</w:t>
      </w:r>
    </w:p>
    <w:p w14:paraId="5D70448D" w14:textId="7683E40A" w:rsidR="004A422E" w:rsidRPr="00F53504" w:rsidRDefault="004A422E" w:rsidP="004A422E">
      <w:pPr>
        <w:pStyle w:val="Quote"/>
        <w:rPr>
          <w:lang w:val="en-AU"/>
        </w:rPr>
      </w:pPr>
      <w:r w:rsidRPr="00F53504">
        <w:rPr>
          <w:lang w:val="en-AU"/>
        </w:rPr>
        <w:lastRenderedPageBreak/>
        <w:t>“Very important, as I said, if you move and you can get your rent paid, plus you’re going into full-time work and you can get your stuff moved, then that’s a wonderful thing.”</w:t>
      </w:r>
    </w:p>
    <w:p w14:paraId="3702C192" w14:textId="77777777" w:rsidR="004A422E" w:rsidRPr="00F53504" w:rsidRDefault="004A422E" w:rsidP="004A422E">
      <w:pPr>
        <w:pStyle w:val="Quoteattribution"/>
      </w:pPr>
      <w:r w:rsidRPr="00F53504">
        <w:t xml:space="preserve">Provider, </w:t>
      </w:r>
      <w:r w:rsidR="00BF3495" w:rsidRPr="00F53504">
        <w:t>regional area</w:t>
      </w:r>
      <w:r w:rsidR="00CD549C" w:rsidRPr="00F53504">
        <w:t xml:space="preserve">, </w:t>
      </w:r>
      <w:r w:rsidR="00567DDD" w:rsidRPr="00F53504">
        <w:t>in-depth interview</w:t>
      </w:r>
    </w:p>
    <w:p w14:paraId="7FC8CA8A" w14:textId="5F9FE330" w:rsidR="004A422E" w:rsidRPr="00F53504" w:rsidRDefault="00F2486A" w:rsidP="004A422E">
      <w:r w:rsidRPr="00F53504">
        <w:t>The financial support provided through</w:t>
      </w:r>
      <w:r>
        <w:t xml:space="preserve"> upfront payments and reimbursement </w:t>
      </w:r>
      <w:r w:rsidRPr="00F53504">
        <w:t>was a significant factor in facilitating relocation.</w:t>
      </w:r>
      <w:r>
        <w:t xml:space="preserve"> </w:t>
      </w:r>
      <w:r w:rsidR="004A422E" w:rsidRPr="00F53504">
        <w:t xml:space="preserve">Some participants indicated they would have had to rely on friends, </w:t>
      </w:r>
      <w:r w:rsidR="00D130A5" w:rsidRPr="00F53504">
        <w:t xml:space="preserve">parents, </w:t>
      </w:r>
      <w:r w:rsidR="004A422E" w:rsidRPr="00F53504">
        <w:t xml:space="preserve">family or relatives or draw heavily on their credit cards if it had not been for the financial assistance, leading to additional </w:t>
      </w:r>
      <w:r w:rsidR="00423440" w:rsidRPr="00F53504">
        <w:t xml:space="preserve">financial </w:t>
      </w:r>
      <w:r w:rsidR="009C2253">
        <w:t>pressure.</w:t>
      </w:r>
      <w:r w:rsidR="00A75040">
        <w:t xml:space="preserve"> Others lacked these options.</w:t>
      </w:r>
    </w:p>
    <w:p w14:paraId="550EFB6E" w14:textId="1CBCF810" w:rsidR="004A422E" w:rsidRPr="00F53504" w:rsidRDefault="004A422E" w:rsidP="004A422E">
      <w:pPr>
        <w:pStyle w:val="Quote"/>
        <w:rPr>
          <w:lang w:val="en-AU"/>
        </w:rPr>
      </w:pPr>
      <w:r w:rsidRPr="00F53504">
        <w:rPr>
          <w:lang w:val="en-AU"/>
        </w:rPr>
        <w:t xml:space="preserve">“Me myself, no. I </w:t>
      </w:r>
      <w:proofErr w:type="gramStart"/>
      <w:r w:rsidRPr="00F53504">
        <w:rPr>
          <w:lang w:val="en-AU"/>
        </w:rPr>
        <w:t>wouldn’t</w:t>
      </w:r>
      <w:proofErr w:type="gramEnd"/>
      <w:r w:rsidRPr="00F53504">
        <w:rPr>
          <w:lang w:val="en-AU"/>
        </w:rPr>
        <w:t xml:space="preserve"> have been able to on my own. I would have to go to family members which I do not like but I would have found some way to get myself here if I really wanted it.”</w:t>
      </w:r>
    </w:p>
    <w:p w14:paraId="3AD088FF" w14:textId="77777777" w:rsidR="004A422E" w:rsidRPr="00F53504" w:rsidRDefault="004A422E" w:rsidP="004A422E">
      <w:pPr>
        <w:pStyle w:val="Quoteattribution"/>
      </w:pPr>
      <w:r w:rsidRPr="00F53504">
        <w:t>Female, 40s, from regional area, to regional area</w:t>
      </w:r>
    </w:p>
    <w:p w14:paraId="6D2476E6" w14:textId="77777777" w:rsidR="004A422E" w:rsidRPr="00F53504" w:rsidRDefault="004A422E" w:rsidP="004A422E">
      <w:pPr>
        <w:pStyle w:val="Heading3"/>
      </w:pPr>
      <w:r w:rsidRPr="00F53504">
        <w:t xml:space="preserve">Social </w:t>
      </w:r>
      <w:r w:rsidR="00423440" w:rsidRPr="00F53504">
        <w:t xml:space="preserve">support </w:t>
      </w:r>
      <w:r w:rsidRPr="00F53504">
        <w:t xml:space="preserve">networks </w:t>
      </w:r>
    </w:p>
    <w:p w14:paraId="2AF254B6" w14:textId="107EA783" w:rsidR="004A422E" w:rsidRPr="00F53504" w:rsidRDefault="00330CF6" w:rsidP="004A422E">
      <w:r w:rsidRPr="00F53504">
        <w:t>R</w:t>
      </w:r>
      <w:r w:rsidR="004A422E" w:rsidRPr="00F53504">
        <w:t xml:space="preserve">elocation </w:t>
      </w:r>
      <w:r w:rsidR="00FA6FC9" w:rsidRPr="00F53504">
        <w:t>was</w:t>
      </w:r>
      <w:r w:rsidR="004A422E" w:rsidRPr="00F53504">
        <w:t xml:space="preserve"> problematic for job seekers who did not have family members or other connections </w:t>
      </w:r>
      <w:r w:rsidR="00FA6FC9" w:rsidRPr="00F53504">
        <w:t xml:space="preserve">to provide social support </w:t>
      </w:r>
      <w:r w:rsidRPr="00F53504">
        <w:t xml:space="preserve">(see Section </w:t>
      </w:r>
      <w:r w:rsidR="00583874" w:rsidRPr="00F53504">
        <w:fldChar w:fldCharType="begin"/>
      </w:r>
      <w:r w:rsidR="00583874" w:rsidRPr="00F53504">
        <w:instrText xml:space="preserve"> REF _Ref455478030 \r \h </w:instrText>
      </w:r>
      <w:r w:rsidR="00583874" w:rsidRPr="00F53504">
        <w:fldChar w:fldCharType="separate"/>
      </w:r>
      <w:r w:rsidR="00AA36FE">
        <w:t>3.8.2</w:t>
      </w:r>
      <w:r w:rsidR="00583874" w:rsidRPr="00F53504">
        <w:fldChar w:fldCharType="end"/>
      </w:r>
      <w:r w:rsidR="00583874" w:rsidRPr="00F53504">
        <w:t>)</w:t>
      </w:r>
      <w:r w:rsidR="004A422E" w:rsidRPr="00F53504">
        <w:t xml:space="preserve">. </w:t>
      </w:r>
      <w:r w:rsidR="006A4F55" w:rsidRPr="00F53504">
        <w:t>T</w:t>
      </w:r>
      <w:r w:rsidR="004A422E" w:rsidRPr="00F53504">
        <w:t>hose relocating to areas where they had some existing social connections (</w:t>
      </w:r>
      <w:r w:rsidR="00D479B4">
        <w:t xml:space="preserve">for example </w:t>
      </w:r>
      <w:r w:rsidR="004A422E" w:rsidRPr="00F53504">
        <w:t xml:space="preserve">friends or family) or at least a degree of familiarity with the area (perhaps having lived there before) tended to </w:t>
      </w:r>
      <w:proofErr w:type="gramStart"/>
      <w:r w:rsidR="004A422E" w:rsidRPr="00F53504">
        <w:t>be better connected</w:t>
      </w:r>
      <w:proofErr w:type="gramEnd"/>
      <w:r w:rsidR="004A422E" w:rsidRPr="00F53504">
        <w:t xml:space="preserve"> when they relocated. They were able to stay with friends or family on arrival, giving them time to better assess the local housing market to </w:t>
      </w:r>
      <w:r w:rsidR="00FA6FC9" w:rsidRPr="00F53504">
        <w:t xml:space="preserve">find suitable and affordable </w:t>
      </w:r>
      <w:r w:rsidR="000F7D2F" w:rsidRPr="00F53504">
        <w:t>accommodation</w:t>
      </w:r>
      <w:r w:rsidR="004A422E" w:rsidRPr="00F53504">
        <w:t>. Those who were relocating to an area familiar to them were in a position to target their search for accommodation in specific suburbs or regions they knew they liked and could afford.</w:t>
      </w:r>
    </w:p>
    <w:p w14:paraId="2DA88709" w14:textId="77777777" w:rsidR="004A422E" w:rsidRPr="00F53504" w:rsidRDefault="004A422E" w:rsidP="004A422E">
      <w:pPr>
        <w:pStyle w:val="Quote"/>
        <w:rPr>
          <w:lang w:val="en-AU"/>
        </w:rPr>
      </w:pPr>
      <w:r w:rsidRPr="00F53504">
        <w:rPr>
          <w:lang w:val="en-AU"/>
        </w:rPr>
        <w:t xml:space="preserve">“And the </w:t>
      </w:r>
      <w:proofErr w:type="gramStart"/>
      <w:r w:rsidRPr="00F53504">
        <w:rPr>
          <w:lang w:val="en-AU"/>
        </w:rPr>
        <w:t>family,</w:t>
      </w:r>
      <w:proofErr w:type="gramEnd"/>
      <w:r w:rsidRPr="00F53504">
        <w:rPr>
          <w:lang w:val="en-AU"/>
        </w:rPr>
        <w:t xml:space="preserve"> and my family’s going to be there pretty much. If my family wasn’t there I wouldn’t have even thought about moving.”</w:t>
      </w:r>
    </w:p>
    <w:p w14:paraId="35513199" w14:textId="77777777" w:rsidR="004A422E" w:rsidRPr="00F53504" w:rsidRDefault="004A422E" w:rsidP="004A422E">
      <w:pPr>
        <w:pStyle w:val="Quoteattribution"/>
      </w:pPr>
      <w:r w:rsidRPr="00F53504">
        <w:t>Female, 20s, from regional area, to capital city</w:t>
      </w:r>
    </w:p>
    <w:p w14:paraId="06E87F72" w14:textId="77777777" w:rsidR="00167FD8" w:rsidRPr="00F53504" w:rsidRDefault="00167FD8" w:rsidP="00167FD8">
      <w:pPr>
        <w:pStyle w:val="Quote"/>
        <w:rPr>
          <w:lang w:val="en-AU"/>
        </w:rPr>
      </w:pPr>
      <w:r w:rsidRPr="00F53504">
        <w:rPr>
          <w:lang w:val="en-AU"/>
        </w:rPr>
        <w:t xml:space="preserve">"Yeah I have [FAMILY] that lives up there. I was going to stay with [FAMILY] until I got a place ... Oh pretty much the </w:t>
      </w:r>
      <w:proofErr w:type="gramStart"/>
      <w:r w:rsidRPr="00F53504">
        <w:rPr>
          <w:lang w:val="en-AU"/>
        </w:rPr>
        <w:t>main,</w:t>
      </w:r>
      <w:proofErr w:type="gramEnd"/>
      <w:r w:rsidRPr="00F53504">
        <w:rPr>
          <w:lang w:val="en-AU"/>
        </w:rPr>
        <w:t xml:space="preserve"> it was a big reason because I would have nowhere to stay. I just </w:t>
      </w:r>
      <w:proofErr w:type="gramStart"/>
      <w:r w:rsidRPr="00F53504">
        <w:rPr>
          <w:lang w:val="en-AU"/>
        </w:rPr>
        <w:t>don’t</w:t>
      </w:r>
      <w:proofErr w:type="gramEnd"/>
      <w:r w:rsidRPr="00F53504">
        <w:rPr>
          <w:lang w:val="en-AU"/>
        </w:rPr>
        <w:t xml:space="preserve"> have the money as I haven’t been working. Accommodation and the airfares and everything </w:t>
      </w:r>
      <w:proofErr w:type="gramStart"/>
      <w:r w:rsidRPr="00F53504">
        <w:rPr>
          <w:lang w:val="en-AU"/>
        </w:rPr>
        <w:t>else, that</w:t>
      </w:r>
      <w:proofErr w:type="gramEnd"/>
      <w:r w:rsidRPr="00F53504">
        <w:rPr>
          <w:lang w:val="en-AU"/>
        </w:rPr>
        <w:t xml:space="preserve"> was a big help or will be a big help."</w:t>
      </w:r>
    </w:p>
    <w:p w14:paraId="206DE91F" w14:textId="77777777" w:rsidR="00167FD8" w:rsidRPr="00F53504" w:rsidRDefault="00167FD8" w:rsidP="00167FD8">
      <w:pPr>
        <w:pStyle w:val="Quoteattribution"/>
      </w:pPr>
      <w:r w:rsidRPr="00F53504">
        <w:t>Male, 30s, from regional area, to capital city</w:t>
      </w:r>
    </w:p>
    <w:p w14:paraId="33950049" w14:textId="77777777" w:rsidR="004A422E" w:rsidRPr="00F53504" w:rsidRDefault="004A422E" w:rsidP="00167FD8">
      <w:r w:rsidRPr="00F53504">
        <w:t>Making friends and establishing new social networks also contributed towards a successful relocation.</w:t>
      </w:r>
    </w:p>
    <w:p w14:paraId="7638C8EF" w14:textId="77777777" w:rsidR="004A422E" w:rsidRPr="00F53504" w:rsidRDefault="004A422E" w:rsidP="004A422E">
      <w:pPr>
        <w:pStyle w:val="Quote"/>
        <w:rPr>
          <w:lang w:val="en-AU"/>
        </w:rPr>
      </w:pPr>
      <w:r w:rsidRPr="00F53504">
        <w:rPr>
          <w:lang w:val="en-AU"/>
        </w:rPr>
        <w:t xml:space="preserve">“Yeah, they sometimes have after work functions, you know, drinks, you know, they’ll go to dinner sometimes together and they’ll always invite me. </w:t>
      </w:r>
      <w:proofErr w:type="gramStart"/>
      <w:r w:rsidRPr="00F53504">
        <w:rPr>
          <w:lang w:val="en-AU"/>
        </w:rPr>
        <w:t>So</w:t>
      </w:r>
      <w:proofErr w:type="gramEnd"/>
      <w:r w:rsidRPr="00F53504">
        <w:rPr>
          <w:lang w:val="en-AU"/>
        </w:rPr>
        <w:t xml:space="preserve"> it’s not just settling in with the work, it’s settling in with the people which is really nice and we always talk to each other about how weekends were, what we do in the evenings. We’ve </w:t>
      </w:r>
      <w:proofErr w:type="gramStart"/>
      <w:r w:rsidRPr="00F53504">
        <w:rPr>
          <w:lang w:val="en-AU"/>
        </w:rPr>
        <w:t>sort of</w:t>
      </w:r>
      <w:proofErr w:type="gramEnd"/>
      <w:r w:rsidR="00950C72" w:rsidRPr="00F53504">
        <w:rPr>
          <w:lang w:val="en-AU"/>
        </w:rPr>
        <w:t xml:space="preserve"> really got to know each other</w:t>
      </w:r>
      <w:r w:rsidRPr="00F53504">
        <w:rPr>
          <w:lang w:val="en-AU"/>
        </w:rPr>
        <w:t>, our families, where we’re originally from, all of that sort of stuff. That really helped as well. Not just being abl</w:t>
      </w:r>
      <w:r w:rsidR="00583874" w:rsidRPr="00F53504">
        <w:rPr>
          <w:lang w:val="en-AU"/>
        </w:rPr>
        <w:t>e to approach them for work-</w:t>
      </w:r>
      <w:r w:rsidRPr="00F53504">
        <w:rPr>
          <w:lang w:val="en-AU"/>
        </w:rPr>
        <w:t xml:space="preserve">related questions but to be able to go and talk to them just about general day to day things, yeah, that helped a lot.” </w:t>
      </w:r>
    </w:p>
    <w:p w14:paraId="7B815F8C" w14:textId="77777777" w:rsidR="004A422E" w:rsidRPr="00F53504" w:rsidRDefault="004A422E" w:rsidP="004A422E">
      <w:pPr>
        <w:pStyle w:val="Quoteattribution"/>
      </w:pPr>
      <w:r w:rsidRPr="00F53504">
        <w:t>Female, 20s, from regional area</w:t>
      </w:r>
      <w:r w:rsidR="00CD549C" w:rsidRPr="00F53504">
        <w:t>,</w:t>
      </w:r>
      <w:r w:rsidRPr="00F53504">
        <w:t xml:space="preserve"> to capital city</w:t>
      </w:r>
    </w:p>
    <w:p w14:paraId="2D3B7F43" w14:textId="77777777" w:rsidR="00950C72" w:rsidRPr="00F53504" w:rsidRDefault="00950C72" w:rsidP="00950C72">
      <w:pPr>
        <w:pStyle w:val="Quote"/>
        <w:rPr>
          <w:lang w:val="en-AU"/>
        </w:rPr>
      </w:pPr>
      <w:r w:rsidRPr="00F53504">
        <w:rPr>
          <w:lang w:val="en-AU"/>
        </w:rPr>
        <w:t xml:space="preserve">“The organisation made it easy to be assimilating to the [LOCATION] and I just had to do the leg work though which is the same with everyone. I had to go and approach them. </w:t>
      </w:r>
      <w:proofErr w:type="gramStart"/>
      <w:r w:rsidRPr="00F53504">
        <w:rPr>
          <w:lang w:val="en-AU"/>
        </w:rPr>
        <w:t>So</w:t>
      </w:r>
      <w:proofErr w:type="gramEnd"/>
      <w:r w:rsidRPr="00F53504">
        <w:rPr>
          <w:lang w:val="en-AU"/>
        </w:rPr>
        <w:t xml:space="preserve"> that was good </w:t>
      </w:r>
      <w:r w:rsidRPr="00F53504">
        <w:rPr>
          <w:lang w:val="en-AU"/>
        </w:rPr>
        <w:lastRenderedPageBreak/>
        <w:t xml:space="preserve">to touch base with the local people and the local community. Being actively involved in the community has made a big difference for anyone when you come into [LOCATION]... </w:t>
      </w:r>
      <w:proofErr w:type="gramStart"/>
      <w:r w:rsidRPr="00F53504">
        <w:rPr>
          <w:lang w:val="en-AU"/>
        </w:rPr>
        <w:t>So</w:t>
      </w:r>
      <w:proofErr w:type="gramEnd"/>
      <w:r w:rsidRPr="00F53504">
        <w:rPr>
          <w:lang w:val="en-AU"/>
        </w:rPr>
        <w:t xml:space="preserve"> it’s not the weather and it’s not the environment. </w:t>
      </w:r>
      <w:proofErr w:type="gramStart"/>
      <w:r w:rsidRPr="00F53504">
        <w:rPr>
          <w:lang w:val="en-AU"/>
        </w:rPr>
        <w:t>It’s</w:t>
      </w:r>
      <w:proofErr w:type="gramEnd"/>
      <w:r w:rsidRPr="00F53504">
        <w:rPr>
          <w:lang w:val="en-AU"/>
        </w:rPr>
        <w:t xml:space="preserve"> the people. The atmosphere of [LOCATION]...”</w:t>
      </w:r>
    </w:p>
    <w:p w14:paraId="5E8DFB7D" w14:textId="77777777" w:rsidR="00950C72" w:rsidRPr="00F53504" w:rsidRDefault="00950C72" w:rsidP="00950C72">
      <w:pPr>
        <w:pStyle w:val="Quoteattribution"/>
      </w:pPr>
      <w:r w:rsidRPr="00F53504">
        <w:t>Female, 50s, from capital city, to regional area</w:t>
      </w:r>
    </w:p>
    <w:p w14:paraId="07F5D590" w14:textId="7E363D60" w:rsidR="004A422E" w:rsidRPr="00F53504" w:rsidRDefault="00B670A0" w:rsidP="004A422E">
      <w:pPr>
        <w:pStyle w:val="Heading3"/>
      </w:pPr>
      <w:r>
        <w:t>Quality j</w:t>
      </w:r>
      <w:r w:rsidR="004A422E" w:rsidRPr="00F53504">
        <w:t>ob matching</w:t>
      </w:r>
    </w:p>
    <w:p w14:paraId="7D0E9F0B" w14:textId="095F6CB1" w:rsidR="004A422E" w:rsidRPr="00F53504" w:rsidRDefault="00B670A0" w:rsidP="004A422E">
      <w:r>
        <w:t>The quality of the job match</w:t>
      </w:r>
      <w:r w:rsidR="00A604AE">
        <w:t>, in the job seeker’s opinion,</w:t>
      </w:r>
      <w:r w:rsidR="004A422E" w:rsidRPr="00F53504">
        <w:t xml:space="preserve"> was </w:t>
      </w:r>
      <w:r w:rsidR="00442A96" w:rsidRPr="00F53504">
        <w:t xml:space="preserve">an </w:t>
      </w:r>
      <w:r w:rsidR="004A422E" w:rsidRPr="00F53504">
        <w:t xml:space="preserve">important factor for successful relocation and sustaining employment post relocation. Interviews with </w:t>
      </w:r>
      <w:r w:rsidR="00AD486E" w:rsidRPr="00F53504">
        <w:t>participant</w:t>
      </w:r>
      <w:r w:rsidR="004A422E" w:rsidRPr="00F53504">
        <w:t xml:space="preserve">s both shortly after they moved and within three to four months after their relocation, showed that the degree to which the job aligned with their skills, experience and expectations had a significant impact on their broader mental well-being and desire to remain in the job. Typically, the more engaged and happy they were in the new job, the more positive their outlook in relation to </w:t>
      </w:r>
      <w:r w:rsidR="0041378D" w:rsidRPr="00F53504">
        <w:t>RATTUAJ</w:t>
      </w:r>
      <w:r w:rsidR="004A422E" w:rsidRPr="00F53504">
        <w:t xml:space="preserve"> and their decision to relocate. Many reported feeling happy and proud to be applying their skills a</w:t>
      </w:r>
      <w:r w:rsidR="0084750B">
        <w:t>nd abilities in their new jobs.</w:t>
      </w:r>
    </w:p>
    <w:p w14:paraId="34F86FDE" w14:textId="64D80060" w:rsidR="004A422E" w:rsidRPr="00F53504" w:rsidRDefault="004A422E" w:rsidP="004A422E">
      <w:pPr>
        <w:pStyle w:val="Quote"/>
        <w:rPr>
          <w:lang w:val="en-AU"/>
        </w:rPr>
      </w:pPr>
      <w:r w:rsidRPr="00F53504">
        <w:rPr>
          <w:lang w:val="en-AU"/>
        </w:rPr>
        <w:t>“</w:t>
      </w:r>
      <w:r w:rsidR="00F65436">
        <w:rPr>
          <w:lang w:val="en-AU"/>
        </w:rPr>
        <w:t>...</w:t>
      </w:r>
      <w:r w:rsidRPr="00F53504">
        <w:rPr>
          <w:lang w:val="en-AU"/>
        </w:rPr>
        <w:t xml:space="preserve"> I think </w:t>
      </w:r>
      <w:proofErr w:type="gramStart"/>
      <w:r w:rsidRPr="00F53504">
        <w:rPr>
          <w:lang w:val="en-AU"/>
        </w:rPr>
        <w:t>it’s</w:t>
      </w:r>
      <w:proofErr w:type="gramEnd"/>
      <w:r w:rsidRPr="00F53504">
        <w:rPr>
          <w:lang w:val="en-AU"/>
        </w:rPr>
        <w:t xml:space="preserve"> very, very important [to have a job that matches one’s skills and training]</w:t>
      </w:r>
      <w:r w:rsidR="00F65436">
        <w:rPr>
          <w:lang w:val="en-AU"/>
        </w:rPr>
        <w:t>...</w:t>
      </w:r>
      <w:r w:rsidRPr="00F53504">
        <w:rPr>
          <w:lang w:val="en-AU"/>
        </w:rPr>
        <w:t xml:space="preserve"> I think you always feel happier in yourself if you’re doing the job you really like and you’re doing a good job of that job, you always feel better in yourself.”</w:t>
      </w:r>
    </w:p>
    <w:p w14:paraId="39E86FB1" w14:textId="77777777" w:rsidR="004A422E" w:rsidRPr="00F53504" w:rsidRDefault="004A422E" w:rsidP="004A422E">
      <w:pPr>
        <w:pStyle w:val="Quoteattribution"/>
        <w:rPr>
          <w:i/>
        </w:rPr>
      </w:pPr>
      <w:r w:rsidRPr="00F53504">
        <w:rPr>
          <w:i/>
        </w:rPr>
        <w:t>Male, 60s</w:t>
      </w:r>
      <w:r w:rsidRPr="00F53504">
        <w:t>, from capital city, to regional area</w:t>
      </w:r>
    </w:p>
    <w:p w14:paraId="25119D30" w14:textId="61609236" w:rsidR="004A422E" w:rsidRPr="00F53504" w:rsidRDefault="004A422E" w:rsidP="004A422E">
      <w:pPr>
        <w:pStyle w:val="Quote"/>
        <w:rPr>
          <w:lang w:val="en-AU"/>
        </w:rPr>
      </w:pPr>
      <w:r w:rsidRPr="00F53504">
        <w:rPr>
          <w:lang w:val="en-AU"/>
        </w:rPr>
        <w:t>“Very, very important; you’ve got to be happy. You’ve got to be happy in your job and if you don’t get the right job, you’re not g</w:t>
      </w:r>
      <w:r w:rsidR="003A093B">
        <w:rPr>
          <w:lang w:val="en-AU"/>
        </w:rPr>
        <w:t>oing to stick around, are you?”</w:t>
      </w:r>
    </w:p>
    <w:p w14:paraId="2FC803A5" w14:textId="77777777" w:rsidR="004A422E" w:rsidRPr="00F53504" w:rsidRDefault="004A422E" w:rsidP="004A422E">
      <w:pPr>
        <w:pStyle w:val="Quoteattribution"/>
      </w:pPr>
      <w:r w:rsidRPr="00F53504">
        <w:t>Male, 60s, from regional area, to regional area</w:t>
      </w:r>
    </w:p>
    <w:p w14:paraId="2740962D" w14:textId="2ABACA7F" w:rsidR="004A422E" w:rsidRPr="00F53504" w:rsidRDefault="004A422E" w:rsidP="004A422E">
      <w:pPr>
        <w:pStyle w:val="Quote"/>
        <w:rPr>
          <w:lang w:val="en-AU"/>
        </w:rPr>
      </w:pPr>
      <w:r w:rsidRPr="00F53504">
        <w:rPr>
          <w:lang w:val="en-AU"/>
        </w:rPr>
        <w:t>“</w:t>
      </w:r>
      <w:r w:rsidR="00F65436">
        <w:rPr>
          <w:lang w:val="en-AU"/>
        </w:rPr>
        <w:t>...</w:t>
      </w:r>
      <w:r w:rsidRPr="00F53504">
        <w:rPr>
          <w:lang w:val="en-AU"/>
        </w:rPr>
        <w:t xml:space="preserve"> it’s not always about the location it’s just about the actual work I’m doing and with the company I’m working with that made me sort of feel comfortable</w:t>
      </w:r>
      <w:r w:rsidR="003A093B">
        <w:rPr>
          <w:lang w:val="en-AU"/>
        </w:rPr>
        <w:t xml:space="preserve"> with the decision to do this.”</w:t>
      </w:r>
    </w:p>
    <w:p w14:paraId="73CE0FE4" w14:textId="77777777" w:rsidR="004A422E" w:rsidRPr="00F53504" w:rsidRDefault="004A422E" w:rsidP="004A422E">
      <w:pPr>
        <w:pStyle w:val="Quoteattribution"/>
      </w:pPr>
      <w:r w:rsidRPr="00F53504">
        <w:t>Male, 40s, from regional area, to capital city</w:t>
      </w:r>
    </w:p>
    <w:p w14:paraId="43448BF9" w14:textId="4EAA0F0C" w:rsidR="00E6484F" w:rsidRPr="00F53504" w:rsidRDefault="00E6484F" w:rsidP="00E6484F">
      <w:r w:rsidRPr="00F53504">
        <w:t xml:space="preserve">See Section </w:t>
      </w:r>
      <w:r w:rsidRPr="00F53504">
        <w:fldChar w:fldCharType="begin"/>
      </w:r>
      <w:r w:rsidRPr="00F53504">
        <w:instrText xml:space="preserve"> REF _Ref459120990 \r \h </w:instrText>
      </w:r>
      <w:r w:rsidRPr="00F53504">
        <w:fldChar w:fldCharType="separate"/>
      </w:r>
      <w:r w:rsidR="00AA36FE">
        <w:t>3.5</w:t>
      </w:r>
      <w:r w:rsidRPr="00F53504">
        <w:fldChar w:fldCharType="end"/>
      </w:r>
      <w:r w:rsidRPr="00F53504">
        <w:t xml:space="preserve"> for further discussion on the importance of job matching to successful relocation and sustained employment.</w:t>
      </w:r>
    </w:p>
    <w:p w14:paraId="37BAA9E5" w14:textId="77777777" w:rsidR="004A422E" w:rsidRPr="00F53504" w:rsidRDefault="00292335" w:rsidP="004A422E">
      <w:pPr>
        <w:pStyle w:val="Heading3"/>
      </w:pPr>
      <w:r w:rsidRPr="00F53504">
        <w:t xml:space="preserve">A </w:t>
      </w:r>
      <w:r w:rsidR="00132AC9" w:rsidRPr="00F53504">
        <w:t>“</w:t>
      </w:r>
      <w:r w:rsidRPr="00F53504">
        <w:t>fresh start</w:t>
      </w:r>
      <w:r w:rsidR="00132AC9" w:rsidRPr="00F53504">
        <w:t>”</w:t>
      </w:r>
    </w:p>
    <w:p w14:paraId="0F149940" w14:textId="32AFE52F" w:rsidR="004A422E" w:rsidRPr="00F53504" w:rsidRDefault="004A422E" w:rsidP="004A422E">
      <w:r w:rsidRPr="00F53504">
        <w:t xml:space="preserve">Some participants reported that they would have been willing to relocate for ‘any job’ rather than staying in the same location and remaining unemployed. For this small group, this mindset </w:t>
      </w:r>
      <w:proofErr w:type="gramStart"/>
      <w:r w:rsidRPr="00F53504">
        <w:t>was underpinned</w:t>
      </w:r>
      <w:proofErr w:type="gramEnd"/>
      <w:r w:rsidRPr="00F53504">
        <w:t xml:space="preserve"> by either a significant frustration at the inability to secure work in their current location, or a desire to break a negative lifestyle for a ‘fresh start’ elsewhere. These participants typically had fewer ties to their immediate location (</w:t>
      </w:r>
      <w:r w:rsidR="00D479B4">
        <w:t>for example</w:t>
      </w:r>
      <w:r w:rsidRPr="00F53504">
        <w:t xml:space="preserve"> they were single, or they had no children, they were older, or their chi</w:t>
      </w:r>
      <w:r w:rsidR="0084750B">
        <w:t>ldren were independent adults).</w:t>
      </w:r>
    </w:p>
    <w:p w14:paraId="2447E4AC" w14:textId="77777777" w:rsidR="004A422E" w:rsidRPr="00F53504" w:rsidRDefault="004A422E" w:rsidP="004A422E">
      <w:pPr>
        <w:pStyle w:val="Quote"/>
        <w:rPr>
          <w:lang w:val="en-AU"/>
        </w:rPr>
      </w:pPr>
      <w:r w:rsidRPr="00F53504">
        <w:rPr>
          <w:lang w:val="en-AU"/>
        </w:rPr>
        <w:t xml:space="preserve">“It’s just getting out of my comfort zone and just going ahead and just do what I’ve got to do. Sometimes it’s good to get out of our comfort zones.” </w:t>
      </w:r>
    </w:p>
    <w:p w14:paraId="751C6BB4" w14:textId="77777777" w:rsidR="004A422E" w:rsidRPr="00F53504" w:rsidRDefault="004A422E" w:rsidP="004A422E">
      <w:pPr>
        <w:pStyle w:val="Quoteattribution"/>
      </w:pPr>
      <w:r w:rsidRPr="00F53504">
        <w:t>Female, 40s, from regional area, to regional area</w:t>
      </w:r>
    </w:p>
    <w:p w14:paraId="5E5CD4B2" w14:textId="77777777" w:rsidR="004A422E" w:rsidRPr="00F53504" w:rsidRDefault="004A422E" w:rsidP="004A422E">
      <w:pPr>
        <w:pStyle w:val="Quote"/>
        <w:rPr>
          <w:lang w:val="en-AU"/>
        </w:rPr>
      </w:pPr>
      <w:r w:rsidRPr="00F53504">
        <w:rPr>
          <w:lang w:val="en-AU"/>
        </w:rPr>
        <w:t>“The help that it</w:t>
      </w:r>
      <w:r w:rsidR="00653C2F" w:rsidRPr="00F53504">
        <w:rPr>
          <w:lang w:val="en-AU"/>
        </w:rPr>
        <w:t xml:space="preserve"> [financial assistance]</w:t>
      </w:r>
      <w:r w:rsidRPr="00F53504">
        <w:rPr>
          <w:lang w:val="en-AU"/>
        </w:rPr>
        <w:t xml:space="preserve"> could give you and the fact that you can start life again. Be back into the world of living, but you’ve got to be willing to make the step and with the help.” </w:t>
      </w:r>
    </w:p>
    <w:p w14:paraId="2A5897B1" w14:textId="77777777" w:rsidR="004A422E" w:rsidRPr="00F53504" w:rsidRDefault="004A422E" w:rsidP="004A422E">
      <w:pPr>
        <w:pStyle w:val="Quoteattribution"/>
      </w:pPr>
      <w:r w:rsidRPr="00F53504">
        <w:t>Male, 50s, from regional area, to capital city</w:t>
      </w:r>
    </w:p>
    <w:p w14:paraId="23C031C7" w14:textId="77777777" w:rsidR="004A422E" w:rsidRPr="00F53504" w:rsidRDefault="004A422E" w:rsidP="00485069">
      <w:pPr>
        <w:pStyle w:val="Quote"/>
        <w:rPr>
          <w:lang w:val="en-AU"/>
        </w:rPr>
      </w:pPr>
      <w:r w:rsidRPr="00F53504">
        <w:rPr>
          <w:lang w:val="en-AU"/>
        </w:rPr>
        <w:lastRenderedPageBreak/>
        <w:t xml:space="preserve">“That’s it’s not just a walk in a park. You have to really put your head down and commit to it. </w:t>
      </w:r>
      <w:proofErr w:type="gramStart"/>
      <w:r w:rsidRPr="00F53504">
        <w:rPr>
          <w:lang w:val="en-AU"/>
        </w:rPr>
        <w:t>It’s</w:t>
      </w:r>
      <w:proofErr w:type="gramEnd"/>
      <w:r w:rsidRPr="00F53504">
        <w:rPr>
          <w:lang w:val="en-AU"/>
        </w:rPr>
        <w:t xml:space="preserve"> not just a little holiday. </w:t>
      </w:r>
      <w:proofErr w:type="gramStart"/>
      <w:r w:rsidRPr="00F53504">
        <w:rPr>
          <w:lang w:val="en-AU"/>
        </w:rPr>
        <w:t>It’s</w:t>
      </w:r>
      <w:proofErr w:type="gramEnd"/>
      <w:r w:rsidRPr="00F53504">
        <w:rPr>
          <w:lang w:val="en-AU"/>
        </w:rPr>
        <w:t xml:space="preserve"> your job to provide other people with [JOB TYPE]. All those things I sort of knew but I wasn’t really – I’m still very </w:t>
      </w:r>
      <w:proofErr w:type="spellStart"/>
      <w:r w:rsidRPr="00F53504">
        <w:rPr>
          <w:lang w:val="en-AU"/>
        </w:rPr>
        <w:t>very</w:t>
      </w:r>
      <w:proofErr w:type="spellEnd"/>
      <w:r w:rsidRPr="00F53504">
        <w:rPr>
          <w:lang w:val="en-AU"/>
        </w:rPr>
        <w:t xml:space="preserve"> immature.” </w:t>
      </w:r>
    </w:p>
    <w:p w14:paraId="1F4255EB" w14:textId="77777777" w:rsidR="004A422E" w:rsidRPr="00F53504" w:rsidRDefault="004A422E" w:rsidP="00485069">
      <w:pPr>
        <w:pStyle w:val="Quoteattribution"/>
      </w:pPr>
      <w:r w:rsidRPr="00F53504">
        <w:t>Male, 20s, from regional area, to regional area</w:t>
      </w:r>
    </w:p>
    <w:p w14:paraId="4EE6DBCE" w14:textId="77777777" w:rsidR="004A422E" w:rsidRPr="00F53504" w:rsidRDefault="004A422E" w:rsidP="004A422E">
      <w:pPr>
        <w:pStyle w:val="Heading3"/>
      </w:pPr>
      <w:bookmarkStart w:id="79" w:name="_Ref455585356"/>
      <w:bookmarkStart w:id="80" w:name="_Ref482797176"/>
      <w:r w:rsidRPr="00F53504">
        <w:t xml:space="preserve">Support from </w:t>
      </w:r>
      <w:bookmarkEnd w:id="79"/>
      <w:r w:rsidR="00B36A3A" w:rsidRPr="00F53504">
        <w:t>providers</w:t>
      </w:r>
      <w:bookmarkEnd w:id="80"/>
    </w:p>
    <w:p w14:paraId="098B59F6" w14:textId="45FDB046" w:rsidR="004A422E" w:rsidRPr="00F53504" w:rsidRDefault="004A422E" w:rsidP="004A422E">
      <w:r w:rsidRPr="00F53504">
        <w:t xml:space="preserve">The interactions participants </w:t>
      </w:r>
      <w:r w:rsidR="00EE0EA1" w:rsidRPr="00F53504">
        <w:t>had</w:t>
      </w:r>
      <w:r w:rsidRPr="00F53504">
        <w:t xml:space="preserve"> with their providers in accessing the </w:t>
      </w:r>
      <w:r w:rsidR="004F68D9" w:rsidRPr="00F53504">
        <w:t>program</w:t>
      </w:r>
      <w:r w:rsidRPr="00F53504">
        <w:t xml:space="preserve"> had an important impact on their perceptions of relocation, and </w:t>
      </w:r>
      <w:r w:rsidR="004A0F97" w:rsidRPr="00F53504">
        <w:t xml:space="preserve">on </w:t>
      </w:r>
      <w:r w:rsidRPr="00F53504">
        <w:t xml:space="preserve">the ability of participants to integrate </w:t>
      </w:r>
      <w:r w:rsidR="006A4F55" w:rsidRPr="00F53504">
        <w:t xml:space="preserve">successfully </w:t>
      </w:r>
      <w:r w:rsidRPr="00F53504">
        <w:t xml:space="preserve">into their new locations. Beyond the immediate financial assistance </w:t>
      </w:r>
      <w:r w:rsidR="00D226EF">
        <w:t>provided by</w:t>
      </w:r>
      <w:r w:rsidR="00D226EF" w:rsidRPr="00F53504">
        <w:t xml:space="preserve"> </w:t>
      </w:r>
      <w:r w:rsidRPr="00F53504">
        <w:t xml:space="preserve">the </w:t>
      </w:r>
      <w:r w:rsidR="004F68D9" w:rsidRPr="00F53504">
        <w:t>program</w:t>
      </w:r>
      <w:r w:rsidRPr="00F53504">
        <w:t xml:space="preserve">, it appeared that providers </w:t>
      </w:r>
      <w:r w:rsidR="004A0F97" w:rsidRPr="00F53504">
        <w:t xml:space="preserve">had </w:t>
      </w:r>
      <w:r w:rsidRPr="00F53504">
        <w:t>varying interpretations of ‘</w:t>
      </w:r>
      <w:r w:rsidR="00A30762" w:rsidRPr="00F53504">
        <w:t>post-</w:t>
      </w:r>
      <w:r w:rsidRPr="00F53504">
        <w:t xml:space="preserve">placement support.’ Some </w:t>
      </w:r>
      <w:r w:rsidR="00AD486E" w:rsidRPr="00F53504">
        <w:t>participant</w:t>
      </w:r>
      <w:r w:rsidRPr="00F53504">
        <w:t>s reported their providers made contact just to check in with them and made sure they felt supported, which was valued. Others reported having little or no contact with their providers after the move, outside of processing outstanding financial claims.</w:t>
      </w:r>
    </w:p>
    <w:p w14:paraId="4206E9F7" w14:textId="77777777" w:rsidR="00E87EFE" w:rsidRPr="00F53504" w:rsidRDefault="00E87EFE" w:rsidP="00D1734A">
      <w:pPr>
        <w:pStyle w:val="Heading4"/>
      </w:pPr>
      <w:r w:rsidRPr="00F53504">
        <w:t>Pre-relocation support</w:t>
      </w:r>
    </w:p>
    <w:p w14:paraId="1E4A7A08" w14:textId="7B853AD8" w:rsidR="004A422E" w:rsidRPr="00F53504" w:rsidRDefault="00901F10" w:rsidP="004A422E">
      <w:r w:rsidRPr="00F53504">
        <w:t>H</w:t>
      </w:r>
      <w:r w:rsidR="004A422E" w:rsidRPr="00F53504">
        <w:t xml:space="preserve">alf of participants </w:t>
      </w:r>
      <w:r w:rsidR="004A0F97" w:rsidRPr="00F53504">
        <w:t>indicated in their</w:t>
      </w:r>
      <w:r w:rsidR="004A422E" w:rsidRPr="00F53504">
        <w:t xml:space="preserve"> first interview </w:t>
      </w:r>
      <w:r w:rsidR="004A0F97" w:rsidRPr="00F53504">
        <w:t xml:space="preserve">that they </w:t>
      </w:r>
      <w:r w:rsidR="004A422E" w:rsidRPr="00F53504">
        <w:t xml:space="preserve">were pleased with the assistance they received from their providers </w:t>
      </w:r>
      <w:r w:rsidR="004A0F97" w:rsidRPr="00F53504">
        <w:t xml:space="preserve">during </w:t>
      </w:r>
      <w:r w:rsidR="004A422E" w:rsidRPr="00F53504">
        <w:t xml:space="preserve">the </w:t>
      </w:r>
      <w:r w:rsidR="007109C5" w:rsidRPr="00F53504">
        <w:t>relocation</w:t>
      </w:r>
      <w:r w:rsidR="004A422E" w:rsidRPr="00F53504">
        <w:t xml:space="preserve"> process. These participants reported that their providers had worked collaboratively with them in preparing for their move</w:t>
      </w:r>
      <w:r w:rsidR="007109C5" w:rsidRPr="00F53504">
        <w:t>,</w:t>
      </w:r>
      <w:r w:rsidR="004A422E" w:rsidRPr="00F53504">
        <w:t xml:space="preserve"> including examining how </w:t>
      </w:r>
      <w:r w:rsidR="0041378D" w:rsidRPr="00F53504">
        <w:t>RATTUAJ</w:t>
      </w:r>
      <w:r w:rsidR="004A422E" w:rsidRPr="00F53504">
        <w:t xml:space="preserve"> </w:t>
      </w:r>
      <w:proofErr w:type="gramStart"/>
      <w:r w:rsidR="004A422E" w:rsidRPr="00F53504">
        <w:t>could be used</w:t>
      </w:r>
      <w:proofErr w:type="gramEnd"/>
      <w:r w:rsidR="004A422E" w:rsidRPr="00F53504">
        <w:t xml:space="preserve"> to defray relocation related costs and ensuring </w:t>
      </w:r>
      <w:r w:rsidR="006A4F55" w:rsidRPr="00F53504">
        <w:t xml:space="preserve">timely </w:t>
      </w:r>
      <w:r w:rsidR="004A422E" w:rsidRPr="00F53504">
        <w:t xml:space="preserve">reimbursements through the </w:t>
      </w:r>
      <w:r w:rsidR="004F68D9" w:rsidRPr="00F53504">
        <w:t>program</w:t>
      </w:r>
      <w:r w:rsidR="004A422E" w:rsidRPr="00F53504">
        <w:t xml:space="preserve">. Participants who were positive </w:t>
      </w:r>
      <w:r w:rsidR="00290DAA">
        <w:t xml:space="preserve">about </w:t>
      </w:r>
      <w:r w:rsidR="004A422E" w:rsidRPr="00F53504">
        <w:t xml:space="preserve">their experiences with the </w:t>
      </w:r>
      <w:r w:rsidR="004F68D9" w:rsidRPr="00F53504">
        <w:t>program</w:t>
      </w:r>
      <w:r w:rsidR="004A422E" w:rsidRPr="00F53504">
        <w:t xml:space="preserve"> also mentioned how their providers kept them fully informed at each stage of the process and helped address any issues or challenges encountered. It was apparent to </w:t>
      </w:r>
      <w:proofErr w:type="gramStart"/>
      <w:r w:rsidR="004A422E" w:rsidRPr="00F53504">
        <w:t>these</w:t>
      </w:r>
      <w:proofErr w:type="gramEnd"/>
      <w:r w:rsidR="004A422E" w:rsidRPr="00F53504">
        <w:t xml:space="preserve"> participants that the provider’s understanding of the </w:t>
      </w:r>
      <w:r w:rsidR="004F68D9" w:rsidRPr="00F53504">
        <w:t>program</w:t>
      </w:r>
      <w:r w:rsidR="004A422E" w:rsidRPr="00F53504">
        <w:t xml:space="preserve"> was an important factor in ensuring that participants gain</w:t>
      </w:r>
      <w:r w:rsidR="00A30762" w:rsidRPr="00F53504">
        <w:t>ed</w:t>
      </w:r>
      <w:r w:rsidR="004A422E" w:rsidRPr="00F53504">
        <w:t xml:space="preserve"> maximum benefits from the </w:t>
      </w:r>
      <w:r w:rsidR="004F68D9" w:rsidRPr="00F53504">
        <w:t>program</w:t>
      </w:r>
      <w:r w:rsidR="004A422E" w:rsidRPr="00F53504">
        <w:t>.</w:t>
      </w:r>
    </w:p>
    <w:p w14:paraId="2A383B75" w14:textId="0833ABDC" w:rsidR="004A422E" w:rsidRPr="00F53504" w:rsidRDefault="00AD486E" w:rsidP="004A422E">
      <w:r w:rsidRPr="00F53504">
        <w:t>Participant</w:t>
      </w:r>
      <w:r w:rsidR="004A422E" w:rsidRPr="00F53504">
        <w:t xml:space="preserve">s who </w:t>
      </w:r>
      <w:r w:rsidR="00290DAA">
        <w:t xml:space="preserve">were </w:t>
      </w:r>
      <w:r w:rsidR="004A422E" w:rsidRPr="00F53504">
        <w:t>most positive about</w:t>
      </w:r>
      <w:r w:rsidR="00A30762" w:rsidRPr="00F53504">
        <w:t xml:space="preserve"> </w:t>
      </w:r>
      <w:r w:rsidR="0041378D" w:rsidRPr="00F53504">
        <w:t>RATTUAJ</w:t>
      </w:r>
      <w:r w:rsidR="004A422E" w:rsidRPr="00F53504">
        <w:t xml:space="preserve"> also </w:t>
      </w:r>
      <w:r w:rsidR="00290DAA">
        <w:t xml:space="preserve">saw </w:t>
      </w:r>
      <w:r w:rsidR="004A422E" w:rsidRPr="00F53504">
        <w:t>their providers as being an advocate in helping them to relocate and take up a new job su</w:t>
      </w:r>
      <w:r w:rsidR="00B972A8">
        <w:t>ccessfully with minimum stress.</w:t>
      </w:r>
    </w:p>
    <w:p w14:paraId="4A4DB3F9" w14:textId="77777777" w:rsidR="004A422E" w:rsidRPr="00F53504" w:rsidRDefault="004A422E" w:rsidP="004A422E">
      <w:pPr>
        <w:pStyle w:val="Quote"/>
        <w:rPr>
          <w:lang w:val="en-AU"/>
        </w:rPr>
      </w:pPr>
      <w:r w:rsidRPr="00F53504">
        <w:rPr>
          <w:lang w:val="en-AU"/>
        </w:rPr>
        <w:t xml:space="preserve">“It made it really easy because the turnaround time was pretty fast and they wanted a fair bit to happen between me having to relocate and everything else, it just made it possible. It </w:t>
      </w:r>
      <w:proofErr w:type="gramStart"/>
      <w:r w:rsidRPr="00F53504">
        <w:rPr>
          <w:lang w:val="en-AU"/>
        </w:rPr>
        <w:t>didn’t</w:t>
      </w:r>
      <w:proofErr w:type="gramEnd"/>
      <w:r w:rsidRPr="00F53504">
        <w:rPr>
          <w:lang w:val="en-AU"/>
        </w:rPr>
        <w:t xml:space="preserve"> make it easier, it made it possible. </w:t>
      </w:r>
      <w:proofErr w:type="gramStart"/>
      <w:r w:rsidRPr="00F53504">
        <w:rPr>
          <w:lang w:val="en-AU"/>
        </w:rPr>
        <w:t>There’s</w:t>
      </w:r>
      <w:proofErr w:type="gramEnd"/>
      <w:r w:rsidRPr="00F53504">
        <w:rPr>
          <w:lang w:val="en-AU"/>
        </w:rPr>
        <w:t xml:space="preserve"> a big difference because I wouldn’t have been able to do it without their support. I would have had to turn the job down.” </w:t>
      </w:r>
    </w:p>
    <w:p w14:paraId="21FE2157" w14:textId="77777777" w:rsidR="004A422E" w:rsidRPr="00F53504" w:rsidRDefault="004A422E" w:rsidP="004A422E">
      <w:pPr>
        <w:pStyle w:val="Quoteattribution"/>
      </w:pPr>
      <w:r w:rsidRPr="00F53504">
        <w:t>Female, 50s, from capital city, to regional area</w:t>
      </w:r>
    </w:p>
    <w:p w14:paraId="2D51BDD4" w14:textId="4EA394C3" w:rsidR="004A422E" w:rsidRPr="00F53504" w:rsidRDefault="004A422E" w:rsidP="004A422E">
      <w:pPr>
        <w:pStyle w:val="Quote"/>
        <w:rPr>
          <w:lang w:val="en-AU"/>
        </w:rPr>
      </w:pPr>
      <w:r w:rsidRPr="00F53504">
        <w:rPr>
          <w:lang w:val="en-AU"/>
        </w:rPr>
        <w:t xml:space="preserve">“Paid for my flights which made that so much easier coming out here. If someone was to do that all </w:t>
      </w:r>
      <w:proofErr w:type="gramStart"/>
      <w:r w:rsidRPr="00F53504">
        <w:rPr>
          <w:lang w:val="en-AU"/>
        </w:rPr>
        <w:t>themselves</w:t>
      </w:r>
      <w:proofErr w:type="gramEnd"/>
      <w:r w:rsidR="008935E3">
        <w:rPr>
          <w:lang w:val="en-AU"/>
        </w:rPr>
        <w:t>,</w:t>
      </w:r>
      <w:r w:rsidRPr="00F53504">
        <w:rPr>
          <w:lang w:val="en-AU"/>
        </w:rPr>
        <w:t xml:space="preserve"> I couldn’t imagine how their first couple of months would be out here. They were actually very helpful. I couldn’t thank them enough.” </w:t>
      </w:r>
    </w:p>
    <w:p w14:paraId="33EC42D6" w14:textId="77777777" w:rsidR="004A422E" w:rsidRPr="00F53504" w:rsidRDefault="004A422E" w:rsidP="004A422E">
      <w:pPr>
        <w:pStyle w:val="Quoteattribution"/>
      </w:pPr>
      <w:r w:rsidRPr="00F53504">
        <w:t>Male, 20s, from regional area, to regional area</w:t>
      </w:r>
    </w:p>
    <w:p w14:paraId="09CCD6E6" w14:textId="4133A9F3" w:rsidR="004A422E" w:rsidRPr="00F53504" w:rsidRDefault="004A422E" w:rsidP="00D1734A">
      <w:pPr>
        <w:pStyle w:val="Heading4"/>
      </w:pPr>
      <w:r w:rsidRPr="00F53504">
        <w:t>Post-relocation support</w:t>
      </w:r>
    </w:p>
    <w:p w14:paraId="125CF027" w14:textId="27F71A5A" w:rsidR="004A422E" w:rsidRPr="00B034E5" w:rsidRDefault="00A45256" w:rsidP="00B034E5">
      <w:r w:rsidRPr="00B034E5">
        <w:t xml:space="preserve">There was </w:t>
      </w:r>
      <w:r w:rsidR="009F3154" w:rsidRPr="00B034E5">
        <w:t xml:space="preserve">considerable </w:t>
      </w:r>
      <w:r w:rsidRPr="00B034E5">
        <w:t>variation in the level of post-relocation support delivered by providers to participants</w:t>
      </w:r>
      <w:r w:rsidR="00290DAA" w:rsidRPr="00B034E5">
        <w:t>. S</w:t>
      </w:r>
      <w:r w:rsidRPr="00B034E5">
        <w:t xml:space="preserve">ome </w:t>
      </w:r>
      <w:r w:rsidR="00290DAA" w:rsidRPr="00B034E5">
        <w:t xml:space="preserve">participants </w:t>
      </w:r>
      <w:r w:rsidRPr="00B034E5">
        <w:t>welcom</w:t>
      </w:r>
      <w:r w:rsidR="00290DAA" w:rsidRPr="00B034E5">
        <w:t>ed</w:t>
      </w:r>
      <w:r w:rsidRPr="00B034E5">
        <w:t xml:space="preserve"> the level of contact while others would have preferred more. </w:t>
      </w:r>
      <w:r w:rsidR="004A422E" w:rsidRPr="00B034E5">
        <w:t xml:space="preserve">The RATTUAJ </w:t>
      </w:r>
      <w:r w:rsidR="004F68D9" w:rsidRPr="00B034E5">
        <w:t>program</w:t>
      </w:r>
      <w:r w:rsidR="002D0E6E" w:rsidRPr="00B034E5">
        <w:t>me</w:t>
      </w:r>
      <w:r w:rsidR="004A422E" w:rsidRPr="00B034E5">
        <w:t xml:space="preserve"> guidelines require providers to </w:t>
      </w:r>
      <w:r w:rsidR="001121F8" w:rsidRPr="00B034E5">
        <w:t>continue supporting</w:t>
      </w:r>
      <w:r w:rsidR="004A422E" w:rsidRPr="00B034E5">
        <w:t xml:space="preserve"> participants after relocation. However, the</w:t>
      </w:r>
      <w:r w:rsidR="00AA1705" w:rsidRPr="00B034E5">
        <w:t xml:space="preserve"> guidelines are not prescriptive concerning </w:t>
      </w:r>
      <w:r w:rsidR="004A422E" w:rsidRPr="00B034E5">
        <w:t xml:space="preserve">what </w:t>
      </w:r>
      <w:r w:rsidR="001121F8" w:rsidRPr="00B034E5">
        <w:t xml:space="preserve">form </w:t>
      </w:r>
      <w:r w:rsidR="004A422E" w:rsidRPr="00B034E5">
        <w:t xml:space="preserve">this post-relocation support should </w:t>
      </w:r>
      <w:r w:rsidR="001121F8" w:rsidRPr="00B034E5">
        <w:t>take</w:t>
      </w:r>
      <w:r w:rsidR="00AA1705" w:rsidRPr="00B034E5">
        <w:t>, leaving providers to use their discretion</w:t>
      </w:r>
      <w:r w:rsidR="001F4178" w:rsidRPr="00B034E5">
        <w:t>.</w:t>
      </w:r>
    </w:p>
    <w:p w14:paraId="1275BD4C" w14:textId="147DB4B9" w:rsidR="007109C5" w:rsidRPr="00B034E5" w:rsidRDefault="004A422E" w:rsidP="00B034E5">
      <w:r w:rsidRPr="00B034E5">
        <w:lastRenderedPageBreak/>
        <w:t xml:space="preserve">Out </w:t>
      </w:r>
      <w:r w:rsidR="007109C5" w:rsidRPr="00B034E5">
        <w:t>of those participants who participated in follow-up interviews</w:t>
      </w:r>
      <w:r w:rsidR="001121F8" w:rsidRPr="00B034E5">
        <w:t>,</w:t>
      </w:r>
      <w:r w:rsidR="007109C5" w:rsidRPr="00B034E5">
        <w:t xml:space="preserve"> around three months after their initial interviews, </w:t>
      </w:r>
      <w:r w:rsidR="00290DAA" w:rsidRPr="00B034E5">
        <w:t xml:space="preserve">about </w:t>
      </w:r>
      <w:r w:rsidR="007109C5" w:rsidRPr="00B034E5">
        <w:t xml:space="preserve">half reported having had further contact </w:t>
      </w:r>
      <w:r w:rsidR="006A4F55" w:rsidRPr="00B034E5">
        <w:t xml:space="preserve">with </w:t>
      </w:r>
      <w:r w:rsidR="007109C5" w:rsidRPr="00B034E5">
        <w:t xml:space="preserve">their providers after relocation. </w:t>
      </w:r>
      <w:r w:rsidR="00710974" w:rsidRPr="00B034E5">
        <w:t>Of those who received contact, most</w:t>
      </w:r>
      <w:r w:rsidR="007109C5" w:rsidRPr="00B034E5">
        <w:t xml:space="preserve"> </w:t>
      </w:r>
      <w:r w:rsidR="003C1E7B" w:rsidRPr="00B034E5">
        <w:t xml:space="preserve">appreciated </w:t>
      </w:r>
      <w:r w:rsidR="007109C5" w:rsidRPr="00B034E5">
        <w:t xml:space="preserve">this </w:t>
      </w:r>
      <w:r w:rsidR="003C1E7B" w:rsidRPr="00B034E5">
        <w:t>post-relocation contact</w:t>
      </w:r>
      <w:r w:rsidR="00E55004" w:rsidRPr="00B034E5">
        <w:t>.</w:t>
      </w:r>
    </w:p>
    <w:p w14:paraId="49EBB7C5" w14:textId="77777777" w:rsidR="007109C5" w:rsidRPr="00B034E5" w:rsidRDefault="007109C5" w:rsidP="00B034E5">
      <w:pPr>
        <w:pStyle w:val="Quote"/>
      </w:pPr>
      <w:r w:rsidRPr="00B034E5">
        <w:t xml:space="preserve">“Really good. I </w:t>
      </w:r>
      <w:proofErr w:type="gramStart"/>
      <w:r w:rsidRPr="00B034E5">
        <w:t>didn’t</w:t>
      </w:r>
      <w:proofErr w:type="gramEnd"/>
      <w:r w:rsidRPr="00B034E5">
        <w:t xml:space="preserve"> think she would. I owe her a lot just for getting me out there and stuff. I </w:t>
      </w:r>
      <w:proofErr w:type="gramStart"/>
      <w:r w:rsidRPr="00B034E5">
        <w:t>didn’t</w:t>
      </w:r>
      <w:proofErr w:type="gramEnd"/>
      <w:r w:rsidRPr="00B034E5">
        <w:t xml:space="preserve"> think she would call but she did. She rang a few times just to see how everything was going.” </w:t>
      </w:r>
    </w:p>
    <w:p w14:paraId="72F5CC04" w14:textId="77777777" w:rsidR="007109C5" w:rsidRPr="00B034E5" w:rsidRDefault="007109C5" w:rsidP="00B034E5">
      <w:pPr>
        <w:pStyle w:val="Quoteattribution"/>
      </w:pPr>
      <w:r w:rsidRPr="00B034E5">
        <w:t>Female, 20s, from regional area, to regional area</w:t>
      </w:r>
    </w:p>
    <w:p w14:paraId="5AA0B248" w14:textId="53E38FC3" w:rsidR="007109C5" w:rsidRPr="00B034E5" w:rsidRDefault="007109C5" w:rsidP="00B034E5">
      <w:pPr>
        <w:pStyle w:val="Quote"/>
      </w:pPr>
      <w:r w:rsidRPr="00B034E5">
        <w:t>“For the first probably six weeks I was here, they kept in contact either via email or by phoning me just to catch up and see how I was going and see if there was anything else I needed, if I had any questions</w:t>
      </w:r>
      <w:r w:rsidR="00F65436" w:rsidRPr="00B034E5">
        <w:t>...</w:t>
      </w:r>
      <w:r w:rsidRPr="00B034E5">
        <w:t xml:space="preserve"> So they kept in touch until I told them that I’d completely settled down.” </w:t>
      </w:r>
    </w:p>
    <w:p w14:paraId="61E465AC" w14:textId="77777777" w:rsidR="007109C5" w:rsidRPr="00B034E5" w:rsidRDefault="007109C5" w:rsidP="00B034E5">
      <w:pPr>
        <w:pStyle w:val="Quoteattribution"/>
      </w:pPr>
      <w:r w:rsidRPr="00B034E5">
        <w:t>Female, 20s, from regional area, to capital city</w:t>
      </w:r>
    </w:p>
    <w:p w14:paraId="121D5872" w14:textId="1238DAC7" w:rsidR="004A422E" w:rsidRPr="00F53504" w:rsidRDefault="004A422E" w:rsidP="00427312">
      <w:pPr>
        <w:rPr>
          <w:rFonts w:eastAsia="Calibri"/>
          <w:u w:color="000000"/>
        </w:rPr>
      </w:pPr>
      <w:r w:rsidRPr="00F53504">
        <w:rPr>
          <w:rFonts w:eastAsia="Calibri"/>
          <w:u w:color="000000"/>
        </w:rPr>
        <w:t>Some participants indicated that they did not need the post-relocation contact they</w:t>
      </w:r>
      <w:r w:rsidR="001D0500">
        <w:rPr>
          <w:rFonts w:eastAsia="Calibri"/>
          <w:u w:color="000000"/>
        </w:rPr>
        <w:t xml:space="preserve"> received from their providers.</w:t>
      </w:r>
    </w:p>
    <w:p w14:paraId="0AD6C28B" w14:textId="4779CBAA" w:rsidR="00427312" w:rsidRPr="00F53504" w:rsidRDefault="004A422E" w:rsidP="00427312">
      <w:pPr>
        <w:pStyle w:val="Quote"/>
        <w:rPr>
          <w:rFonts w:eastAsia="Calibri"/>
          <w:u w:color="000000"/>
          <w:lang w:val="en-AU"/>
        </w:rPr>
      </w:pPr>
      <w:r w:rsidRPr="00F53504">
        <w:rPr>
          <w:rFonts w:eastAsia="Calibri"/>
          <w:u w:color="000000"/>
          <w:lang w:val="en-AU"/>
        </w:rPr>
        <w:t xml:space="preserve">“I get the occasional </w:t>
      </w:r>
      <w:proofErr w:type="gramStart"/>
      <w:r w:rsidRPr="00F53504">
        <w:rPr>
          <w:rFonts w:eastAsia="Calibri"/>
          <w:u w:color="000000"/>
          <w:lang w:val="en-AU"/>
        </w:rPr>
        <w:t>email,</w:t>
      </w:r>
      <w:proofErr w:type="gramEnd"/>
      <w:r w:rsidRPr="00F53504">
        <w:rPr>
          <w:rFonts w:eastAsia="Calibri"/>
          <w:u w:color="000000"/>
          <w:lang w:val="en-AU"/>
        </w:rPr>
        <w:t xml:space="preserve"> I think monthly or something, just to say “hey are you still in your job”. She does always say to let them know if I need anything, but you know I guess </w:t>
      </w:r>
      <w:proofErr w:type="gramStart"/>
      <w:r w:rsidRPr="00F53504">
        <w:rPr>
          <w:rFonts w:eastAsia="Calibri"/>
          <w:u w:color="000000"/>
          <w:lang w:val="en-AU"/>
        </w:rPr>
        <w:t>I’m</w:t>
      </w:r>
      <w:proofErr w:type="gramEnd"/>
      <w:r w:rsidRPr="00F53504">
        <w:rPr>
          <w:rFonts w:eastAsia="Calibri"/>
          <w:u w:color="000000"/>
          <w:lang w:val="en-AU"/>
        </w:rPr>
        <w:t xml:space="preserve"> not sure of what they can actually offer so I don’t bother following it up</w:t>
      </w:r>
      <w:r w:rsidR="00F65436">
        <w:rPr>
          <w:rFonts w:eastAsia="Calibri"/>
          <w:u w:color="000000"/>
          <w:lang w:val="en-AU"/>
        </w:rPr>
        <w:t>...</w:t>
      </w:r>
      <w:r w:rsidRPr="00F53504">
        <w:rPr>
          <w:rFonts w:eastAsia="Calibri"/>
          <w:u w:color="000000"/>
          <w:lang w:val="en-AU"/>
        </w:rPr>
        <w:t xml:space="preserve"> I honestly feel a bit awkward about it because it almost feels like they’re checking up, you know, hey are you still working, have you still got a job, great we’ll hassle you in another month or two.” </w:t>
      </w:r>
    </w:p>
    <w:p w14:paraId="6BF1F9A7" w14:textId="77777777" w:rsidR="003A08D3" w:rsidRPr="00F53504" w:rsidRDefault="003A08D3" w:rsidP="003A08D3">
      <w:pPr>
        <w:pStyle w:val="Quoteattribution"/>
      </w:pPr>
      <w:r w:rsidRPr="00F53504">
        <w:t>Male, 30s, from capital city, to regional area</w:t>
      </w:r>
    </w:p>
    <w:p w14:paraId="3D036D7C" w14:textId="4C7D0C30" w:rsidR="00D0220B" w:rsidRPr="00F53504" w:rsidRDefault="00D0220B" w:rsidP="00D0220B">
      <w:r w:rsidRPr="00F53504">
        <w:t xml:space="preserve">Of those who </w:t>
      </w:r>
      <w:r w:rsidR="00667B21">
        <w:t>participated in a follow up interview</w:t>
      </w:r>
      <w:r w:rsidRPr="00F53504">
        <w:t>, many</w:t>
      </w:r>
      <w:r w:rsidR="00667B21">
        <w:t xml:space="preserve"> did not express interest in receiving further contact from their providers. Program participants reported </w:t>
      </w:r>
      <w:r w:rsidRPr="00F53504">
        <w:t xml:space="preserve">they did not want or need the contact now they </w:t>
      </w:r>
      <w:proofErr w:type="gramStart"/>
      <w:r w:rsidRPr="00F53504">
        <w:t>were employed</w:t>
      </w:r>
      <w:proofErr w:type="gramEnd"/>
      <w:r w:rsidRPr="00F53504">
        <w:t xml:space="preserve">. However, for </w:t>
      </w:r>
      <w:r w:rsidR="00667B21">
        <w:t>on</w:t>
      </w:r>
      <w:r w:rsidR="006E463E">
        <w:t>e</w:t>
      </w:r>
      <w:r w:rsidR="00667B21">
        <w:t xml:space="preserve"> participant</w:t>
      </w:r>
      <w:r w:rsidRPr="00F53504">
        <w:t xml:space="preserve"> it reflected their view that no contact was good because their negative experience with their provider during the relocation process. </w:t>
      </w:r>
    </w:p>
    <w:p w14:paraId="478C0497" w14:textId="6DB8D59F" w:rsidR="00D0220B" w:rsidRPr="00F53504" w:rsidRDefault="00D0220B" w:rsidP="00D0220B">
      <w:pPr>
        <w:pStyle w:val="Quote"/>
        <w:rPr>
          <w:lang w:val="en-AU"/>
        </w:rPr>
      </w:pPr>
      <w:r w:rsidRPr="00F53504">
        <w:rPr>
          <w:lang w:val="en-AU"/>
        </w:rPr>
        <w:t>“No, they have not (made contact)</w:t>
      </w:r>
      <w:r w:rsidR="00F65436">
        <w:rPr>
          <w:lang w:val="en-AU"/>
        </w:rPr>
        <w:t>...</w:t>
      </w:r>
      <w:r w:rsidRPr="00F53504">
        <w:rPr>
          <w:lang w:val="en-AU"/>
        </w:rPr>
        <w:t xml:space="preserve"> I </w:t>
      </w:r>
      <w:proofErr w:type="gramStart"/>
      <w:r w:rsidRPr="00F53504">
        <w:rPr>
          <w:lang w:val="en-AU"/>
        </w:rPr>
        <w:t>have no intention (of making</w:t>
      </w:r>
      <w:proofErr w:type="gramEnd"/>
      <w:r w:rsidRPr="00F53504">
        <w:rPr>
          <w:lang w:val="en-AU"/>
        </w:rPr>
        <w:t xml:space="preserve"> contact). You only get angry if you do that.”</w:t>
      </w:r>
    </w:p>
    <w:p w14:paraId="6198E6D3" w14:textId="77777777" w:rsidR="00D0220B" w:rsidRPr="00F53504" w:rsidRDefault="00D0220B" w:rsidP="00D0220B">
      <w:pPr>
        <w:pStyle w:val="Quoteattribution"/>
      </w:pPr>
      <w:r w:rsidRPr="00F53504">
        <w:t xml:space="preserve"> Male, 60s, from regional area, to regional area</w:t>
      </w:r>
    </w:p>
    <w:p w14:paraId="41DC21EA" w14:textId="445D400C" w:rsidR="00D0220B" w:rsidRPr="00F53504" w:rsidRDefault="00D0220B" w:rsidP="00D0220B">
      <w:r w:rsidRPr="00F53504">
        <w:t>Some job seekers who reported having had no contact since relocation said they had tried to make contact with their providers but</w:t>
      </w:r>
      <w:r w:rsidR="00A8639C">
        <w:t xml:space="preserve"> only a few</w:t>
      </w:r>
      <w:r w:rsidRPr="00F53504">
        <w:t xml:space="preserve"> were able to</w:t>
      </w:r>
      <w:r w:rsidR="00DC36FD" w:rsidRPr="00F53504">
        <w:t xml:space="preserve"> do so</w:t>
      </w:r>
      <w:r w:rsidRPr="00F53504">
        <w:t xml:space="preserve">. </w:t>
      </w:r>
      <w:r w:rsidR="00A8639C">
        <w:t>Generally,</w:t>
      </w:r>
      <w:r w:rsidRPr="00F53504">
        <w:t xml:space="preserve"> job seekers initiated such post</w:t>
      </w:r>
      <w:r w:rsidR="00290DAA">
        <w:t>-</w:t>
      </w:r>
      <w:r w:rsidRPr="00F53504">
        <w:t>relocation contact because they either wanted to submit a claim for reimbursement or follow</w:t>
      </w:r>
      <w:r w:rsidR="00CE0707">
        <w:noBreakHyphen/>
      </w:r>
      <w:r w:rsidRPr="00F53504">
        <w:t>up on previously lodged claims.</w:t>
      </w:r>
    </w:p>
    <w:p w14:paraId="350DF21D" w14:textId="0E67A0C4" w:rsidR="00D0220B" w:rsidRPr="00F53504" w:rsidRDefault="00D0220B" w:rsidP="00D0220B">
      <w:pPr>
        <w:pStyle w:val="Quote"/>
        <w:rPr>
          <w:lang w:val="en-AU"/>
        </w:rPr>
      </w:pPr>
      <w:r w:rsidRPr="00F53504">
        <w:rPr>
          <w:lang w:val="en-AU"/>
        </w:rPr>
        <w:t>“I tried calling them but I didn’t get in touch with no one</w:t>
      </w:r>
      <w:r w:rsidR="00F65436">
        <w:rPr>
          <w:lang w:val="en-AU"/>
        </w:rPr>
        <w:t>...</w:t>
      </w:r>
      <w:r w:rsidRPr="00F53504">
        <w:rPr>
          <w:lang w:val="en-AU"/>
        </w:rPr>
        <w:t xml:space="preserve"> they owed me a voucher for some uniform sort of stuff, new shoes and all of that because they were meant to provide me with that but they didn’t because they reckon it was like short timing. Yeah, so I tried contacting them but I didn</w:t>
      </w:r>
      <w:r w:rsidR="006334B7">
        <w:rPr>
          <w:lang w:val="en-AU"/>
        </w:rPr>
        <w:t>’t get them on that.”</w:t>
      </w:r>
    </w:p>
    <w:p w14:paraId="730E0FC9" w14:textId="77777777" w:rsidR="00D0220B" w:rsidRPr="00F53504" w:rsidRDefault="00D0220B" w:rsidP="00D0220B">
      <w:pPr>
        <w:pStyle w:val="Quoteattribution"/>
      </w:pPr>
      <w:r w:rsidRPr="00F53504">
        <w:t>Female, 30s, from regional area, to regional area</w:t>
      </w:r>
    </w:p>
    <w:p w14:paraId="7D807645" w14:textId="333DE345" w:rsidR="007109C5" w:rsidRPr="00F53504" w:rsidRDefault="007109C5" w:rsidP="007109C5">
      <w:r w:rsidRPr="00F53504">
        <w:t xml:space="preserve">Two participants who were no longer in employment at the time of their follow-up interviews noted that greater support from their providers during and after the move could have potentially </w:t>
      </w:r>
      <w:r w:rsidR="002B34B2" w:rsidRPr="00F53504">
        <w:t xml:space="preserve">enabled </w:t>
      </w:r>
      <w:r w:rsidRPr="00F53504">
        <w:t xml:space="preserve">them to stay in the job </w:t>
      </w:r>
      <w:r w:rsidR="006A4F55" w:rsidRPr="00F53504">
        <w:t xml:space="preserve">for which </w:t>
      </w:r>
      <w:r w:rsidRPr="00F53504">
        <w:t xml:space="preserve">they had moved. There were also a few participants who had remained in employment who indicated that they would have preferred further contact from their </w:t>
      </w:r>
      <w:r w:rsidRPr="00F53504">
        <w:lastRenderedPageBreak/>
        <w:t xml:space="preserve">providers to </w:t>
      </w:r>
      <w:proofErr w:type="gramStart"/>
      <w:r w:rsidRPr="00F53504">
        <w:t>either offer</w:t>
      </w:r>
      <w:proofErr w:type="gramEnd"/>
      <w:r w:rsidRPr="00F53504">
        <w:t xml:space="preserve"> more guidance or advice on employment-related matters or to simply </w:t>
      </w:r>
      <w:r w:rsidR="001C1130">
        <w:t>ask them how things were going.</w:t>
      </w:r>
    </w:p>
    <w:p w14:paraId="444636C4" w14:textId="2CF9FDC3" w:rsidR="007109C5" w:rsidRPr="00F53504" w:rsidRDefault="007109C5" w:rsidP="007109C5">
      <w:pPr>
        <w:pStyle w:val="Quote"/>
        <w:rPr>
          <w:lang w:val="en-AU"/>
        </w:rPr>
      </w:pPr>
      <w:r w:rsidRPr="00F53504">
        <w:rPr>
          <w:lang w:val="en-AU"/>
        </w:rPr>
        <w:t xml:space="preserve">“They didn’t keep in contact with me. No. You know I think they did the least possible and it was kind of – I found it was </w:t>
      </w:r>
      <w:proofErr w:type="gramStart"/>
      <w:r w:rsidRPr="00F53504">
        <w:rPr>
          <w:lang w:val="en-AU"/>
        </w:rPr>
        <w:t>like</w:t>
      </w:r>
      <w:proofErr w:type="gramEnd"/>
      <w:r w:rsidRPr="00F53504">
        <w:rPr>
          <w:lang w:val="en-AU"/>
        </w:rPr>
        <w:t xml:space="preserve"> with – you know there’s this much money, we can offer you this that and the other thing and off you go and the best of luck. I </w:t>
      </w:r>
      <w:proofErr w:type="gramStart"/>
      <w:r w:rsidRPr="00F53504">
        <w:rPr>
          <w:lang w:val="en-AU"/>
        </w:rPr>
        <w:t>don’t</w:t>
      </w:r>
      <w:proofErr w:type="gramEnd"/>
      <w:r w:rsidRPr="00F53504">
        <w:rPr>
          <w:lang w:val="en-AU"/>
        </w:rPr>
        <w:t xml:space="preserve"> know. Yeah maybe it would have been better if </w:t>
      </w:r>
      <w:proofErr w:type="gramStart"/>
      <w:r w:rsidRPr="00F53504">
        <w:rPr>
          <w:lang w:val="en-AU"/>
        </w:rPr>
        <w:t>they’d</w:t>
      </w:r>
      <w:proofErr w:type="gramEnd"/>
      <w:r w:rsidRPr="00F53504">
        <w:rPr>
          <w:lang w:val="en-AU"/>
        </w:rPr>
        <w:t xml:space="preserve"> given me more support while I was up there. Just to sort of check in or whatever but I don’t really know what kind of support they could have offered me</w:t>
      </w:r>
      <w:r w:rsidR="00F65436">
        <w:rPr>
          <w:lang w:val="en-AU"/>
        </w:rPr>
        <w:t>...</w:t>
      </w:r>
      <w:r w:rsidRPr="00F53504">
        <w:rPr>
          <w:lang w:val="en-AU"/>
        </w:rPr>
        <w:t xml:space="preserve"> like a phone call would have been nice</w:t>
      </w:r>
      <w:r w:rsidR="00F65436">
        <w:rPr>
          <w:lang w:val="en-AU"/>
        </w:rPr>
        <w:t>...</w:t>
      </w:r>
      <w:r w:rsidRPr="00F53504">
        <w:rPr>
          <w:lang w:val="en-AU"/>
        </w:rPr>
        <w:t xml:space="preserve"> I don’t think it would have made any difference, but I reckon it kind of</w:t>
      </w:r>
      <w:r w:rsidR="005931F3">
        <w:rPr>
          <w:lang w:val="en-AU"/>
        </w:rPr>
        <w:t xml:space="preserve"> would be appropriate I think.”</w:t>
      </w:r>
    </w:p>
    <w:p w14:paraId="54AFE73A" w14:textId="77777777" w:rsidR="007109C5" w:rsidRPr="00F53504" w:rsidRDefault="007109C5" w:rsidP="007109C5">
      <w:pPr>
        <w:pStyle w:val="Quoteattribution"/>
      </w:pPr>
      <w:r w:rsidRPr="00F53504">
        <w:t>Male, 30s, from capital city, to regional area</w:t>
      </w:r>
    </w:p>
    <w:p w14:paraId="7B4676BB" w14:textId="08423D1C" w:rsidR="004A422E" w:rsidRPr="00F53504" w:rsidRDefault="004A422E" w:rsidP="00427312">
      <w:pPr>
        <w:rPr>
          <w:rFonts w:eastAsia="Calibri"/>
          <w:u w:color="000000"/>
        </w:rPr>
      </w:pPr>
      <w:r w:rsidRPr="00F53504">
        <w:rPr>
          <w:rFonts w:eastAsia="Calibri"/>
          <w:u w:color="000000"/>
        </w:rPr>
        <w:t>Providers reported that they did extend support to the participants they relocated</w:t>
      </w:r>
      <w:r w:rsidR="00737942">
        <w:rPr>
          <w:rFonts w:eastAsia="Calibri"/>
          <w:u w:color="000000"/>
        </w:rPr>
        <w:t xml:space="preserve"> t</w:t>
      </w:r>
      <w:r w:rsidRPr="00F53504">
        <w:rPr>
          <w:rFonts w:eastAsia="Calibri"/>
          <w:u w:color="000000"/>
        </w:rPr>
        <w:t xml:space="preserve">o confirm they were still in employment and were not having any issues. </w:t>
      </w:r>
      <w:r w:rsidR="006A4F55" w:rsidRPr="00F53504">
        <w:rPr>
          <w:rFonts w:eastAsia="Calibri"/>
          <w:u w:color="000000"/>
        </w:rPr>
        <w:t>T</w:t>
      </w:r>
      <w:r w:rsidRPr="00F53504">
        <w:rPr>
          <w:rFonts w:eastAsia="Calibri"/>
          <w:u w:color="000000"/>
        </w:rPr>
        <w:t xml:space="preserve">here were providers who stated they provided in-depth post-placement support to RATTUAJ </w:t>
      </w:r>
      <w:r w:rsidR="004F68D9" w:rsidRPr="00F53504">
        <w:rPr>
          <w:rFonts w:eastAsia="Calibri"/>
          <w:u w:color="000000"/>
        </w:rPr>
        <w:t>program</w:t>
      </w:r>
      <w:r w:rsidR="002D0E6E">
        <w:rPr>
          <w:rFonts w:eastAsia="Calibri"/>
          <w:u w:color="000000"/>
        </w:rPr>
        <w:t>me</w:t>
      </w:r>
      <w:r w:rsidRPr="00F53504">
        <w:rPr>
          <w:rFonts w:eastAsia="Calibri"/>
          <w:u w:color="000000"/>
        </w:rPr>
        <w:t xml:space="preserve"> participants.</w:t>
      </w:r>
    </w:p>
    <w:p w14:paraId="5945DBE4" w14:textId="7DC51FF0" w:rsidR="00427312" w:rsidRPr="00F53504" w:rsidRDefault="004A422E" w:rsidP="00427312">
      <w:pPr>
        <w:pStyle w:val="Quote"/>
        <w:rPr>
          <w:rFonts w:eastAsia="Calibri"/>
          <w:u w:color="000000"/>
          <w:lang w:val="en-AU"/>
        </w:rPr>
      </w:pPr>
      <w:r w:rsidRPr="00F53504">
        <w:rPr>
          <w:rFonts w:eastAsia="Calibri"/>
          <w:u w:color="000000"/>
          <w:lang w:val="en-AU"/>
        </w:rPr>
        <w:t xml:space="preserve">“So it depends on the job seeker but we maintain contact for generally up to six months to make sure they’re settling into the job okay, everything’s all right, if they need assistance. It depends on the level of disadvantage of the job seeker, for some participants who are fine, </w:t>
      </w:r>
      <w:proofErr w:type="gramStart"/>
      <w:r w:rsidRPr="00F53504">
        <w:rPr>
          <w:rFonts w:eastAsia="Calibri"/>
          <w:u w:color="000000"/>
          <w:lang w:val="en-AU"/>
        </w:rPr>
        <w:t>they’ve</w:t>
      </w:r>
      <w:proofErr w:type="gramEnd"/>
      <w:r w:rsidRPr="00F53504">
        <w:rPr>
          <w:rFonts w:eastAsia="Calibri"/>
          <w:u w:color="000000"/>
          <w:lang w:val="en-AU"/>
        </w:rPr>
        <w:t xml:space="preserve"> gone back to work, they’re happy, they’ve got no issues, it’s just a phone call to say, “Is everything okay? Do you need anything to help you stay in the job?</w:t>
      </w:r>
      <w:r w:rsidR="00916B86" w:rsidRPr="00F53504">
        <w:rPr>
          <w:rFonts w:eastAsia="Calibri"/>
          <w:u w:color="000000"/>
          <w:lang w:val="en-AU"/>
        </w:rPr>
        <w:t>”</w:t>
      </w:r>
      <w:r w:rsidRPr="00F53504">
        <w:rPr>
          <w:rFonts w:eastAsia="Calibri"/>
          <w:u w:color="000000"/>
          <w:lang w:val="en-AU"/>
        </w:rPr>
        <w:t xml:space="preserve"> </w:t>
      </w:r>
      <w:proofErr w:type="gramStart"/>
      <w:r w:rsidRPr="00F53504">
        <w:rPr>
          <w:rFonts w:eastAsia="Calibri"/>
          <w:u w:color="000000"/>
          <w:lang w:val="en-AU"/>
        </w:rPr>
        <w:t>Like steel caps have fallen out of your boots, that type of stuff whereas for other job seekers they might struggle to get out of bed every day and it’s a motivational thing, reminding them of why they’re getting up and doing this, why they’re trying to get themselves back out there, so some clients need a lot more help to stay in the job than others, so it</w:t>
      </w:r>
      <w:r w:rsidR="007017B1">
        <w:rPr>
          <w:rFonts w:eastAsia="Calibri"/>
          <w:u w:color="000000"/>
          <w:lang w:val="en-AU"/>
        </w:rPr>
        <w:t xml:space="preserve"> can be a mixture of services.”</w:t>
      </w:r>
      <w:proofErr w:type="gramEnd"/>
    </w:p>
    <w:p w14:paraId="6811B2AF" w14:textId="77777777" w:rsidR="004A422E" w:rsidRPr="00F53504" w:rsidRDefault="004A422E" w:rsidP="00427312">
      <w:pPr>
        <w:pStyle w:val="Quoteattribution"/>
        <w:rPr>
          <w:rFonts w:eastAsia="Calibri"/>
          <w:u w:color="000000"/>
        </w:rPr>
      </w:pPr>
      <w:r w:rsidRPr="00F53504">
        <w:rPr>
          <w:rFonts w:eastAsia="Calibri"/>
          <w:u w:color="000000"/>
        </w:rPr>
        <w:t xml:space="preserve">Provider, </w:t>
      </w:r>
      <w:r w:rsidR="00BF3495" w:rsidRPr="00F53504">
        <w:rPr>
          <w:rFonts w:eastAsia="Calibri"/>
          <w:u w:color="000000"/>
        </w:rPr>
        <w:t>c</w:t>
      </w:r>
      <w:r w:rsidR="00A73578" w:rsidRPr="00F53504">
        <w:rPr>
          <w:rFonts w:eastAsia="Calibri"/>
          <w:u w:color="000000"/>
        </w:rPr>
        <w:t>apital city</w:t>
      </w:r>
      <w:r w:rsidR="00CD549C" w:rsidRPr="00F53504">
        <w:t xml:space="preserve">, </w:t>
      </w:r>
      <w:r w:rsidR="00567DDD" w:rsidRPr="00F53504">
        <w:t xml:space="preserve">in-depth </w:t>
      </w:r>
      <w:r w:rsidR="00CD549C" w:rsidRPr="00F53504">
        <w:t>interview</w:t>
      </w:r>
    </w:p>
    <w:p w14:paraId="0A00E341" w14:textId="1D8FCB85" w:rsidR="00427312" w:rsidRPr="00F53504" w:rsidRDefault="004A422E" w:rsidP="00427312">
      <w:pPr>
        <w:pStyle w:val="Quote"/>
        <w:rPr>
          <w:rFonts w:eastAsia="Calibri"/>
          <w:u w:color="000000"/>
          <w:lang w:val="en-AU"/>
        </w:rPr>
      </w:pPr>
      <w:r w:rsidRPr="00F53504">
        <w:rPr>
          <w:rFonts w:eastAsia="Calibri"/>
          <w:u w:color="000000"/>
          <w:lang w:val="en-AU"/>
        </w:rPr>
        <w:t>“It’s [our] policy that you contact people that are in work, every couple of weeks, just to make sure that work is going fine. And if there’s an issue, if there’s something we can do before it becomes a giant issue</w:t>
      </w:r>
      <w:r w:rsidR="00F65436">
        <w:rPr>
          <w:rFonts w:eastAsia="Calibri"/>
          <w:u w:color="000000"/>
          <w:lang w:val="en-AU"/>
        </w:rPr>
        <w:t>...</w:t>
      </w:r>
      <w:r w:rsidRPr="00F53504">
        <w:rPr>
          <w:rFonts w:eastAsia="Calibri"/>
          <w:u w:color="000000"/>
          <w:lang w:val="en-AU"/>
        </w:rPr>
        <w:t xml:space="preserve">so you ring the job seeker every six weeks, and the employer every six – well it’s every three weeks, but you do alternate between the two. So it’s – and the idea is to keep people in work, because sometimes it’s a </w:t>
      </w:r>
      <w:r w:rsidR="007017B1">
        <w:rPr>
          <w:rFonts w:eastAsia="Calibri"/>
          <w:u w:color="000000"/>
          <w:lang w:val="en-AU"/>
        </w:rPr>
        <w:t>little thing that’s a problem.”</w:t>
      </w:r>
    </w:p>
    <w:p w14:paraId="5F1AFBDE" w14:textId="77777777" w:rsidR="004A422E" w:rsidRPr="00F53504" w:rsidRDefault="004A422E" w:rsidP="00427312">
      <w:pPr>
        <w:pStyle w:val="Quoteattribution"/>
      </w:pPr>
      <w:r w:rsidRPr="00F53504">
        <w:rPr>
          <w:rFonts w:eastAsia="Calibri"/>
          <w:u w:color="000000"/>
        </w:rPr>
        <w:t xml:space="preserve">Provider, </w:t>
      </w:r>
      <w:r w:rsidR="00BF3495" w:rsidRPr="00F53504">
        <w:rPr>
          <w:rFonts w:eastAsia="Calibri"/>
          <w:u w:color="000000"/>
        </w:rPr>
        <w:t>r</w:t>
      </w:r>
      <w:r w:rsidR="00A73578" w:rsidRPr="00F53504">
        <w:rPr>
          <w:rFonts w:eastAsia="Calibri"/>
          <w:u w:color="000000"/>
        </w:rPr>
        <w:t>egional area</w:t>
      </w:r>
      <w:r w:rsidR="00CD549C" w:rsidRPr="00F53504">
        <w:t xml:space="preserve">, </w:t>
      </w:r>
      <w:r w:rsidR="00567DDD" w:rsidRPr="00F53504">
        <w:t>in-depth interview</w:t>
      </w:r>
    </w:p>
    <w:p w14:paraId="293D69E3" w14:textId="77777777" w:rsidR="004A422E" w:rsidRPr="00F53504" w:rsidRDefault="004A422E" w:rsidP="00427312">
      <w:pPr>
        <w:pStyle w:val="Heading3"/>
      </w:pPr>
      <w:r w:rsidRPr="00F53504">
        <w:t>Finding suitable accommodation</w:t>
      </w:r>
    </w:p>
    <w:p w14:paraId="3413F512" w14:textId="77777777" w:rsidR="004A422E" w:rsidRPr="00F53504" w:rsidRDefault="004A422E" w:rsidP="00427312">
      <w:r w:rsidRPr="00F53504">
        <w:t xml:space="preserve">For many participants, finding suitable accommodation either on an interim or longer-term basis was particularly difficult. This caused a great deal of stress during the relocation process. For those </w:t>
      </w:r>
      <w:r w:rsidR="00AD486E" w:rsidRPr="00F53504">
        <w:t>participant</w:t>
      </w:r>
      <w:r w:rsidRPr="00F53504">
        <w:t xml:space="preserve">s who relocated to areas where they had existing social connections, finding suitable accommodation was less difficult and </w:t>
      </w:r>
      <w:r w:rsidR="007532C7" w:rsidRPr="00F53504">
        <w:t>the relocation</w:t>
      </w:r>
      <w:r w:rsidR="005E43C5" w:rsidRPr="00F53504">
        <w:t xml:space="preserve"> </w:t>
      </w:r>
      <w:r w:rsidRPr="00F53504">
        <w:t xml:space="preserve">was more likely to </w:t>
      </w:r>
      <w:r w:rsidR="007532C7" w:rsidRPr="00F53504">
        <w:t>be</w:t>
      </w:r>
      <w:r w:rsidRPr="00F53504">
        <w:t xml:space="preserve"> successful.</w:t>
      </w:r>
    </w:p>
    <w:p w14:paraId="7CAD7194" w14:textId="09E440B1" w:rsidR="00427312" w:rsidRPr="00F53504" w:rsidRDefault="004A422E" w:rsidP="00427312">
      <w:pPr>
        <w:pStyle w:val="Quote"/>
        <w:rPr>
          <w:lang w:val="en-AU"/>
        </w:rPr>
      </w:pPr>
      <w:r w:rsidRPr="00F53504">
        <w:rPr>
          <w:lang w:val="en-AU"/>
        </w:rPr>
        <w:t>“You know finding something that suited your needs</w:t>
      </w:r>
      <w:r w:rsidR="00F65436">
        <w:rPr>
          <w:lang w:val="en-AU"/>
        </w:rPr>
        <w:t>...</w:t>
      </w:r>
      <w:r w:rsidRPr="00F53504">
        <w:rPr>
          <w:lang w:val="en-AU"/>
        </w:rPr>
        <w:t xml:space="preserve"> You know </w:t>
      </w:r>
      <w:proofErr w:type="gramStart"/>
      <w:r w:rsidRPr="00F53504">
        <w:rPr>
          <w:lang w:val="en-AU"/>
        </w:rPr>
        <w:t>it’s</w:t>
      </w:r>
      <w:proofErr w:type="gramEnd"/>
      <w:r w:rsidRPr="00F53504">
        <w:rPr>
          <w:lang w:val="en-AU"/>
        </w:rPr>
        <w:t xml:space="preserve"> an old [LOCATION] and so everything is quite old. </w:t>
      </w:r>
      <w:r w:rsidR="00173D78">
        <w:rPr>
          <w:lang w:val="en-AU"/>
        </w:rPr>
        <w:t>Still expensive but quite old.”</w:t>
      </w:r>
    </w:p>
    <w:p w14:paraId="24EB23E4" w14:textId="77777777" w:rsidR="004A422E" w:rsidRPr="00F53504" w:rsidRDefault="004A422E" w:rsidP="00427312">
      <w:pPr>
        <w:pStyle w:val="Quoteattribution"/>
      </w:pPr>
      <w:r w:rsidRPr="00F53504">
        <w:t>Male, 50s, from regional area, to regional area</w:t>
      </w:r>
    </w:p>
    <w:p w14:paraId="6BCCB5AC" w14:textId="7B48CF47" w:rsidR="00427312" w:rsidRPr="00F53504" w:rsidRDefault="004A422E" w:rsidP="00427312">
      <w:pPr>
        <w:pStyle w:val="Quote"/>
        <w:rPr>
          <w:lang w:val="en-AU"/>
        </w:rPr>
      </w:pPr>
      <w:proofErr w:type="gramStart"/>
      <w:r w:rsidRPr="00F53504">
        <w:rPr>
          <w:lang w:val="en-AU"/>
        </w:rPr>
        <w:t xml:space="preserve">“Yeah, I was really in like crisis back then because I was just house surfing, from my shared accommodation with my mates and then go into another share accommodation but I’ve finally </w:t>
      </w:r>
      <w:r w:rsidRPr="00F53504">
        <w:rPr>
          <w:lang w:val="en-AU"/>
        </w:rPr>
        <w:lastRenderedPageBreak/>
        <w:t>got my rental and back then I had to keep up with the rent and pay my food and getting to and from w</w:t>
      </w:r>
      <w:r w:rsidR="00173D78">
        <w:rPr>
          <w:lang w:val="en-AU"/>
        </w:rPr>
        <w:t>ork as well and whatever else.”</w:t>
      </w:r>
      <w:proofErr w:type="gramEnd"/>
    </w:p>
    <w:p w14:paraId="27626B24" w14:textId="77777777" w:rsidR="004A422E" w:rsidRPr="00F53504" w:rsidRDefault="004A422E" w:rsidP="00427312">
      <w:pPr>
        <w:pStyle w:val="Quoteattribution"/>
      </w:pPr>
      <w:r w:rsidRPr="00F53504">
        <w:t>Female, 20s, from regional area, to capital city</w:t>
      </w:r>
    </w:p>
    <w:p w14:paraId="05B50E09" w14:textId="7EA96760" w:rsidR="00787484" w:rsidRPr="00F53504" w:rsidRDefault="00787484" w:rsidP="00787484">
      <w:pPr>
        <w:pStyle w:val="Quote"/>
        <w:rPr>
          <w:lang w:val="en-AU"/>
        </w:rPr>
      </w:pPr>
      <w:r w:rsidRPr="00F53504">
        <w:rPr>
          <w:lang w:val="en-AU"/>
        </w:rPr>
        <w:t xml:space="preserve">“I moved on like a week’s notice so it was really difficult. To start </w:t>
      </w:r>
      <w:proofErr w:type="gramStart"/>
      <w:r w:rsidRPr="00F53504">
        <w:rPr>
          <w:lang w:val="en-AU"/>
        </w:rPr>
        <w:t>with</w:t>
      </w:r>
      <w:proofErr w:type="gramEnd"/>
      <w:r w:rsidRPr="00F53504">
        <w:rPr>
          <w:lang w:val="en-AU"/>
        </w:rPr>
        <w:t xml:space="preserve"> I didn’t have a place to live. I had to live in a hotel for a few weeks. So there was a lot of difficult things, such as deciding what to do with the dog </w:t>
      </w:r>
      <w:r w:rsidR="00F65436">
        <w:rPr>
          <w:lang w:val="en-AU"/>
        </w:rPr>
        <w:t>...</w:t>
      </w:r>
      <w:r w:rsidRPr="00F53504">
        <w:rPr>
          <w:lang w:val="en-AU"/>
        </w:rPr>
        <w:t xml:space="preserve">” </w:t>
      </w:r>
    </w:p>
    <w:p w14:paraId="0DE82D77" w14:textId="77777777" w:rsidR="00787484" w:rsidRPr="00F53504" w:rsidRDefault="00787484" w:rsidP="00787484">
      <w:pPr>
        <w:pStyle w:val="Quoteattribution"/>
      </w:pPr>
      <w:r w:rsidRPr="00F53504">
        <w:t>Female, 20s, from regional area, to capital city</w:t>
      </w:r>
    </w:p>
    <w:p w14:paraId="1F24D891" w14:textId="77777777" w:rsidR="007C7B88" w:rsidRPr="00F53504" w:rsidRDefault="007C7B88" w:rsidP="007C7B88">
      <w:pPr>
        <w:pStyle w:val="Quote"/>
        <w:rPr>
          <w:lang w:val="en-AU"/>
        </w:rPr>
      </w:pPr>
      <w:r w:rsidRPr="00F53504">
        <w:rPr>
          <w:lang w:val="en-AU"/>
        </w:rPr>
        <w:t xml:space="preserve">“When I got here it [the apartment] wasn’t clean. I flew in and stayed in a hotel and I rang up the next morning and said, ‘Look, because I don’t want to be in the way of these cleaners, is it done?’ and they said ‘Oh, give us an extra day.’ </w:t>
      </w:r>
      <w:proofErr w:type="gramStart"/>
      <w:r w:rsidRPr="00F53504">
        <w:rPr>
          <w:lang w:val="en-AU"/>
        </w:rPr>
        <w:t>I’m</w:t>
      </w:r>
      <w:proofErr w:type="gramEnd"/>
      <w:r w:rsidRPr="00F53504">
        <w:rPr>
          <w:lang w:val="en-AU"/>
        </w:rPr>
        <w:t xml:space="preserve"> like, ‘God! So I had to pay two nights’ accommodation.’ And then I thought, ‘I’m over it, I can’t afford this.’”</w:t>
      </w:r>
    </w:p>
    <w:p w14:paraId="6394FE34" w14:textId="77777777" w:rsidR="00663CEA" w:rsidRPr="00F53504" w:rsidRDefault="007C7B88" w:rsidP="00663CEA">
      <w:pPr>
        <w:pStyle w:val="Quoteattribution"/>
      </w:pPr>
      <w:r w:rsidRPr="00F53504">
        <w:t>Female, 50s, from capital city, to capital city</w:t>
      </w:r>
    </w:p>
    <w:p w14:paraId="65E8EE53" w14:textId="3321BDFF" w:rsidR="007C7B88" w:rsidRPr="00F53504" w:rsidRDefault="007C7B88" w:rsidP="007C7B88">
      <w:pPr>
        <w:pStyle w:val="Quote"/>
        <w:rPr>
          <w:lang w:val="en-AU"/>
        </w:rPr>
      </w:pPr>
      <w:r w:rsidRPr="00F53504">
        <w:rPr>
          <w:lang w:val="en-AU"/>
        </w:rPr>
        <w:t>“They found me a job</w:t>
      </w:r>
      <w:r w:rsidR="00F65436">
        <w:rPr>
          <w:lang w:val="en-AU"/>
        </w:rPr>
        <w:t>...</w:t>
      </w:r>
      <w:r w:rsidRPr="00F53504">
        <w:rPr>
          <w:lang w:val="en-AU"/>
        </w:rPr>
        <w:t xml:space="preserve">they arranged for me accommodation. They said before that </w:t>
      </w:r>
      <w:proofErr w:type="gramStart"/>
      <w:r w:rsidRPr="00F53504">
        <w:rPr>
          <w:lang w:val="en-AU"/>
        </w:rPr>
        <w:t>it’s</w:t>
      </w:r>
      <w:proofErr w:type="gramEnd"/>
      <w:r w:rsidRPr="00F53504">
        <w:rPr>
          <w:lang w:val="en-AU"/>
        </w:rPr>
        <w:t xml:space="preserve"> a house, a room and you go there, so you’ll be there for four weeks and you’ll stay there, they pay the rent, everything. I said okay, yeah. When I moved</w:t>
      </w:r>
      <w:r w:rsidR="00F65436">
        <w:rPr>
          <w:lang w:val="en-AU"/>
        </w:rPr>
        <w:t>...</w:t>
      </w:r>
      <w:r w:rsidRPr="00F53504">
        <w:rPr>
          <w:lang w:val="en-AU"/>
        </w:rPr>
        <w:t>there was not any house, room. There was a caravan</w:t>
      </w:r>
      <w:r w:rsidR="00F65436">
        <w:rPr>
          <w:lang w:val="en-AU"/>
        </w:rPr>
        <w:t>...</w:t>
      </w:r>
      <w:r w:rsidRPr="00F53504">
        <w:rPr>
          <w:lang w:val="en-AU"/>
        </w:rPr>
        <w:t xml:space="preserve"> the windows are broken, the doors are broken, the door cannot lock properly. They [the provider] said ‘That’s the only </w:t>
      </w:r>
      <w:r w:rsidR="005845DF">
        <w:rPr>
          <w:lang w:val="en-AU"/>
        </w:rPr>
        <w:t>accommodation I can give you.’”</w:t>
      </w:r>
    </w:p>
    <w:p w14:paraId="340BD366" w14:textId="77777777" w:rsidR="007C7B88" w:rsidRPr="00F53504" w:rsidRDefault="007C7B88" w:rsidP="007C7B88">
      <w:pPr>
        <w:pStyle w:val="Quoteattribution"/>
      </w:pPr>
      <w:r w:rsidRPr="00F53504">
        <w:t>Male, 20s, from capital city, to regional area</w:t>
      </w:r>
    </w:p>
    <w:p w14:paraId="44B9C373" w14:textId="77777777" w:rsidR="004A422E" w:rsidRPr="00F53504" w:rsidRDefault="004A422E" w:rsidP="00427312">
      <w:r w:rsidRPr="00F53504">
        <w:t xml:space="preserve">Some participants </w:t>
      </w:r>
      <w:r w:rsidR="00573056" w:rsidRPr="00F53504">
        <w:t>had</w:t>
      </w:r>
      <w:r w:rsidRPr="00F53504">
        <w:t xml:space="preserve"> </w:t>
      </w:r>
      <w:r w:rsidR="007C7B88" w:rsidRPr="00F53504">
        <w:t xml:space="preserve">suitable </w:t>
      </w:r>
      <w:r w:rsidRPr="00F53504">
        <w:t>accommodation provided by their employers</w:t>
      </w:r>
      <w:r w:rsidR="003A08D3" w:rsidRPr="00F53504">
        <w:t xml:space="preserve">, helping to </w:t>
      </w:r>
      <w:r w:rsidR="00573056" w:rsidRPr="00F53504">
        <w:t xml:space="preserve">ease </w:t>
      </w:r>
      <w:r w:rsidR="003A08D3" w:rsidRPr="00F53504">
        <w:t>the stress of relocating</w:t>
      </w:r>
      <w:r w:rsidRPr="00F53504">
        <w:t>.</w:t>
      </w:r>
    </w:p>
    <w:p w14:paraId="258BF2FD" w14:textId="706E12BF" w:rsidR="00427312" w:rsidRPr="00F53504" w:rsidRDefault="004A422E" w:rsidP="00427312">
      <w:pPr>
        <w:pStyle w:val="Quote"/>
        <w:rPr>
          <w:lang w:val="en-AU"/>
        </w:rPr>
      </w:pPr>
      <w:r w:rsidRPr="00F53504">
        <w:rPr>
          <w:lang w:val="en-AU"/>
        </w:rPr>
        <w:t>“It wasn’t too hard because my employer put me up for the first [TIME PERIOD] and told a removal specialist to help me find a place to move into. So that was good, that t</w:t>
      </w:r>
      <w:r w:rsidR="005845DF">
        <w:rPr>
          <w:lang w:val="en-AU"/>
        </w:rPr>
        <w:t>ook a lot of the pressure off.”</w:t>
      </w:r>
    </w:p>
    <w:p w14:paraId="04F59015" w14:textId="77777777" w:rsidR="00427312" w:rsidRPr="00F53504" w:rsidRDefault="004A422E" w:rsidP="00427312">
      <w:pPr>
        <w:pStyle w:val="Quoteattribution"/>
      </w:pPr>
      <w:r w:rsidRPr="00F53504">
        <w:t>Male, 30s, from regional area, to capital city</w:t>
      </w:r>
    </w:p>
    <w:p w14:paraId="5BA523A2" w14:textId="4AEE58AD" w:rsidR="00427312" w:rsidRPr="00F53504" w:rsidRDefault="004A422E" w:rsidP="00427312">
      <w:pPr>
        <w:pStyle w:val="Quote"/>
        <w:rPr>
          <w:lang w:val="en-AU"/>
        </w:rPr>
      </w:pPr>
      <w:r w:rsidRPr="00F53504">
        <w:rPr>
          <w:lang w:val="en-AU"/>
        </w:rPr>
        <w:t xml:space="preserve">“It’s part of my pay. </w:t>
      </w:r>
      <w:proofErr w:type="gramStart"/>
      <w:r w:rsidRPr="00F53504">
        <w:rPr>
          <w:lang w:val="en-AU"/>
        </w:rPr>
        <w:t>It’s</w:t>
      </w:r>
      <w:proofErr w:type="gramEnd"/>
      <w:r w:rsidRPr="00F53504">
        <w:rPr>
          <w:lang w:val="en-AU"/>
        </w:rPr>
        <w:t xml:space="preserve"> just like renting. Yeah, they take it out of my pay and I never see it</w:t>
      </w:r>
      <w:r w:rsidR="005D2668">
        <w:rPr>
          <w:lang w:val="en-AU"/>
        </w:rPr>
        <w:t>...</w:t>
      </w:r>
      <w:r w:rsidRPr="00F53504">
        <w:rPr>
          <w:lang w:val="en-AU"/>
        </w:rPr>
        <w:t xml:space="preserve"> </w:t>
      </w:r>
      <w:proofErr w:type="gramStart"/>
      <w:r w:rsidRPr="00F53504">
        <w:rPr>
          <w:lang w:val="en-AU"/>
        </w:rPr>
        <w:t>It’s</w:t>
      </w:r>
      <w:proofErr w:type="gramEnd"/>
      <w:r w:rsidRPr="00F53504">
        <w:rPr>
          <w:lang w:val="en-AU"/>
        </w:rPr>
        <w:t xml:space="preserve"> nice, yeah. They do everything for you. They give you the house and that and they just take - yeah, it’s just </w:t>
      </w:r>
      <w:r w:rsidR="005845DF">
        <w:rPr>
          <w:lang w:val="en-AU"/>
        </w:rPr>
        <w:t>like renting a flat basically.”</w:t>
      </w:r>
    </w:p>
    <w:p w14:paraId="6954EBEB" w14:textId="77777777" w:rsidR="004A422E" w:rsidRPr="00F53504" w:rsidRDefault="004A422E" w:rsidP="00427312">
      <w:pPr>
        <w:pStyle w:val="Quoteattribution"/>
      </w:pPr>
      <w:r w:rsidRPr="00F53504">
        <w:t>Female, 20s, from regional area, to regional area</w:t>
      </w:r>
    </w:p>
    <w:p w14:paraId="79EB900D" w14:textId="77777777" w:rsidR="00843021" w:rsidRPr="00F53504" w:rsidRDefault="00843021">
      <w:pPr>
        <w:spacing w:before="0" w:after="200"/>
        <w:rPr>
          <w:rFonts w:ascii="Calibri" w:eastAsiaTheme="majorEastAsia" w:hAnsi="Calibri" w:cstheme="majorBidi"/>
          <w:b/>
          <w:bCs/>
          <w:sz w:val="28"/>
          <w:szCs w:val="28"/>
        </w:rPr>
      </w:pPr>
      <w:r w:rsidRPr="00F53504">
        <w:br w:type="page"/>
      </w:r>
    </w:p>
    <w:p w14:paraId="5D024253" w14:textId="0B02F47F" w:rsidR="00130ED6" w:rsidRPr="00F53504" w:rsidRDefault="00130ED6" w:rsidP="00843021">
      <w:pPr>
        <w:pStyle w:val="Heading2"/>
      </w:pPr>
      <w:bookmarkStart w:id="81" w:name="_Ref459120990"/>
      <w:bookmarkStart w:id="82" w:name="_Toc512529323"/>
      <w:r w:rsidRPr="00F53504">
        <w:lastRenderedPageBreak/>
        <w:t>How important is job match</w:t>
      </w:r>
      <w:r w:rsidR="00C85467" w:rsidRPr="00F53504">
        <w:t xml:space="preserve"> </w:t>
      </w:r>
      <w:r w:rsidRPr="00F53504">
        <w:t>and prospects to successful relocation and employment?</w:t>
      </w:r>
      <w:bookmarkEnd w:id="81"/>
      <w:bookmarkEnd w:id="82"/>
    </w:p>
    <w:p w14:paraId="3AB750E1" w14:textId="77777777" w:rsidR="00DF07BA" w:rsidRPr="00F53504" w:rsidRDefault="00DF07BA" w:rsidP="00DF07BA">
      <w:pPr>
        <w:pStyle w:val="Answerbox"/>
        <w:rPr>
          <w:b/>
        </w:rPr>
      </w:pPr>
      <w:r w:rsidRPr="00F53504">
        <w:rPr>
          <w:b/>
        </w:rPr>
        <w:t>High quality job matching increases successful relocation and sustained employment</w:t>
      </w:r>
    </w:p>
    <w:p w14:paraId="25A6A2B4" w14:textId="2C079F28" w:rsidR="00130ED6" w:rsidRPr="00F53504" w:rsidRDefault="00567DDD" w:rsidP="00130ED6">
      <w:pPr>
        <w:pStyle w:val="Answerbox"/>
      </w:pPr>
      <w:r w:rsidRPr="00F53504">
        <w:t>I</w:t>
      </w:r>
      <w:r w:rsidR="00130ED6" w:rsidRPr="00F53504">
        <w:t xml:space="preserve">nterviews with participants in the </w:t>
      </w:r>
      <w:r w:rsidR="004F68D9" w:rsidRPr="00F53504">
        <w:t>program</w:t>
      </w:r>
      <w:r w:rsidR="00130ED6" w:rsidRPr="00F53504">
        <w:t xml:space="preserve"> indicated that high quality job matching</w:t>
      </w:r>
      <w:r w:rsidR="00290DAA">
        <w:t>—a good match between participants’</w:t>
      </w:r>
      <w:r w:rsidR="00C81D41">
        <w:t xml:space="preserve"> skills and</w:t>
      </w:r>
      <w:r w:rsidR="00290DAA">
        <w:t xml:space="preserve"> expectations and the actual job—</w:t>
      </w:r>
      <w:r w:rsidR="00130ED6" w:rsidRPr="00F53504">
        <w:t xml:space="preserve"> increases the likelihood of successful reloc</w:t>
      </w:r>
      <w:r w:rsidR="00181FBE">
        <w:t>ation and sustained employment.</w:t>
      </w:r>
    </w:p>
    <w:p w14:paraId="04BC9A80" w14:textId="39BA795B" w:rsidR="00130ED6" w:rsidRPr="00F53504" w:rsidRDefault="00130ED6" w:rsidP="00130ED6">
      <w:r w:rsidRPr="00F53504">
        <w:t xml:space="preserve">One of the aims of </w:t>
      </w:r>
      <w:r w:rsidR="0041378D" w:rsidRPr="00F53504">
        <w:t>RATTUAJ</w:t>
      </w:r>
      <w:r w:rsidRPr="00F53504">
        <w:t xml:space="preserve"> is to relocate participants to areas with skill shortages. Relocation to another region may allow participants to find employment that more closely matches their skillset, </w:t>
      </w:r>
      <w:r w:rsidR="004A5ABC" w:rsidRPr="00F53504">
        <w:t>than would</w:t>
      </w:r>
      <w:r w:rsidRPr="00F53504">
        <w:t xml:space="preserve"> be possible in their original location. High quality job matching </w:t>
      </w:r>
      <w:r w:rsidR="00172024" w:rsidRPr="00F53504">
        <w:t>where the new job matches</w:t>
      </w:r>
      <w:r w:rsidR="0026149A">
        <w:t xml:space="preserve"> a</w:t>
      </w:r>
      <w:r w:rsidR="00172024" w:rsidRPr="00F53504">
        <w:t xml:space="preserve"> job seeker</w:t>
      </w:r>
      <w:r w:rsidR="00AE25DB">
        <w:t>’</w:t>
      </w:r>
      <w:r w:rsidR="00172024" w:rsidRPr="00F53504">
        <w:t xml:space="preserve">s </w:t>
      </w:r>
      <w:r w:rsidR="003F7122">
        <w:t xml:space="preserve">skills and </w:t>
      </w:r>
      <w:r w:rsidR="00172024" w:rsidRPr="00F53504">
        <w:t>expectations appear</w:t>
      </w:r>
      <w:r w:rsidR="00290DAA">
        <w:t>s</w:t>
      </w:r>
      <w:r w:rsidRPr="00F53504">
        <w:t xml:space="preserve"> </w:t>
      </w:r>
      <w:r w:rsidR="00290DAA">
        <w:t xml:space="preserve">important </w:t>
      </w:r>
      <w:r w:rsidRPr="00F53504">
        <w:t xml:space="preserve">to the successful relocation of participants through </w:t>
      </w:r>
      <w:r w:rsidR="0041378D" w:rsidRPr="00F53504">
        <w:t>RATTUAJ</w:t>
      </w:r>
      <w:r w:rsidRPr="00F53504">
        <w:t>.</w:t>
      </w:r>
    </w:p>
    <w:p w14:paraId="527FE270" w14:textId="77777777" w:rsidR="00130ED6" w:rsidRPr="00F53504" w:rsidRDefault="00130ED6" w:rsidP="001835B8">
      <w:pPr>
        <w:pStyle w:val="Heading3"/>
      </w:pPr>
      <w:r w:rsidRPr="00F53504">
        <w:t>The importance of job matching on participants’ decision to relocate</w:t>
      </w:r>
    </w:p>
    <w:p w14:paraId="0F1EB689" w14:textId="03552B0D" w:rsidR="00172024" w:rsidRPr="00F53504" w:rsidRDefault="00172024" w:rsidP="00172024">
      <w:r w:rsidRPr="00F53504">
        <w:t xml:space="preserve">How the job aligns with expectations has a big impact on the mental wellbeing of the participant. If they were engaged and happy with the </w:t>
      </w:r>
      <w:proofErr w:type="gramStart"/>
      <w:r w:rsidRPr="00F53504">
        <w:t>job</w:t>
      </w:r>
      <w:proofErr w:type="gramEnd"/>
      <w:r w:rsidRPr="00F53504">
        <w:t xml:space="preserve"> they were more positive about the program and the move. Many of the job seekers also saw the move for work as an opportunity to grow and to have not just</w:t>
      </w:r>
      <w:r w:rsidR="00181FBE">
        <w:t xml:space="preserve"> a job but to develop a career.</w:t>
      </w:r>
    </w:p>
    <w:p w14:paraId="284D6310" w14:textId="4DADA813" w:rsidR="00D07E5E" w:rsidRPr="00F53504" w:rsidRDefault="000717CC" w:rsidP="00E27964">
      <w:r w:rsidRPr="000717CC">
        <w:t>Half of the participants interviewed stated that finding employment that matched their preferences was important in their decision to relocate.</w:t>
      </w:r>
    </w:p>
    <w:p w14:paraId="3BDE269E" w14:textId="23704468" w:rsidR="00E27964" w:rsidRPr="00F53504" w:rsidRDefault="00E27964" w:rsidP="00E27964">
      <w:r w:rsidRPr="00F53504">
        <w:t xml:space="preserve">At the time of the follow-up </w:t>
      </w:r>
      <w:proofErr w:type="gramStart"/>
      <w:r w:rsidRPr="00F53504">
        <w:t>interview</w:t>
      </w:r>
      <w:proofErr w:type="gramEnd"/>
      <w:r w:rsidRPr="00F53504">
        <w:t xml:space="preserve"> many participants said they enjoyed the job </w:t>
      </w:r>
      <w:r w:rsidR="006A4F55" w:rsidRPr="00F53504">
        <w:t xml:space="preserve">for which they </w:t>
      </w:r>
      <w:r w:rsidRPr="00F53504">
        <w:t xml:space="preserve">relocated. Conversely, interviews also showed that poor quality job matching negatively </w:t>
      </w:r>
      <w:r w:rsidR="00630690" w:rsidRPr="00F53504">
        <w:t xml:space="preserve">affected </w:t>
      </w:r>
      <w:r w:rsidRPr="00F53504">
        <w:t xml:space="preserve">employment prospects. Some participants reported a level of dissatisfaction with the job </w:t>
      </w:r>
      <w:r w:rsidR="006A4F55" w:rsidRPr="00F53504">
        <w:t xml:space="preserve">for which </w:t>
      </w:r>
      <w:r w:rsidRPr="00F53504">
        <w:t xml:space="preserve">they </w:t>
      </w:r>
      <w:proofErr w:type="gramStart"/>
      <w:r w:rsidRPr="00F53504">
        <w:t>relocated,</w:t>
      </w:r>
      <w:proofErr w:type="gramEnd"/>
      <w:r w:rsidRPr="00F53504">
        <w:t xml:space="preserve"> with a few participants who were no longer in the job stating that poor quality job matching was the reason. Providers had a limited role in ensuring quality job matching, with most participants finding their own employment.</w:t>
      </w:r>
    </w:p>
    <w:p w14:paraId="547C5204" w14:textId="039C78A1" w:rsidR="00130ED6" w:rsidRPr="00F53504" w:rsidRDefault="001D242B" w:rsidP="00FF5727">
      <w:r w:rsidRPr="00F53504">
        <w:t>Th</w:t>
      </w:r>
      <w:r w:rsidR="00D07E5E" w:rsidRPr="00F53504">
        <w:t>is is consistent with th</w:t>
      </w:r>
      <w:r w:rsidRPr="00F53504">
        <w:t>e Australia</w:t>
      </w:r>
      <w:r w:rsidR="009C50E9" w:rsidRPr="00F53504">
        <w:t>n</w:t>
      </w:r>
      <w:r w:rsidRPr="00F53504">
        <w:t xml:space="preserve"> Bureau of Statistics report</w:t>
      </w:r>
      <w:r w:rsidR="009C50E9" w:rsidRPr="00F53504">
        <w:t>,</w:t>
      </w:r>
      <w:r w:rsidRPr="00F53504">
        <w:t xml:space="preserve"> </w:t>
      </w:r>
      <w:r w:rsidR="00130ED6" w:rsidRPr="00D532D6">
        <w:rPr>
          <w:i/>
        </w:rPr>
        <w:t>Barriers and Incentives to Labour Force Participation</w:t>
      </w:r>
      <w:r w:rsidR="00130ED6" w:rsidRPr="00F53504">
        <w:t>,</w:t>
      </w:r>
      <w:r w:rsidR="00D24088" w:rsidRPr="00F53504">
        <w:rPr>
          <w:rStyle w:val="FootnoteReference"/>
        </w:rPr>
        <w:footnoteReference w:id="18"/>
      </w:r>
      <w:r w:rsidR="00130ED6" w:rsidRPr="00F53504">
        <w:t xml:space="preserve"> </w:t>
      </w:r>
      <w:r w:rsidR="009C50E9" w:rsidRPr="00F53504">
        <w:t xml:space="preserve">which states </w:t>
      </w:r>
      <w:r w:rsidR="00D07E5E" w:rsidRPr="00F53504">
        <w:t xml:space="preserve">that </w:t>
      </w:r>
      <w:r w:rsidR="00130ED6" w:rsidRPr="00F53504">
        <w:t xml:space="preserve">64 per cent of </w:t>
      </w:r>
      <w:r w:rsidR="009D58E3" w:rsidRPr="00F53504">
        <w:t xml:space="preserve">survey respondents </w:t>
      </w:r>
      <w:r w:rsidR="00130ED6" w:rsidRPr="00F53504">
        <w:t>thought ‘getting a job that matches skills and experience’ was very important.</w:t>
      </w:r>
      <w:r w:rsidR="00D04EA4">
        <w:t xml:space="preserve"> </w:t>
      </w:r>
    </w:p>
    <w:p w14:paraId="40633C65" w14:textId="55E95237" w:rsidR="00FF5727" w:rsidRPr="00F53504" w:rsidRDefault="00130ED6" w:rsidP="008A50D6">
      <w:pPr>
        <w:pStyle w:val="Quote"/>
        <w:rPr>
          <w:rStyle w:val="QuoteChar"/>
          <w:i/>
          <w:lang w:val="en-AU"/>
        </w:rPr>
      </w:pPr>
      <w:r w:rsidRPr="00F53504">
        <w:rPr>
          <w:rStyle w:val="QuoteChar"/>
          <w:i/>
          <w:lang w:val="en-AU"/>
        </w:rPr>
        <w:t>“[Job matching] would be hugely important because if I moved up to a job where I was just moving up because it was just a job I had to take, I doubt that</w:t>
      </w:r>
      <w:r w:rsidR="00F65436">
        <w:rPr>
          <w:rStyle w:val="QuoteChar"/>
          <w:i/>
          <w:lang w:val="en-AU"/>
        </w:rPr>
        <w:t>...</w:t>
      </w:r>
      <w:r w:rsidRPr="00F53504">
        <w:rPr>
          <w:rStyle w:val="QuoteChar"/>
          <w:i/>
          <w:lang w:val="en-AU"/>
        </w:rPr>
        <w:t>I’d be moving to a new place and if I didn’t enjoy my job I suppose I probably wouldn’t enjoy too much of my life outside that.”</w:t>
      </w:r>
    </w:p>
    <w:p w14:paraId="3A10B978" w14:textId="77777777" w:rsidR="00130ED6" w:rsidRPr="00F53504" w:rsidRDefault="00130ED6" w:rsidP="00FF5727">
      <w:pPr>
        <w:pStyle w:val="Quoteattribution"/>
      </w:pPr>
      <w:r w:rsidRPr="00F53504">
        <w:t>Male, 30s, from capital city, to regional area</w:t>
      </w:r>
    </w:p>
    <w:p w14:paraId="2EA81513" w14:textId="70B32C5D" w:rsidR="00130ED6" w:rsidRPr="00F53504" w:rsidRDefault="00130ED6" w:rsidP="001835B8">
      <w:r w:rsidRPr="00F53504">
        <w:t>Participants were evenly split o</w:t>
      </w:r>
      <w:r w:rsidR="006A4F55" w:rsidRPr="00F53504">
        <w:t>ver</w:t>
      </w:r>
      <w:r w:rsidRPr="00F53504">
        <w:t xml:space="preserve"> their views on the importance of job matching when relocating for employment with around half stating they </w:t>
      </w:r>
      <w:proofErr w:type="gramStart"/>
      <w:r w:rsidRPr="00F53504">
        <w:t>had a preference for</w:t>
      </w:r>
      <w:proofErr w:type="gramEnd"/>
      <w:r w:rsidRPr="00F53504">
        <w:t xml:space="preserve"> the right job, while the other half </w:t>
      </w:r>
      <w:r w:rsidRPr="00F53504">
        <w:lastRenderedPageBreak/>
        <w:t>reported that they would have relocated for any job. Of those who preferred to relocate for a job with some level of job match, many participants said they would only relocate for the right job, some said they would relocate for any job within their field and a few would like to relocate for the right job, but ultimately would have</w:t>
      </w:r>
      <w:r w:rsidR="002C5C8D">
        <w:t xml:space="preserve"> relocated for any job offered.</w:t>
      </w:r>
    </w:p>
    <w:p w14:paraId="013D43A3" w14:textId="77777777" w:rsidR="00FF5727" w:rsidRPr="00F53504" w:rsidRDefault="00130ED6" w:rsidP="008A50D6">
      <w:pPr>
        <w:pStyle w:val="Quote"/>
        <w:rPr>
          <w:lang w:val="en-AU"/>
        </w:rPr>
      </w:pPr>
      <w:r w:rsidRPr="00F53504">
        <w:rPr>
          <w:lang w:val="en-AU"/>
        </w:rPr>
        <w:t>“[Job matching] it’s the most important thing. You know, if you’re going into a job that you know the nuts and bolts of it, it takes a good lump of stress out of it.”</w:t>
      </w:r>
    </w:p>
    <w:p w14:paraId="26586D81" w14:textId="77777777" w:rsidR="00130ED6" w:rsidRPr="00F53504" w:rsidRDefault="00130ED6" w:rsidP="00FF5727">
      <w:pPr>
        <w:pStyle w:val="Quoteattribution"/>
      </w:pPr>
      <w:r w:rsidRPr="00F53504">
        <w:t>Female, 20s, from regional area, to capital city</w:t>
      </w:r>
    </w:p>
    <w:p w14:paraId="296DA490" w14:textId="7166131D" w:rsidR="00FF5727" w:rsidRPr="00F53504" w:rsidRDefault="00130ED6" w:rsidP="008A50D6">
      <w:pPr>
        <w:pStyle w:val="Quote"/>
        <w:rPr>
          <w:lang w:val="en-AU"/>
        </w:rPr>
      </w:pPr>
      <w:r w:rsidRPr="00F53504">
        <w:rPr>
          <w:lang w:val="en-AU"/>
        </w:rPr>
        <w:t>I think it’s really important if you’re not happy with what you’re doing you know you need to find something that you’re happy with</w:t>
      </w:r>
      <w:r w:rsidR="00F65436">
        <w:rPr>
          <w:lang w:val="en-AU"/>
        </w:rPr>
        <w:t>...</w:t>
      </w:r>
      <w:r w:rsidRPr="00F53504">
        <w:rPr>
          <w:lang w:val="en-AU"/>
        </w:rPr>
        <w:t xml:space="preserve"> you know it just makes it just that much harder to get out of bed in the morning to go do so</w:t>
      </w:r>
      <w:r w:rsidR="00FF5727" w:rsidRPr="00F53504">
        <w:rPr>
          <w:lang w:val="en-AU"/>
        </w:rPr>
        <w:t>mething you don’t like doing.”</w:t>
      </w:r>
    </w:p>
    <w:p w14:paraId="6E4EFE37" w14:textId="77777777" w:rsidR="00130ED6" w:rsidRPr="00F53504" w:rsidRDefault="00130ED6" w:rsidP="00FF5727">
      <w:pPr>
        <w:pStyle w:val="Quoteattribution"/>
      </w:pPr>
      <w:r w:rsidRPr="00F53504">
        <w:t>Male, 30s, from regional area, to regional area</w:t>
      </w:r>
    </w:p>
    <w:p w14:paraId="677B7AA1" w14:textId="77777777" w:rsidR="00FF5727" w:rsidRPr="00F53504" w:rsidRDefault="00130ED6" w:rsidP="008A50D6">
      <w:pPr>
        <w:pStyle w:val="Quote"/>
        <w:rPr>
          <w:lang w:val="en-AU"/>
        </w:rPr>
      </w:pPr>
      <w:r w:rsidRPr="00F53504">
        <w:rPr>
          <w:lang w:val="en-AU"/>
        </w:rPr>
        <w:t>“I applied anywhere, so wherever I was accep</w:t>
      </w:r>
      <w:r w:rsidR="00FF5727" w:rsidRPr="00F53504">
        <w:rPr>
          <w:lang w:val="en-AU"/>
        </w:rPr>
        <w:t>ted first was going to get me.”</w:t>
      </w:r>
    </w:p>
    <w:p w14:paraId="071C5147" w14:textId="77777777" w:rsidR="00130ED6" w:rsidRPr="00F53504" w:rsidRDefault="00130ED6" w:rsidP="00FF5727">
      <w:pPr>
        <w:pStyle w:val="Quoteattribution"/>
        <w:rPr>
          <w:i/>
        </w:rPr>
      </w:pPr>
      <w:r w:rsidRPr="00F53504">
        <w:t>Female, 20s, from regional area, to capital city</w:t>
      </w:r>
    </w:p>
    <w:p w14:paraId="6466BBA6" w14:textId="77777777" w:rsidR="00FF5727" w:rsidRPr="00F53504" w:rsidRDefault="00130ED6" w:rsidP="008A50D6">
      <w:pPr>
        <w:pStyle w:val="Quote"/>
        <w:rPr>
          <w:lang w:val="en-AU"/>
        </w:rPr>
      </w:pPr>
      <w:r w:rsidRPr="00F53504">
        <w:rPr>
          <w:lang w:val="en-AU"/>
        </w:rPr>
        <w:t>“[The provider] knew that I liked trave</w:t>
      </w:r>
      <w:r w:rsidR="009C50E9" w:rsidRPr="00F53504">
        <w:rPr>
          <w:lang w:val="en-AU"/>
        </w:rPr>
        <w:t>l</w:t>
      </w:r>
      <w:r w:rsidRPr="00F53504">
        <w:rPr>
          <w:lang w:val="en-AU"/>
        </w:rPr>
        <w:t xml:space="preserve">ling and it doesn’t matter where I go to work. </w:t>
      </w:r>
      <w:proofErr w:type="gramStart"/>
      <w:r w:rsidRPr="00F53504">
        <w:rPr>
          <w:lang w:val="en-AU"/>
        </w:rPr>
        <w:t>So</w:t>
      </w:r>
      <w:proofErr w:type="gramEnd"/>
      <w:r w:rsidRPr="00F53504">
        <w:rPr>
          <w:lang w:val="en-AU"/>
        </w:rPr>
        <w:t xml:space="preserve"> this came up and they told me straight away because they knew that it doesn’t matter where I get a job as long as it’s a long way from home. So, yeah, they pretty much knew that I wanted to come out here.”</w:t>
      </w:r>
    </w:p>
    <w:p w14:paraId="5439CB9C" w14:textId="77777777" w:rsidR="00130ED6" w:rsidRPr="00F53504" w:rsidRDefault="00130ED6" w:rsidP="00FF5727">
      <w:pPr>
        <w:pStyle w:val="Quoteattribution"/>
      </w:pPr>
      <w:r w:rsidRPr="00F53504">
        <w:t>Female, 20s, from regional area, to regional area</w:t>
      </w:r>
    </w:p>
    <w:p w14:paraId="484506A0" w14:textId="77777777" w:rsidR="00130ED6" w:rsidRPr="00F53504" w:rsidRDefault="00130ED6" w:rsidP="008A50D6">
      <w:r w:rsidRPr="00F53504">
        <w:t xml:space="preserve">Most participants reported that they would be willing to move locations if the right jobs were available. This indicates that the location itself was less important than a quality job match for participants making the decision to </w:t>
      </w:r>
      <w:proofErr w:type="gramStart"/>
      <w:r w:rsidRPr="00F53504">
        <w:t>relocate</w:t>
      </w:r>
      <w:proofErr w:type="gramEnd"/>
      <w:r w:rsidRPr="00F53504">
        <w:t>.</w:t>
      </w:r>
    </w:p>
    <w:p w14:paraId="1B1BF1A2" w14:textId="77777777" w:rsidR="00FF5727" w:rsidRPr="00F53504" w:rsidRDefault="00130ED6" w:rsidP="008A50D6">
      <w:pPr>
        <w:pStyle w:val="Quote"/>
        <w:rPr>
          <w:lang w:val="en-AU"/>
        </w:rPr>
      </w:pPr>
      <w:r w:rsidRPr="00F53504">
        <w:rPr>
          <w:lang w:val="en-AU"/>
        </w:rPr>
        <w:t>“Like I said, it’s not always about the location it’s just about the actual work I’m doing and with the company I’m working with that made me sort of feel comfortable with the decision to do this.”</w:t>
      </w:r>
    </w:p>
    <w:p w14:paraId="1A118E99" w14:textId="77777777" w:rsidR="00130ED6" w:rsidRPr="00F53504" w:rsidRDefault="00130ED6" w:rsidP="00FF5727">
      <w:pPr>
        <w:pStyle w:val="Quoteattribution"/>
      </w:pPr>
      <w:r w:rsidRPr="00F53504">
        <w:t>Male, 40s, from regional area, to capital city</w:t>
      </w:r>
    </w:p>
    <w:p w14:paraId="2E9846A5" w14:textId="77777777" w:rsidR="00130ED6" w:rsidRPr="00F53504" w:rsidRDefault="00130ED6" w:rsidP="001835B8">
      <w:pPr>
        <w:pStyle w:val="Heading3"/>
      </w:pPr>
      <w:r w:rsidRPr="00F53504">
        <w:t>Importance of job matching in sustaining employment</w:t>
      </w:r>
    </w:p>
    <w:p w14:paraId="22DAF139" w14:textId="6E055482" w:rsidR="00130ED6" w:rsidRPr="00F53504" w:rsidRDefault="00567DDD" w:rsidP="008A50D6">
      <w:r w:rsidRPr="00F53504">
        <w:t>I</w:t>
      </w:r>
      <w:r w:rsidR="00276F92" w:rsidRPr="00F53504">
        <w:t xml:space="preserve">nterviews with participants showed that the </w:t>
      </w:r>
      <w:r w:rsidR="00D07E5E" w:rsidRPr="00F53504">
        <w:t xml:space="preserve">alignment of </w:t>
      </w:r>
      <w:r w:rsidR="00276F92" w:rsidRPr="00F53504">
        <w:t>the job with their skills, experience and expectations had a significant impact on their mental wellbeing and desire to remain in the job.</w:t>
      </w:r>
      <w:r w:rsidR="00D07E5E" w:rsidRPr="00F53504">
        <w:t xml:space="preserve"> </w:t>
      </w:r>
    </w:p>
    <w:p w14:paraId="4464E3E9" w14:textId="67DF9A30" w:rsidR="00FF5727" w:rsidRPr="00F53504" w:rsidRDefault="00130ED6" w:rsidP="008A50D6">
      <w:pPr>
        <w:pStyle w:val="Quote"/>
        <w:rPr>
          <w:lang w:val="en-AU"/>
        </w:rPr>
      </w:pPr>
      <w:r w:rsidRPr="00F53504">
        <w:rPr>
          <w:lang w:val="en-AU"/>
        </w:rPr>
        <w:t xml:space="preserve">“Interesting job, interesting people, different industry using the same skills, able to use my experience </w:t>
      </w:r>
      <w:r w:rsidR="00F65436">
        <w:rPr>
          <w:lang w:val="en-AU"/>
        </w:rPr>
        <w:t>...</w:t>
      </w:r>
      <w:r w:rsidRPr="00F53504">
        <w:rPr>
          <w:b/>
          <w:bCs/>
          <w:lang w:val="en-AU"/>
        </w:rPr>
        <w:t xml:space="preserve"> </w:t>
      </w:r>
      <w:r w:rsidRPr="00F53504">
        <w:rPr>
          <w:lang w:val="en-AU"/>
        </w:rPr>
        <w:t xml:space="preserve">I’m putting the skills that I already had to use but I’m actually learning new skills, I’ve got a broader </w:t>
      </w:r>
      <w:r w:rsidR="00A44ACC" w:rsidRPr="00F53504">
        <w:rPr>
          <w:lang w:val="en-AU"/>
        </w:rPr>
        <w:t xml:space="preserve">[sic] </w:t>
      </w:r>
      <w:r w:rsidRPr="00F53504">
        <w:rPr>
          <w:lang w:val="en-AU"/>
        </w:rPr>
        <w:t>information now. I’m dealing in a different industry but utilising the same skills.</w:t>
      </w:r>
      <w:r w:rsidR="00FF5727" w:rsidRPr="00F53504">
        <w:rPr>
          <w:lang w:val="en-AU"/>
        </w:rPr>
        <w:t>”</w:t>
      </w:r>
    </w:p>
    <w:p w14:paraId="6D883111" w14:textId="77777777" w:rsidR="00130ED6" w:rsidRPr="00F53504" w:rsidRDefault="00130ED6" w:rsidP="00FF5727">
      <w:pPr>
        <w:pStyle w:val="Quoteattribution"/>
      </w:pPr>
      <w:r w:rsidRPr="00F53504">
        <w:t>Female, 50s, from capital city, to regional area</w:t>
      </w:r>
    </w:p>
    <w:p w14:paraId="1CCF47B3" w14:textId="73E50B9C" w:rsidR="00FF5727" w:rsidRPr="00F53504" w:rsidRDefault="00130ED6" w:rsidP="008A50D6">
      <w:pPr>
        <w:pStyle w:val="Quote"/>
        <w:rPr>
          <w:lang w:val="en-AU"/>
        </w:rPr>
      </w:pPr>
      <w:r w:rsidRPr="00F53504">
        <w:rPr>
          <w:lang w:val="en-AU"/>
        </w:rPr>
        <w:t>“I think that in terms of the team; they’re authentic, they’re genuine, they are very much people persons, and the job itself</w:t>
      </w:r>
      <w:r w:rsidR="00F65436">
        <w:rPr>
          <w:lang w:val="en-AU"/>
        </w:rPr>
        <w:t>...</w:t>
      </w:r>
      <w:r w:rsidRPr="00F53504">
        <w:rPr>
          <w:lang w:val="en-AU"/>
        </w:rPr>
        <w:t>it’s something that will keep me interested.</w:t>
      </w:r>
      <w:r w:rsidR="00FF5727" w:rsidRPr="00F53504">
        <w:rPr>
          <w:lang w:val="en-AU"/>
        </w:rPr>
        <w:t>”</w:t>
      </w:r>
    </w:p>
    <w:p w14:paraId="56FE4E81" w14:textId="77777777" w:rsidR="00130ED6" w:rsidRPr="00F53504" w:rsidRDefault="00130ED6" w:rsidP="00FF5727">
      <w:pPr>
        <w:pStyle w:val="Quoteattribution"/>
      </w:pPr>
      <w:r w:rsidRPr="00F53504">
        <w:t>Male, 60s, from regional area, to regional area</w:t>
      </w:r>
    </w:p>
    <w:p w14:paraId="751698B5" w14:textId="77777777" w:rsidR="003A4D9C" w:rsidRPr="00F53504" w:rsidRDefault="003A4D9C" w:rsidP="008A50D6">
      <w:r w:rsidRPr="00F53504">
        <w:lastRenderedPageBreak/>
        <w:t xml:space="preserve">In </w:t>
      </w:r>
      <w:r w:rsidR="00783C69" w:rsidRPr="00F53504">
        <w:t>a few</w:t>
      </w:r>
      <w:r w:rsidRPr="00F53504">
        <w:t xml:space="preserve"> cases, participants had low expectations of their new job and anticipated they would stay in it for a short period only. </w:t>
      </w:r>
      <w:r w:rsidR="00783C69" w:rsidRPr="00F53504">
        <w:t>However, a</w:t>
      </w:r>
      <w:r w:rsidRPr="00F53504">
        <w:t xml:space="preserve"> favourable job match positively affected their expectations of how long they would remain in their job.</w:t>
      </w:r>
    </w:p>
    <w:p w14:paraId="7EED3C87" w14:textId="77777777" w:rsidR="003A4D9C" w:rsidRPr="00F53504" w:rsidRDefault="003A4D9C" w:rsidP="003A4D9C">
      <w:pPr>
        <w:pStyle w:val="Quote"/>
        <w:rPr>
          <w:lang w:val="en-AU"/>
        </w:rPr>
      </w:pPr>
      <w:r w:rsidRPr="00F53504">
        <w:rPr>
          <w:lang w:val="en-AU"/>
        </w:rPr>
        <w:t>“My first goal out here was after 12 months and then leave.</w:t>
      </w:r>
      <w:r w:rsidR="00E426E7" w:rsidRPr="00F53504">
        <w:rPr>
          <w:lang w:val="en-AU"/>
        </w:rPr>
        <w:t xml:space="preserve"> </w:t>
      </w:r>
      <w:proofErr w:type="gramStart"/>
      <w:r w:rsidR="00E426E7" w:rsidRPr="00F53504">
        <w:rPr>
          <w:lang w:val="en-AU"/>
        </w:rPr>
        <w:t>...With this job</w:t>
      </w:r>
      <w:proofErr w:type="gramEnd"/>
      <w:r w:rsidR="00E426E7" w:rsidRPr="00F53504">
        <w:rPr>
          <w:lang w:val="en-AU"/>
        </w:rPr>
        <w:t xml:space="preserve"> I want to try work overseas for a year at another [BRAND] restaurant and working here can give you that opportunity.</w:t>
      </w:r>
      <w:r w:rsidRPr="00F53504">
        <w:rPr>
          <w:lang w:val="en-AU"/>
        </w:rPr>
        <w:t xml:space="preserve"> ... Now I want to stay another year and then after that I’ve got a feeling I’ll want to stay anot</w:t>
      </w:r>
      <w:r w:rsidR="00E426E7" w:rsidRPr="00F53504">
        <w:rPr>
          <w:lang w:val="en-AU"/>
        </w:rPr>
        <w:t>her year.”</w:t>
      </w:r>
    </w:p>
    <w:p w14:paraId="6E381315" w14:textId="77777777" w:rsidR="00E426E7" w:rsidRPr="00F53504" w:rsidRDefault="00E426E7" w:rsidP="00E426E7">
      <w:pPr>
        <w:pStyle w:val="Quoteattribution"/>
        <w:rPr>
          <w:iCs/>
        </w:rPr>
      </w:pPr>
      <w:r w:rsidRPr="00F53504">
        <w:rPr>
          <w:iCs/>
        </w:rPr>
        <w:t>Male, 20s, from regional area, to regional area</w:t>
      </w:r>
    </w:p>
    <w:p w14:paraId="6FA4FB02" w14:textId="77777777" w:rsidR="00783C69" w:rsidRPr="00F53504" w:rsidRDefault="00783C69" w:rsidP="008A50D6">
      <w:r w:rsidRPr="00F53504">
        <w:t xml:space="preserve">For many, relocating to a new location and being back in the workforce was more important than the job matching their skills, experiences and interests. For these participants they saw their participation in </w:t>
      </w:r>
      <w:r w:rsidR="0041378D" w:rsidRPr="00F53504">
        <w:t>RATTUAJ</w:t>
      </w:r>
      <w:r w:rsidRPr="00F53504">
        <w:t xml:space="preserve"> as </w:t>
      </w:r>
      <w:proofErr w:type="gramStart"/>
      <w:r w:rsidRPr="00F53504">
        <w:t>one step</w:t>
      </w:r>
      <w:proofErr w:type="gramEnd"/>
      <w:r w:rsidRPr="00F53504">
        <w:t xml:space="preserve"> of several to improving their lives. </w:t>
      </w:r>
      <w:proofErr w:type="gramStart"/>
      <w:r w:rsidRPr="00F53504">
        <w:t>So</w:t>
      </w:r>
      <w:proofErr w:type="gramEnd"/>
      <w:r w:rsidRPr="00F53504">
        <w:t xml:space="preserve"> while they may not stay in the job </w:t>
      </w:r>
      <w:r w:rsidR="006A4F55" w:rsidRPr="00F53504">
        <w:t xml:space="preserve">for which </w:t>
      </w:r>
      <w:r w:rsidRPr="00F53504">
        <w:t>they relocated in the long term, their expectation was to find new employment that better suited them after an appropriate period.</w:t>
      </w:r>
    </w:p>
    <w:p w14:paraId="273E61B5" w14:textId="77777777" w:rsidR="00E20EF2" w:rsidRPr="00F53504" w:rsidRDefault="00E20EF2" w:rsidP="00E20EF2">
      <w:pPr>
        <w:pStyle w:val="Quote"/>
        <w:rPr>
          <w:lang w:val="en-AU"/>
        </w:rPr>
      </w:pPr>
      <w:r w:rsidRPr="00F53504">
        <w:rPr>
          <w:lang w:val="en-AU"/>
        </w:rPr>
        <w:t>“I would stay here and get a job you know get another job. ...It’s easy now that I’m here to get another job and you know like for example, I’ve already had a conversation with the [REMOVED] about my skills and how they could fit in there.”</w:t>
      </w:r>
    </w:p>
    <w:p w14:paraId="1F371879" w14:textId="77777777" w:rsidR="00783C69" w:rsidRPr="00F53504" w:rsidRDefault="00E20EF2" w:rsidP="00783C69">
      <w:pPr>
        <w:pStyle w:val="Quoteattribution"/>
      </w:pPr>
      <w:r w:rsidRPr="00F53504">
        <w:t>Male, 50s, from regional area, to regional area</w:t>
      </w:r>
    </w:p>
    <w:p w14:paraId="1FB2AAE2" w14:textId="585FC210" w:rsidR="00130ED6" w:rsidRPr="00F53504" w:rsidRDefault="00130ED6" w:rsidP="008A50D6">
      <w:r w:rsidRPr="00F53504">
        <w:t>Follow-up interviews indicated that most participants were able to overcome poor job matching and</w:t>
      </w:r>
      <w:r w:rsidR="003924DE">
        <w:t xml:space="preserve"> sustain employment.</w:t>
      </w:r>
    </w:p>
    <w:p w14:paraId="24525A2C" w14:textId="3E35D4DD" w:rsidR="008A50D6" w:rsidRPr="00F53504" w:rsidRDefault="00130ED6" w:rsidP="008A50D6">
      <w:pPr>
        <w:pStyle w:val="Quote"/>
        <w:rPr>
          <w:lang w:val="en-AU"/>
        </w:rPr>
      </w:pPr>
      <w:r w:rsidRPr="00F53504">
        <w:rPr>
          <w:lang w:val="en-AU"/>
        </w:rPr>
        <w:t>“I was expecting it to be quite stressful because of the kind of work it is</w:t>
      </w:r>
      <w:r w:rsidR="00F65436">
        <w:rPr>
          <w:lang w:val="en-AU"/>
        </w:rPr>
        <w:t>...</w:t>
      </w:r>
      <w:r w:rsidRPr="00F53504">
        <w:rPr>
          <w:lang w:val="en-AU"/>
        </w:rPr>
        <w:t>I didn’t have any skills for that when I applied for the job. But they took me on and they trained me how to do it and I’ve settled in to i</w:t>
      </w:r>
      <w:r w:rsidR="00783C69" w:rsidRPr="00F53504">
        <w:rPr>
          <w:lang w:val="en-AU"/>
        </w:rPr>
        <w:t>t</w:t>
      </w:r>
      <w:r w:rsidR="008A50D6" w:rsidRPr="00F53504">
        <w:rPr>
          <w:lang w:val="en-AU"/>
        </w:rPr>
        <w:t xml:space="preserve"> and I find it rather easy now</w:t>
      </w:r>
      <w:r w:rsidR="00783C69" w:rsidRPr="00F53504">
        <w:rPr>
          <w:lang w:val="en-AU"/>
        </w:rPr>
        <w:t>.</w:t>
      </w:r>
      <w:r w:rsidR="008A50D6" w:rsidRPr="00F53504">
        <w:rPr>
          <w:lang w:val="en-AU"/>
        </w:rPr>
        <w:t>”</w:t>
      </w:r>
    </w:p>
    <w:p w14:paraId="065A1B10" w14:textId="77777777" w:rsidR="00130ED6" w:rsidRPr="00F53504" w:rsidRDefault="00130ED6" w:rsidP="008A50D6">
      <w:pPr>
        <w:pStyle w:val="Quoteattribution"/>
      </w:pPr>
      <w:r w:rsidRPr="00F53504">
        <w:t>Female, 20s, from regional area, to capital city</w:t>
      </w:r>
    </w:p>
    <w:p w14:paraId="49CCD674" w14:textId="1D25A70C" w:rsidR="00130ED6" w:rsidRPr="00F53504" w:rsidRDefault="00130ED6" w:rsidP="001835B8">
      <w:pPr>
        <w:pStyle w:val="Heading3"/>
      </w:pPr>
      <w:bookmarkStart w:id="83" w:name="_Ref456001000"/>
      <w:r w:rsidRPr="00F53504">
        <w:t>Provider’s role in job matching</w:t>
      </w:r>
      <w:bookmarkEnd w:id="83"/>
    </w:p>
    <w:p w14:paraId="524C0F55" w14:textId="25D35F56" w:rsidR="00130ED6" w:rsidRPr="00F53504" w:rsidRDefault="00907747" w:rsidP="008A50D6">
      <w:r w:rsidRPr="00F53504">
        <w:t>In-depth interviews with p</w:t>
      </w:r>
      <w:r w:rsidR="001756B7" w:rsidRPr="00F53504">
        <w:t>roviders</w:t>
      </w:r>
      <w:r w:rsidRPr="00F53504">
        <w:t xml:space="preserve"> showed that they</w:t>
      </w:r>
      <w:r w:rsidR="001756B7" w:rsidRPr="00F53504">
        <w:t xml:space="preserve"> played a limited role in ensuring a quality job match. O</w:t>
      </w:r>
      <w:r w:rsidR="00130ED6" w:rsidRPr="00F53504">
        <w:t xml:space="preserve">nly a few participants </w:t>
      </w:r>
      <w:r w:rsidR="001756B7" w:rsidRPr="00F53504">
        <w:t xml:space="preserve">reported </w:t>
      </w:r>
      <w:r w:rsidR="00305C64">
        <w:t>receiving</w:t>
      </w:r>
      <w:r w:rsidR="00611A8A">
        <w:t xml:space="preserve"> </w:t>
      </w:r>
      <w:r w:rsidR="00611A8A" w:rsidRPr="00F53504">
        <w:t xml:space="preserve">the help of their providers </w:t>
      </w:r>
      <w:r w:rsidR="00611A8A">
        <w:t xml:space="preserve">to </w:t>
      </w:r>
      <w:r w:rsidR="00305C64" w:rsidRPr="00F53504">
        <w:t>find the</w:t>
      </w:r>
      <w:r w:rsidR="00611A8A">
        <w:t xml:space="preserve"> jobs for which they </w:t>
      </w:r>
      <w:r w:rsidR="00305C64">
        <w:t>relocated</w:t>
      </w:r>
      <w:r w:rsidR="00130ED6" w:rsidRPr="00F53504">
        <w:t xml:space="preserve">, </w:t>
      </w:r>
      <w:r w:rsidR="001756B7" w:rsidRPr="00F53504">
        <w:t xml:space="preserve">with </w:t>
      </w:r>
      <w:r w:rsidR="00130ED6" w:rsidRPr="00F53504">
        <w:t xml:space="preserve">the </w:t>
      </w:r>
      <w:r w:rsidR="00B373BA" w:rsidRPr="00F53504">
        <w:t xml:space="preserve">remainder </w:t>
      </w:r>
      <w:r w:rsidR="00130ED6" w:rsidRPr="00F53504">
        <w:t xml:space="preserve">finding their own employment. This implies that participants were assessing the quality of the job match themselves, although this does not necessarily mean that participants accepted jobs that were </w:t>
      </w:r>
      <w:proofErr w:type="gramStart"/>
      <w:r w:rsidR="00130ED6" w:rsidRPr="00F53504">
        <w:t>best-matched</w:t>
      </w:r>
      <w:proofErr w:type="gramEnd"/>
      <w:r w:rsidR="00130ED6" w:rsidRPr="00F53504">
        <w:t xml:space="preserve"> with their existing skills. </w:t>
      </w:r>
      <w:r w:rsidRPr="00F53504">
        <w:t>I</w:t>
      </w:r>
      <w:r w:rsidR="00130ED6" w:rsidRPr="00F53504">
        <w:t>nterviews with providers confirmed this.</w:t>
      </w:r>
    </w:p>
    <w:p w14:paraId="4AF51EFF" w14:textId="77777777" w:rsidR="008A50D6" w:rsidRPr="00F53504" w:rsidRDefault="00130ED6" w:rsidP="008A50D6">
      <w:pPr>
        <w:pStyle w:val="Quote"/>
        <w:rPr>
          <w:rFonts w:eastAsiaTheme="minorHAnsi"/>
          <w:lang w:val="en-AU"/>
        </w:rPr>
      </w:pPr>
      <w:r w:rsidRPr="00F53504">
        <w:rPr>
          <w:rFonts w:eastAsiaTheme="minorHAnsi"/>
          <w:lang w:val="en-AU"/>
        </w:rPr>
        <w:t xml:space="preserve">“They found their own [jobs]... the first one had said, “I’m looking for – I’m looking to move because there’s not much here for me.” </w:t>
      </w:r>
      <w:proofErr w:type="gramStart"/>
      <w:r w:rsidRPr="00F53504">
        <w:rPr>
          <w:rFonts w:eastAsiaTheme="minorHAnsi"/>
          <w:lang w:val="en-AU"/>
        </w:rPr>
        <w:t>So</w:t>
      </w:r>
      <w:proofErr w:type="gramEnd"/>
      <w:r w:rsidRPr="00F53504">
        <w:rPr>
          <w:rFonts w:eastAsiaTheme="minorHAnsi"/>
          <w:lang w:val="en-AU"/>
        </w:rPr>
        <w:t xml:space="preserve"> we encouraged him. The second one was the same. And the third one, yeah as I said, we talked about relocation because he was having such trouble getting a job here.”</w:t>
      </w:r>
    </w:p>
    <w:p w14:paraId="38B304CA" w14:textId="77777777" w:rsidR="00130ED6" w:rsidRPr="00F53504" w:rsidRDefault="008A50D6" w:rsidP="008A50D6">
      <w:pPr>
        <w:pStyle w:val="Quoteattribution"/>
        <w:rPr>
          <w:rFonts w:eastAsiaTheme="minorHAnsi"/>
        </w:rPr>
      </w:pPr>
      <w:r w:rsidRPr="00F53504">
        <w:rPr>
          <w:rFonts w:eastAsiaTheme="minorHAnsi"/>
        </w:rPr>
        <w:t xml:space="preserve">Provider, </w:t>
      </w:r>
      <w:r w:rsidR="00BF3495" w:rsidRPr="00F53504">
        <w:rPr>
          <w:rFonts w:eastAsiaTheme="minorHAnsi"/>
        </w:rPr>
        <w:t>r</w:t>
      </w:r>
      <w:r w:rsidR="00A73578" w:rsidRPr="00F53504">
        <w:rPr>
          <w:rFonts w:eastAsiaTheme="minorHAnsi"/>
        </w:rPr>
        <w:t>egional area</w:t>
      </w:r>
      <w:r w:rsidR="00CD549C" w:rsidRPr="00F53504">
        <w:t xml:space="preserve">, </w:t>
      </w:r>
      <w:r w:rsidR="00567DDD" w:rsidRPr="00F53504">
        <w:t>in-depth interview</w:t>
      </w:r>
    </w:p>
    <w:p w14:paraId="46CB7F4A" w14:textId="77777777" w:rsidR="008A50D6" w:rsidRPr="00F53504" w:rsidRDefault="00130ED6" w:rsidP="008A50D6">
      <w:pPr>
        <w:pStyle w:val="Quote"/>
        <w:rPr>
          <w:lang w:val="en-AU"/>
        </w:rPr>
      </w:pPr>
      <w:r w:rsidRPr="00F53504">
        <w:rPr>
          <w:lang w:val="en-AU"/>
        </w:rPr>
        <w:t>“Sometimes the individual candidate can come to us, because they do their sums and find out that living in Sydney it’s really hard. So they decided to look elsewhere if opportunity available. And they will say, ‘I’m going to move there, what sort of things that we could help.’”</w:t>
      </w:r>
    </w:p>
    <w:p w14:paraId="07DF25C9" w14:textId="77777777" w:rsidR="00130ED6" w:rsidRPr="00F53504" w:rsidRDefault="008A50D6" w:rsidP="008A50D6">
      <w:pPr>
        <w:pStyle w:val="Quoteattribution"/>
      </w:pPr>
      <w:r w:rsidRPr="00F53504">
        <w:t xml:space="preserve">Provider, </w:t>
      </w:r>
      <w:r w:rsidR="00BF3495" w:rsidRPr="00F53504">
        <w:t>c</w:t>
      </w:r>
      <w:r w:rsidR="00A73578" w:rsidRPr="00F53504">
        <w:t>apital city</w:t>
      </w:r>
      <w:r w:rsidR="00CD549C" w:rsidRPr="00F53504">
        <w:t xml:space="preserve">, </w:t>
      </w:r>
      <w:r w:rsidR="00567DDD" w:rsidRPr="00F53504">
        <w:t>in-depth interview</w:t>
      </w:r>
    </w:p>
    <w:p w14:paraId="16B932B7" w14:textId="7F261044" w:rsidR="008A50D6" w:rsidRPr="00F53504" w:rsidRDefault="008A50D6" w:rsidP="008A50D6">
      <w:pPr>
        <w:pStyle w:val="Quote"/>
        <w:rPr>
          <w:rFonts w:eastAsiaTheme="minorHAnsi"/>
          <w:lang w:val="en-AU"/>
        </w:rPr>
      </w:pPr>
      <w:r w:rsidRPr="00F53504">
        <w:rPr>
          <w:rFonts w:eastAsiaTheme="minorHAnsi"/>
          <w:lang w:val="en-AU"/>
        </w:rPr>
        <w:lastRenderedPageBreak/>
        <w:t>“</w:t>
      </w:r>
      <w:r w:rsidR="00130ED6" w:rsidRPr="00F53504">
        <w:rPr>
          <w:rFonts w:eastAsiaTheme="minorHAnsi"/>
          <w:lang w:val="en-AU"/>
        </w:rPr>
        <w:t xml:space="preserve">You certainly have clients [say] ‘oh I’m going to relocate and I’ve got a job here’ and you sort of go ‘Is that going to last’ because you get to the point where you know the client, you know the client’s history, you know what’s been going on for the past 12 or 18 months. I can think of one </w:t>
      </w:r>
      <w:r w:rsidR="002732A5">
        <w:rPr>
          <w:rFonts w:eastAsiaTheme="minorHAnsi"/>
          <w:lang w:val="en-AU"/>
        </w:rPr>
        <w:t xml:space="preserve">[in] </w:t>
      </w:r>
      <w:r w:rsidR="00130ED6" w:rsidRPr="00F53504">
        <w:rPr>
          <w:rFonts w:eastAsiaTheme="minorHAnsi"/>
          <w:lang w:val="en-AU"/>
        </w:rPr>
        <w:t>particular when</w:t>
      </w:r>
      <w:r w:rsidR="004150A8">
        <w:rPr>
          <w:rFonts w:eastAsiaTheme="minorHAnsi"/>
          <w:lang w:val="en-AU"/>
        </w:rPr>
        <w:t>…</w:t>
      </w:r>
      <w:r w:rsidR="00130ED6" w:rsidRPr="00F53504">
        <w:rPr>
          <w:rFonts w:eastAsiaTheme="minorHAnsi"/>
          <w:lang w:val="en-AU"/>
        </w:rPr>
        <w:t xml:space="preserve"> he said he was relocating, I’ve just gone, ‘Oh okay’</w:t>
      </w:r>
      <w:r w:rsidR="00F65436">
        <w:rPr>
          <w:rFonts w:eastAsiaTheme="minorHAnsi"/>
          <w:lang w:val="en-AU"/>
        </w:rPr>
        <w:t>...</w:t>
      </w:r>
      <w:r w:rsidR="00130ED6" w:rsidRPr="00F53504">
        <w:rPr>
          <w:rFonts w:eastAsiaTheme="minorHAnsi"/>
          <w:lang w:val="en-AU"/>
        </w:rPr>
        <w:t>The job lasted six weeks but he also had massive amounts of issues but he was determined he was going to move away</w:t>
      </w:r>
      <w:r w:rsidRPr="00F53504">
        <w:rPr>
          <w:rFonts w:eastAsiaTheme="minorHAnsi"/>
          <w:lang w:val="en-AU"/>
        </w:rPr>
        <w:t>.”</w:t>
      </w:r>
    </w:p>
    <w:p w14:paraId="59DB4DC7" w14:textId="77777777" w:rsidR="00130ED6" w:rsidRPr="00F53504" w:rsidRDefault="008A50D6" w:rsidP="008A50D6">
      <w:pPr>
        <w:pStyle w:val="Quoteattribution"/>
        <w:rPr>
          <w:rFonts w:eastAsiaTheme="minorHAnsi"/>
        </w:rPr>
      </w:pPr>
      <w:r w:rsidRPr="00F53504">
        <w:rPr>
          <w:rFonts w:eastAsiaTheme="minorHAnsi"/>
        </w:rPr>
        <w:t xml:space="preserve">Provider, </w:t>
      </w:r>
      <w:r w:rsidR="00BF3495" w:rsidRPr="00F53504">
        <w:rPr>
          <w:rFonts w:eastAsiaTheme="minorHAnsi"/>
        </w:rPr>
        <w:t>r</w:t>
      </w:r>
      <w:r w:rsidR="00A73578" w:rsidRPr="00F53504">
        <w:rPr>
          <w:rFonts w:eastAsiaTheme="minorHAnsi"/>
        </w:rPr>
        <w:t>egional area</w:t>
      </w:r>
      <w:r w:rsidR="00CD549C" w:rsidRPr="00F53504">
        <w:t xml:space="preserve">, </w:t>
      </w:r>
      <w:r w:rsidR="00567DDD" w:rsidRPr="00F53504">
        <w:t>in-depth interview</w:t>
      </w:r>
    </w:p>
    <w:p w14:paraId="4D43A714" w14:textId="30CCDE81" w:rsidR="00130ED6" w:rsidRPr="00F53504" w:rsidRDefault="00130ED6" w:rsidP="008A50D6">
      <w:r w:rsidRPr="00F53504">
        <w:t>One provider opin</w:t>
      </w:r>
      <w:r w:rsidR="006A4F55" w:rsidRPr="00F53504">
        <w:t xml:space="preserve">ed </w:t>
      </w:r>
      <w:r w:rsidRPr="00F53504">
        <w:t xml:space="preserve">that their role in </w:t>
      </w:r>
      <w:r w:rsidR="0041378D" w:rsidRPr="00F53504">
        <w:t>RATTUAJ</w:t>
      </w:r>
      <w:r w:rsidRPr="00F53504">
        <w:t xml:space="preserve"> </w:t>
      </w:r>
      <w:r w:rsidR="006A4F55" w:rsidRPr="00F53504">
        <w:t xml:space="preserve">was </w:t>
      </w:r>
      <w:r w:rsidRPr="00F53504">
        <w:t xml:space="preserve">more about providing financial assistance to participants to help them successfully relocate and maintain ongoing employment, than ensuring the </w:t>
      </w:r>
      <w:r w:rsidR="009A6977" w:rsidRPr="00F53504">
        <w:t xml:space="preserve">quality </w:t>
      </w:r>
      <w:r w:rsidR="009A6977">
        <w:t xml:space="preserve">of </w:t>
      </w:r>
      <w:r w:rsidR="00305C64">
        <w:t>the</w:t>
      </w:r>
      <w:r w:rsidR="00305C64" w:rsidRPr="00F53504">
        <w:t xml:space="preserve"> job</w:t>
      </w:r>
      <w:r w:rsidRPr="00F53504">
        <w:t xml:space="preserve"> match.</w:t>
      </w:r>
    </w:p>
    <w:p w14:paraId="376D97A9" w14:textId="38F8806F" w:rsidR="008A50D6" w:rsidRPr="00F53504" w:rsidRDefault="00130ED6" w:rsidP="008A50D6">
      <w:pPr>
        <w:pStyle w:val="Quote"/>
        <w:rPr>
          <w:lang w:val="en-AU"/>
        </w:rPr>
      </w:pPr>
      <w:r w:rsidRPr="00F53504">
        <w:rPr>
          <w:lang w:val="en-AU"/>
        </w:rPr>
        <w:t>“When somebody’s relocating, as we said before, it’s generally because they’ve sourced their own employment</w:t>
      </w:r>
      <w:r w:rsidR="00F65436">
        <w:rPr>
          <w:lang w:val="en-AU"/>
        </w:rPr>
        <w:t>...</w:t>
      </w:r>
      <w:r w:rsidRPr="00F53504">
        <w:rPr>
          <w:lang w:val="en-AU"/>
        </w:rPr>
        <w:t xml:space="preserve"> </w:t>
      </w:r>
      <w:proofErr w:type="gramStart"/>
      <w:r w:rsidRPr="00F53504">
        <w:rPr>
          <w:lang w:val="en-AU"/>
        </w:rPr>
        <w:t>So</w:t>
      </w:r>
      <w:proofErr w:type="gramEnd"/>
      <w:r w:rsidRPr="00F53504">
        <w:rPr>
          <w:lang w:val="en-AU"/>
        </w:rPr>
        <w:t xml:space="preserve"> even if we thought that they were inappropriate for</w:t>
      </w:r>
      <w:r w:rsidR="004150A8">
        <w:rPr>
          <w:lang w:val="en-AU"/>
        </w:rPr>
        <w:t>—</w:t>
      </w:r>
      <w:r w:rsidRPr="00F53504">
        <w:rPr>
          <w:lang w:val="en-AU"/>
        </w:rPr>
        <w:t>you know it’s really not our gig at the end of the day</w:t>
      </w:r>
      <w:r w:rsidR="00F65436">
        <w:rPr>
          <w:lang w:val="en-AU"/>
        </w:rPr>
        <w:t>...</w:t>
      </w:r>
      <w:r w:rsidRPr="00F53504">
        <w:rPr>
          <w:lang w:val="en-AU"/>
        </w:rPr>
        <w:t xml:space="preserve"> I think </w:t>
      </w:r>
      <w:proofErr w:type="gramStart"/>
      <w:r w:rsidRPr="00F53504">
        <w:rPr>
          <w:lang w:val="en-AU"/>
        </w:rPr>
        <w:t>it’s</w:t>
      </w:r>
      <w:proofErr w:type="gramEnd"/>
      <w:r w:rsidRPr="00F53504">
        <w:rPr>
          <w:lang w:val="en-AU"/>
        </w:rPr>
        <w:t xml:space="preserve"> important for [participants] to actually go out and source that employment </w:t>
      </w:r>
      <w:r w:rsidR="00F65436">
        <w:rPr>
          <w:lang w:val="en-AU"/>
        </w:rPr>
        <w:t>...</w:t>
      </w:r>
      <w:r w:rsidRPr="00F53504">
        <w:rPr>
          <w:lang w:val="en-AU"/>
        </w:rPr>
        <w:t xml:space="preserve"> because they’re driving it. They’re the ones who’ve gone out, sourced the position, applied for the position</w:t>
      </w:r>
      <w:r w:rsidR="00F65436">
        <w:rPr>
          <w:lang w:val="en-AU"/>
        </w:rPr>
        <w:t>...</w:t>
      </w:r>
      <w:r w:rsidR="008A50D6" w:rsidRPr="00F53504">
        <w:rPr>
          <w:lang w:val="en-AU"/>
        </w:rPr>
        <w:t xml:space="preserve"> they’re motivated enough.”</w:t>
      </w:r>
    </w:p>
    <w:p w14:paraId="02600FBB" w14:textId="77777777" w:rsidR="00130ED6" w:rsidRPr="00F53504" w:rsidRDefault="008A50D6" w:rsidP="008A50D6">
      <w:pPr>
        <w:pStyle w:val="Quoteattribution"/>
      </w:pPr>
      <w:r w:rsidRPr="00F53504">
        <w:t xml:space="preserve">Provider, </w:t>
      </w:r>
      <w:r w:rsidR="00BF3495" w:rsidRPr="00F53504">
        <w:rPr>
          <w:rFonts w:eastAsiaTheme="minorHAnsi"/>
        </w:rPr>
        <w:t>r</w:t>
      </w:r>
      <w:r w:rsidR="00A73578" w:rsidRPr="00F53504">
        <w:rPr>
          <w:rFonts w:eastAsiaTheme="minorHAnsi"/>
        </w:rPr>
        <w:t>egional area</w:t>
      </w:r>
      <w:r w:rsidR="00CD549C" w:rsidRPr="00F53504">
        <w:t xml:space="preserve">, </w:t>
      </w:r>
      <w:r w:rsidR="00567DDD" w:rsidRPr="00F53504">
        <w:t>in-depth interview</w:t>
      </w:r>
    </w:p>
    <w:p w14:paraId="3A482A89" w14:textId="77777777" w:rsidR="00130ED6" w:rsidRPr="00F53504" w:rsidRDefault="00130ED6" w:rsidP="001835B8">
      <w:pPr>
        <w:pStyle w:val="Heading3"/>
      </w:pPr>
      <w:r w:rsidRPr="00F53504">
        <w:t>Future job prospects</w:t>
      </w:r>
    </w:p>
    <w:p w14:paraId="7D94AD0C" w14:textId="77777777" w:rsidR="001756B7" w:rsidRPr="00F53504" w:rsidRDefault="001756B7" w:rsidP="008A50D6">
      <w:pPr>
        <w:rPr>
          <w:iCs/>
        </w:rPr>
      </w:pPr>
      <w:r w:rsidRPr="00F53504">
        <w:rPr>
          <w:iCs/>
        </w:rPr>
        <w:t xml:space="preserve">Initially, participants may have viewed employment as simply a job that pays the bills, but employment through </w:t>
      </w:r>
      <w:r w:rsidR="0041378D" w:rsidRPr="00F53504">
        <w:rPr>
          <w:iCs/>
        </w:rPr>
        <w:t>RATTUAJ</w:t>
      </w:r>
      <w:r w:rsidRPr="00F53504">
        <w:rPr>
          <w:iCs/>
        </w:rPr>
        <w:t xml:space="preserve"> may </w:t>
      </w:r>
      <w:r w:rsidR="00614A50" w:rsidRPr="00F53504">
        <w:rPr>
          <w:iCs/>
        </w:rPr>
        <w:t xml:space="preserve">have </w:t>
      </w:r>
      <w:r w:rsidRPr="00F53504">
        <w:rPr>
          <w:iCs/>
        </w:rPr>
        <w:t>change</w:t>
      </w:r>
      <w:r w:rsidR="00614A50" w:rsidRPr="00F53504">
        <w:rPr>
          <w:iCs/>
        </w:rPr>
        <w:t>d</w:t>
      </w:r>
      <w:r w:rsidRPr="00F53504">
        <w:rPr>
          <w:iCs/>
        </w:rPr>
        <w:t xml:space="preserve"> how participants view ongoing employment.</w:t>
      </w:r>
    </w:p>
    <w:p w14:paraId="4BBFB00D" w14:textId="50197019" w:rsidR="00130ED6" w:rsidRPr="00F53504" w:rsidRDefault="00130ED6" w:rsidP="008A50D6">
      <w:pPr>
        <w:rPr>
          <w:iCs/>
        </w:rPr>
      </w:pPr>
      <w:r w:rsidRPr="00F53504">
        <w:rPr>
          <w:iCs/>
        </w:rPr>
        <w:t>With eligibility to access the financial assistance avai</w:t>
      </w:r>
      <w:r w:rsidR="008A50D6" w:rsidRPr="00F53504">
        <w:rPr>
          <w:iCs/>
        </w:rPr>
        <w:t>la</w:t>
      </w:r>
      <w:r w:rsidRPr="00F53504">
        <w:rPr>
          <w:iCs/>
        </w:rPr>
        <w:t>ble through RATTUAJ restricted to long-term unemployed job seekers, relocating for longer-term job prospects or career paths may not have been a primary concern for participants. Initially, participants may have viewed employment as si</w:t>
      </w:r>
      <w:r w:rsidR="003924DE">
        <w:rPr>
          <w:iCs/>
        </w:rPr>
        <w:t>mply a job that pays the bills.</w:t>
      </w:r>
    </w:p>
    <w:p w14:paraId="13D1C4F5" w14:textId="77777777" w:rsidR="008A50D6" w:rsidRPr="00F53504" w:rsidRDefault="00130ED6" w:rsidP="008A50D6">
      <w:pPr>
        <w:pStyle w:val="Quote"/>
        <w:rPr>
          <w:lang w:val="en-AU"/>
        </w:rPr>
      </w:pPr>
      <w:r w:rsidRPr="00F53504">
        <w:rPr>
          <w:lang w:val="en-AU"/>
        </w:rPr>
        <w:t xml:space="preserve">“The job that I took it’s not what I want but </w:t>
      </w:r>
      <w:proofErr w:type="gramStart"/>
      <w:r w:rsidRPr="00F53504">
        <w:rPr>
          <w:lang w:val="en-AU"/>
        </w:rPr>
        <w:t>it’s</w:t>
      </w:r>
      <w:proofErr w:type="gramEnd"/>
      <w:r w:rsidRPr="00F53504">
        <w:rPr>
          <w:lang w:val="en-AU"/>
        </w:rPr>
        <w:t xml:space="preserve"> work. Like I said I’m going to be out here for another three to six months on my [inaudible] and that’s where the ob</w:t>
      </w:r>
      <w:r w:rsidR="008A50D6" w:rsidRPr="00F53504">
        <w:rPr>
          <w:lang w:val="en-AU"/>
        </w:rPr>
        <w:t>ligation is with the company.”</w:t>
      </w:r>
    </w:p>
    <w:p w14:paraId="717DA37F" w14:textId="77777777" w:rsidR="00130ED6" w:rsidRPr="00F53504" w:rsidRDefault="00130ED6" w:rsidP="008A50D6">
      <w:pPr>
        <w:pStyle w:val="Quoteattribution"/>
      </w:pPr>
      <w:r w:rsidRPr="00F53504">
        <w:t>Male, 30s, from capital city, to regional area</w:t>
      </w:r>
    </w:p>
    <w:p w14:paraId="7BF63DB0" w14:textId="5B382ACF" w:rsidR="00130ED6" w:rsidRPr="00F53504" w:rsidRDefault="00614A50" w:rsidP="008A50D6">
      <w:pPr>
        <w:rPr>
          <w:iCs/>
        </w:rPr>
      </w:pPr>
      <w:r w:rsidRPr="00F53504">
        <w:rPr>
          <w:iCs/>
        </w:rPr>
        <w:t>G</w:t>
      </w:r>
      <w:r w:rsidR="00130ED6" w:rsidRPr="00F53504">
        <w:rPr>
          <w:iCs/>
        </w:rPr>
        <w:t xml:space="preserve">aining employment through </w:t>
      </w:r>
      <w:r w:rsidR="0041378D" w:rsidRPr="00F53504">
        <w:rPr>
          <w:iCs/>
        </w:rPr>
        <w:t>RATTUAJ</w:t>
      </w:r>
      <w:r w:rsidR="00130ED6" w:rsidRPr="00F53504">
        <w:rPr>
          <w:iCs/>
        </w:rPr>
        <w:t xml:space="preserve"> may have chang</w:t>
      </w:r>
      <w:r w:rsidR="004150A8">
        <w:rPr>
          <w:iCs/>
        </w:rPr>
        <w:t xml:space="preserve">ed </w:t>
      </w:r>
      <w:r w:rsidR="00130ED6" w:rsidRPr="00F53504">
        <w:rPr>
          <w:iCs/>
        </w:rPr>
        <w:t>the way participants view</w:t>
      </w:r>
      <w:r w:rsidRPr="00F53504">
        <w:rPr>
          <w:iCs/>
        </w:rPr>
        <w:t>ed</w:t>
      </w:r>
      <w:r w:rsidR="003924DE">
        <w:rPr>
          <w:iCs/>
        </w:rPr>
        <w:t xml:space="preserve"> ongoing employment.</w:t>
      </w:r>
    </w:p>
    <w:p w14:paraId="30A98133" w14:textId="77777777" w:rsidR="008A50D6" w:rsidRPr="00F53504" w:rsidRDefault="00130ED6" w:rsidP="008A50D6">
      <w:pPr>
        <w:pStyle w:val="Quote"/>
        <w:rPr>
          <w:lang w:val="en-AU"/>
        </w:rPr>
      </w:pPr>
      <w:r w:rsidRPr="00F53504">
        <w:rPr>
          <w:lang w:val="en-AU"/>
        </w:rPr>
        <w:t xml:space="preserve">“I thought we just came out here, did our traineeship and then that was it but apparently if you’ve earned your keep you get a full-time job and pursue manager’s jobs and stuff like that. I </w:t>
      </w:r>
      <w:proofErr w:type="gramStart"/>
      <w:r w:rsidRPr="00F53504">
        <w:rPr>
          <w:lang w:val="en-AU"/>
        </w:rPr>
        <w:t>wasn’t</w:t>
      </w:r>
      <w:proofErr w:type="gramEnd"/>
      <w:r w:rsidRPr="00F53504">
        <w:rPr>
          <w:lang w:val="en-AU"/>
        </w:rPr>
        <w:t xml:space="preserve"> really thinking about that, thinking that way before I came out here. Now if I keep doing good or start to do </w:t>
      </w:r>
      <w:proofErr w:type="gramStart"/>
      <w:r w:rsidRPr="00F53504">
        <w:rPr>
          <w:lang w:val="en-AU"/>
        </w:rPr>
        <w:t>good</w:t>
      </w:r>
      <w:proofErr w:type="gramEnd"/>
      <w:r w:rsidRPr="00F53504">
        <w:rPr>
          <w:lang w:val="en-AU"/>
        </w:rPr>
        <w:t xml:space="preserve"> I can see myself actually being one of the ones to control a shift or counting tills or stuff like that. It helps you grow up a bit more</w:t>
      </w:r>
      <w:r w:rsidR="008A50D6" w:rsidRPr="00F53504">
        <w:rPr>
          <w:lang w:val="en-AU"/>
        </w:rPr>
        <w:t>.”</w:t>
      </w:r>
    </w:p>
    <w:p w14:paraId="71CE4988" w14:textId="77777777" w:rsidR="00130ED6" w:rsidRPr="00F53504" w:rsidRDefault="00130ED6" w:rsidP="008A50D6">
      <w:pPr>
        <w:pStyle w:val="Quoteattribution"/>
        <w:rPr>
          <w:iCs/>
        </w:rPr>
      </w:pPr>
      <w:r w:rsidRPr="00F53504">
        <w:rPr>
          <w:iCs/>
        </w:rPr>
        <w:t>Male, 20s, from regional area, to regional area</w:t>
      </w:r>
    </w:p>
    <w:p w14:paraId="11E7D59A" w14:textId="6CDAB275" w:rsidR="00B51AB9" w:rsidRPr="00F53504" w:rsidRDefault="00B51AB9" w:rsidP="00920031">
      <w:pPr>
        <w:pStyle w:val="Heading2"/>
      </w:pPr>
      <w:bookmarkStart w:id="84" w:name="_Ref455493841"/>
      <w:bookmarkStart w:id="85" w:name="_Toc512529324"/>
      <w:r w:rsidRPr="00F53504">
        <w:lastRenderedPageBreak/>
        <w:t xml:space="preserve">What strategies </w:t>
      </w:r>
      <w:r w:rsidR="00C85467" w:rsidRPr="00F53504">
        <w:t xml:space="preserve">do </w:t>
      </w:r>
      <w:r w:rsidRPr="00F53504">
        <w:t xml:space="preserve">employment services providers </w:t>
      </w:r>
      <w:r w:rsidR="00C85467" w:rsidRPr="00F53504">
        <w:t xml:space="preserve">use </w:t>
      </w:r>
      <w:r w:rsidRPr="00F53504">
        <w:t xml:space="preserve">to promote the </w:t>
      </w:r>
      <w:r w:rsidR="004F68D9" w:rsidRPr="00F53504">
        <w:t>program</w:t>
      </w:r>
      <w:r w:rsidRPr="00F53504">
        <w:t xml:space="preserve">, source jobs and ensure </w:t>
      </w:r>
      <w:r w:rsidR="004150A8">
        <w:t xml:space="preserve">a good </w:t>
      </w:r>
      <w:r w:rsidRPr="00F53504">
        <w:t>job match?</w:t>
      </w:r>
      <w:bookmarkEnd w:id="84"/>
      <w:bookmarkEnd w:id="85"/>
    </w:p>
    <w:p w14:paraId="05FA3DB4" w14:textId="77777777" w:rsidR="00DF07BA" w:rsidRPr="00F53504" w:rsidRDefault="00DF07BA" w:rsidP="00B73C4B">
      <w:pPr>
        <w:pStyle w:val="Answerbox"/>
        <w:rPr>
          <w:b/>
        </w:rPr>
      </w:pPr>
      <w:r w:rsidRPr="00F53504">
        <w:rPr>
          <w:b/>
        </w:rPr>
        <w:t>Employment services providers and job seekers had different views on promotion of the program, job sourcing and job matching</w:t>
      </w:r>
    </w:p>
    <w:p w14:paraId="6C1DE42D" w14:textId="0E20CD32" w:rsidR="001E07A7" w:rsidRPr="00F53504" w:rsidRDefault="00422BAA" w:rsidP="001E07A7">
      <w:pPr>
        <w:pStyle w:val="Answerboxdotpoints"/>
      </w:pPr>
      <w:r w:rsidRPr="00F53504">
        <w:t xml:space="preserve">While providers reported actively promoting RATTUAJ, participants indicated </w:t>
      </w:r>
      <w:r w:rsidR="004150A8">
        <w:t xml:space="preserve">that their providers lacked </w:t>
      </w:r>
      <w:r w:rsidRPr="00F53504">
        <w:t xml:space="preserve">knowledge of the program, </w:t>
      </w:r>
      <w:r w:rsidR="004150A8">
        <w:t xml:space="preserve">were </w:t>
      </w:r>
      <w:r w:rsidRPr="00F53504">
        <w:t>reluctan</w:t>
      </w:r>
      <w:r w:rsidR="004150A8">
        <w:t xml:space="preserve">t </w:t>
      </w:r>
      <w:r w:rsidRPr="00F53504">
        <w:t xml:space="preserve">to encourage relocation and </w:t>
      </w:r>
      <w:r w:rsidR="004150A8">
        <w:t xml:space="preserve">had </w:t>
      </w:r>
      <w:r w:rsidRPr="00F53504">
        <w:t xml:space="preserve">an expectation that job seekers would understand the operational details of </w:t>
      </w:r>
      <w:r w:rsidR="003924DE">
        <w:t>the program without assistance.</w:t>
      </w:r>
    </w:p>
    <w:p w14:paraId="51C77E9E" w14:textId="77777777" w:rsidR="00E92E24" w:rsidRPr="00F53504" w:rsidRDefault="00422BAA" w:rsidP="001E07A7">
      <w:pPr>
        <w:pStyle w:val="Answerboxdotpoints"/>
      </w:pPr>
      <w:r w:rsidRPr="00F53504">
        <w:t>Providers saw the sourcing of jobs in other locations and job matching as primarily the responsibility of job seekers.</w:t>
      </w:r>
    </w:p>
    <w:p w14:paraId="6D515F5E" w14:textId="41FB159F" w:rsidR="00E92E24" w:rsidRPr="00F53504" w:rsidRDefault="002C026C" w:rsidP="00E92E24">
      <w:r>
        <w:t>A</w:t>
      </w:r>
      <w:r w:rsidR="00E92E24" w:rsidRPr="00F53504">
        <w:t xml:space="preserve"> 2016 </w:t>
      </w:r>
      <w:r w:rsidR="00244B85">
        <w:t xml:space="preserve">provider </w:t>
      </w:r>
      <w:r>
        <w:t>s</w:t>
      </w:r>
      <w:r w:rsidR="00E92E24" w:rsidRPr="00F53504">
        <w:t>urvey</w:t>
      </w:r>
      <w:r w:rsidR="00B73C4B" w:rsidRPr="00F53504">
        <w:t xml:space="preserve"> </w:t>
      </w:r>
      <w:r w:rsidR="00E92E24" w:rsidRPr="00F53504">
        <w:t>found that provider</w:t>
      </w:r>
      <w:r w:rsidR="00B34194">
        <w:t xml:space="preserve"> </w:t>
      </w:r>
      <w:r w:rsidR="00E92E24" w:rsidRPr="00F53504">
        <w:t>s</w:t>
      </w:r>
      <w:r w:rsidR="000508DF">
        <w:t>taff</w:t>
      </w:r>
      <w:r w:rsidR="00E92E24" w:rsidRPr="00F53504">
        <w:t xml:space="preserve"> were </w:t>
      </w:r>
      <w:r w:rsidR="004D52E7" w:rsidRPr="00F53504">
        <w:t xml:space="preserve">aware </w:t>
      </w:r>
      <w:r w:rsidR="00E92E24" w:rsidRPr="00F53504">
        <w:t xml:space="preserve">of </w:t>
      </w:r>
      <w:r w:rsidR="004150A8">
        <w:t xml:space="preserve">the </w:t>
      </w:r>
      <w:r w:rsidR="004150A8" w:rsidRPr="00F53504">
        <w:t xml:space="preserve">critical role </w:t>
      </w:r>
      <w:r w:rsidR="004150A8">
        <w:t xml:space="preserve">they play </w:t>
      </w:r>
      <w:r w:rsidR="004150A8" w:rsidRPr="00F53504">
        <w:t>in promoting government incentive programs to job seekers and employers</w:t>
      </w:r>
      <w:r w:rsidR="00E92E24" w:rsidRPr="00F53504">
        <w:t xml:space="preserve">, and largely </w:t>
      </w:r>
      <w:r w:rsidR="00707DB0" w:rsidRPr="00F53504">
        <w:t xml:space="preserve">reported being </w:t>
      </w:r>
      <w:r w:rsidR="00E92E24" w:rsidRPr="00F53504">
        <w:t xml:space="preserve">active in the promotion of the </w:t>
      </w:r>
      <w:r w:rsidR="004B19E9">
        <w:t xml:space="preserve">RATTUAJ </w:t>
      </w:r>
      <w:r w:rsidR="004F68D9" w:rsidRPr="00F53504">
        <w:t>program</w:t>
      </w:r>
      <w:r w:rsidR="002D0E6E">
        <w:t>me</w:t>
      </w:r>
      <w:r w:rsidR="00E92E24" w:rsidRPr="00F53504">
        <w:t xml:space="preserve"> to job seekers. </w:t>
      </w:r>
      <w:r w:rsidR="000D6401" w:rsidRPr="00F53504">
        <w:t>Over t</w:t>
      </w:r>
      <w:r w:rsidR="00B73C4B" w:rsidRPr="00F53504">
        <w:t>wo-thirds (6</w:t>
      </w:r>
      <w:r w:rsidR="0087464A" w:rsidRPr="00F53504">
        <w:t>9</w:t>
      </w:r>
      <w:r w:rsidR="00B73C4B" w:rsidRPr="00F53504">
        <w:t xml:space="preserve"> per cent)</w:t>
      </w:r>
      <w:r w:rsidR="00C704DD" w:rsidRPr="00F53504">
        <w:t xml:space="preserve"> </w:t>
      </w:r>
      <w:r w:rsidR="00B73C4B" w:rsidRPr="00F53504">
        <w:t xml:space="preserve">of the providers indicated that their staff promote </w:t>
      </w:r>
      <w:r w:rsidR="0041378D" w:rsidRPr="00F53504">
        <w:t>RATTUAJ</w:t>
      </w:r>
      <w:r w:rsidR="00B73C4B" w:rsidRPr="00F53504">
        <w:t xml:space="preserve"> to job seekers to some extent, while a further 22 per cent indicated they did this to a great extent.</w:t>
      </w:r>
    </w:p>
    <w:p w14:paraId="65C48F88" w14:textId="61E7C95A" w:rsidR="00E92E24" w:rsidRPr="00F53504" w:rsidRDefault="00614A50" w:rsidP="00E92E24">
      <w:r w:rsidRPr="00F53504">
        <w:t>F</w:t>
      </w:r>
      <w:r w:rsidR="00E92E24" w:rsidRPr="00F53504">
        <w:t xml:space="preserve">indings from </w:t>
      </w:r>
      <w:r w:rsidR="00567DDD" w:rsidRPr="00F53504">
        <w:t xml:space="preserve">in-depth </w:t>
      </w:r>
      <w:r w:rsidR="00E92E24" w:rsidRPr="00F53504">
        <w:t xml:space="preserve">interviews with </w:t>
      </w:r>
      <w:r w:rsidR="00AD486E" w:rsidRPr="00F53504">
        <w:t>participant</w:t>
      </w:r>
      <w:r w:rsidR="00E92E24" w:rsidRPr="00F53504">
        <w:t xml:space="preserve">s revealed that most participants did not find out about </w:t>
      </w:r>
      <w:r w:rsidR="0041378D" w:rsidRPr="00F53504">
        <w:t>RATTUAJ</w:t>
      </w:r>
      <w:r w:rsidR="00E92E24" w:rsidRPr="00F53504">
        <w:t xml:space="preserve"> from their providers. They </w:t>
      </w:r>
      <w:r w:rsidR="001D1568" w:rsidRPr="00F53504">
        <w:t xml:space="preserve">reported that they </w:t>
      </w:r>
      <w:proofErr w:type="gramStart"/>
      <w:r w:rsidR="00E92E24" w:rsidRPr="00F53504">
        <w:t>were told</w:t>
      </w:r>
      <w:proofErr w:type="gramEnd"/>
      <w:r w:rsidR="00E92E24" w:rsidRPr="00F53504">
        <w:t xml:space="preserve"> about the </w:t>
      </w:r>
      <w:r w:rsidR="004F68D9" w:rsidRPr="00F53504">
        <w:t>program</w:t>
      </w:r>
      <w:r w:rsidR="00E92E24" w:rsidRPr="00F53504">
        <w:t xml:space="preserve"> only after they notified their providers that they had found</w:t>
      </w:r>
      <w:r w:rsidR="00EB0FC3">
        <w:t xml:space="preserve"> a job in a different location.</w:t>
      </w:r>
    </w:p>
    <w:p w14:paraId="40C3544F" w14:textId="75446579" w:rsidR="002F6171" w:rsidRPr="00F53504" w:rsidRDefault="00E92E24" w:rsidP="002F6171">
      <w:pPr>
        <w:pStyle w:val="Quote"/>
        <w:rPr>
          <w:lang w:val="en-AU"/>
        </w:rPr>
      </w:pPr>
      <w:r w:rsidRPr="00F53504">
        <w:rPr>
          <w:lang w:val="en-AU"/>
        </w:rPr>
        <w:t>“I said</w:t>
      </w:r>
      <w:proofErr w:type="gramStart"/>
      <w:r w:rsidRPr="00F53504">
        <w:rPr>
          <w:lang w:val="en-AU"/>
        </w:rPr>
        <w:t>,</w:t>
      </w:r>
      <w:proofErr w:type="gramEnd"/>
      <w:r w:rsidRPr="00F53504">
        <w:rPr>
          <w:lang w:val="en-AU"/>
        </w:rPr>
        <w:t xml:space="preserve"> I’ve got employment in [LOCATION]. I </w:t>
      </w:r>
      <w:proofErr w:type="gramStart"/>
      <w:r w:rsidRPr="00F53504">
        <w:rPr>
          <w:lang w:val="en-AU"/>
        </w:rPr>
        <w:t>didn’t</w:t>
      </w:r>
      <w:proofErr w:type="gramEnd"/>
      <w:r w:rsidRPr="00F53504">
        <w:rPr>
          <w:lang w:val="en-AU"/>
        </w:rPr>
        <w:t xml:space="preserve"> even know about this scheme that they’ve got running. </w:t>
      </w:r>
      <w:proofErr w:type="gramStart"/>
      <w:r w:rsidRPr="00F53504">
        <w:rPr>
          <w:lang w:val="en-AU"/>
        </w:rPr>
        <w:t>Didn’t</w:t>
      </w:r>
      <w:proofErr w:type="gramEnd"/>
      <w:r w:rsidRPr="00F53504">
        <w:rPr>
          <w:lang w:val="en-AU"/>
        </w:rPr>
        <w:t xml:space="preserve"> know anything about it. I </w:t>
      </w:r>
      <w:proofErr w:type="gramStart"/>
      <w:r w:rsidRPr="00F53504">
        <w:rPr>
          <w:lang w:val="en-AU"/>
        </w:rPr>
        <w:t>didn’t</w:t>
      </w:r>
      <w:proofErr w:type="gramEnd"/>
      <w:r w:rsidRPr="00F53504">
        <w:rPr>
          <w:lang w:val="en-AU"/>
        </w:rPr>
        <w:t xml:space="preserve"> even know about it and the person who did it she told me all about it. So if she hadn’t have opened her mouth, some of it - if she hadn’t have opened her mouth I wouldn’t</w:t>
      </w:r>
      <w:r w:rsidR="00F22CFF">
        <w:rPr>
          <w:lang w:val="en-AU"/>
        </w:rPr>
        <w:t xml:space="preserve"> have known anything about it.”</w:t>
      </w:r>
    </w:p>
    <w:p w14:paraId="208636DD" w14:textId="77777777" w:rsidR="00E92E24" w:rsidRPr="00F53504" w:rsidRDefault="00E92E24" w:rsidP="002F6171">
      <w:pPr>
        <w:pStyle w:val="Quoteattribution"/>
      </w:pPr>
      <w:r w:rsidRPr="00F53504">
        <w:t xml:space="preserve">Male, 60s, from </w:t>
      </w:r>
      <w:r w:rsidR="002F6171" w:rsidRPr="00F53504">
        <w:t>regional area, to regional area</w:t>
      </w:r>
    </w:p>
    <w:p w14:paraId="57F37FCB" w14:textId="77777777" w:rsidR="00E92E24" w:rsidRPr="00F53504" w:rsidRDefault="00E92E24" w:rsidP="002F6171">
      <w:r w:rsidRPr="00F53504">
        <w:t xml:space="preserve">A few participants proactively sought out information about the </w:t>
      </w:r>
      <w:r w:rsidR="004F68D9" w:rsidRPr="00F53504">
        <w:t>program</w:t>
      </w:r>
      <w:r w:rsidRPr="00F53504">
        <w:t xml:space="preserve"> by either calling Centrelink or browsing the internet.</w:t>
      </w:r>
    </w:p>
    <w:p w14:paraId="337A81D6" w14:textId="787EAF9C" w:rsidR="002F6171" w:rsidRPr="00F53504" w:rsidRDefault="00E92E24" w:rsidP="002F6171">
      <w:pPr>
        <w:pStyle w:val="Quote"/>
        <w:rPr>
          <w:lang w:val="en-AU"/>
        </w:rPr>
      </w:pPr>
      <w:r w:rsidRPr="00F53504">
        <w:rPr>
          <w:lang w:val="en-AU"/>
        </w:rPr>
        <w:t>“I went online</w:t>
      </w:r>
      <w:r w:rsidR="00F22CFF">
        <w:rPr>
          <w:lang w:val="en-AU"/>
        </w:rPr>
        <w:t xml:space="preserve"> and did some research myself.”</w:t>
      </w:r>
    </w:p>
    <w:p w14:paraId="7DD3C894" w14:textId="77777777" w:rsidR="00E92E24" w:rsidRPr="00F53504" w:rsidRDefault="00E92E24" w:rsidP="002F6171">
      <w:pPr>
        <w:pStyle w:val="Quoteattribution"/>
      </w:pPr>
      <w:r w:rsidRPr="00F53504">
        <w:t>Male, 30s, from</w:t>
      </w:r>
      <w:r w:rsidR="002F6171" w:rsidRPr="00F53504">
        <w:t xml:space="preserve"> capital city, to regional area</w:t>
      </w:r>
    </w:p>
    <w:p w14:paraId="40C2CDCD" w14:textId="5C3DEF78" w:rsidR="002F6171" w:rsidRPr="00F53504" w:rsidRDefault="00E92E24" w:rsidP="00E92E24">
      <w:pPr>
        <w:pStyle w:val="Quote"/>
        <w:rPr>
          <w:lang w:val="en-AU"/>
        </w:rPr>
      </w:pPr>
      <w:r w:rsidRPr="00F53504">
        <w:rPr>
          <w:lang w:val="en-AU"/>
        </w:rPr>
        <w:t xml:space="preserve">“Through Centrelink and my appointments that I go to every [TIME PERIOD] I told them that I’m actually going – moving away to [LOCATION] and that I won’t actually need to come in anymore and be on the </w:t>
      </w:r>
      <w:r w:rsidR="004F68D9" w:rsidRPr="00F53504">
        <w:rPr>
          <w:lang w:val="en-AU"/>
        </w:rPr>
        <w:t>program</w:t>
      </w:r>
      <w:r w:rsidRPr="00F53504">
        <w:rPr>
          <w:lang w:val="en-AU"/>
        </w:rPr>
        <w:t>, be on Centrelink. They said that you might be eligible for a relocation assistance fee and it was just a matter of getting a letter and</w:t>
      </w:r>
      <w:r w:rsidR="00F22CFF">
        <w:rPr>
          <w:lang w:val="en-AU"/>
        </w:rPr>
        <w:t xml:space="preserve"> just confirming some details.”</w:t>
      </w:r>
    </w:p>
    <w:p w14:paraId="0C5E0B04" w14:textId="77777777" w:rsidR="00E92E24" w:rsidRPr="00F53504" w:rsidRDefault="00E92E24" w:rsidP="002F6171">
      <w:pPr>
        <w:pStyle w:val="Quoteattribution"/>
      </w:pPr>
      <w:r w:rsidRPr="00F53504">
        <w:t>Female, 20s, from regional area, to capital city</w:t>
      </w:r>
    </w:p>
    <w:p w14:paraId="0ED94E41" w14:textId="208E2488" w:rsidR="00E92E24" w:rsidRPr="00F53504" w:rsidRDefault="004150A8" w:rsidP="002F6171">
      <w:r>
        <w:t>P</w:t>
      </w:r>
      <w:r w:rsidR="00E92E24" w:rsidRPr="00F53504">
        <w:t>rovider</w:t>
      </w:r>
      <w:r w:rsidR="00B34194">
        <w:t xml:space="preserve"> </w:t>
      </w:r>
      <w:r w:rsidR="00E92E24" w:rsidRPr="00F53504">
        <w:t>s</w:t>
      </w:r>
      <w:r w:rsidR="00B34194">
        <w:t>taff</w:t>
      </w:r>
      <w:r w:rsidR="00E92E24" w:rsidRPr="00F53504">
        <w:t xml:space="preserve"> who were interviewed in-depth </w:t>
      </w:r>
      <w:r w:rsidR="002C026C">
        <w:t xml:space="preserve">as a part of a </w:t>
      </w:r>
      <w:r w:rsidR="00E92E24" w:rsidRPr="00F53504">
        <w:t xml:space="preserve">2015 </w:t>
      </w:r>
      <w:r w:rsidR="00244B85">
        <w:t xml:space="preserve">provider </w:t>
      </w:r>
      <w:r w:rsidR="002C026C">
        <w:t>s</w:t>
      </w:r>
      <w:r w:rsidR="00E92E24" w:rsidRPr="00F53504">
        <w:t xml:space="preserve">urvey </w:t>
      </w:r>
      <w:r w:rsidR="001B2653">
        <w:t>reported</w:t>
      </w:r>
      <w:r w:rsidR="001B2653" w:rsidRPr="00F53504">
        <w:t xml:space="preserve"> </w:t>
      </w:r>
      <w:r w:rsidR="00E92E24" w:rsidRPr="00F53504">
        <w:t>that</w:t>
      </w:r>
      <w:r w:rsidR="00890605">
        <w:t xml:space="preserve"> they </w:t>
      </w:r>
      <w:r w:rsidR="00E92E24" w:rsidRPr="00F53504">
        <w:t xml:space="preserve">had been promoting </w:t>
      </w:r>
      <w:r w:rsidR="0041378D" w:rsidRPr="00F53504">
        <w:t>RATTUAJ</w:t>
      </w:r>
      <w:r w:rsidR="00E92E24" w:rsidRPr="00F53504">
        <w:t xml:space="preserve"> but only to job seekers who indicated that they were willing to move. Providers did not generally promote the </w:t>
      </w:r>
      <w:r w:rsidR="004F68D9" w:rsidRPr="00F53504">
        <w:t>program</w:t>
      </w:r>
      <w:r w:rsidR="00E92E24" w:rsidRPr="00F53504">
        <w:t xml:space="preserve"> because they considered relocating as a personal decision depending on each individual’s l</w:t>
      </w:r>
      <w:r w:rsidR="00B80436">
        <w:t>ife circumstance.</w:t>
      </w:r>
    </w:p>
    <w:p w14:paraId="419BD720" w14:textId="58FEE307" w:rsidR="002F6171" w:rsidRPr="00F53504" w:rsidRDefault="00E92E24" w:rsidP="002F6171">
      <w:pPr>
        <w:pStyle w:val="Quote"/>
        <w:rPr>
          <w:lang w:val="en-AU"/>
        </w:rPr>
      </w:pPr>
      <w:r w:rsidRPr="00F53504">
        <w:rPr>
          <w:lang w:val="en-AU"/>
        </w:rPr>
        <w:lastRenderedPageBreak/>
        <w:t xml:space="preserve">“And we have used a couple of the Relocation ones. We have just had someone </w:t>
      </w:r>
      <w:proofErr w:type="gramStart"/>
      <w:r w:rsidRPr="00F53504">
        <w:rPr>
          <w:lang w:val="en-AU"/>
        </w:rPr>
        <w:t>that's</w:t>
      </w:r>
      <w:proofErr w:type="gramEnd"/>
      <w:r w:rsidRPr="00F53504">
        <w:rPr>
          <w:lang w:val="en-AU"/>
        </w:rPr>
        <w:t xml:space="preserve"> moved to [</w:t>
      </w:r>
      <w:r w:rsidR="00EC583E" w:rsidRPr="00F53504">
        <w:rPr>
          <w:lang w:val="en-AU"/>
        </w:rPr>
        <w:t>STATE/TERRITORY</w:t>
      </w:r>
      <w:r w:rsidRPr="00F53504">
        <w:rPr>
          <w:lang w:val="en-AU"/>
        </w:rPr>
        <w:t xml:space="preserve">] for employment, so we were able to access Relocation funding for her, but that's very specific. </w:t>
      </w:r>
      <w:proofErr w:type="gramStart"/>
      <w:r w:rsidRPr="00F53504">
        <w:rPr>
          <w:lang w:val="en-AU"/>
        </w:rPr>
        <w:t>That's</w:t>
      </w:r>
      <w:proofErr w:type="gramEnd"/>
      <w:r w:rsidRPr="00F53504">
        <w:rPr>
          <w:lang w:val="en-AU"/>
        </w:rPr>
        <w:t xml:space="preserve"> not something that I would - that we really publicise, because moving house is a big</w:t>
      </w:r>
      <w:r w:rsidR="00F65436">
        <w:rPr>
          <w:lang w:val="en-AU"/>
        </w:rPr>
        <w:t>...</w:t>
      </w:r>
      <w:r w:rsidRPr="00F53504">
        <w:rPr>
          <w:lang w:val="en-AU"/>
        </w:rPr>
        <w:t xml:space="preserve"> it's a very personal decision. But when someone advises that they are doing that, we will ha</w:t>
      </w:r>
      <w:r w:rsidR="00DF76D1">
        <w:rPr>
          <w:lang w:val="en-AU"/>
        </w:rPr>
        <w:t>ppily access funding for them.”</w:t>
      </w:r>
    </w:p>
    <w:p w14:paraId="1298B35B" w14:textId="1D67D5B5" w:rsidR="00E92E24" w:rsidRPr="00F53504" w:rsidRDefault="00E92E24" w:rsidP="002F6171">
      <w:pPr>
        <w:pStyle w:val="Quoteattribution"/>
      </w:pPr>
      <w:r w:rsidRPr="00F53504">
        <w:t xml:space="preserve">Provider, regional area, </w:t>
      </w:r>
      <w:r w:rsidR="000575F6">
        <w:t>response to a Departmental survey in 2015</w:t>
      </w:r>
    </w:p>
    <w:p w14:paraId="07255D8A" w14:textId="18C2F704" w:rsidR="00E92E24" w:rsidRPr="00F53504" w:rsidRDefault="00E92E24" w:rsidP="002F6171">
      <w:r w:rsidRPr="00F53504">
        <w:t>Th</w:t>
      </w:r>
      <w:r w:rsidR="00890605">
        <w:t xml:space="preserve">is </w:t>
      </w:r>
      <w:r w:rsidR="00522926" w:rsidRPr="00F53504">
        <w:t xml:space="preserve">is </w:t>
      </w:r>
      <w:r w:rsidR="00925731" w:rsidRPr="00F53504">
        <w:t xml:space="preserve">consistent </w:t>
      </w:r>
      <w:r w:rsidR="00522926" w:rsidRPr="00F53504">
        <w:t xml:space="preserve">with </w:t>
      </w:r>
      <w:r w:rsidR="00D61730">
        <w:t xml:space="preserve">reports from </w:t>
      </w:r>
      <w:r w:rsidR="00567DDD" w:rsidRPr="00F53504">
        <w:t xml:space="preserve">in-depth </w:t>
      </w:r>
      <w:r w:rsidR="00522926" w:rsidRPr="00F53504">
        <w:t xml:space="preserve">interviews </w:t>
      </w:r>
      <w:r w:rsidRPr="00F53504">
        <w:t xml:space="preserve">that </w:t>
      </w:r>
      <w:proofErr w:type="gramStart"/>
      <w:r w:rsidRPr="00F53504">
        <w:t xml:space="preserve">a few </w:t>
      </w:r>
      <w:r w:rsidR="00AD486E" w:rsidRPr="00F53504">
        <w:t>participant</w:t>
      </w:r>
      <w:r w:rsidRPr="00F53504">
        <w:t xml:space="preserve">s were alerted by their providers to a job in a different location and </w:t>
      </w:r>
      <w:r w:rsidR="00890605" w:rsidRPr="00F53504">
        <w:t>possible</w:t>
      </w:r>
      <w:r w:rsidR="00890605">
        <w:t xml:space="preserve"> </w:t>
      </w:r>
      <w:r w:rsidRPr="00F53504">
        <w:t>financial assistance to relocate</w:t>
      </w:r>
      <w:proofErr w:type="gramEnd"/>
      <w:r w:rsidRPr="00F53504">
        <w:t>. These participants had previously indicated that they would be willing to move.</w:t>
      </w:r>
    </w:p>
    <w:p w14:paraId="3F822271" w14:textId="7B4620CF" w:rsidR="002F6171" w:rsidRPr="00F53504" w:rsidRDefault="00E92E24" w:rsidP="002F6171">
      <w:pPr>
        <w:pStyle w:val="Quote"/>
        <w:rPr>
          <w:lang w:val="en-AU"/>
        </w:rPr>
      </w:pPr>
      <w:r w:rsidRPr="00F53504">
        <w:rPr>
          <w:lang w:val="en-AU"/>
        </w:rPr>
        <w:t xml:space="preserve">“My case manager asked me if I wanted to apply for it because she knew that I wanted to hurry up and look for a job. </w:t>
      </w:r>
      <w:proofErr w:type="gramStart"/>
      <w:r w:rsidRPr="00F53504">
        <w:rPr>
          <w:lang w:val="en-AU"/>
        </w:rPr>
        <w:t>So</w:t>
      </w:r>
      <w:proofErr w:type="gramEnd"/>
      <w:r w:rsidRPr="00F53504">
        <w:rPr>
          <w:lang w:val="en-AU"/>
        </w:rPr>
        <w:t xml:space="preserve"> I applied for it and went to the interview</w:t>
      </w:r>
      <w:r w:rsidR="00CD549C" w:rsidRPr="00F53504">
        <w:rPr>
          <w:lang w:val="en-AU"/>
        </w:rPr>
        <w:t xml:space="preserve">... </w:t>
      </w:r>
      <w:r w:rsidRPr="00F53504">
        <w:rPr>
          <w:lang w:val="en-AU"/>
        </w:rPr>
        <w:t xml:space="preserve">I </w:t>
      </w:r>
      <w:proofErr w:type="gramStart"/>
      <w:r w:rsidRPr="00F53504">
        <w:rPr>
          <w:lang w:val="en-AU"/>
        </w:rPr>
        <w:t>don’t</w:t>
      </w:r>
      <w:proofErr w:type="gramEnd"/>
      <w:r w:rsidRPr="00F53504">
        <w:rPr>
          <w:lang w:val="en-AU"/>
        </w:rPr>
        <w:t xml:space="preserve"> like to stay in the one spot</w:t>
      </w:r>
      <w:r w:rsidR="00F65436">
        <w:rPr>
          <w:lang w:val="en-AU"/>
        </w:rPr>
        <w:t>...</w:t>
      </w:r>
      <w:r w:rsidRPr="00F53504">
        <w:rPr>
          <w:lang w:val="en-AU"/>
        </w:rPr>
        <w:t xml:space="preserve"> I would move anywhere else.”</w:t>
      </w:r>
    </w:p>
    <w:p w14:paraId="7E702270" w14:textId="77777777" w:rsidR="00E92E24" w:rsidRPr="00F53504" w:rsidRDefault="00E92E24" w:rsidP="002F6171">
      <w:pPr>
        <w:pStyle w:val="Quoteattribution"/>
      </w:pPr>
      <w:r w:rsidRPr="00F53504">
        <w:t xml:space="preserve">Female, 20s, from </w:t>
      </w:r>
      <w:r w:rsidR="002F6171" w:rsidRPr="00F53504">
        <w:t>regional area, to regional area</w:t>
      </w:r>
    </w:p>
    <w:p w14:paraId="2EE61747" w14:textId="5D434E5F" w:rsidR="002F6171" w:rsidRPr="00F53504" w:rsidRDefault="00E92E24" w:rsidP="002F6171">
      <w:pPr>
        <w:pStyle w:val="Quote"/>
        <w:rPr>
          <w:lang w:val="en-AU"/>
        </w:rPr>
      </w:pPr>
      <w:r w:rsidRPr="00F53504">
        <w:rPr>
          <w:lang w:val="en-AU"/>
        </w:rPr>
        <w:t>“Through my job seeker provider, [EMPLOYMENT PROVIDER]. They actually asked me if I wanted to come out here and I straight away said yes</w:t>
      </w:r>
      <w:r w:rsidR="00F65436">
        <w:rPr>
          <w:lang w:val="en-AU"/>
        </w:rPr>
        <w:t>...</w:t>
      </w:r>
      <w:r w:rsidRPr="00F53504">
        <w:rPr>
          <w:lang w:val="en-AU"/>
        </w:rPr>
        <w:t xml:space="preserve"> I always wanted to go outside [LOCATION] to work and live out of state. So I thought it would be a good opport</w:t>
      </w:r>
      <w:r w:rsidR="00DF76D1">
        <w:rPr>
          <w:lang w:val="en-AU"/>
        </w:rPr>
        <w:t>unity for me to come out here.”</w:t>
      </w:r>
    </w:p>
    <w:p w14:paraId="4C17CA8C" w14:textId="77777777" w:rsidR="00E92E24" w:rsidRPr="00F53504" w:rsidRDefault="00E92E24" w:rsidP="002F6171">
      <w:pPr>
        <w:pStyle w:val="Quoteattribution"/>
      </w:pPr>
      <w:r w:rsidRPr="00F53504">
        <w:t>Female, 20s, from regional area, to regional area</w:t>
      </w:r>
    </w:p>
    <w:p w14:paraId="47C228D6" w14:textId="5EA533ED" w:rsidR="00E92E24" w:rsidRPr="00F53504" w:rsidRDefault="00E92E24" w:rsidP="002F6171">
      <w:r w:rsidRPr="00F53504">
        <w:t xml:space="preserve">Some providers however, felt that it </w:t>
      </w:r>
      <w:r w:rsidR="00EC583E" w:rsidRPr="00F53504">
        <w:t>would be</w:t>
      </w:r>
      <w:r w:rsidRPr="00F53504">
        <w:t xml:space="preserve"> more realistic for job seekers to undertake their own job searches in other locations instead of relying on providers to canvass job opportunities across multiple locations.</w:t>
      </w:r>
    </w:p>
    <w:p w14:paraId="7EA57A9F" w14:textId="29B9B299" w:rsidR="002F6171" w:rsidRPr="00F53504" w:rsidRDefault="00E92E24" w:rsidP="002F6171">
      <w:pPr>
        <w:pStyle w:val="Quote"/>
        <w:rPr>
          <w:lang w:val="en-AU"/>
        </w:rPr>
      </w:pPr>
      <w:r w:rsidRPr="00F53504">
        <w:rPr>
          <w:lang w:val="en-AU"/>
        </w:rPr>
        <w:t>“We do promote it quite heavily, it’s just – how can we provide it to the job seekers? I think if the job seekers know that they’re eligible the onus then is on them as to</w:t>
      </w:r>
      <w:r w:rsidR="000869B4">
        <w:rPr>
          <w:lang w:val="en-AU"/>
        </w:rPr>
        <w:t xml:space="preserve"> whether they ask us for help.”</w:t>
      </w:r>
    </w:p>
    <w:p w14:paraId="2D5E20A5" w14:textId="77777777" w:rsidR="00E92E24" w:rsidRPr="00F53504" w:rsidRDefault="00E92E24" w:rsidP="002F6171">
      <w:pPr>
        <w:pStyle w:val="Quoteattribution"/>
      </w:pPr>
      <w:r w:rsidRPr="00F53504">
        <w:t xml:space="preserve">Provider, </w:t>
      </w:r>
      <w:r w:rsidR="00BF3495" w:rsidRPr="00F53504">
        <w:rPr>
          <w:rFonts w:eastAsiaTheme="minorHAnsi"/>
        </w:rPr>
        <w:t>r</w:t>
      </w:r>
      <w:r w:rsidR="00A73578" w:rsidRPr="00F53504">
        <w:rPr>
          <w:rFonts w:eastAsiaTheme="minorHAnsi"/>
        </w:rPr>
        <w:t>egional area</w:t>
      </w:r>
      <w:r w:rsidR="00CD549C" w:rsidRPr="00F53504">
        <w:t xml:space="preserve">, </w:t>
      </w:r>
      <w:r w:rsidR="00567DDD" w:rsidRPr="00F53504">
        <w:t>in-depth interview</w:t>
      </w:r>
    </w:p>
    <w:p w14:paraId="0F172F96" w14:textId="0BB4D007" w:rsidR="002F6171" w:rsidRPr="00F53504" w:rsidRDefault="00E92E24" w:rsidP="002F6171">
      <w:pPr>
        <w:pStyle w:val="Quote"/>
        <w:rPr>
          <w:lang w:val="en-AU"/>
        </w:rPr>
      </w:pPr>
      <w:r w:rsidRPr="00F53504">
        <w:rPr>
          <w:lang w:val="en-AU"/>
        </w:rPr>
        <w:t xml:space="preserve">“I think probably one of the big things was to put the onus more on the client than on us to be chasing. The first one was chasing around – I had to do all that chasing around for them, because otherwise you just weren’t going </w:t>
      </w:r>
      <w:r w:rsidR="000869B4">
        <w:rPr>
          <w:lang w:val="en-AU"/>
        </w:rPr>
        <w:t>to get them out of the office.”</w:t>
      </w:r>
    </w:p>
    <w:p w14:paraId="07895893" w14:textId="77777777" w:rsidR="00E92E24" w:rsidRPr="00F53504" w:rsidRDefault="00E92E24" w:rsidP="002F6171">
      <w:pPr>
        <w:pStyle w:val="Quoteattribution"/>
      </w:pPr>
      <w:r w:rsidRPr="00F53504">
        <w:t xml:space="preserve">Provider, </w:t>
      </w:r>
      <w:r w:rsidR="00BF3495" w:rsidRPr="00F53504">
        <w:t>r</w:t>
      </w:r>
      <w:r w:rsidR="00A73578" w:rsidRPr="00F53504">
        <w:rPr>
          <w:rFonts w:eastAsiaTheme="minorHAnsi"/>
        </w:rPr>
        <w:t>egional area</w:t>
      </w:r>
      <w:r w:rsidR="00CD549C" w:rsidRPr="00F53504">
        <w:t xml:space="preserve">, </w:t>
      </w:r>
      <w:r w:rsidR="00567DDD" w:rsidRPr="00F53504">
        <w:t>in-depth interview</w:t>
      </w:r>
    </w:p>
    <w:p w14:paraId="3B17B307" w14:textId="1F38D8F7" w:rsidR="009D1884" w:rsidRPr="00F53504" w:rsidRDefault="009D1884" w:rsidP="009D1884">
      <w:r w:rsidRPr="00F53504">
        <w:t xml:space="preserve">As discussed in Section </w:t>
      </w:r>
      <w:r w:rsidRPr="00F53504">
        <w:fldChar w:fldCharType="begin"/>
      </w:r>
      <w:r w:rsidRPr="00F53504">
        <w:instrText xml:space="preserve"> REF _Ref456001000 \r \h </w:instrText>
      </w:r>
      <w:r w:rsidRPr="00F53504">
        <w:fldChar w:fldCharType="separate"/>
      </w:r>
      <w:r w:rsidR="00AA36FE">
        <w:t>3.5.3</w:t>
      </w:r>
      <w:r w:rsidRPr="00F53504">
        <w:fldChar w:fldCharType="end"/>
      </w:r>
      <w:r w:rsidRPr="00F53504">
        <w:t xml:space="preserve"> </w:t>
      </w:r>
      <w:r w:rsidR="00890605">
        <w:t xml:space="preserve">many </w:t>
      </w:r>
      <w:r w:rsidRPr="00F53504">
        <w:t xml:space="preserve">providers </w:t>
      </w:r>
      <w:r w:rsidR="00FD7FE6" w:rsidRPr="00F53504">
        <w:t xml:space="preserve">did not focus on quality job matching as part of </w:t>
      </w:r>
      <w:r w:rsidR="0041378D" w:rsidRPr="00F53504">
        <w:t>RATTUAJ</w:t>
      </w:r>
      <w:r w:rsidR="00FD7FE6" w:rsidRPr="00F53504">
        <w:t xml:space="preserve"> as m</w:t>
      </w:r>
      <w:r w:rsidRPr="00F53504">
        <w:t>ost clients sourced their own jobs and assess</w:t>
      </w:r>
      <w:r w:rsidR="00890605">
        <w:t>ed</w:t>
      </w:r>
      <w:r w:rsidRPr="00F53504">
        <w:t xml:space="preserve"> the appropriateness of the job</w:t>
      </w:r>
      <w:r w:rsidR="00AD7F48">
        <w:t xml:space="preserve"> themselves</w:t>
      </w:r>
      <w:r w:rsidR="00D34A46">
        <w:t>.</w:t>
      </w:r>
    </w:p>
    <w:p w14:paraId="173BF327" w14:textId="38C5B742" w:rsidR="000D6401" w:rsidRPr="00F53504" w:rsidRDefault="000D6401" w:rsidP="002F6171">
      <w:pPr>
        <w:pStyle w:val="Heading3"/>
      </w:pPr>
      <w:bookmarkStart w:id="86" w:name="_Ref484420376"/>
      <w:r w:rsidRPr="00F53504">
        <w:t xml:space="preserve">Reasons </w:t>
      </w:r>
      <w:r w:rsidR="00B70A50" w:rsidRPr="00F53504">
        <w:t xml:space="preserve">some </w:t>
      </w:r>
      <w:r w:rsidRPr="00F53504">
        <w:t xml:space="preserve">providers </w:t>
      </w:r>
      <w:r w:rsidR="00B70A50" w:rsidRPr="00F53504">
        <w:t xml:space="preserve">may </w:t>
      </w:r>
      <w:r w:rsidRPr="00F53504">
        <w:t xml:space="preserve">not actively promote the RATTUAJ </w:t>
      </w:r>
      <w:r w:rsidR="004F68D9" w:rsidRPr="00F53504">
        <w:t>program</w:t>
      </w:r>
      <w:bookmarkEnd w:id="86"/>
      <w:r w:rsidR="002D0E6E">
        <w:t>me</w:t>
      </w:r>
    </w:p>
    <w:p w14:paraId="036F2267" w14:textId="569A85EB" w:rsidR="000D6401" w:rsidRPr="00F53504" w:rsidRDefault="000D6401" w:rsidP="000D6401">
      <w:r w:rsidRPr="00F53504">
        <w:t xml:space="preserve">In </w:t>
      </w:r>
      <w:r w:rsidR="002C026C">
        <w:t>a</w:t>
      </w:r>
      <w:r w:rsidRPr="00F53504">
        <w:t xml:space="preserve"> 2016</w:t>
      </w:r>
      <w:r w:rsidR="002B6F79">
        <w:t xml:space="preserve"> provider</w:t>
      </w:r>
      <w:r w:rsidRPr="00F53504">
        <w:t xml:space="preserve"> </w:t>
      </w:r>
      <w:r w:rsidR="002C026C">
        <w:t>s</w:t>
      </w:r>
      <w:r w:rsidRPr="00F53504">
        <w:t xml:space="preserve">urvey, </w:t>
      </w:r>
      <w:r w:rsidR="00EC300E" w:rsidRPr="00F53504">
        <w:t xml:space="preserve">960 </w:t>
      </w:r>
      <w:r w:rsidRPr="00F53504">
        <w:t>provider</w:t>
      </w:r>
      <w:r w:rsidR="00B34194">
        <w:t xml:space="preserve"> </w:t>
      </w:r>
      <w:r w:rsidRPr="00F53504">
        <w:t>s</w:t>
      </w:r>
      <w:r w:rsidR="00B34194">
        <w:t>ites</w:t>
      </w:r>
      <w:r w:rsidRPr="00F53504">
        <w:t xml:space="preserve"> </w:t>
      </w:r>
      <w:r w:rsidR="00EC300E" w:rsidRPr="00F53504">
        <w:t>completed the questions on RATTUAJ. Of these, 741 providers or 78</w:t>
      </w:r>
      <w:r w:rsidR="00B73900">
        <w:t> </w:t>
      </w:r>
      <w:r w:rsidR="00EC300E" w:rsidRPr="00F53504">
        <w:t>per</w:t>
      </w:r>
      <w:r w:rsidR="00B73900">
        <w:t> </w:t>
      </w:r>
      <w:r w:rsidR="00EC300E" w:rsidRPr="00F53504">
        <w:t xml:space="preserve">cent reported </w:t>
      </w:r>
      <w:r w:rsidRPr="00F53504">
        <w:t>not actively promot</w:t>
      </w:r>
      <w:r w:rsidR="00D70F8B">
        <w:t>ing</w:t>
      </w:r>
      <w:r w:rsidR="00EC300E" w:rsidRPr="00F53504">
        <w:t xml:space="preserve"> </w:t>
      </w:r>
      <w:r w:rsidR="0041378D" w:rsidRPr="00F53504">
        <w:t>RATTUAJ</w:t>
      </w:r>
      <w:r w:rsidRPr="00F53504">
        <w:t xml:space="preserve"> or </w:t>
      </w:r>
      <w:r w:rsidR="00EC300E" w:rsidRPr="00F53504">
        <w:t xml:space="preserve">only </w:t>
      </w:r>
      <w:r w:rsidR="008E2E17" w:rsidRPr="00F53504">
        <w:t xml:space="preserve">promoting </w:t>
      </w:r>
      <w:r w:rsidRPr="00F53504">
        <w:t>it to some extent</w:t>
      </w:r>
      <w:r w:rsidR="00EC300E" w:rsidRPr="00F53504">
        <w:t>.</w:t>
      </w:r>
      <w:r w:rsidR="009B431C">
        <w:rPr>
          <w:rStyle w:val="FootnoteReference"/>
        </w:rPr>
        <w:footnoteReference w:id="19"/>
      </w:r>
      <w:r w:rsidR="00EC300E" w:rsidRPr="00F53504">
        <w:t xml:space="preserve"> </w:t>
      </w:r>
      <w:r w:rsidR="00940916" w:rsidRPr="00F53504">
        <w:t xml:space="preserve">Almost all </w:t>
      </w:r>
      <w:r w:rsidR="00890605">
        <w:t xml:space="preserve">of these </w:t>
      </w:r>
      <w:r w:rsidR="00940916" w:rsidRPr="00F53504">
        <w:t>providers (89</w:t>
      </w:r>
      <w:r w:rsidR="00B73900">
        <w:t> </w:t>
      </w:r>
      <w:r w:rsidR="00940916" w:rsidRPr="00F53504">
        <w:t>per</w:t>
      </w:r>
      <w:r w:rsidR="00B73900">
        <w:t> </w:t>
      </w:r>
      <w:r w:rsidR="00940916" w:rsidRPr="00F53504">
        <w:t xml:space="preserve">cent) attributed this to the unwillingness of job </w:t>
      </w:r>
      <w:r w:rsidR="00940916" w:rsidRPr="00F53504">
        <w:lastRenderedPageBreak/>
        <w:t>seekers to move</w:t>
      </w:r>
      <w:r w:rsidR="006F77AB" w:rsidRPr="00F53504">
        <w:t xml:space="preserve"> (</w:t>
      </w:r>
      <w:r w:rsidR="003F6AA6" w:rsidRPr="00F53504">
        <w:fldChar w:fldCharType="begin"/>
      </w:r>
      <w:r w:rsidR="003F6AA6" w:rsidRPr="00F53504">
        <w:instrText xml:space="preserve"> REF _Ref456019564 \h </w:instrText>
      </w:r>
      <w:r w:rsidR="003F6AA6" w:rsidRPr="00F53504">
        <w:fldChar w:fldCharType="separate"/>
      </w:r>
      <w:r w:rsidR="00AA36FE" w:rsidRPr="00F53504">
        <w:t xml:space="preserve">Figure </w:t>
      </w:r>
      <w:r w:rsidR="00AA36FE">
        <w:rPr>
          <w:noProof/>
        </w:rPr>
        <w:t>3</w:t>
      </w:r>
      <w:r w:rsidR="00AA36FE">
        <w:t>.</w:t>
      </w:r>
      <w:r w:rsidR="00AA36FE">
        <w:rPr>
          <w:noProof/>
        </w:rPr>
        <w:t>3</w:t>
      </w:r>
      <w:r w:rsidR="003F6AA6" w:rsidRPr="00F53504">
        <w:fldChar w:fldCharType="end"/>
      </w:r>
      <w:r w:rsidR="006F77AB" w:rsidRPr="00F53504">
        <w:t>)</w:t>
      </w:r>
      <w:r w:rsidR="001A55E8" w:rsidRPr="00F53504">
        <w:t>.</w:t>
      </w:r>
      <w:r w:rsidR="006F77AB" w:rsidRPr="00F53504">
        <w:t xml:space="preserve"> </w:t>
      </w:r>
      <w:r w:rsidR="006E3029" w:rsidRPr="00F53504">
        <w:t xml:space="preserve">This </w:t>
      </w:r>
      <w:r w:rsidR="0009269E" w:rsidRPr="00F53504">
        <w:t xml:space="preserve">perception </w:t>
      </w:r>
      <w:r w:rsidR="006E3029" w:rsidRPr="00F53504">
        <w:t xml:space="preserve">may </w:t>
      </w:r>
      <w:r w:rsidR="00614A50" w:rsidRPr="00F53504">
        <w:t xml:space="preserve">have </w:t>
      </w:r>
      <w:r w:rsidR="006E3029" w:rsidRPr="00F53504">
        <w:t>drive</w:t>
      </w:r>
      <w:r w:rsidR="00614A50" w:rsidRPr="00F53504">
        <w:t>n</w:t>
      </w:r>
      <w:r w:rsidR="006E3029" w:rsidRPr="00F53504">
        <w:t xml:space="preserve"> a reluctance </w:t>
      </w:r>
      <w:r w:rsidR="00614A50" w:rsidRPr="00F53504">
        <w:t xml:space="preserve">on the part of providers </w:t>
      </w:r>
      <w:r w:rsidR="006E3029" w:rsidRPr="00F53504">
        <w:t>to suggest to job seekers that they relocate, as discussed in the next section.</w:t>
      </w:r>
    </w:p>
    <w:p w14:paraId="59878E47" w14:textId="28917CA8" w:rsidR="004D4EEA" w:rsidRDefault="004D4EEA" w:rsidP="004D4EEA">
      <w:pPr>
        <w:pStyle w:val="Caption"/>
      </w:pPr>
      <w:bookmarkStart w:id="87" w:name="_Ref456019564"/>
      <w:r w:rsidRPr="00F53504">
        <w:t xml:space="preserve">Figure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B31485">
        <w:t>.</w:t>
      </w:r>
      <w:r w:rsidR="00AA36FE">
        <w:rPr>
          <w:noProof/>
        </w:rPr>
        <w:fldChar w:fldCharType="begin"/>
      </w:r>
      <w:r w:rsidR="00AA36FE">
        <w:rPr>
          <w:noProof/>
        </w:rPr>
        <w:instrText xml:space="preserve"> SEQ Figure \* ARABIC \s 1 </w:instrText>
      </w:r>
      <w:r w:rsidR="00AA36FE">
        <w:rPr>
          <w:noProof/>
        </w:rPr>
        <w:fldChar w:fldCharType="separate"/>
      </w:r>
      <w:r w:rsidR="00AA36FE">
        <w:rPr>
          <w:noProof/>
        </w:rPr>
        <w:t>3</w:t>
      </w:r>
      <w:r w:rsidR="00AA36FE">
        <w:rPr>
          <w:noProof/>
        </w:rPr>
        <w:fldChar w:fldCharType="end"/>
      </w:r>
      <w:bookmarkEnd w:id="87"/>
      <w:r w:rsidRPr="00F53504">
        <w:t xml:space="preserve">: Providers who do not promote </w:t>
      </w:r>
      <w:r w:rsidR="0041378D" w:rsidRPr="00F53504">
        <w:t>RATTUAJ</w:t>
      </w:r>
      <w:r w:rsidRPr="00F53504">
        <w:t xml:space="preserve"> or promote it to some extent </w:t>
      </w:r>
      <w:proofErr w:type="gramStart"/>
      <w:r w:rsidRPr="00F53504">
        <w:t>only</w:t>
      </w:r>
      <w:r w:rsidR="003F6AA6" w:rsidRPr="00F53504">
        <w:t>:</w:t>
      </w:r>
      <w:proofErr w:type="gramEnd"/>
      <w:r w:rsidR="003F6AA6" w:rsidRPr="00F53504">
        <w:t xml:space="preserve"> To what extent do the following prevent staff from actively promoting</w:t>
      </w:r>
      <w:r w:rsidR="0029451A" w:rsidRPr="00F53504">
        <w:t xml:space="preserve"> RATTUAJ?</w:t>
      </w:r>
    </w:p>
    <w:p w14:paraId="406A10DC" w14:textId="5B685E04" w:rsidR="00B96064" w:rsidRPr="00F53504" w:rsidRDefault="00B96064" w:rsidP="00B96064">
      <w:pPr>
        <w:rPr>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4"/>
        <w:gridCol w:w="1897"/>
        <w:gridCol w:w="1885"/>
      </w:tblGrid>
      <w:tr w:rsidR="001B1A79" w:rsidRPr="00F53504" w14:paraId="64D5634D" w14:textId="77777777" w:rsidTr="00B96064">
        <w:trPr>
          <w:tblHeader/>
        </w:trPr>
        <w:tc>
          <w:tcPr>
            <w:tcW w:w="0" w:type="auto"/>
          </w:tcPr>
          <w:p w14:paraId="4015A44F" w14:textId="2BF30848" w:rsidR="00B96064" w:rsidRPr="00F53504" w:rsidRDefault="00B96064" w:rsidP="001B1A79">
            <w:pPr>
              <w:spacing w:after="360"/>
              <w:rPr>
                <w:color w:val="FFFFFF" w:themeColor="background1"/>
                <w:lang w:eastAsia="en-AU"/>
              </w:rPr>
            </w:pPr>
            <w:r w:rsidRPr="00F53504">
              <w:rPr>
                <w:color w:val="FFFFFF" w:themeColor="background1"/>
                <w:lang w:eastAsia="en-AU"/>
              </w:rPr>
              <w:t>Reason provider does not actively promote</w:t>
            </w:r>
          </w:p>
        </w:tc>
        <w:tc>
          <w:tcPr>
            <w:tcW w:w="0" w:type="auto"/>
          </w:tcPr>
          <w:p w14:paraId="194D431E"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To some extent (per cent)</w:t>
            </w:r>
          </w:p>
        </w:tc>
        <w:tc>
          <w:tcPr>
            <w:tcW w:w="0" w:type="auto"/>
          </w:tcPr>
          <w:p w14:paraId="44149643"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To great extent (per cent)</w:t>
            </w:r>
          </w:p>
        </w:tc>
      </w:tr>
      <w:tr w:rsidR="001B1A79" w:rsidRPr="00F53504" w14:paraId="5D3696C9" w14:textId="77777777" w:rsidTr="00B96064">
        <w:tc>
          <w:tcPr>
            <w:tcW w:w="0" w:type="auto"/>
          </w:tcPr>
          <w:p w14:paraId="694F6E71" w14:textId="517C6559"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Most eligible job seekers don't want to move</w:t>
            </w:r>
          </w:p>
        </w:tc>
        <w:tc>
          <w:tcPr>
            <w:tcW w:w="0" w:type="auto"/>
          </w:tcPr>
          <w:p w14:paraId="274CCD5A"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39.8</w:t>
            </w:r>
          </w:p>
        </w:tc>
        <w:tc>
          <w:tcPr>
            <w:tcW w:w="0" w:type="auto"/>
          </w:tcPr>
          <w:p w14:paraId="486EC98A"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49.1</w:t>
            </w:r>
          </w:p>
        </w:tc>
      </w:tr>
      <w:tr w:rsidR="001B1A79" w:rsidRPr="00F53504" w14:paraId="0483CA53" w14:textId="77777777" w:rsidTr="00B96064">
        <w:tc>
          <w:tcPr>
            <w:tcW w:w="0" w:type="auto"/>
          </w:tcPr>
          <w:p w14:paraId="12438D31" w14:textId="2594C9B9"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Too much red tape/administrative burden</w:t>
            </w:r>
          </w:p>
        </w:tc>
        <w:tc>
          <w:tcPr>
            <w:tcW w:w="0" w:type="auto"/>
          </w:tcPr>
          <w:p w14:paraId="448C410E"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51.6</w:t>
            </w:r>
          </w:p>
        </w:tc>
        <w:tc>
          <w:tcPr>
            <w:tcW w:w="0" w:type="auto"/>
          </w:tcPr>
          <w:p w14:paraId="53A88F06"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26.2</w:t>
            </w:r>
          </w:p>
        </w:tc>
        <w:bookmarkStart w:id="88" w:name="_GoBack"/>
        <w:bookmarkEnd w:id="88"/>
      </w:tr>
      <w:tr w:rsidR="001B1A79" w:rsidRPr="00F53504" w14:paraId="35661C8A" w14:textId="77777777" w:rsidTr="00B96064">
        <w:tc>
          <w:tcPr>
            <w:tcW w:w="0" w:type="auto"/>
          </w:tcPr>
          <w:p w14:paraId="4EF59044" w14:textId="61522C8D" w:rsidR="00B96064" w:rsidRPr="00F53504" w:rsidRDefault="00FA755A" w:rsidP="001B1A79">
            <w:pPr>
              <w:spacing w:after="360"/>
              <w:rPr>
                <w:rFonts w:ascii="Calibri" w:hAnsi="Calibri" w:cs="Calibri"/>
                <w:color w:val="FFFFFF" w:themeColor="background1"/>
              </w:rPr>
            </w:pPr>
            <w:r w:rsidRPr="00581238">
              <w:rPr>
                <w:noProof/>
                <w:lang w:eastAsia="en-AU"/>
              </w:rPr>
              <w:drawing>
                <wp:anchor distT="0" distB="0" distL="114300" distR="114300" simplePos="0" relativeHeight="251661312" behindDoc="0" locked="0" layoutInCell="1" allowOverlap="1" wp14:anchorId="5772C899" wp14:editId="314AEC69">
                  <wp:simplePos x="0" y="0"/>
                  <wp:positionH relativeFrom="column">
                    <wp:posOffset>-163830</wp:posOffset>
                  </wp:positionH>
                  <wp:positionV relativeFrom="paragraph">
                    <wp:posOffset>-1858010</wp:posOffset>
                  </wp:positionV>
                  <wp:extent cx="5724525" cy="5495925"/>
                  <wp:effectExtent l="0" t="0" r="9525" b="9525"/>
                  <wp:wrapNone/>
                  <wp:docPr id="10" name="Picture 10" descr="Figure 3.3 - Statistical bar chart. Data provided with the corresponding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96064" w:rsidRPr="00F53504">
              <w:rPr>
                <w:rFonts w:ascii="Calibri" w:hAnsi="Calibri" w:cs="Calibri"/>
                <w:color w:val="FFFFFF" w:themeColor="background1"/>
              </w:rPr>
              <w:t>Ambiguity about what expenses can be claimed</w:t>
            </w:r>
          </w:p>
        </w:tc>
        <w:tc>
          <w:tcPr>
            <w:tcW w:w="0" w:type="auto"/>
          </w:tcPr>
          <w:p w14:paraId="3DAC70CC"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58.0</w:t>
            </w:r>
          </w:p>
        </w:tc>
        <w:tc>
          <w:tcPr>
            <w:tcW w:w="0" w:type="auto"/>
          </w:tcPr>
          <w:p w14:paraId="1B7011C3"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11.2</w:t>
            </w:r>
          </w:p>
        </w:tc>
      </w:tr>
      <w:tr w:rsidR="001B1A79" w:rsidRPr="00F53504" w14:paraId="5482BDB1" w14:textId="77777777" w:rsidTr="00B96064">
        <w:tc>
          <w:tcPr>
            <w:tcW w:w="0" w:type="auto"/>
          </w:tcPr>
          <w:p w14:paraId="2961A48A" w14:textId="0CDABCA6"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The need for job seekers to pay expenses upfront</w:t>
            </w:r>
          </w:p>
        </w:tc>
        <w:tc>
          <w:tcPr>
            <w:tcW w:w="0" w:type="auto"/>
          </w:tcPr>
          <w:p w14:paraId="21F203C6"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49.7</w:t>
            </w:r>
          </w:p>
        </w:tc>
        <w:tc>
          <w:tcPr>
            <w:tcW w:w="0" w:type="auto"/>
          </w:tcPr>
          <w:p w14:paraId="5C877AE6"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14.8</w:t>
            </w:r>
          </w:p>
        </w:tc>
      </w:tr>
      <w:tr w:rsidR="001B1A79" w:rsidRPr="00F53504" w14:paraId="5C60A1AC" w14:textId="77777777" w:rsidTr="00B96064">
        <w:tc>
          <w:tcPr>
            <w:tcW w:w="0" w:type="auto"/>
          </w:tcPr>
          <w:p w14:paraId="36B41DF9" w14:textId="6FD2576A"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 xml:space="preserve">A lack of understanding about the </w:t>
            </w:r>
            <w:r w:rsidR="00FA755A">
              <w:rPr>
                <w:rFonts w:ascii="Calibri" w:hAnsi="Calibri" w:cs="Calibri"/>
                <w:color w:val="FFFFFF" w:themeColor="background1"/>
              </w:rPr>
              <w:t>program</w:t>
            </w:r>
            <w:r w:rsidRPr="00F53504">
              <w:rPr>
                <w:rFonts w:ascii="Calibri" w:hAnsi="Calibri" w:cs="Calibri"/>
                <w:color w:val="FFFFFF" w:themeColor="background1"/>
              </w:rPr>
              <w:t xml:space="preserve"> and participation guidelines</w:t>
            </w:r>
          </w:p>
        </w:tc>
        <w:tc>
          <w:tcPr>
            <w:tcW w:w="0" w:type="auto"/>
          </w:tcPr>
          <w:p w14:paraId="36EE97CC"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56.8</w:t>
            </w:r>
          </w:p>
        </w:tc>
        <w:tc>
          <w:tcPr>
            <w:tcW w:w="0" w:type="auto"/>
          </w:tcPr>
          <w:p w14:paraId="7A424BBE"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5.1</w:t>
            </w:r>
          </w:p>
        </w:tc>
      </w:tr>
      <w:tr w:rsidR="001B1A79" w:rsidRPr="00F53504" w14:paraId="45258964" w14:textId="77777777" w:rsidTr="00B96064">
        <w:tc>
          <w:tcPr>
            <w:tcW w:w="0" w:type="auto"/>
          </w:tcPr>
          <w:p w14:paraId="022721D3" w14:textId="7CA2D78C"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Staff can't provide sufficient post-relocation support to individual job seekers</w:t>
            </w:r>
          </w:p>
        </w:tc>
        <w:tc>
          <w:tcPr>
            <w:tcW w:w="0" w:type="auto"/>
          </w:tcPr>
          <w:p w14:paraId="32494311"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47.4</w:t>
            </w:r>
          </w:p>
        </w:tc>
        <w:tc>
          <w:tcPr>
            <w:tcW w:w="0" w:type="auto"/>
          </w:tcPr>
          <w:p w14:paraId="3F9EAB7C"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8.5</w:t>
            </w:r>
          </w:p>
        </w:tc>
      </w:tr>
      <w:tr w:rsidR="001B1A79" w:rsidRPr="00F53504" w14:paraId="1840FFE3" w14:textId="77777777" w:rsidTr="00B96064">
        <w:tc>
          <w:tcPr>
            <w:tcW w:w="0" w:type="auto"/>
          </w:tcPr>
          <w:p w14:paraId="4C1496E5" w14:textId="69719DA0"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Staff can't provide sufficient pre-relocation support to individual job seekers</w:t>
            </w:r>
          </w:p>
        </w:tc>
        <w:tc>
          <w:tcPr>
            <w:tcW w:w="0" w:type="auto"/>
          </w:tcPr>
          <w:p w14:paraId="4CEDB9AA"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46.9</w:t>
            </w:r>
          </w:p>
        </w:tc>
        <w:tc>
          <w:tcPr>
            <w:tcW w:w="0" w:type="auto"/>
          </w:tcPr>
          <w:p w14:paraId="56F88CDE"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7.6</w:t>
            </w:r>
          </w:p>
        </w:tc>
      </w:tr>
      <w:tr w:rsidR="001B1A79" w:rsidRPr="00F53504" w14:paraId="3585AC51" w14:textId="77777777" w:rsidTr="00B96064">
        <w:tc>
          <w:tcPr>
            <w:tcW w:w="0" w:type="auto"/>
          </w:tcPr>
          <w:p w14:paraId="10A555C6" w14:textId="1DE124EC" w:rsidR="00B96064" w:rsidRPr="00F53504" w:rsidRDefault="00B96064" w:rsidP="001B1A79">
            <w:pPr>
              <w:spacing w:after="360"/>
              <w:rPr>
                <w:rFonts w:ascii="Calibri" w:hAnsi="Calibri" w:cs="Calibri"/>
                <w:color w:val="FFFFFF" w:themeColor="background1"/>
              </w:rPr>
            </w:pPr>
            <w:r w:rsidRPr="00F53504">
              <w:rPr>
                <w:rFonts w:ascii="Calibri" w:hAnsi="Calibri" w:cs="Calibri"/>
                <w:color w:val="FFFFFF" w:themeColor="background1"/>
              </w:rPr>
              <w:t>The need for your organisation to pay for expenses upfront for job seekers</w:t>
            </w:r>
          </w:p>
        </w:tc>
        <w:tc>
          <w:tcPr>
            <w:tcW w:w="0" w:type="auto"/>
          </w:tcPr>
          <w:p w14:paraId="31D84A26"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38.1</w:t>
            </w:r>
          </w:p>
        </w:tc>
        <w:tc>
          <w:tcPr>
            <w:tcW w:w="0" w:type="auto"/>
          </w:tcPr>
          <w:p w14:paraId="51A156A4" w14:textId="77777777" w:rsidR="00B96064" w:rsidRPr="00F53504" w:rsidRDefault="00B96064" w:rsidP="001B1A79">
            <w:pPr>
              <w:spacing w:after="360"/>
              <w:rPr>
                <w:color w:val="FFFFFF" w:themeColor="background1"/>
                <w:lang w:eastAsia="en-AU"/>
              </w:rPr>
            </w:pPr>
            <w:r w:rsidRPr="00F53504">
              <w:rPr>
                <w:color w:val="FFFFFF" w:themeColor="background1"/>
                <w:lang w:eastAsia="en-AU"/>
              </w:rPr>
              <w:t>6.8</w:t>
            </w:r>
          </w:p>
        </w:tc>
      </w:tr>
    </w:tbl>
    <w:p w14:paraId="643077FD" w14:textId="41759D20" w:rsidR="004D4EEA" w:rsidRPr="00F53504" w:rsidRDefault="004D4EEA" w:rsidP="001B1A79">
      <w:pPr>
        <w:pStyle w:val="Source"/>
        <w:spacing w:before="200"/>
      </w:pPr>
      <w:r w:rsidRPr="00F53504">
        <w:rPr>
          <w:b/>
        </w:rPr>
        <w:t>Note</w:t>
      </w:r>
      <w:r w:rsidRPr="00F53504">
        <w:t xml:space="preserve">: </w:t>
      </w:r>
      <w:r w:rsidR="00EC300E" w:rsidRPr="00F53504">
        <w:t xml:space="preserve">This question </w:t>
      </w:r>
      <w:proofErr w:type="gramStart"/>
      <w:r w:rsidR="00EC300E" w:rsidRPr="00F53504">
        <w:t>was only asked</w:t>
      </w:r>
      <w:proofErr w:type="gramEnd"/>
      <w:r w:rsidR="00EC300E" w:rsidRPr="00F53504">
        <w:t xml:space="preserve"> of the </w:t>
      </w:r>
      <w:r w:rsidRPr="00F53504">
        <w:t>738</w:t>
      </w:r>
      <w:r w:rsidR="00EC300E" w:rsidRPr="00F53504">
        <w:t xml:space="preserve"> providers who indicated they did not actively promote RATTUAJ or only promoting it to some </w:t>
      </w:r>
      <w:r w:rsidR="007C0F35" w:rsidRPr="00F53504">
        <w:t>extent.</w:t>
      </w:r>
    </w:p>
    <w:p w14:paraId="32781993" w14:textId="3175AB8A" w:rsidR="004D4EEA" w:rsidRPr="00F53504" w:rsidRDefault="004D4EEA" w:rsidP="008B1A0F">
      <w:pPr>
        <w:pStyle w:val="Source"/>
      </w:pPr>
      <w:r w:rsidRPr="00F53504">
        <w:rPr>
          <w:b/>
        </w:rPr>
        <w:t>Source</w:t>
      </w:r>
      <w:r w:rsidRPr="00F53504">
        <w:t xml:space="preserve">: 2016 </w:t>
      </w:r>
      <w:r w:rsidR="000575F6">
        <w:t>p</w:t>
      </w:r>
      <w:r w:rsidRPr="00F53504">
        <w:t>rovider</w:t>
      </w:r>
      <w:r w:rsidR="000575F6">
        <w:t xml:space="preserve"> survey</w:t>
      </w:r>
    </w:p>
    <w:p w14:paraId="4479EF20" w14:textId="3604BE5F" w:rsidR="00DB2C30" w:rsidRPr="00F53504" w:rsidRDefault="009B65B9" w:rsidP="00DB2C30">
      <w:pPr>
        <w:spacing w:before="240"/>
      </w:pPr>
      <w:r w:rsidRPr="00F53504">
        <w:t>These p</w:t>
      </w:r>
      <w:r w:rsidR="006E3029" w:rsidRPr="00F53504">
        <w:t xml:space="preserve">roviders </w:t>
      </w:r>
      <w:r w:rsidRPr="00F53504">
        <w:t xml:space="preserve">also </w:t>
      </w:r>
      <w:r w:rsidR="006E3029" w:rsidRPr="00F53504">
        <w:t xml:space="preserve">indicated that </w:t>
      </w:r>
      <w:r w:rsidR="00890605">
        <w:t xml:space="preserve">the </w:t>
      </w:r>
      <w:r w:rsidR="006E3029" w:rsidRPr="009A6977">
        <w:t xml:space="preserve">administrative burden </w:t>
      </w:r>
      <w:r w:rsidR="00890605" w:rsidRPr="009A6977">
        <w:t xml:space="preserve">of </w:t>
      </w:r>
      <w:r w:rsidR="006E3029" w:rsidRPr="009A6977">
        <w:t xml:space="preserve">the </w:t>
      </w:r>
      <w:r w:rsidR="004F68D9" w:rsidRPr="009A6977">
        <w:t>program</w:t>
      </w:r>
      <w:r w:rsidR="00454688">
        <w:t xml:space="preserve"> </w:t>
      </w:r>
      <w:r w:rsidR="00B81EC2">
        <w:t>deterred</w:t>
      </w:r>
      <w:r w:rsidR="00B81EC2" w:rsidRPr="00F53504">
        <w:t xml:space="preserve"> </w:t>
      </w:r>
      <w:r w:rsidR="006E3029" w:rsidRPr="00F53504">
        <w:t xml:space="preserve">them from promoting </w:t>
      </w:r>
      <w:r w:rsidR="00874D18" w:rsidRPr="00F53504">
        <w:t>it</w:t>
      </w:r>
      <w:r w:rsidR="006E3029" w:rsidRPr="00F53504">
        <w:t>.</w:t>
      </w:r>
      <w:r w:rsidR="002D7A4B">
        <w:rPr>
          <w:rStyle w:val="FootnoteReference"/>
        </w:rPr>
        <w:footnoteReference w:id="20"/>
      </w:r>
      <w:r w:rsidR="006E3029" w:rsidRPr="00F53504">
        <w:t xml:space="preserve"> In total, </w:t>
      </w:r>
      <w:r w:rsidR="0029451A" w:rsidRPr="00F53504">
        <w:t>78</w:t>
      </w:r>
      <w:r w:rsidR="00EB1D13">
        <w:t> </w:t>
      </w:r>
      <w:r w:rsidR="0029451A" w:rsidRPr="00F53504">
        <w:t>per</w:t>
      </w:r>
      <w:r w:rsidR="00EB1D13">
        <w:t> </w:t>
      </w:r>
      <w:r w:rsidR="0029451A" w:rsidRPr="00F53504">
        <w:t xml:space="preserve">cent of providers reported this </w:t>
      </w:r>
      <w:r w:rsidR="006E3029" w:rsidRPr="00F53504">
        <w:t xml:space="preserve">as affecting them to some or a great extent. Other reasons included </w:t>
      </w:r>
      <w:r w:rsidR="00454688">
        <w:t xml:space="preserve">perceived </w:t>
      </w:r>
      <w:r w:rsidR="006E3029" w:rsidRPr="00F53504">
        <w:t xml:space="preserve">ambiguity about </w:t>
      </w:r>
      <w:r w:rsidR="00454688">
        <w:t>the</w:t>
      </w:r>
      <w:r w:rsidR="00454688" w:rsidRPr="00F53504">
        <w:t xml:space="preserve"> </w:t>
      </w:r>
      <w:r w:rsidR="006E3029" w:rsidRPr="00F53504">
        <w:t xml:space="preserve">expenses </w:t>
      </w:r>
      <w:r w:rsidR="00454688">
        <w:t>that could</w:t>
      </w:r>
      <w:r w:rsidR="00454688" w:rsidRPr="00F53504">
        <w:t xml:space="preserve"> </w:t>
      </w:r>
      <w:r w:rsidR="006E3029" w:rsidRPr="00F53504">
        <w:t>b</w:t>
      </w:r>
      <w:r w:rsidR="00557735">
        <w:t>e claimed (69 per </w:t>
      </w:r>
      <w:r w:rsidR="006E3029" w:rsidRPr="00F53504">
        <w:t>cent</w:t>
      </w:r>
      <w:r w:rsidR="0094593B" w:rsidRPr="00F53504">
        <w:t xml:space="preserve">; see sections </w:t>
      </w:r>
      <w:r w:rsidR="0094593B" w:rsidRPr="00F53504">
        <w:fldChar w:fldCharType="begin"/>
      </w:r>
      <w:r w:rsidR="0094593B" w:rsidRPr="00F53504">
        <w:instrText xml:space="preserve"> REF _Ref456018239 \r \h </w:instrText>
      </w:r>
      <w:r w:rsidR="00DB2C30" w:rsidRPr="00F53504">
        <w:instrText xml:space="preserve"> \* MERGEFORMAT </w:instrText>
      </w:r>
      <w:r w:rsidR="0094593B" w:rsidRPr="00F53504">
        <w:fldChar w:fldCharType="separate"/>
      </w:r>
      <w:r w:rsidR="00AA36FE">
        <w:t>3.6.3</w:t>
      </w:r>
      <w:r w:rsidR="0094593B" w:rsidRPr="00F53504">
        <w:fldChar w:fldCharType="end"/>
      </w:r>
      <w:r w:rsidR="0094593B" w:rsidRPr="00F53504">
        <w:t xml:space="preserve"> and </w:t>
      </w:r>
      <w:r w:rsidR="0094593B" w:rsidRPr="00F53504">
        <w:fldChar w:fldCharType="begin"/>
      </w:r>
      <w:r w:rsidR="0094593B" w:rsidRPr="00F53504">
        <w:instrText xml:space="preserve"> REF _Ref456018314 \r \h </w:instrText>
      </w:r>
      <w:r w:rsidR="00DB2C30" w:rsidRPr="00F53504">
        <w:instrText xml:space="preserve"> \* MERGEFORMAT </w:instrText>
      </w:r>
      <w:r w:rsidR="0094593B" w:rsidRPr="00F53504">
        <w:fldChar w:fldCharType="separate"/>
      </w:r>
      <w:r w:rsidR="00AA36FE">
        <w:t>4.1.1</w:t>
      </w:r>
      <w:r w:rsidR="0094593B" w:rsidRPr="00F53504">
        <w:fldChar w:fldCharType="end"/>
      </w:r>
      <w:r w:rsidR="006E3029" w:rsidRPr="00F53504">
        <w:t>), the need for job seek</w:t>
      </w:r>
      <w:r w:rsidR="00557735">
        <w:t xml:space="preserve">ers to pay expenses upfront </w:t>
      </w:r>
      <w:r w:rsidR="00557735">
        <w:lastRenderedPageBreak/>
        <w:t>(65 </w:t>
      </w:r>
      <w:r w:rsidR="006E3029" w:rsidRPr="00F53504">
        <w:t>per</w:t>
      </w:r>
      <w:r w:rsidR="00557735">
        <w:t> </w:t>
      </w:r>
      <w:r w:rsidR="006E3029" w:rsidRPr="00F53504">
        <w:t xml:space="preserve">cent; see Section </w:t>
      </w:r>
      <w:r w:rsidR="0094593B" w:rsidRPr="00F53504">
        <w:fldChar w:fldCharType="begin"/>
      </w:r>
      <w:r w:rsidR="0094593B" w:rsidRPr="00F53504">
        <w:instrText xml:space="preserve"> REF _Ref456018267 \r \h </w:instrText>
      </w:r>
      <w:r w:rsidR="00DB2C30" w:rsidRPr="00F53504">
        <w:instrText xml:space="preserve"> \* MERGEFORMAT </w:instrText>
      </w:r>
      <w:r w:rsidR="0094593B" w:rsidRPr="00F53504">
        <w:fldChar w:fldCharType="separate"/>
      </w:r>
      <w:r w:rsidR="00AA36FE">
        <w:t>4.1.3</w:t>
      </w:r>
      <w:r w:rsidR="0094593B" w:rsidRPr="00F53504">
        <w:fldChar w:fldCharType="end"/>
      </w:r>
      <w:r w:rsidR="006E3029" w:rsidRPr="00F53504">
        <w:t xml:space="preserve">) and a lack of understanding about the </w:t>
      </w:r>
      <w:r w:rsidR="004F68D9" w:rsidRPr="00F53504">
        <w:t>program</w:t>
      </w:r>
      <w:r w:rsidR="006E3029" w:rsidRPr="00F53504">
        <w:t xml:space="preserve"> and p</w:t>
      </w:r>
      <w:r w:rsidR="00557735">
        <w:t>articipation guidelines (62 per </w:t>
      </w:r>
      <w:r w:rsidR="006E3029" w:rsidRPr="00F53504">
        <w:t xml:space="preserve">cent; see Section </w:t>
      </w:r>
      <w:r w:rsidR="006E3029" w:rsidRPr="00F53504">
        <w:fldChar w:fldCharType="begin"/>
      </w:r>
      <w:r w:rsidR="006E3029" w:rsidRPr="00F53504">
        <w:instrText xml:space="preserve"> REF _Ref456018239 \r \h </w:instrText>
      </w:r>
      <w:r w:rsidR="00DB2C30" w:rsidRPr="00F53504">
        <w:instrText xml:space="preserve"> \* MERGEFORMAT </w:instrText>
      </w:r>
      <w:r w:rsidR="006E3029" w:rsidRPr="00F53504">
        <w:fldChar w:fldCharType="separate"/>
      </w:r>
      <w:r w:rsidR="00AA36FE">
        <w:t>3.6.3</w:t>
      </w:r>
      <w:r w:rsidR="006E3029" w:rsidRPr="00F53504">
        <w:fldChar w:fldCharType="end"/>
      </w:r>
      <w:r w:rsidR="006E3029" w:rsidRPr="00F53504">
        <w:t>)</w:t>
      </w:r>
      <w:r w:rsidR="00B4748D">
        <w:t>.</w:t>
      </w:r>
    </w:p>
    <w:p w14:paraId="14D7667C" w14:textId="77777777" w:rsidR="00E92E24" w:rsidRPr="00F53504" w:rsidRDefault="00E92E24" w:rsidP="002F6171">
      <w:pPr>
        <w:pStyle w:val="Heading3"/>
      </w:pPr>
      <w:r w:rsidRPr="00F53504">
        <w:t>A reluctance to suggest to job seekers that they relocate</w:t>
      </w:r>
    </w:p>
    <w:p w14:paraId="26835DF1" w14:textId="54DA905F" w:rsidR="00E92E24" w:rsidRPr="00F53504" w:rsidRDefault="00567DDD" w:rsidP="002F6171">
      <w:r w:rsidRPr="00F53504">
        <w:t>A</w:t>
      </w:r>
      <w:r w:rsidR="00E92E24" w:rsidRPr="00F53504">
        <w:t xml:space="preserve">ll providers </w:t>
      </w:r>
      <w:r w:rsidRPr="00F53504">
        <w:t xml:space="preserve">interviewed for this evaluation </w:t>
      </w:r>
      <w:r w:rsidR="00E92E24" w:rsidRPr="00F53504">
        <w:t>indicated that they would only recommend relocating for work if this suited a job seeker’s personal and family situation, and if there</w:t>
      </w:r>
      <w:r w:rsidR="00AB4085">
        <w:t xml:space="preserve"> was a good career opportunity.</w:t>
      </w:r>
    </w:p>
    <w:p w14:paraId="18B7B78D" w14:textId="19EFBE7E" w:rsidR="002F6171" w:rsidRPr="00F53504" w:rsidRDefault="00E92E24" w:rsidP="00E92E24">
      <w:pPr>
        <w:pStyle w:val="Quote"/>
        <w:rPr>
          <w:lang w:val="en-AU"/>
        </w:rPr>
      </w:pPr>
      <w:r w:rsidRPr="00F53504">
        <w:rPr>
          <w:lang w:val="en-AU"/>
        </w:rPr>
        <w:t xml:space="preserve">“Some of them I guess they probably could have moved but it would have been a lot tougher for them and chances are when they got to the other end if their life’s that much </w:t>
      </w:r>
      <w:proofErr w:type="gramStart"/>
      <w:r w:rsidRPr="00F53504">
        <w:rPr>
          <w:lang w:val="en-AU"/>
        </w:rPr>
        <w:t>more tough</w:t>
      </w:r>
      <w:proofErr w:type="gramEnd"/>
      <w:r w:rsidRPr="00F53504">
        <w:rPr>
          <w:lang w:val="en-AU"/>
        </w:rPr>
        <w:t xml:space="preserve"> they might not have been able to make the job work becaus</w:t>
      </w:r>
      <w:r w:rsidR="002F6171" w:rsidRPr="00F53504">
        <w:rPr>
          <w:lang w:val="en-AU"/>
        </w:rPr>
        <w:t>e of other stresses, so yeah.”</w:t>
      </w:r>
    </w:p>
    <w:p w14:paraId="5B095D42" w14:textId="77777777" w:rsidR="00E92E24" w:rsidRPr="00F53504" w:rsidRDefault="002F6171" w:rsidP="002F6171">
      <w:pPr>
        <w:pStyle w:val="Quoteattribution"/>
      </w:pPr>
      <w:r w:rsidRPr="00F53504">
        <w:t xml:space="preserve">Provider, </w:t>
      </w:r>
      <w:r w:rsidR="00A73578" w:rsidRPr="00F53504">
        <w:t>capital city</w:t>
      </w:r>
      <w:r w:rsidR="00CD549C" w:rsidRPr="00F53504">
        <w:t xml:space="preserve">, </w:t>
      </w:r>
      <w:r w:rsidR="00567DDD" w:rsidRPr="00F53504">
        <w:t>in-depth interview</w:t>
      </w:r>
    </w:p>
    <w:p w14:paraId="114BA04B" w14:textId="44253AC5" w:rsidR="002F6171" w:rsidRPr="00F53504" w:rsidRDefault="00E92E24" w:rsidP="002F6171">
      <w:pPr>
        <w:pStyle w:val="Quote"/>
        <w:rPr>
          <w:lang w:val="en-AU"/>
        </w:rPr>
      </w:pPr>
      <w:r w:rsidRPr="00F53504">
        <w:rPr>
          <w:lang w:val="en-AU"/>
        </w:rPr>
        <w:t xml:space="preserve">“No, I wouldn’t advise anything, our job is to provide information so they can make informative decision. Because they only disclose what they would like to disclose to us, we </w:t>
      </w:r>
      <w:proofErr w:type="gramStart"/>
      <w:r w:rsidRPr="00F53504">
        <w:rPr>
          <w:lang w:val="en-AU"/>
        </w:rPr>
        <w:t>can’t</w:t>
      </w:r>
      <w:proofErr w:type="gramEnd"/>
      <w:r w:rsidRPr="00F53504">
        <w:rPr>
          <w:lang w:val="en-AU"/>
        </w:rPr>
        <w:t xml:space="preserve"> really judge just on what’s on their assessment. </w:t>
      </w:r>
      <w:proofErr w:type="gramStart"/>
      <w:r w:rsidRPr="00F53504">
        <w:rPr>
          <w:lang w:val="en-AU"/>
        </w:rPr>
        <w:t>Like</w:t>
      </w:r>
      <w:proofErr w:type="gramEnd"/>
      <w:r w:rsidRPr="00F53504">
        <w:rPr>
          <w:lang w:val="en-AU"/>
        </w:rPr>
        <w:t xml:space="preserve"> I wouldn’t really – you provide the information. We can say, “Looking at your case, looking at the job you’re looking for, the benefit of this or that.” And you make your – we are not in a position to advise, it’s not something that</w:t>
      </w:r>
      <w:r w:rsidR="00DD6842">
        <w:rPr>
          <w:lang w:val="en-AU"/>
        </w:rPr>
        <w:t xml:space="preserve"> we are probably called to do.”</w:t>
      </w:r>
    </w:p>
    <w:p w14:paraId="1D5125A1" w14:textId="77777777" w:rsidR="00E92E24" w:rsidRPr="00F53504" w:rsidRDefault="002F6171" w:rsidP="002F6171">
      <w:pPr>
        <w:pStyle w:val="Quoteattribution"/>
      </w:pPr>
      <w:r w:rsidRPr="00F53504">
        <w:t xml:space="preserve">Provider, </w:t>
      </w:r>
      <w:r w:rsidR="00A73578" w:rsidRPr="00F53504">
        <w:t>capital city</w:t>
      </w:r>
      <w:r w:rsidR="00CD549C" w:rsidRPr="00F53504">
        <w:t xml:space="preserve">, </w:t>
      </w:r>
      <w:r w:rsidR="00567DDD" w:rsidRPr="00F53504">
        <w:t>in-depth interview</w:t>
      </w:r>
    </w:p>
    <w:p w14:paraId="7997AA9F" w14:textId="2F3A6C39" w:rsidR="00E92E24" w:rsidRPr="00F53504" w:rsidRDefault="00E92E24" w:rsidP="002F6171">
      <w:r w:rsidRPr="00F53504">
        <w:t xml:space="preserve">Providers’ reluctance </w:t>
      </w:r>
      <w:proofErr w:type="gramStart"/>
      <w:r w:rsidRPr="00F53504">
        <w:t>to actively promote</w:t>
      </w:r>
      <w:proofErr w:type="gramEnd"/>
      <w:r w:rsidRPr="00F53504">
        <w:t xml:space="preserve"> the </w:t>
      </w:r>
      <w:r w:rsidR="004F68D9" w:rsidRPr="00F53504">
        <w:t>program</w:t>
      </w:r>
      <w:r w:rsidRPr="00F53504">
        <w:t xml:space="preserve"> could stem from a view that job seekers are generally resistant to the prospect of relocating; in particular, the more disadvantaged job seekers who are heavily dependent on their local social</w:t>
      </w:r>
      <w:r w:rsidR="00B7696B">
        <w:t xml:space="preserve"> support</w:t>
      </w:r>
      <w:r w:rsidRPr="00F53504">
        <w:t xml:space="preserve"> networks. </w:t>
      </w:r>
      <w:r w:rsidR="0029451A" w:rsidRPr="00F53504">
        <w:t xml:space="preserve">This </w:t>
      </w:r>
      <w:proofErr w:type="gramStart"/>
      <w:r w:rsidR="0029451A" w:rsidRPr="00F53504">
        <w:t>is supported</w:t>
      </w:r>
      <w:proofErr w:type="gramEnd"/>
      <w:r w:rsidR="0029451A" w:rsidRPr="00F53504">
        <w:t xml:space="preserve"> by </w:t>
      </w:r>
      <w:r w:rsidR="002C026C">
        <w:t>a</w:t>
      </w:r>
      <w:r w:rsidR="0029451A" w:rsidRPr="00F53504">
        <w:t xml:space="preserve"> 2016 </w:t>
      </w:r>
      <w:r w:rsidR="006923EC">
        <w:t xml:space="preserve">provider </w:t>
      </w:r>
      <w:r w:rsidR="002C026C">
        <w:t>s</w:t>
      </w:r>
      <w:r w:rsidR="0029451A" w:rsidRPr="00F53504">
        <w:t>urvey that showed many provider</w:t>
      </w:r>
      <w:r w:rsidR="00B34194">
        <w:t xml:space="preserve"> </w:t>
      </w:r>
      <w:r w:rsidR="0029451A" w:rsidRPr="00F53504">
        <w:t>s</w:t>
      </w:r>
      <w:r w:rsidR="000508DF">
        <w:t>taff</w:t>
      </w:r>
      <w:r w:rsidR="0029451A" w:rsidRPr="00F53504">
        <w:t xml:space="preserve"> </w:t>
      </w:r>
      <w:r w:rsidR="009B65B9" w:rsidRPr="00F53504">
        <w:t xml:space="preserve">who were not fully promoting the program </w:t>
      </w:r>
      <w:r w:rsidR="0029451A" w:rsidRPr="00F53504">
        <w:t xml:space="preserve">believed most eligible job seekers do not want to move (see </w:t>
      </w:r>
      <w:r w:rsidR="00EC679D">
        <w:t>F</w:t>
      </w:r>
      <w:r w:rsidR="0029451A" w:rsidRPr="00F53504">
        <w:t>igure 3.</w:t>
      </w:r>
      <w:r w:rsidR="006F01B1">
        <w:t>3</w:t>
      </w:r>
      <w:r w:rsidR="00C57808">
        <w:t>).</w:t>
      </w:r>
    </w:p>
    <w:p w14:paraId="4A797FC9" w14:textId="77777777" w:rsidR="002F6171" w:rsidRPr="00F53504" w:rsidRDefault="00E92E24" w:rsidP="00E92E24">
      <w:pPr>
        <w:pStyle w:val="Quote"/>
        <w:rPr>
          <w:lang w:val="en-AU"/>
        </w:rPr>
      </w:pPr>
      <w:r w:rsidRPr="00F53504">
        <w:rPr>
          <w:lang w:val="en-AU"/>
        </w:rPr>
        <w:t xml:space="preserve">“You know, if they are a single family - Indigenous community, you won't get a lot of take-up because people who live here, everyone's here.” </w:t>
      </w:r>
    </w:p>
    <w:p w14:paraId="32281CC2" w14:textId="0DFDB82F" w:rsidR="00E92E24" w:rsidRPr="00F53504" w:rsidRDefault="00E92E24" w:rsidP="002F6171">
      <w:pPr>
        <w:pStyle w:val="Quoteattribution"/>
      </w:pPr>
      <w:r w:rsidRPr="00F53504">
        <w:t xml:space="preserve">Provider, regional area, </w:t>
      </w:r>
      <w:r w:rsidR="000575F6">
        <w:t>response to a Departmental survey in 2015</w:t>
      </w:r>
    </w:p>
    <w:p w14:paraId="47E4170B" w14:textId="1EE5236D" w:rsidR="002F6171" w:rsidRPr="00F53504" w:rsidRDefault="00E92E24" w:rsidP="002F6171">
      <w:pPr>
        <w:pStyle w:val="Quote"/>
        <w:rPr>
          <w:lang w:val="en-AU"/>
        </w:rPr>
      </w:pPr>
      <w:r w:rsidRPr="00F53504">
        <w:rPr>
          <w:lang w:val="en-AU"/>
        </w:rPr>
        <w:t>“Plenty of clients have no interest to travel more than 30 minut</w:t>
      </w:r>
      <w:r w:rsidR="00D04EA4">
        <w:rPr>
          <w:lang w:val="en-AU"/>
        </w:rPr>
        <w:t>es let alone move completely</w:t>
      </w:r>
      <w:r w:rsidR="00F65436">
        <w:rPr>
          <w:lang w:val="en-AU"/>
        </w:rPr>
        <w:t>...</w:t>
      </w:r>
      <w:r w:rsidRPr="00F53504">
        <w:rPr>
          <w:lang w:val="en-AU"/>
        </w:rPr>
        <w:t>It isn’t something you would bring into the conversation from day one. Most are just not interested in moving</w:t>
      </w:r>
      <w:r w:rsidR="00F65436">
        <w:rPr>
          <w:lang w:val="en-AU"/>
        </w:rPr>
        <w:t>...</w:t>
      </w:r>
      <w:r w:rsidRPr="00F53504">
        <w:rPr>
          <w:lang w:val="en-AU"/>
        </w:rPr>
        <w:t xml:space="preserve"> They have their comfort zone and families, friends or they have housing. T</w:t>
      </w:r>
      <w:r w:rsidR="00D61B67">
        <w:rPr>
          <w:lang w:val="en-AU"/>
        </w:rPr>
        <w:t>hat makes a really big impact.”</w:t>
      </w:r>
    </w:p>
    <w:p w14:paraId="1454CF4D" w14:textId="08F2A121" w:rsidR="00E92E24" w:rsidRPr="00F53504" w:rsidRDefault="00E92E24" w:rsidP="002F6171">
      <w:pPr>
        <w:pStyle w:val="Quoteattribution"/>
      </w:pPr>
      <w:r w:rsidRPr="00F53504">
        <w:t xml:space="preserve">Provider, capital city, </w:t>
      </w:r>
      <w:r w:rsidR="000575F6">
        <w:t>response to a Departmental survey in 2015</w:t>
      </w:r>
    </w:p>
    <w:p w14:paraId="14A16955" w14:textId="0B91434B" w:rsidR="002F6171" w:rsidRPr="00F53504" w:rsidRDefault="00E92E24" w:rsidP="00E92E24">
      <w:pPr>
        <w:pStyle w:val="Quote"/>
        <w:rPr>
          <w:lang w:val="en-AU"/>
        </w:rPr>
      </w:pPr>
      <w:r w:rsidRPr="00F53504">
        <w:rPr>
          <w:lang w:val="en-AU"/>
        </w:rPr>
        <w:t xml:space="preserve">“A really good example is a job seeker of ours got offered a job being like a mental health support worker down the coast. I think it was at </w:t>
      </w:r>
      <w:r w:rsidR="00F57655">
        <w:rPr>
          <w:lang w:val="en-AU"/>
        </w:rPr>
        <w:t>[LOCATION]</w:t>
      </w:r>
      <w:r w:rsidRPr="00F53504">
        <w:rPr>
          <w:lang w:val="en-AU"/>
        </w:rPr>
        <w:t xml:space="preserve"> and would not move from </w:t>
      </w:r>
      <w:r w:rsidR="00F57655">
        <w:rPr>
          <w:lang w:val="en-AU"/>
        </w:rPr>
        <w:t>[LOCATION]</w:t>
      </w:r>
      <w:r w:rsidRPr="00F53504">
        <w:rPr>
          <w:lang w:val="en-AU"/>
        </w:rPr>
        <w:t xml:space="preserve"> </w:t>
      </w:r>
      <w:proofErr w:type="gramStart"/>
      <w:r w:rsidRPr="00F53504">
        <w:rPr>
          <w:lang w:val="en-AU"/>
        </w:rPr>
        <w:t>The</w:t>
      </w:r>
      <w:proofErr w:type="gramEnd"/>
      <w:r w:rsidRPr="00F53504">
        <w:rPr>
          <w:lang w:val="en-AU"/>
        </w:rPr>
        <w:t xml:space="preserve"> reason why, great job, paid really well, but the reason that was given was “I can’t move away from my family”.</w:t>
      </w:r>
    </w:p>
    <w:p w14:paraId="0F52A9BD" w14:textId="77777777" w:rsidR="00E92E24" w:rsidRPr="00F53504" w:rsidRDefault="00E92E24" w:rsidP="002F6171">
      <w:pPr>
        <w:pStyle w:val="Quoteattribution"/>
      </w:pPr>
      <w:r w:rsidRPr="00F53504">
        <w:t xml:space="preserve">Provider, </w:t>
      </w:r>
      <w:r w:rsidR="00A73578" w:rsidRPr="00F53504">
        <w:t>regional area</w:t>
      </w:r>
      <w:r w:rsidRPr="00F53504">
        <w:t>,</w:t>
      </w:r>
      <w:r w:rsidR="002F6171" w:rsidRPr="00F53504">
        <w:t xml:space="preserve"> </w:t>
      </w:r>
      <w:r w:rsidR="00567DDD" w:rsidRPr="00F53504">
        <w:t>in-depth interview</w:t>
      </w:r>
    </w:p>
    <w:p w14:paraId="7146728D" w14:textId="320ECD76" w:rsidR="00F2783B" w:rsidRPr="00F53504" w:rsidRDefault="000960EB" w:rsidP="00F2783B">
      <w:r>
        <w:t>S</w:t>
      </w:r>
      <w:r w:rsidR="00F2783B" w:rsidRPr="00F53504">
        <w:t xml:space="preserve">ection 3.8.1 </w:t>
      </w:r>
      <w:r>
        <w:t>has</w:t>
      </w:r>
      <w:r w:rsidR="00F2783B" w:rsidRPr="00F53504">
        <w:t xml:space="preserve"> further discussion from the perspective of job seekers.</w:t>
      </w:r>
    </w:p>
    <w:p w14:paraId="36A58296" w14:textId="77777777" w:rsidR="00E92E24" w:rsidRPr="00F53504" w:rsidRDefault="00E92E24" w:rsidP="002F6171">
      <w:pPr>
        <w:pStyle w:val="Heading3"/>
      </w:pPr>
      <w:bookmarkStart w:id="89" w:name="_Ref456018239"/>
      <w:r w:rsidRPr="00F53504">
        <w:lastRenderedPageBreak/>
        <w:t xml:space="preserve">Knowledge of the </w:t>
      </w:r>
      <w:r w:rsidR="004F68D9" w:rsidRPr="00F53504">
        <w:t>program</w:t>
      </w:r>
      <w:bookmarkEnd w:id="89"/>
    </w:p>
    <w:p w14:paraId="068F759C" w14:textId="4DD68E8D" w:rsidR="00E92E24" w:rsidRPr="00F53504" w:rsidRDefault="00567DDD" w:rsidP="002F6171">
      <w:pPr>
        <w:rPr>
          <w:b/>
          <w:bCs/>
        </w:rPr>
      </w:pPr>
      <w:r w:rsidRPr="00F53504">
        <w:t xml:space="preserve">In-depth </w:t>
      </w:r>
      <w:r w:rsidR="00E92E24" w:rsidRPr="00F53504">
        <w:t xml:space="preserve">interviews with </w:t>
      </w:r>
      <w:r w:rsidR="00AD486E" w:rsidRPr="00F53504">
        <w:t>participant</w:t>
      </w:r>
      <w:r w:rsidR="00E92E24" w:rsidRPr="00F53504">
        <w:t xml:space="preserve">s indicated that many felt that their provider did not fully understand </w:t>
      </w:r>
      <w:r w:rsidR="0041378D" w:rsidRPr="00F53504">
        <w:t>RATTUAJ</w:t>
      </w:r>
      <w:r w:rsidR="00E92E24" w:rsidRPr="00F53504">
        <w:t xml:space="preserve">, and </w:t>
      </w:r>
      <w:r w:rsidR="006800C9" w:rsidRPr="00F53504">
        <w:t xml:space="preserve">was </w:t>
      </w:r>
      <w:r w:rsidR="00E92E24" w:rsidRPr="00F53504">
        <w:t xml:space="preserve">not able to convey comprehensive information about the </w:t>
      </w:r>
      <w:r w:rsidR="004F68D9" w:rsidRPr="00F53504">
        <w:t>program</w:t>
      </w:r>
      <w:r w:rsidR="00257439">
        <w:t>.</w:t>
      </w:r>
    </w:p>
    <w:p w14:paraId="489F8F3A" w14:textId="286E78C8" w:rsidR="002F6171" w:rsidRPr="00F53504" w:rsidRDefault="00E92E24" w:rsidP="00E92E24">
      <w:pPr>
        <w:pStyle w:val="Quote"/>
        <w:rPr>
          <w:lang w:val="en-AU"/>
        </w:rPr>
      </w:pPr>
      <w:r w:rsidRPr="00F53504">
        <w:rPr>
          <w:lang w:val="en-AU"/>
        </w:rPr>
        <w:t xml:space="preserve">“So I actually approached my job service provider and asked them about it. They </w:t>
      </w:r>
      <w:proofErr w:type="gramStart"/>
      <w:r w:rsidRPr="00F53504">
        <w:rPr>
          <w:lang w:val="en-AU"/>
        </w:rPr>
        <w:t>didn’t</w:t>
      </w:r>
      <w:proofErr w:type="gramEnd"/>
      <w:r w:rsidRPr="00F53504">
        <w:rPr>
          <w:lang w:val="en-AU"/>
        </w:rPr>
        <w:t xml:space="preserve"> know anything about it. They were a bit, </w:t>
      </w:r>
      <w:r w:rsidR="007B17BD" w:rsidRPr="00F53504">
        <w:rPr>
          <w:lang w:val="en-AU"/>
        </w:rPr>
        <w:t>‘</w:t>
      </w:r>
      <w:r w:rsidRPr="00F53504">
        <w:rPr>
          <w:lang w:val="en-AU"/>
        </w:rPr>
        <w:t>we don’t know much about this</w:t>
      </w:r>
      <w:r w:rsidR="007B17BD" w:rsidRPr="00F53504">
        <w:rPr>
          <w:lang w:val="en-AU"/>
        </w:rPr>
        <w:t>’</w:t>
      </w:r>
      <w:r w:rsidRPr="00F53504">
        <w:rPr>
          <w:lang w:val="en-AU"/>
        </w:rPr>
        <w:t xml:space="preserve">. </w:t>
      </w:r>
      <w:r w:rsidR="007B17BD" w:rsidRPr="00F53504">
        <w:rPr>
          <w:lang w:val="en-AU"/>
        </w:rPr>
        <w:t>‘</w:t>
      </w:r>
      <w:r w:rsidRPr="00F53504">
        <w:rPr>
          <w:lang w:val="en-AU"/>
        </w:rPr>
        <w:t>Well you better find out because I think I’m entitled to it</w:t>
      </w:r>
      <w:r w:rsidR="007B17BD" w:rsidRPr="00F53504">
        <w:rPr>
          <w:lang w:val="en-AU"/>
        </w:rPr>
        <w:t>’</w:t>
      </w:r>
      <w:r w:rsidR="00D61B67">
        <w:rPr>
          <w:lang w:val="en-AU"/>
        </w:rPr>
        <w:t>.”</w:t>
      </w:r>
    </w:p>
    <w:p w14:paraId="2C468EB2" w14:textId="77777777" w:rsidR="00E92E24" w:rsidRPr="00F53504" w:rsidRDefault="00FC2410" w:rsidP="002F6171">
      <w:pPr>
        <w:pStyle w:val="Quoteattribution"/>
      </w:pPr>
      <w:r w:rsidRPr="00F53504">
        <w:t>Female, 50</w:t>
      </w:r>
      <w:r w:rsidR="00E92E24" w:rsidRPr="00F53504">
        <w:t xml:space="preserve">s, from </w:t>
      </w:r>
      <w:r w:rsidR="002F6171" w:rsidRPr="00F53504">
        <w:t>regional area, to regional area</w:t>
      </w:r>
    </w:p>
    <w:p w14:paraId="29DD0859" w14:textId="010E63D6" w:rsidR="00E92E24" w:rsidRPr="00F53504" w:rsidRDefault="00E92E24" w:rsidP="002F6171">
      <w:r w:rsidRPr="00F53504">
        <w:t xml:space="preserve">As there was a low level of demand for the </w:t>
      </w:r>
      <w:r w:rsidR="004F68D9" w:rsidRPr="00F53504">
        <w:t>program</w:t>
      </w:r>
      <w:r w:rsidRPr="00F53504">
        <w:t xml:space="preserve">, providers may not have had the experience of placing a job seeker through </w:t>
      </w:r>
      <w:r w:rsidR="0041378D" w:rsidRPr="00F53504">
        <w:t>RATTUAJ</w:t>
      </w:r>
      <w:r w:rsidR="00D61B67">
        <w:t>.</w:t>
      </w:r>
    </w:p>
    <w:p w14:paraId="1F961553" w14:textId="7DAB5777" w:rsidR="002F6171" w:rsidRPr="00F53504" w:rsidRDefault="00E92E24" w:rsidP="002F6171">
      <w:pPr>
        <w:pStyle w:val="Quote"/>
        <w:rPr>
          <w:lang w:val="en-AU"/>
        </w:rPr>
      </w:pPr>
      <w:r w:rsidRPr="00F53504">
        <w:rPr>
          <w:lang w:val="en-AU"/>
        </w:rPr>
        <w:t>“</w:t>
      </w:r>
      <w:r w:rsidR="00F65436">
        <w:rPr>
          <w:lang w:val="en-AU"/>
        </w:rPr>
        <w:t>...</w:t>
      </w:r>
      <w:r w:rsidRPr="00F53504">
        <w:rPr>
          <w:lang w:val="en-AU"/>
        </w:rPr>
        <w:t xml:space="preserve"> </w:t>
      </w:r>
      <w:proofErr w:type="gramStart"/>
      <w:r w:rsidRPr="00F53504">
        <w:rPr>
          <w:lang w:val="en-AU"/>
        </w:rPr>
        <w:t>it</w:t>
      </w:r>
      <w:proofErr w:type="gramEnd"/>
      <w:r w:rsidRPr="00F53504">
        <w:rPr>
          <w:lang w:val="en-AU"/>
        </w:rPr>
        <w:t xml:space="preserve"> was a steep learning curve but it was a good learning curve, so I knew exactly what we could and couldn’t do, how many quotes we need</w:t>
      </w:r>
      <w:r w:rsidR="007B17BD" w:rsidRPr="00F53504">
        <w:rPr>
          <w:lang w:val="en-AU"/>
        </w:rPr>
        <w:t>ed, how we got around things</w:t>
      </w:r>
      <w:r w:rsidR="00F65436">
        <w:rPr>
          <w:lang w:val="en-AU"/>
        </w:rPr>
        <w:t>...</w:t>
      </w:r>
      <w:r w:rsidR="00D61B67">
        <w:rPr>
          <w:lang w:val="en-AU"/>
        </w:rPr>
        <w:t>”</w:t>
      </w:r>
    </w:p>
    <w:p w14:paraId="5BBCE692" w14:textId="77777777" w:rsidR="00E92E24" w:rsidRPr="00F53504" w:rsidRDefault="002F6171" w:rsidP="002F6171">
      <w:pPr>
        <w:pStyle w:val="Quoteattribution"/>
      </w:pPr>
      <w:r w:rsidRPr="00F53504">
        <w:t xml:space="preserve">Provider, </w:t>
      </w:r>
      <w:r w:rsidR="00A73578" w:rsidRPr="00F53504">
        <w:t>regional area</w:t>
      </w:r>
      <w:r w:rsidR="00CD549C" w:rsidRPr="00F53504">
        <w:t xml:space="preserve">, </w:t>
      </w:r>
      <w:r w:rsidR="00567DDD" w:rsidRPr="00F53504">
        <w:t>in-depth interview</w:t>
      </w:r>
    </w:p>
    <w:p w14:paraId="78E64B93" w14:textId="45AF0200" w:rsidR="00E92E24" w:rsidRPr="00F53504" w:rsidRDefault="00E92E24" w:rsidP="002F6171">
      <w:r w:rsidRPr="00F53504">
        <w:t xml:space="preserve">A lack of familiarity with the </w:t>
      </w:r>
      <w:r w:rsidR="004F68D9" w:rsidRPr="00F53504">
        <w:t>program</w:t>
      </w:r>
      <w:r w:rsidRPr="00F53504">
        <w:t xml:space="preserve"> and knowledge of the guidelines may have resulted in a lack of confidence, particularly in relation to </w:t>
      </w:r>
      <w:proofErr w:type="gramStart"/>
      <w:r w:rsidRPr="00F53504">
        <w:t>bein</w:t>
      </w:r>
      <w:r w:rsidR="00DD3CB3">
        <w:t>g reimbursed</w:t>
      </w:r>
      <w:proofErr w:type="gramEnd"/>
      <w:r w:rsidR="00DD3CB3">
        <w:t xml:space="preserve"> by the Department.</w:t>
      </w:r>
    </w:p>
    <w:p w14:paraId="35EE2CC1" w14:textId="770F3A0F" w:rsidR="002F6171" w:rsidRPr="00F53504" w:rsidRDefault="00E92E24" w:rsidP="00E92E24">
      <w:pPr>
        <w:pStyle w:val="Quote"/>
        <w:rPr>
          <w:lang w:val="en-AU"/>
        </w:rPr>
      </w:pPr>
      <w:r w:rsidRPr="00F53504">
        <w:rPr>
          <w:lang w:val="en-AU"/>
        </w:rPr>
        <w:t xml:space="preserve">“And you have to be careful that you get, we try to get through to them, </w:t>
      </w:r>
      <w:proofErr w:type="gramStart"/>
      <w:r w:rsidRPr="00F53504">
        <w:rPr>
          <w:lang w:val="en-AU"/>
        </w:rPr>
        <w:t>you</w:t>
      </w:r>
      <w:proofErr w:type="gramEnd"/>
      <w:r w:rsidRPr="00F53504">
        <w:rPr>
          <w:lang w:val="en-AU"/>
        </w:rPr>
        <w:t xml:space="preserve"> must send these receipts back immediately because there is that small window that we have to process the reimbursement to get reimbursement ourselves. Otherwise anything outside of that ha</w:t>
      </w:r>
      <w:r w:rsidR="00DD3CB3">
        <w:rPr>
          <w:lang w:val="en-AU"/>
        </w:rPr>
        <w:t>s to come off our bottom line.”</w:t>
      </w:r>
    </w:p>
    <w:p w14:paraId="0D37C6C0" w14:textId="77777777" w:rsidR="00E92E24" w:rsidRPr="00F53504" w:rsidRDefault="002F6171" w:rsidP="002F6171">
      <w:pPr>
        <w:pStyle w:val="Quoteattribution"/>
      </w:pPr>
      <w:r w:rsidRPr="00F53504">
        <w:t xml:space="preserve">Provider, </w:t>
      </w:r>
      <w:r w:rsidR="00A73578" w:rsidRPr="00F53504">
        <w:t>regional area</w:t>
      </w:r>
      <w:r w:rsidR="00CD549C" w:rsidRPr="00F53504">
        <w:t xml:space="preserve">, </w:t>
      </w:r>
      <w:r w:rsidR="00567DDD" w:rsidRPr="00F53504">
        <w:t>in-depth interview</w:t>
      </w:r>
    </w:p>
    <w:p w14:paraId="2FD07709" w14:textId="1B3E3127" w:rsidR="00C704DD" w:rsidRPr="00F53504" w:rsidRDefault="00C704DD" w:rsidP="00C704DD">
      <w:r w:rsidRPr="00F53504">
        <w:t xml:space="preserve">Over half </w:t>
      </w:r>
      <w:r w:rsidR="00F2783B" w:rsidRPr="00F53504">
        <w:t>(55</w:t>
      </w:r>
      <w:r w:rsidRPr="00F53504">
        <w:t xml:space="preserve"> per cent)</w:t>
      </w:r>
      <w:r w:rsidR="00F534AC" w:rsidRPr="00F53504">
        <w:t xml:space="preserve"> of</w:t>
      </w:r>
      <w:r w:rsidRPr="00F53504">
        <w:t xml:space="preserve"> </w:t>
      </w:r>
      <w:r w:rsidR="00F534AC" w:rsidRPr="00F53504">
        <w:t>the</w:t>
      </w:r>
      <w:r w:rsidRPr="00F53504">
        <w:t xml:space="preserve"> provider</w:t>
      </w:r>
      <w:r w:rsidR="00B34194">
        <w:t xml:space="preserve"> </w:t>
      </w:r>
      <w:r w:rsidRPr="00F53504">
        <w:t>s</w:t>
      </w:r>
      <w:r w:rsidR="000508DF">
        <w:t>taff</w:t>
      </w:r>
      <w:r w:rsidRPr="00F53504">
        <w:t xml:space="preserve"> in </w:t>
      </w:r>
      <w:r w:rsidR="005E37BB">
        <w:t>a</w:t>
      </w:r>
      <w:r w:rsidRPr="00F53504">
        <w:t xml:space="preserve"> 2016 </w:t>
      </w:r>
      <w:r w:rsidR="007206BD">
        <w:t xml:space="preserve">provider </w:t>
      </w:r>
      <w:r w:rsidR="005E37BB">
        <w:t>s</w:t>
      </w:r>
      <w:r w:rsidRPr="00F53504">
        <w:t xml:space="preserve">urvey indicated that a lack of understanding about the </w:t>
      </w:r>
      <w:r w:rsidR="004F68D9" w:rsidRPr="00F53504">
        <w:t>program</w:t>
      </w:r>
      <w:r w:rsidRPr="00F53504">
        <w:t xml:space="preserve"> and participation guidelines had hindered them</w:t>
      </w:r>
      <w:r w:rsidR="00F534AC" w:rsidRPr="00F53504">
        <w:t xml:space="preserve"> to some or a great extent</w:t>
      </w:r>
      <w:r w:rsidRPr="00F53504">
        <w:t xml:space="preserve"> from actively promoting the </w:t>
      </w:r>
      <w:r w:rsidR="004F68D9" w:rsidRPr="00F53504">
        <w:t>program</w:t>
      </w:r>
      <w:r w:rsidR="002B5D03">
        <w:t>.</w:t>
      </w:r>
    </w:p>
    <w:p w14:paraId="46FAB258" w14:textId="2522B8EB" w:rsidR="00B51AB9" w:rsidRPr="00F53504" w:rsidRDefault="00207606" w:rsidP="00EA45FA">
      <w:r w:rsidRPr="00F53504">
        <w:t xml:space="preserve">In addition, while not reflected in the findings above, there is a broader expectation that employment services provide a localised model of service provision – where providers are expected to know their own location in detail and maximise employment opportunities with local employers. This </w:t>
      </w:r>
      <w:proofErr w:type="gramStart"/>
      <w:r w:rsidR="00A83F5B">
        <w:t>can be seen</w:t>
      </w:r>
      <w:proofErr w:type="gramEnd"/>
      <w:r w:rsidR="00A83F5B">
        <w:t xml:space="preserve"> to be</w:t>
      </w:r>
      <w:r w:rsidRPr="00F53504">
        <w:t xml:space="preserve"> at odds with expend</w:t>
      </w:r>
      <w:r w:rsidR="00A83F5B">
        <w:t>ing effort</w:t>
      </w:r>
      <w:r w:rsidRPr="00F53504">
        <w:t xml:space="preserve"> </w:t>
      </w:r>
      <w:r w:rsidR="00A83F5B">
        <w:t>on</w:t>
      </w:r>
      <w:r w:rsidRPr="00F53504">
        <w:t xml:space="preserve"> wider geographic job search activit</w:t>
      </w:r>
      <w:r w:rsidR="00A83F5B">
        <w:t>ies</w:t>
      </w:r>
      <w:r w:rsidR="00EA45FA">
        <w:t>.</w:t>
      </w:r>
      <w:r w:rsidR="00B51AB9" w:rsidRPr="00F53504">
        <w:br w:type="page"/>
      </w:r>
    </w:p>
    <w:p w14:paraId="1A98AA85" w14:textId="2D31624E" w:rsidR="00B51AB9" w:rsidRPr="00F53504" w:rsidRDefault="00B51AB9" w:rsidP="00920031">
      <w:pPr>
        <w:pStyle w:val="Heading2"/>
      </w:pPr>
      <w:bookmarkStart w:id="90" w:name="_Toc512529325"/>
      <w:r w:rsidRPr="00F53504">
        <w:lastRenderedPageBreak/>
        <w:t>What are the major factors that contribute to job seekers’ decisions to relocate?</w:t>
      </w:r>
      <w:bookmarkEnd w:id="90"/>
    </w:p>
    <w:p w14:paraId="6DD26DE8" w14:textId="77777777" w:rsidR="00DF07BA" w:rsidRPr="00F53504" w:rsidRDefault="00DF07BA" w:rsidP="00DF3561">
      <w:pPr>
        <w:pStyle w:val="Answerbox"/>
        <w:rPr>
          <w:b/>
        </w:rPr>
      </w:pPr>
      <w:bookmarkStart w:id="91" w:name="_Toc364946115"/>
      <w:r w:rsidRPr="00F53504">
        <w:rPr>
          <w:b/>
        </w:rPr>
        <w:t>Employment was the major factor in job seekers’ decisions to relocate</w:t>
      </w:r>
    </w:p>
    <w:p w14:paraId="3CCF42F6" w14:textId="0075D268" w:rsidR="001E07A7" w:rsidRPr="00F53504" w:rsidRDefault="00DF3561" w:rsidP="001E07A7">
      <w:pPr>
        <w:pStyle w:val="Answerboxdotpoints"/>
      </w:pPr>
      <w:r w:rsidRPr="00F53504">
        <w:t>The most common factor</w:t>
      </w:r>
      <w:r w:rsidR="004716FF" w:rsidRPr="00F53504">
        <w:t>s</w:t>
      </w:r>
      <w:r w:rsidRPr="00F53504">
        <w:t xml:space="preserve"> that contributed to job seekers’ decisions to relocate </w:t>
      </w:r>
      <w:r w:rsidR="00FD53BE">
        <w:t>were</w:t>
      </w:r>
      <w:r w:rsidR="00FD53BE" w:rsidRPr="00F53504">
        <w:t xml:space="preserve"> </w:t>
      </w:r>
      <w:r w:rsidRPr="00F53504">
        <w:t>employment and b</w:t>
      </w:r>
      <w:r w:rsidR="00E316EA">
        <w:t>etter employment opportunities.</w:t>
      </w:r>
    </w:p>
    <w:p w14:paraId="76489D92" w14:textId="7E9EDBA0" w:rsidR="00DF3561" w:rsidRPr="00F53504" w:rsidRDefault="003621ED" w:rsidP="001E07A7">
      <w:pPr>
        <w:pStyle w:val="Answerboxdotpoints"/>
      </w:pPr>
      <w:r>
        <w:t>T</w:t>
      </w:r>
      <w:r w:rsidR="00DF3561" w:rsidRPr="00F53504">
        <w:t xml:space="preserve">he personal circumstances of the job seeker, for </w:t>
      </w:r>
      <w:proofErr w:type="gramStart"/>
      <w:r w:rsidR="00DF3561" w:rsidRPr="00F53504">
        <w:t>example</w:t>
      </w:r>
      <w:proofErr w:type="gramEnd"/>
      <w:r w:rsidR="00DF3561" w:rsidRPr="00F53504">
        <w:t xml:space="preserve"> a desire to move away from family, and the attraction of a particular location</w:t>
      </w:r>
      <w:r>
        <w:t xml:space="preserve"> were also an influence</w:t>
      </w:r>
      <w:r w:rsidR="00E316EA">
        <w:t>.</w:t>
      </w:r>
    </w:p>
    <w:p w14:paraId="5AD1F1CF" w14:textId="025C2E6F" w:rsidR="00DF3561" w:rsidRPr="00F53504" w:rsidRDefault="00DF3561" w:rsidP="00DF3561">
      <w:r w:rsidRPr="00F53504">
        <w:t>The decision to relocate for work varie</w:t>
      </w:r>
      <w:r w:rsidR="004716FF" w:rsidRPr="00F53504">
        <w:t>d</w:t>
      </w:r>
      <w:r w:rsidRPr="00F53504">
        <w:t xml:space="preserve"> widely between individuals, where personal, locational and transitional factors</w:t>
      </w:r>
      <w:r w:rsidR="00B15D0F" w:rsidRPr="00F53504">
        <w:t xml:space="preserve"> (the one-off costs and benefits)</w:t>
      </w:r>
      <w:r w:rsidRPr="00F53504">
        <w:t xml:space="preserve"> interact to influence this decision</w:t>
      </w:r>
      <w:r w:rsidR="00E316EA">
        <w:t>.</w:t>
      </w:r>
    </w:p>
    <w:p w14:paraId="43367122" w14:textId="4DF993D0" w:rsidR="00DF3561" w:rsidRPr="00F53504" w:rsidRDefault="00DF3561" w:rsidP="00103490">
      <w:pPr>
        <w:pStyle w:val="Quote"/>
        <w:rPr>
          <w:lang w:val="en-AU"/>
        </w:rPr>
      </w:pPr>
      <w:r w:rsidRPr="00F53504">
        <w:rPr>
          <w:lang w:val="en-AU"/>
        </w:rPr>
        <w:t>“Look, it's all individual. If people want to stay in [site location], then they are not going to relocate anyway. Some people want to relocate; some people want to start again.</w:t>
      </w:r>
      <w:r w:rsidR="00131B22">
        <w:rPr>
          <w:lang w:val="en-AU"/>
        </w:rPr>
        <w:t xml:space="preserve"> It's a very individual thing.”</w:t>
      </w:r>
    </w:p>
    <w:p w14:paraId="1A9F0483" w14:textId="39EBF029" w:rsidR="00DF3561" w:rsidRPr="00F53504" w:rsidRDefault="00DF3561" w:rsidP="00103490">
      <w:pPr>
        <w:pStyle w:val="Quoteattribution"/>
      </w:pPr>
      <w:r w:rsidRPr="00F53504">
        <w:t xml:space="preserve">Provider, capital city, </w:t>
      </w:r>
      <w:r w:rsidR="000575F6">
        <w:t>response to a Departmental survey in 2015</w:t>
      </w:r>
    </w:p>
    <w:p w14:paraId="617CE34A" w14:textId="77777777" w:rsidR="00DF3561" w:rsidRPr="00F53504" w:rsidRDefault="00DF3561" w:rsidP="00103490">
      <w:pPr>
        <w:pStyle w:val="Heading3"/>
      </w:pPr>
      <w:r w:rsidRPr="00F53504">
        <w:t>Work-related factors</w:t>
      </w:r>
    </w:p>
    <w:p w14:paraId="0F287596" w14:textId="4026CE2C" w:rsidR="00DF3561" w:rsidRPr="00F53504" w:rsidRDefault="00DF3561" w:rsidP="00103490">
      <w:pPr>
        <w:rPr>
          <w:b/>
          <w:bCs/>
        </w:rPr>
      </w:pPr>
      <w:r w:rsidRPr="00F53504">
        <w:t xml:space="preserve">Almost all </w:t>
      </w:r>
      <w:r w:rsidR="00AD486E" w:rsidRPr="00F53504">
        <w:t>participant</w:t>
      </w:r>
      <w:r w:rsidRPr="00F53504">
        <w:t xml:space="preserve">s identified employment as the primary driver for their decision to relocate. Most participants indicated that they were happy to move to a number of different areas or locations in order to find work. Half of the participants </w:t>
      </w:r>
      <w:r w:rsidR="003A7D5C">
        <w:t>expressed the view</w:t>
      </w:r>
      <w:r w:rsidR="003A7D5C" w:rsidRPr="00F53504">
        <w:t xml:space="preserve"> </w:t>
      </w:r>
      <w:r w:rsidRPr="00F53504">
        <w:t>that relocating for any job was preferable to remaining unempl</w:t>
      </w:r>
      <w:r w:rsidR="00F1559E">
        <w:t>oyed in their current location.</w:t>
      </w:r>
    </w:p>
    <w:p w14:paraId="1E33BDF5" w14:textId="68695186" w:rsidR="00103490" w:rsidRPr="00F53504" w:rsidRDefault="00DF3561" w:rsidP="00103490">
      <w:pPr>
        <w:pStyle w:val="Quote"/>
        <w:rPr>
          <w:lang w:val="en-AU"/>
        </w:rPr>
      </w:pPr>
      <w:r w:rsidRPr="00F53504">
        <w:rPr>
          <w:lang w:val="en-AU"/>
        </w:rPr>
        <w:t>“I was unemployed for [TIME PERIOD] and just getting back into the workforce and the move was about the only way I could do it,</w:t>
      </w:r>
      <w:r w:rsidR="0025000B">
        <w:rPr>
          <w:lang w:val="en-AU"/>
        </w:rPr>
        <w:t xml:space="preserve"> so it’s been great.”</w:t>
      </w:r>
    </w:p>
    <w:p w14:paraId="420B17E7" w14:textId="77777777" w:rsidR="00DF3561" w:rsidRPr="00F53504" w:rsidRDefault="00DF3561" w:rsidP="00103490">
      <w:pPr>
        <w:pStyle w:val="Quoteattribution"/>
        <w:rPr>
          <w:b/>
        </w:rPr>
      </w:pPr>
      <w:r w:rsidRPr="00F53504">
        <w:t>Male, 60s, from regional area, to regional area</w:t>
      </w:r>
    </w:p>
    <w:p w14:paraId="3EA0BFBA" w14:textId="737AECFC" w:rsidR="00103490" w:rsidRPr="00F53504" w:rsidRDefault="00DF3561" w:rsidP="00103490">
      <w:pPr>
        <w:pStyle w:val="Quote"/>
        <w:rPr>
          <w:lang w:val="en-AU"/>
        </w:rPr>
      </w:pPr>
      <w:r w:rsidRPr="00F53504">
        <w:rPr>
          <w:lang w:val="en-AU"/>
        </w:rPr>
        <w:t xml:space="preserve">“Yeah just for work basically because I was sick of not working... To make some money. Just sick of sitting around, you know what I </w:t>
      </w:r>
      <w:proofErr w:type="gramStart"/>
      <w:r w:rsidRPr="00F53504">
        <w:rPr>
          <w:lang w:val="en-AU"/>
        </w:rPr>
        <w:t>mean?</w:t>
      </w:r>
      <w:proofErr w:type="gramEnd"/>
      <w:r w:rsidRPr="00F53504">
        <w:rPr>
          <w:lang w:val="en-AU"/>
        </w:rPr>
        <w:t xml:space="preserve"> I needed to actually work because you sort of start getting into a state of depressi</w:t>
      </w:r>
      <w:r w:rsidR="0025000B">
        <w:rPr>
          <w:lang w:val="en-AU"/>
        </w:rPr>
        <w:t>on because you’re not working.”</w:t>
      </w:r>
    </w:p>
    <w:p w14:paraId="37E80EFF" w14:textId="77777777" w:rsidR="00DF3561" w:rsidRPr="00F53504" w:rsidRDefault="00DF3561" w:rsidP="00103490">
      <w:pPr>
        <w:pStyle w:val="Quoteattribution"/>
        <w:rPr>
          <w:b/>
        </w:rPr>
      </w:pPr>
      <w:r w:rsidRPr="00F53504">
        <w:t>Male, 40s, from regional area, to regional area</w:t>
      </w:r>
    </w:p>
    <w:p w14:paraId="5C9430F7" w14:textId="0D8E5327" w:rsidR="00103490" w:rsidRPr="00F53504" w:rsidRDefault="00DF3561" w:rsidP="00103490">
      <w:pPr>
        <w:pStyle w:val="Quote"/>
        <w:rPr>
          <w:lang w:val="en-AU"/>
        </w:rPr>
      </w:pPr>
      <w:r w:rsidRPr="00F53504">
        <w:rPr>
          <w:lang w:val="en-AU"/>
        </w:rPr>
        <w:t>“It was a job. Yeah, just a job, desperate to work. And you know I’m so grateful to have a job</w:t>
      </w:r>
      <w:r w:rsidR="0025000B">
        <w:rPr>
          <w:lang w:val="en-AU"/>
        </w:rPr>
        <w:t xml:space="preserve"> that I, you know, it’s a job.”</w:t>
      </w:r>
    </w:p>
    <w:p w14:paraId="3C2755E3" w14:textId="77777777" w:rsidR="00DF3561" w:rsidRPr="00F53504" w:rsidRDefault="00DF3561" w:rsidP="00103490">
      <w:pPr>
        <w:pStyle w:val="Quoteattribution"/>
      </w:pPr>
      <w:r w:rsidRPr="00F53504">
        <w:t>Male, 50s, from regional area, to regional area</w:t>
      </w:r>
    </w:p>
    <w:p w14:paraId="4C16BD5B" w14:textId="2F0EFDF6" w:rsidR="00DF3561" w:rsidRPr="00F53504" w:rsidRDefault="003621ED" w:rsidP="00103490">
      <w:pPr>
        <w:rPr>
          <w:b/>
          <w:bCs/>
        </w:rPr>
      </w:pPr>
      <w:r>
        <w:t xml:space="preserve">Interviewed </w:t>
      </w:r>
      <w:r w:rsidR="00DF3561" w:rsidRPr="00F53504">
        <w:t xml:space="preserve">participants were frustrated at their inability to find and secure employment in their existing locations. Moving to a new location </w:t>
      </w:r>
      <w:proofErr w:type="gramStart"/>
      <w:r w:rsidR="00DF3561" w:rsidRPr="00F53504">
        <w:t>was perceived</w:t>
      </w:r>
      <w:proofErr w:type="gramEnd"/>
      <w:r w:rsidR="00DF3561" w:rsidRPr="00F53504">
        <w:t xml:space="preserve"> as a ‘fresh start’ and the chance to ‘renew’ their working lives. For a few, relocating </w:t>
      </w:r>
      <w:proofErr w:type="gramStart"/>
      <w:r w:rsidR="00DF3561" w:rsidRPr="00F53504">
        <w:t>was seen</w:t>
      </w:r>
      <w:proofErr w:type="gramEnd"/>
      <w:r w:rsidR="00DF3561" w:rsidRPr="00F53504">
        <w:t xml:space="preserve"> as an opportunity to start a new career and change their life circumstances.</w:t>
      </w:r>
    </w:p>
    <w:p w14:paraId="1F6B285F" w14:textId="7232E43A" w:rsidR="00103490" w:rsidRPr="00F53504" w:rsidRDefault="00DF3561" w:rsidP="00103490">
      <w:pPr>
        <w:pStyle w:val="Quote"/>
        <w:rPr>
          <w:lang w:val="en-AU"/>
        </w:rPr>
      </w:pPr>
      <w:r w:rsidRPr="00F53504">
        <w:rPr>
          <w:lang w:val="en-AU"/>
        </w:rPr>
        <w:t xml:space="preserve">“It’s good now because you can go up town and you haven’t got dirty garbage around there. </w:t>
      </w:r>
      <w:proofErr w:type="gramStart"/>
      <w:r w:rsidRPr="00F53504">
        <w:rPr>
          <w:lang w:val="en-AU"/>
        </w:rPr>
        <w:t>No-one</w:t>
      </w:r>
      <w:proofErr w:type="gramEnd"/>
      <w:r w:rsidRPr="00F53504">
        <w:rPr>
          <w:lang w:val="en-AU"/>
        </w:rPr>
        <w:t xml:space="preserve"> knows me here and you’re starting fresh. You haven’t brough</w:t>
      </w:r>
      <w:r w:rsidR="0025000B">
        <w:rPr>
          <w:lang w:val="en-AU"/>
        </w:rPr>
        <w:t>t your dirty laundry with you.”</w:t>
      </w:r>
    </w:p>
    <w:p w14:paraId="6CF895F5" w14:textId="77777777" w:rsidR="00DF3561" w:rsidRPr="00F53504" w:rsidRDefault="00DF3561" w:rsidP="00103490">
      <w:pPr>
        <w:pStyle w:val="Quoteattribution"/>
      </w:pPr>
      <w:r w:rsidRPr="00F53504">
        <w:t>Male, 40s, from regional area, to regional area</w:t>
      </w:r>
    </w:p>
    <w:p w14:paraId="179DC2DB" w14:textId="3F8BA134" w:rsidR="00103490" w:rsidRPr="00F53504" w:rsidRDefault="00DF3561" w:rsidP="00103490">
      <w:pPr>
        <w:pStyle w:val="Quote"/>
        <w:rPr>
          <w:lang w:val="en-AU"/>
        </w:rPr>
      </w:pPr>
      <w:r w:rsidRPr="00F53504">
        <w:rPr>
          <w:lang w:val="en-AU"/>
        </w:rPr>
        <w:lastRenderedPageBreak/>
        <w:t>“Well it’s the start of a new career, that’s it</w:t>
      </w:r>
      <w:r w:rsidR="00F65436">
        <w:rPr>
          <w:lang w:val="en-AU"/>
        </w:rPr>
        <w:t>...</w:t>
      </w:r>
      <w:r w:rsidRPr="00F53504">
        <w:rPr>
          <w:lang w:val="en-AU"/>
        </w:rPr>
        <w:t xml:space="preserve"> because I want job security and I’m sick of that now</w:t>
      </w:r>
      <w:r w:rsidR="00F65436">
        <w:rPr>
          <w:lang w:val="en-AU"/>
        </w:rPr>
        <w:t>...</w:t>
      </w:r>
      <w:r w:rsidRPr="00F53504">
        <w:rPr>
          <w:lang w:val="en-AU"/>
        </w:rPr>
        <w:t xml:space="preserve"> I’ve had two bouts with blokes on ice and I said enough for me, it’s enough for anyone.” </w:t>
      </w:r>
    </w:p>
    <w:p w14:paraId="1A48FFF0" w14:textId="77777777" w:rsidR="00DF3561" w:rsidRPr="00F53504" w:rsidRDefault="00DF3561" w:rsidP="00103490">
      <w:pPr>
        <w:pStyle w:val="Quoteattribution"/>
      </w:pPr>
      <w:r w:rsidRPr="00F53504">
        <w:t>Male, 50s, from regional area, to regional area</w:t>
      </w:r>
    </w:p>
    <w:p w14:paraId="7D8F4C63" w14:textId="12E22413" w:rsidR="00103490" w:rsidRPr="00F53504" w:rsidRDefault="00DF3561" w:rsidP="00103490">
      <w:pPr>
        <w:pStyle w:val="Quote"/>
        <w:rPr>
          <w:lang w:val="en-AU"/>
        </w:rPr>
      </w:pPr>
      <w:r w:rsidRPr="00F53504">
        <w:rPr>
          <w:lang w:val="en-AU"/>
        </w:rPr>
        <w:t xml:space="preserve">“It’s a good opportunity to come out here. </w:t>
      </w:r>
      <w:proofErr w:type="gramStart"/>
      <w:r w:rsidRPr="00F53504">
        <w:rPr>
          <w:lang w:val="en-AU"/>
        </w:rPr>
        <w:t>You’ve got</w:t>
      </w:r>
      <w:proofErr w:type="gramEnd"/>
      <w:r w:rsidRPr="00F53504">
        <w:rPr>
          <w:lang w:val="en-AU"/>
        </w:rPr>
        <w:t xml:space="preserve"> to think about your career. If you go back home there’s nothing</w:t>
      </w:r>
      <w:r w:rsidR="00F65436">
        <w:rPr>
          <w:lang w:val="en-AU"/>
        </w:rPr>
        <w:t>...</w:t>
      </w:r>
      <w:r w:rsidRPr="00F53504">
        <w:rPr>
          <w:lang w:val="en-AU"/>
        </w:rPr>
        <w:t xml:space="preserve"> </w:t>
      </w:r>
      <w:proofErr w:type="gramStart"/>
      <w:r w:rsidRPr="00F53504">
        <w:rPr>
          <w:lang w:val="en-AU"/>
        </w:rPr>
        <w:t>It’ll</w:t>
      </w:r>
      <w:proofErr w:type="gramEnd"/>
      <w:r w:rsidRPr="00F53504">
        <w:rPr>
          <w:lang w:val="en-AU"/>
        </w:rPr>
        <w:t xml:space="preserve"> be tough I know that for a fact, but I’m just thinking about my career and what I want. I want to set goals for myself as well because if I do end up staying here I </w:t>
      </w:r>
      <w:proofErr w:type="gramStart"/>
      <w:r w:rsidRPr="00F53504">
        <w:rPr>
          <w:lang w:val="en-AU"/>
        </w:rPr>
        <w:t>won’t</w:t>
      </w:r>
      <w:proofErr w:type="gramEnd"/>
      <w:r w:rsidRPr="00F53504">
        <w:rPr>
          <w:lang w:val="en-AU"/>
        </w:rPr>
        <w:t xml:space="preserve"> have goals. I can’t get to where I want to be.” </w:t>
      </w:r>
    </w:p>
    <w:p w14:paraId="7D7266A0" w14:textId="77777777" w:rsidR="00DF3561" w:rsidRPr="00F53504" w:rsidRDefault="00DF3561" w:rsidP="00103490">
      <w:pPr>
        <w:pStyle w:val="Quoteattribution"/>
      </w:pPr>
      <w:r w:rsidRPr="00F53504">
        <w:t>Female, 20s, from regional area, to regional area</w:t>
      </w:r>
    </w:p>
    <w:p w14:paraId="28D80149" w14:textId="0543E40A" w:rsidR="00C12A4B" w:rsidRPr="00F53504" w:rsidRDefault="00C12A4B" w:rsidP="004716FF">
      <w:r w:rsidRPr="00F53504">
        <w:t xml:space="preserve">These findings </w:t>
      </w:r>
      <w:r w:rsidR="004716FF" w:rsidRPr="00F53504">
        <w:t xml:space="preserve">are consistent with the Productivity Commission’s </w:t>
      </w:r>
      <w:r w:rsidR="004716FF" w:rsidRPr="006053D7">
        <w:rPr>
          <w:i/>
        </w:rPr>
        <w:t>Geographic Labour Mobility</w:t>
      </w:r>
      <w:r w:rsidR="00E22240">
        <w:rPr>
          <w:i/>
        </w:rPr>
        <w:t>,</w:t>
      </w:r>
      <w:r w:rsidR="004716FF" w:rsidRPr="00F53504">
        <w:t xml:space="preserve"> Research Report (2014)</w:t>
      </w:r>
      <w:r w:rsidR="00DB5750">
        <w:t>, which</w:t>
      </w:r>
      <w:r w:rsidR="004716FF" w:rsidRPr="00F53504">
        <w:t xml:space="preserve"> </w:t>
      </w:r>
      <w:r w:rsidRPr="00F53504">
        <w:t xml:space="preserve">found that the reasons given for moving varied depending on the distance moved with work-related reasons the most common for moves over longer </w:t>
      </w:r>
      <w:r w:rsidR="00B27880">
        <w:t xml:space="preserve">rather </w:t>
      </w:r>
      <w:r w:rsidRPr="00F53504">
        <w:t>than shorter distances.</w:t>
      </w:r>
      <w:r w:rsidR="00E846C4">
        <w:rPr>
          <w:rStyle w:val="FootnoteReference"/>
        </w:rPr>
        <w:footnoteReference w:id="21"/>
      </w:r>
    </w:p>
    <w:p w14:paraId="01B61C6C" w14:textId="77777777" w:rsidR="00DF3561" w:rsidRPr="00F53504" w:rsidRDefault="00DF3561" w:rsidP="00103490">
      <w:pPr>
        <w:pStyle w:val="Heading3"/>
      </w:pPr>
      <w:r w:rsidRPr="00F53504">
        <w:t>Family circumstances</w:t>
      </w:r>
    </w:p>
    <w:p w14:paraId="426D18FA" w14:textId="2514DBCB" w:rsidR="00DF3561" w:rsidRPr="00F53504" w:rsidRDefault="00DF3561" w:rsidP="00103490">
      <w:r w:rsidRPr="00F53504">
        <w:t xml:space="preserve">Personal characteristics and family circumstances are also vital factors influencing an individual’s decision to relocate. While for </w:t>
      </w:r>
      <w:r w:rsidR="000E0F0A">
        <w:t>many</w:t>
      </w:r>
      <w:r w:rsidRPr="00F53504">
        <w:t xml:space="preserve"> participants moving away from family and friends was an impediment to participating in </w:t>
      </w:r>
      <w:r w:rsidR="0041378D" w:rsidRPr="00F53504">
        <w:t>RATTUAJ</w:t>
      </w:r>
      <w:r w:rsidRPr="00F53504">
        <w:t xml:space="preserve"> (see section </w:t>
      </w:r>
      <w:r w:rsidR="00103490" w:rsidRPr="00F53504">
        <w:fldChar w:fldCharType="begin"/>
      </w:r>
      <w:r w:rsidR="00103490" w:rsidRPr="00F53504">
        <w:instrText xml:space="preserve"> REF _Ref455478030 \r \h </w:instrText>
      </w:r>
      <w:r w:rsidR="00103490" w:rsidRPr="00F53504">
        <w:fldChar w:fldCharType="separate"/>
      </w:r>
      <w:r w:rsidR="00AA36FE">
        <w:t>3.8.2</w:t>
      </w:r>
      <w:r w:rsidR="00103490" w:rsidRPr="00F53504">
        <w:fldChar w:fldCharType="end"/>
      </w:r>
      <w:r w:rsidRPr="00F53504">
        <w:t xml:space="preserve"> for further discussion), for others it </w:t>
      </w:r>
      <w:proofErr w:type="gramStart"/>
      <w:r w:rsidRPr="00F53504">
        <w:t>was seen</w:t>
      </w:r>
      <w:proofErr w:type="gramEnd"/>
      <w:r w:rsidRPr="00F53504">
        <w:t xml:space="preserve"> as </w:t>
      </w:r>
      <w:r w:rsidR="0031702A" w:rsidRPr="00F53504">
        <w:t>an incentive</w:t>
      </w:r>
      <w:r w:rsidRPr="00F53504">
        <w:t xml:space="preserve">. The following comments reflect </w:t>
      </w:r>
      <w:r w:rsidR="003621ED">
        <w:t xml:space="preserve">these </w:t>
      </w:r>
      <w:r w:rsidRPr="00F53504">
        <w:t>different perspectives.</w:t>
      </w:r>
    </w:p>
    <w:p w14:paraId="4518194E" w14:textId="4CE03B6D" w:rsidR="00103490" w:rsidRPr="00F53504" w:rsidRDefault="00DF3561" w:rsidP="00103490">
      <w:pPr>
        <w:pStyle w:val="Quote"/>
        <w:rPr>
          <w:lang w:val="en-AU"/>
        </w:rPr>
      </w:pPr>
      <w:r w:rsidRPr="00F53504">
        <w:rPr>
          <w:lang w:val="en-AU"/>
        </w:rPr>
        <w:t>“Well, how much working time I had left. You know</w:t>
      </w:r>
      <w:r w:rsidR="00F65436">
        <w:rPr>
          <w:lang w:val="en-AU"/>
        </w:rPr>
        <w:t>...</w:t>
      </w:r>
      <w:r w:rsidRPr="00F53504">
        <w:rPr>
          <w:lang w:val="en-AU"/>
        </w:rPr>
        <w:t>because of my age too, whether I would get another position over there, which I knew I had been trying for a [</w:t>
      </w:r>
      <w:proofErr w:type="gramStart"/>
      <w:r w:rsidRPr="00F53504">
        <w:rPr>
          <w:lang w:val="en-AU"/>
        </w:rPr>
        <w:t>TIME PERIOD</w:t>
      </w:r>
      <w:proofErr w:type="gramEnd"/>
      <w:r w:rsidRPr="00F53504">
        <w:rPr>
          <w:lang w:val="en-AU"/>
        </w:rPr>
        <w:t xml:space="preserve">] to get back into [JOB TYPE]. Yeah. It was just the fact having to leave the family, all my kids and my parents, </w:t>
      </w:r>
      <w:r w:rsidR="002F58A6">
        <w:rPr>
          <w:lang w:val="en-AU"/>
        </w:rPr>
        <w:t>and all the [FAMILY] was hard.”</w:t>
      </w:r>
    </w:p>
    <w:p w14:paraId="488FA924" w14:textId="7E8ACE40" w:rsidR="00DF3561" w:rsidRDefault="00DF3561" w:rsidP="00103490">
      <w:pPr>
        <w:pStyle w:val="Quoteattribution"/>
      </w:pPr>
      <w:r w:rsidRPr="00F53504">
        <w:t>Female, 50s, from regional area, to regional area</w:t>
      </w:r>
    </w:p>
    <w:p w14:paraId="3C7FA32F" w14:textId="36218600" w:rsidR="003621ED" w:rsidRPr="00F53504" w:rsidRDefault="003621ED" w:rsidP="003621ED">
      <w:pPr>
        <w:pStyle w:val="Quote"/>
        <w:rPr>
          <w:lang w:val="en-AU"/>
        </w:rPr>
      </w:pPr>
      <w:r w:rsidRPr="00F53504">
        <w:rPr>
          <w:lang w:val="en-AU"/>
        </w:rPr>
        <w:t xml:space="preserve">“Oh yeah. As I said it’s – oh look I really like being </w:t>
      </w:r>
      <w:r>
        <w:rPr>
          <w:lang w:val="en-AU"/>
        </w:rPr>
        <w:t>a</w:t>
      </w:r>
      <w:r w:rsidRPr="00F53504">
        <w:rPr>
          <w:lang w:val="en-AU"/>
        </w:rPr>
        <w:t xml:space="preserve">way from my family. Sounds horrible. </w:t>
      </w:r>
      <w:proofErr w:type="gramStart"/>
      <w:r w:rsidRPr="00F53504">
        <w:rPr>
          <w:lang w:val="en-AU"/>
        </w:rPr>
        <w:t>I’ve only got</w:t>
      </w:r>
      <w:proofErr w:type="gramEnd"/>
      <w:r w:rsidRPr="00F53504">
        <w:rPr>
          <w:lang w:val="en-AU"/>
        </w:rPr>
        <w:t xml:space="preserve"> [FAMILY] and [FAMILY]</w:t>
      </w:r>
      <w:r>
        <w:rPr>
          <w:lang w:val="en-AU"/>
        </w:rPr>
        <w:t>...</w:t>
      </w:r>
      <w:r w:rsidRPr="00F53504">
        <w:rPr>
          <w:lang w:val="en-AU"/>
        </w:rPr>
        <w:t xml:space="preserve"> Now they have to deal with their own drama </w:t>
      </w:r>
      <w:proofErr w:type="gramStart"/>
      <w:r w:rsidRPr="00F53504">
        <w:rPr>
          <w:lang w:val="en-AU"/>
        </w:rPr>
        <w:t>it’s</w:t>
      </w:r>
      <w:proofErr w:type="gramEnd"/>
      <w:r w:rsidRPr="00F53504">
        <w:rPr>
          <w:lang w:val="en-AU"/>
        </w:rPr>
        <w:t xml:space="preserve"> just really wonderful. I know that sounds really horrible</w:t>
      </w:r>
      <w:r>
        <w:rPr>
          <w:lang w:val="en-AU"/>
        </w:rPr>
        <w:t>...</w:t>
      </w:r>
      <w:r w:rsidR="002F58A6">
        <w:rPr>
          <w:lang w:val="en-AU"/>
        </w:rPr>
        <w:t>”</w:t>
      </w:r>
    </w:p>
    <w:p w14:paraId="07A40F8E" w14:textId="77777777" w:rsidR="003621ED" w:rsidRPr="00F53504" w:rsidRDefault="003621ED" w:rsidP="003621ED">
      <w:pPr>
        <w:pStyle w:val="Quoteattribution"/>
      </w:pPr>
      <w:r w:rsidRPr="00F53504">
        <w:t>Female, 50s, from regional area, to regional area</w:t>
      </w:r>
    </w:p>
    <w:p w14:paraId="4544C3AA" w14:textId="01507C31" w:rsidR="00103490" w:rsidRPr="00F53504" w:rsidRDefault="00DF3561" w:rsidP="00103490">
      <w:pPr>
        <w:pStyle w:val="Quote"/>
        <w:rPr>
          <w:lang w:val="en-AU"/>
        </w:rPr>
      </w:pPr>
      <w:r w:rsidRPr="00F53504">
        <w:rPr>
          <w:lang w:val="en-AU"/>
        </w:rPr>
        <w:t>“Because where I was living, my [FAMILY] was very close and I just [REMOVED</w:t>
      </w:r>
      <w:proofErr w:type="gramStart"/>
      <w:r w:rsidRPr="00F53504">
        <w:rPr>
          <w:lang w:val="en-AU"/>
        </w:rPr>
        <w:t xml:space="preserve">], </w:t>
      </w:r>
      <w:r w:rsidR="00F65436">
        <w:rPr>
          <w:lang w:val="en-AU"/>
        </w:rPr>
        <w:t>...</w:t>
      </w:r>
      <w:r w:rsidRPr="00F53504">
        <w:rPr>
          <w:lang w:val="en-AU"/>
        </w:rPr>
        <w:t>there</w:t>
      </w:r>
      <w:proofErr w:type="gramEnd"/>
      <w:r w:rsidRPr="00F53504">
        <w:rPr>
          <w:lang w:val="en-AU"/>
        </w:rPr>
        <w:t xml:space="preserve"> was a lot of miscommunication, anxiety. I was an emotional wreck and it was just getting too hard to stay there. I just needed to get away from them all</w:t>
      </w:r>
      <w:r w:rsidR="00F65436">
        <w:rPr>
          <w:lang w:val="en-AU"/>
        </w:rPr>
        <w:t>...</w:t>
      </w:r>
      <w:r w:rsidRPr="00F53504">
        <w:rPr>
          <w:lang w:val="en-AU"/>
        </w:rPr>
        <w:t xml:space="preserve"> A clean start. It would have been worth it just to get aw</w:t>
      </w:r>
      <w:r w:rsidR="002F58A6">
        <w:rPr>
          <w:lang w:val="en-AU"/>
        </w:rPr>
        <w:t>ay from all the emotional shit”</w:t>
      </w:r>
    </w:p>
    <w:p w14:paraId="7A132A72" w14:textId="77777777" w:rsidR="00DF3561" w:rsidRPr="00F53504" w:rsidRDefault="00DF3561" w:rsidP="00103490">
      <w:pPr>
        <w:pStyle w:val="Quoteattribution"/>
      </w:pPr>
      <w:r w:rsidRPr="00F53504">
        <w:t>Female, 40s, from regional area, to regional area</w:t>
      </w:r>
    </w:p>
    <w:p w14:paraId="4C504183" w14:textId="4EB4AF60" w:rsidR="00DF3561" w:rsidRPr="00F53504" w:rsidRDefault="003621ED" w:rsidP="00103490">
      <w:r>
        <w:t>W</w:t>
      </w:r>
      <w:r w:rsidR="00DF3561" w:rsidRPr="00F53504">
        <w:t xml:space="preserve">hile work is a deciding factor and family relationships and responsibilities </w:t>
      </w:r>
      <w:r w:rsidR="0031702A" w:rsidRPr="00F53504">
        <w:t xml:space="preserve">can be </w:t>
      </w:r>
      <w:r w:rsidR="00DF3561" w:rsidRPr="00F53504">
        <w:t>major impediments, these factors can often change over time depending on an individual’s circumstances, life stages, and types of job opportunities.</w:t>
      </w:r>
      <w:r w:rsidR="001C52FB">
        <w:t xml:space="preserve"> </w:t>
      </w:r>
      <w:r w:rsidR="00590536" w:rsidRPr="00F53504">
        <w:t xml:space="preserve">This is consistent with findings in the Productivity Commission’s </w:t>
      </w:r>
      <w:r w:rsidR="00590536" w:rsidRPr="00F53504">
        <w:rPr>
          <w:i/>
        </w:rPr>
        <w:t>Geographic Labour Mobility</w:t>
      </w:r>
      <w:r w:rsidR="00590536" w:rsidRPr="00F53504">
        <w:t>, Research Report (2014).</w:t>
      </w:r>
    </w:p>
    <w:p w14:paraId="3DEE2039" w14:textId="77777777" w:rsidR="00DF3561" w:rsidRPr="00F53504" w:rsidRDefault="00DF3561" w:rsidP="00103490">
      <w:pPr>
        <w:pStyle w:val="Heading3"/>
      </w:pPr>
      <w:r w:rsidRPr="00F53504">
        <w:lastRenderedPageBreak/>
        <w:t>Location</w:t>
      </w:r>
    </w:p>
    <w:p w14:paraId="7356F82E" w14:textId="78424ADA" w:rsidR="00DF3561" w:rsidRPr="00F53504" w:rsidRDefault="003621ED" w:rsidP="00103490">
      <w:r>
        <w:t>T</w:t>
      </w:r>
      <w:r w:rsidR="00DF3561" w:rsidRPr="00F53504">
        <w:t xml:space="preserve">he location itself was also a significant </w:t>
      </w:r>
      <w:r w:rsidR="00191521" w:rsidRPr="00F53504">
        <w:t>factor in the decision</w:t>
      </w:r>
      <w:r w:rsidR="00291E8D">
        <w:t>.</w:t>
      </w:r>
    </w:p>
    <w:p w14:paraId="6A7BF5DE" w14:textId="1BCB98D1" w:rsidR="00103490" w:rsidRPr="00F53504" w:rsidRDefault="00DF3561" w:rsidP="00103490">
      <w:pPr>
        <w:pStyle w:val="Quote"/>
        <w:rPr>
          <w:lang w:val="en-AU"/>
        </w:rPr>
      </w:pPr>
      <w:r w:rsidRPr="00F53504">
        <w:rPr>
          <w:lang w:val="en-AU"/>
        </w:rPr>
        <w:t xml:space="preserve">“It’s much quieter. I love the air. </w:t>
      </w:r>
      <w:proofErr w:type="gramStart"/>
      <w:r w:rsidRPr="00F53504">
        <w:rPr>
          <w:lang w:val="en-AU"/>
        </w:rPr>
        <w:t>There’s</w:t>
      </w:r>
      <w:proofErr w:type="gramEnd"/>
      <w:r w:rsidRPr="00F53504">
        <w:rPr>
          <w:lang w:val="en-AU"/>
        </w:rPr>
        <w:t xml:space="preserve"> more things to do personally. More gardening. There’s a lot more stuff that I was able to do for myself and there’s me and my family just living here now and it’s great</w:t>
      </w:r>
      <w:r w:rsidR="00F65436">
        <w:rPr>
          <w:lang w:val="en-AU"/>
        </w:rPr>
        <w:t>...</w:t>
      </w:r>
      <w:proofErr w:type="gramStart"/>
      <w:r w:rsidR="00103490" w:rsidRPr="00F53504">
        <w:rPr>
          <w:lang w:val="en-AU"/>
        </w:rPr>
        <w:t>”</w:t>
      </w:r>
      <w:r w:rsidRPr="00F53504">
        <w:rPr>
          <w:lang w:val="en-AU"/>
        </w:rPr>
        <w:t>.</w:t>
      </w:r>
      <w:proofErr w:type="gramEnd"/>
    </w:p>
    <w:p w14:paraId="30943AEA" w14:textId="77777777" w:rsidR="00DF3561" w:rsidRPr="00F53504" w:rsidRDefault="00DF3561" w:rsidP="00103490">
      <w:pPr>
        <w:pStyle w:val="Quoteattribution"/>
      </w:pPr>
      <w:r w:rsidRPr="00F53504">
        <w:t>Male, 30s, from capital city, to regional area</w:t>
      </w:r>
    </w:p>
    <w:p w14:paraId="41A4E0C0" w14:textId="547C3062" w:rsidR="00103490" w:rsidRPr="00F53504" w:rsidRDefault="00DF3561" w:rsidP="00103490">
      <w:pPr>
        <w:pStyle w:val="Quote"/>
        <w:rPr>
          <w:lang w:val="en-AU"/>
        </w:rPr>
      </w:pPr>
      <w:r w:rsidRPr="00F53504">
        <w:rPr>
          <w:lang w:val="en-AU"/>
        </w:rPr>
        <w:t>“The main thing for me was giving [FAMILY] an opportunity to grow up in a [LOCATION]. To have the option to go to [LOCATION] whenever she wanted to. It’s [LOCATION], I was originally born in [LOCATION]</w:t>
      </w:r>
      <w:r w:rsidR="006F6A62">
        <w:rPr>
          <w:lang w:val="en-AU"/>
        </w:rPr>
        <w:t xml:space="preserve">. </w:t>
      </w:r>
      <w:r w:rsidR="00F65436">
        <w:rPr>
          <w:lang w:val="en-AU"/>
        </w:rPr>
        <w:t>...</w:t>
      </w:r>
      <w:r w:rsidRPr="00F53504">
        <w:rPr>
          <w:lang w:val="en-AU"/>
        </w:rPr>
        <w:t xml:space="preserve">I </w:t>
      </w:r>
      <w:proofErr w:type="gramStart"/>
      <w:r w:rsidRPr="00F53504">
        <w:rPr>
          <w:lang w:val="en-AU"/>
        </w:rPr>
        <w:t>don’t</w:t>
      </w:r>
      <w:proofErr w:type="gramEnd"/>
      <w:r w:rsidRPr="00F53504">
        <w:rPr>
          <w:lang w:val="en-AU"/>
        </w:rPr>
        <w:t xml:space="preserve"> know, all the opportunities that a child can have growing up. And I do have friends in [LOCATION] who’ve said that they grew up here, and they said they’d do it all over aga</w:t>
      </w:r>
      <w:r w:rsidR="00291E8D">
        <w:rPr>
          <w:lang w:val="en-AU"/>
        </w:rPr>
        <w:t>in.”</w:t>
      </w:r>
    </w:p>
    <w:p w14:paraId="6D4EF300" w14:textId="77777777" w:rsidR="00DF3561" w:rsidRPr="00F53504" w:rsidRDefault="00DF3561" w:rsidP="00103490">
      <w:pPr>
        <w:pStyle w:val="Quoteattribution"/>
      </w:pPr>
      <w:r w:rsidRPr="00F53504">
        <w:t>Female, 40s, from capital city, to regional area</w:t>
      </w:r>
    </w:p>
    <w:p w14:paraId="08CD2B42" w14:textId="4CCA4DC7" w:rsidR="00103490" w:rsidRPr="00F53504" w:rsidRDefault="00DF3561" w:rsidP="00103490">
      <w:pPr>
        <w:pStyle w:val="Quote"/>
        <w:rPr>
          <w:lang w:val="en-AU"/>
        </w:rPr>
      </w:pPr>
      <w:r w:rsidRPr="00F53504">
        <w:rPr>
          <w:lang w:val="en-AU"/>
        </w:rPr>
        <w:t xml:space="preserve">“I’d say the location. I </w:t>
      </w:r>
      <w:proofErr w:type="gramStart"/>
      <w:r w:rsidRPr="00F53504">
        <w:rPr>
          <w:lang w:val="en-AU"/>
        </w:rPr>
        <w:t>wouldn’t</w:t>
      </w:r>
      <w:proofErr w:type="gramEnd"/>
      <w:r w:rsidRPr="00F53504">
        <w:rPr>
          <w:lang w:val="en-AU"/>
        </w:rPr>
        <w:t xml:space="preserve"> really care what they put me in for the job. I was just excited to come out here</w:t>
      </w:r>
      <w:r w:rsidR="00F65436">
        <w:rPr>
          <w:lang w:val="en-AU"/>
        </w:rPr>
        <w:t>...</w:t>
      </w:r>
      <w:r w:rsidRPr="00F53504">
        <w:rPr>
          <w:lang w:val="en-AU"/>
        </w:rPr>
        <w:t xml:space="preserve"> </w:t>
      </w:r>
      <w:proofErr w:type="gramStart"/>
      <w:r w:rsidRPr="00F53504">
        <w:rPr>
          <w:lang w:val="en-AU"/>
        </w:rPr>
        <w:t>I’d</w:t>
      </w:r>
      <w:proofErr w:type="gramEnd"/>
      <w:r w:rsidRPr="00F53504">
        <w:rPr>
          <w:lang w:val="en-AU"/>
        </w:rPr>
        <w:t xml:space="preserve"> say the place and [LOCATION]. I was excited to see [LOCATION]. </w:t>
      </w:r>
      <w:proofErr w:type="gramStart"/>
      <w:r w:rsidRPr="00F53504">
        <w:rPr>
          <w:lang w:val="en-AU"/>
        </w:rPr>
        <w:t>And</w:t>
      </w:r>
      <w:proofErr w:type="gramEnd"/>
      <w:r w:rsidRPr="00F53504">
        <w:rPr>
          <w:lang w:val="en-AU"/>
        </w:rPr>
        <w:t xml:space="preserve"> the people out here. </w:t>
      </w:r>
      <w:proofErr w:type="gramStart"/>
      <w:r w:rsidRPr="00F53504">
        <w:rPr>
          <w:lang w:val="en-AU"/>
        </w:rPr>
        <w:t>It’s</w:t>
      </w:r>
      <w:proofErr w:type="gramEnd"/>
      <w:r w:rsidRPr="00F53504">
        <w:rPr>
          <w:lang w:val="en-AU"/>
        </w:rPr>
        <w:t xml:space="preserve"> just so different to what I’m</w:t>
      </w:r>
      <w:r w:rsidR="00291E8D">
        <w:rPr>
          <w:lang w:val="en-AU"/>
        </w:rPr>
        <w:t xml:space="preserve"> used to. So I like different.”</w:t>
      </w:r>
    </w:p>
    <w:p w14:paraId="43CC4F3A" w14:textId="5E264354" w:rsidR="00B51AB9" w:rsidRPr="00F53504" w:rsidRDefault="00DF3561" w:rsidP="00291E8D">
      <w:pPr>
        <w:pStyle w:val="Quoteattribution"/>
      </w:pPr>
      <w:r w:rsidRPr="00F53504">
        <w:t>Female, 20s, from regional area, to regional are</w:t>
      </w:r>
      <w:r w:rsidR="00103490" w:rsidRPr="00F53504">
        <w:t>a</w:t>
      </w:r>
      <w:bookmarkEnd w:id="91"/>
      <w:r w:rsidR="00B51AB9" w:rsidRPr="00F53504">
        <w:br w:type="page"/>
      </w:r>
    </w:p>
    <w:p w14:paraId="100837C5" w14:textId="3B3F9174" w:rsidR="00B51AB9" w:rsidRPr="00F53504" w:rsidRDefault="00B51AB9" w:rsidP="00224A70">
      <w:pPr>
        <w:pStyle w:val="Heading2"/>
      </w:pPr>
      <w:bookmarkStart w:id="92" w:name="_Toc512529326"/>
      <w:r w:rsidRPr="00F53504">
        <w:lastRenderedPageBreak/>
        <w:t xml:space="preserve">What are the </w:t>
      </w:r>
      <w:r w:rsidR="000B6C9F" w:rsidRPr="00F53504">
        <w:t xml:space="preserve">barriers </w:t>
      </w:r>
      <w:r w:rsidR="00C85467" w:rsidRPr="00F53504">
        <w:t xml:space="preserve">to </w:t>
      </w:r>
      <w:r w:rsidRPr="00F53504">
        <w:t>job seekers relocat</w:t>
      </w:r>
      <w:r w:rsidR="00C85467" w:rsidRPr="00F53504">
        <w:t>ing</w:t>
      </w:r>
      <w:r w:rsidRPr="00F53504">
        <w:t xml:space="preserve">? </w:t>
      </w:r>
      <w:r w:rsidR="00224A70" w:rsidRPr="00224A70">
        <w:t xml:space="preserve">Is the potential of a </w:t>
      </w:r>
      <w:proofErr w:type="gramStart"/>
      <w:r w:rsidR="00224A70" w:rsidRPr="00224A70">
        <w:t>12</w:t>
      </w:r>
      <w:r w:rsidR="00224A70">
        <w:t> </w:t>
      </w:r>
      <w:r w:rsidR="00224A70" w:rsidRPr="00224A70">
        <w:t>week</w:t>
      </w:r>
      <w:proofErr w:type="gramEnd"/>
      <w:r w:rsidR="00224A70" w:rsidRPr="00224A70">
        <w:t xml:space="preserve"> income support non-payment period for leaving a job a factor?</w:t>
      </w:r>
      <w:bookmarkEnd w:id="92"/>
    </w:p>
    <w:p w14:paraId="26502FEC" w14:textId="0797720C" w:rsidR="00DF07BA" w:rsidRPr="00F53504" w:rsidRDefault="00766534" w:rsidP="0014305F">
      <w:pPr>
        <w:pStyle w:val="Answerbox"/>
        <w:rPr>
          <w:b/>
        </w:rPr>
      </w:pPr>
      <w:bookmarkStart w:id="93" w:name="_Toc364946114"/>
      <w:r>
        <w:rPr>
          <w:b/>
        </w:rPr>
        <w:t>Potential loss of</w:t>
      </w:r>
      <w:r w:rsidRPr="00F53504">
        <w:rPr>
          <w:b/>
        </w:rPr>
        <w:t xml:space="preserve"> </w:t>
      </w:r>
      <w:r w:rsidR="00DF07BA" w:rsidRPr="00F53504">
        <w:rPr>
          <w:b/>
        </w:rPr>
        <w:t>social support</w:t>
      </w:r>
      <w:r>
        <w:rPr>
          <w:b/>
        </w:rPr>
        <w:t xml:space="preserve"> networks</w:t>
      </w:r>
      <w:r w:rsidR="00DF07BA" w:rsidRPr="00F53504">
        <w:rPr>
          <w:b/>
        </w:rPr>
        <w:t xml:space="preserve">, costs of relocation and a lack of support from providers were the major impediments </w:t>
      </w:r>
      <w:r w:rsidR="00DE6F9D" w:rsidRPr="00F53504">
        <w:rPr>
          <w:b/>
        </w:rPr>
        <w:t xml:space="preserve">that </w:t>
      </w:r>
      <w:r w:rsidR="00DF07BA" w:rsidRPr="00F53504">
        <w:rPr>
          <w:b/>
        </w:rPr>
        <w:t xml:space="preserve">job seekers </w:t>
      </w:r>
      <w:r w:rsidR="00DE6F9D" w:rsidRPr="00F53504">
        <w:rPr>
          <w:b/>
        </w:rPr>
        <w:t xml:space="preserve">identified when considering whether </w:t>
      </w:r>
      <w:r w:rsidR="00DF07BA" w:rsidRPr="00F53504">
        <w:rPr>
          <w:b/>
        </w:rPr>
        <w:t>to relocate</w:t>
      </w:r>
    </w:p>
    <w:p w14:paraId="6D4B42C7" w14:textId="4A53572A" w:rsidR="001E07A7" w:rsidRPr="00F53504" w:rsidRDefault="0014305F" w:rsidP="001E07A7">
      <w:pPr>
        <w:pStyle w:val="Answerboxdotpoints"/>
      </w:pPr>
      <w:r w:rsidRPr="00F53504">
        <w:t xml:space="preserve">Job seekers indicated that an unwillingness to move away from family and friends, costs involved in relocation and a perceived lack of knowledge and support from providers were </w:t>
      </w:r>
      <w:r w:rsidR="003621ED">
        <w:t xml:space="preserve">barriers </w:t>
      </w:r>
      <w:r w:rsidR="007C1CEF">
        <w:t>to their decision to relocate.</w:t>
      </w:r>
    </w:p>
    <w:p w14:paraId="7B4DC885" w14:textId="173282C4" w:rsidR="0014305F" w:rsidRPr="00F53504" w:rsidRDefault="0014305F" w:rsidP="001E07A7">
      <w:pPr>
        <w:pStyle w:val="Answerboxdotpoints"/>
      </w:pPr>
      <w:r w:rsidRPr="00F53504">
        <w:t xml:space="preserve">The </w:t>
      </w:r>
      <w:proofErr w:type="gramStart"/>
      <w:r w:rsidRPr="00F53504">
        <w:t>12 week</w:t>
      </w:r>
      <w:proofErr w:type="gramEnd"/>
      <w:r w:rsidRPr="00F53504">
        <w:t xml:space="preserve"> non-payment period appears to have played a limited role in job seekers’ decis</w:t>
      </w:r>
      <w:r w:rsidR="007C1CEF">
        <w:t>ion to relocate for employment.</w:t>
      </w:r>
    </w:p>
    <w:p w14:paraId="72129CCF" w14:textId="1D8FE132" w:rsidR="0014305F" w:rsidRPr="00F53504" w:rsidRDefault="0014305F" w:rsidP="0014305F">
      <w:r w:rsidRPr="00F53504">
        <w:t xml:space="preserve">In the interviews with job seekers </w:t>
      </w:r>
      <w:r w:rsidR="00766534">
        <w:t>who</w:t>
      </w:r>
      <w:r w:rsidR="00766534" w:rsidRPr="00F53504">
        <w:t xml:space="preserve"> </w:t>
      </w:r>
      <w:r w:rsidRPr="00F53504">
        <w:t xml:space="preserve">had started the process of relocating under the </w:t>
      </w:r>
      <w:r w:rsidR="004F68D9" w:rsidRPr="00F53504">
        <w:t>program</w:t>
      </w:r>
      <w:r w:rsidRPr="00F53504">
        <w:t>:</w:t>
      </w:r>
    </w:p>
    <w:p w14:paraId="4F16B333" w14:textId="7ABC75E8" w:rsidR="0014305F" w:rsidRPr="00F53504" w:rsidRDefault="0014305F" w:rsidP="00C251A5">
      <w:pPr>
        <w:pStyle w:val="ListBullet"/>
      </w:pPr>
      <w:r w:rsidRPr="00F53504">
        <w:t xml:space="preserve">42 out of the 50 initial interviewees went on to relocate under the </w:t>
      </w:r>
      <w:r w:rsidR="004F68D9" w:rsidRPr="00F53504">
        <w:t>program</w:t>
      </w:r>
    </w:p>
    <w:p w14:paraId="34E58B10" w14:textId="3A4CBC30" w:rsidR="0014305F" w:rsidRPr="00F53504" w:rsidRDefault="0014305F" w:rsidP="00C251A5">
      <w:pPr>
        <w:pStyle w:val="ListBullet"/>
      </w:pPr>
      <w:r w:rsidRPr="00F53504">
        <w:t>one job seeker relocated without the financial su</w:t>
      </w:r>
      <w:r w:rsidR="00650A42">
        <w:t>pport available through RATTUAJ</w:t>
      </w:r>
    </w:p>
    <w:p w14:paraId="6514AEFD" w14:textId="77777777" w:rsidR="0014305F" w:rsidRPr="00F53504" w:rsidRDefault="0014305F" w:rsidP="00C251A5">
      <w:pPr>
        <w:pStyle w:val="ListBullet"/>
      </w:pPr>
      <w:proofErr w:type="gramStart"/>
      <w:r w:rsidRPr="00F53504">
        <w:t>seven</w:t>
      </w:r>
      <w:proofErr w:type="gramEnd"/>
      <w:r w:rsidRPr="00F53504">
        <w:t xml:space="preserve"> job seekers either chose not to or became ineligible to relocate through the </w:t>
      </w:r>
      <w:r w:rsidR="004F68D9" w:rsidRPr="00F53504">
        <w:t>program</w:t>
      </w:r>
      <w:r w:rsidRPr="00F53504">
        <w:t>.</w:t>
      </w:r>
    </w:p>
    <w:p w14:paraId="557B04C9" w14:textId="579A469D" w:rsidR="005C2B1F" w:rsidRDefault="0014305F" w:rsidP="003621ED">
      <w:r w:rsidRPr="00F53504">
        <w:t xml:space="preserve">While most job seekers interviewed in the qualitative fieldwork did complete the relocation process, they reported major </w:t>
      </w:r>
      <w:r w:rsidR="003621ED">
        <w:t xml:space="preserve">barriers </w:t>
      </w:r>
      <w:r w:rsidRPr="00F53504">
        <w:t>when making this decision including</w:t>
      </w:r>
      <w:r w:rsidR="003621ED">
        <w:t xml:space="preserve"> </w:t>
      </w:r>
      <w:r w:rsidRPr="00F53504">
        <w:t xml:space="preserve">the loss of their </w:t>
      </w:r>
      <w:r w:rsidR="009D1BC5">
        <w:t xml:space="preserve">social </w:t>
      </w:r>
      <w:r w:rsidRPr="00F53504">
        <w:t>support networks (family and friends)</w:t>
      </w:r>
      <w:r w:rsidR="003621ED">
        <w:t xml:space="preserve"> and </w:t>
      </w:r>
      <w:r w:rsidRPr="00F53504">
        <w:t xml:space="preserve">provider’s lack of understanding about the </w:t>
      </w:r>
      <w:r w:rsidR="004F68D9" w:rsidRPr="00F53504">
        <w:t>program</w:t>
      </w:r>
      <w:r w:rsidRPr="00F53504">
        <w:t xml:space="preserve"> itself</w:t>
      </w:r>
      <w:r w:rsidR="003621ED">
        <w:t>.</w:t>
      </w:r>
    </w:p>
    <w:p w14:paraId="658A195E" w14:textId="0DA8A3F9" w:rsidR="0014305F" w:rsidRPr="00F53504" w:rsidRDefault="005C2B1F" w:rsidP="005C2B1F">
      <w:r>
        <w:t>T</w:t>
      </w:r>
      <w:r w:rsidR="0014305F" w:rsidRPr="00F53504">
        <w:t xml:space="preserve">he possibility of facing a 12 week non-payment period if </w:t>
      </w:r>
      <w:r w:rsidR="00363F18" w:rsidRPr="00F53504">
        <w:t>they chose not</w:t>
      </w:r>
      <w:r w:rsidR="0014305F" w:rsidRPr="00F53504">
        <w:t xml:space="preserve"> to stay in </w:t>
      </w:r>
      <w:r w:rsidR="00363F18" w:rsidRPr="00F53504">
        <w:t>the job</w:t>
      </w:r>
      <w:r w:rsidRPr="005C2B1F">
        <w:t xml:space="preserve"> </w:t>
      </w:r>
      <w:r>
        <w:t xml:space="preserve">was raised but </w:t>
      </w:r>
      <w:r w:rsidRPr="00F53504">
        <w:t>to a lesser degree</w:t>
      </w:r>
      <w:r w:rsidR="007C1CEF">
        <w:t>.</w:t>
      </w:r>
    </w:p>
    <w:p w14:paraId="7DFC15D8" w14:textId="77777777" w:rsidR="0014305F" w:rsidRPr="00F53504" w:rsidRDefault="0014305F" w:rsidP="00435DE3">
      <w:pPr>
        <w:pStyle w:val="Heading3"/>
      </w:pPr>
      <w:r w:rsidRPr="00F53504">
        <w:t>Unwillingness to relocate</w:t>
      </w:r>
    </w:p>
    <w:p w14:paraId="4ADEF27C" w14:textId="30E542E4" w:rsidR="0014305F" w:rsidRPr="00F53504" w:rsidRDefault="0014305F" w:rsidP="0014305F">
      <w:r w:rsidRPr="00F53504">
        <w:t xml:space="preserve">One of the major barriers to the effectiveness of </w:t>
      </w:r>
      <w:r w:rsidR="0041378D" w:rsidRPr="00F53504">
        <w:t>RATTUAJ</w:t>
      </w:r>
      <w:r w:rsidRPr="00F53504">
        <w:t xml:space="preserve"> is job seekers’ </w:t>
      </w:r>
      <w:r w:rsidR="00DC36FD" w:rsidRPr="00F53504">
        <w:t xml:space="preserve">unwillingness to consider </w:t>
      </w:r>
      <w:r w:rsidR="00DE6F9D" w:rsidRPr="00F53504">
        <w:t xml:space="preserve">moving </w:t>
      </w:r>
      <w:r w:rsidRPr="00F53504">
        <w:t xml:space="preserve">for employment. </w:t>
      </w:r>
      <w:r w:rsidR="00603F69">
        <w:t>As detailed by the Productivity Commission report on Geographic Labour Mobility, only a small proportion of the population relocate for work, with very small numbers moving significant distances or interstate. Job seekers do not differ in this regard.</w:t>
      </w:r>
      <w:r w:rsidR="00C42951">
        <w:rPr>
          <w:rStyle w:val="FootnoteReference"/>
        </w:rPr>
        <w:footnoteReference w:id="22"/>
      </w:r>
      <w:r w:rsidR="00603F69">
        <w:t xml:space="preserve"> </w:t>
      </w:r>
      <w:r w:rsidR="00B571D0">
        <w:t>A</w:t>
      </w:r>
      <w:r w:rsidR="005E37BB">
        <w:t xml:space="preserve"> 2016 job seeker</w:t>
      </w:r>
      <w:r w:rsidR="008B52AA" w:rsidRPr="00F53504">
        <w:t xml:space="preserve"> </w:t>
      </w:r>
      <w:r w:rsidRPr="00F53504">
        <w:t xml:space="preserve">survey found that just over half (54 per cent) of the job seekers had not considered moving more than 150 kilometres for employment. Out of the approximately 1500 job seekers surveyed, 32 per cent </w:t>
      </w:r>
      <w:r w:rsidR="00C36B95" w:rsidRPr="00F53504">
        <w:t>had considered relocating and</w:t>
      </w:r>
      <w:r w:rsidRPr="00F53504">
        <w:t xml:space="preserve"> 14 per cent actually had moved 150 kilometres or more for work</w:t>
      </w:r>
      <w:r w:rsidR="00C36B95" w:rsidRPr="00F53504">
        <w:t>. Only</w:t>
      </w:r>
      <w:r w:rsidRPr="00F53504">
        <w:t xml:space="preserve"> 6 per cent had discussed the option of relocation with their provider. </w:t>
      </w:r>
      <w:r w:rsidR="00C36B95" w:rsidRPr="00F53504">
        <w:t>It is worth noting that</w:t>
      </w:r>
      <w:r w:rsidR="00233402" w:rsidRPr="00F53504">
        <w:t xml:space="preserve"> job seekers of all </w:t>
      </w:r>
      <w:r w:rsidR="00CE3B79">
        <w:t>durations</w:t>
      </w:r>
      <w:r w:rsidR="00233402" w:rsidRPr="00F53504">
        <w:t xml:space="preserve"> of unemployment were included in </w:t>
      </w:r>
      <w:r w:rsidR="00CE3B79">
        <w:t>the</w:t>
      </w:r>
      <w:r w:rsidR="00233402" w:rsidRPr="00F53504">
        <w:t xml:space="preserve"> </w:t>
      </w:r>
      <w:r w:rsidR="005E37BB">
        <w:t>2016 job seeker</w:t>
      </w:r>
      <w:r w:rsidR="00233402" w:rsidRPr="00F53504">
        <w:t xml:space="preserve"> survey.</w:t>
      </w:r>
    </w:p>
    <w:p w14:paraId="660951FE" w14:textId="4AF4B2BF" w:rsidR="0014305F" w:rsidRPr="00F53504" w:rsidRDefault="0014305F" w:rsidP="0014305F">
      <w:pPr>
        <w:pStyle w:val="Quote"/>
        <w:rPr>
          <w:lang w:val="en-AU"/>
        </w:rPr>
      </w:pPr>
      <w:r w:rsidRPr="00F53504">
        <w:rPr>
          <w:lang w:val="en-AU"/>
        </w:rPr>
        <w:t>“There needs to be greater understanding that people are uprooting their lives, they’re in strange environments and it is stressful. Moving anywhere is quite stressful because it’s an unknown quantity</w:t>
      </w:r>
      <w:r w:rsidR="00F65436">
        <w:rPr>
          <w:lang w:val="en-AU"/>
        </w:rPr>
        <w:t>...</w:t>
      </w:r>
      <w:r w:rsidRPr="00F53504">
        <w:rPr>
          <w:lang w:val="en-AU"/>
        </w:rPr>
        <w:t>”</w:t>
      </w:r>
    </w:p>
    <w:p w14:paraId="0E9B5A0A" w14:textId="77777777" w:rsidR="0014305F" w:rsidRPr="00F53504" w:rsidRDefault="0014305F" w:rsidP="0014305F">
      <w:pPr>
        <w:pStyle w:val="Quoteattribution"/>
      </w:pPr>
      <w:r w:rsidRPr="00F53504">
        <w:t>Male, 50s, from regional area, to regional area</w:t>
      </w:r>
    </w:p>
    <w:p w14:paraId="78D9E029" w14:textId="48BAF6A4" w:rsidR="0014305F" w:rsidRPr="00F53504" w:rsidRDefault="0014305F" w:rsidP="006B7675">
      <w:r w:rsidRPr="00F53504">
        <w:lastRenderedPageBreak/>
        <w:t xml:space="preserve">The most common reasons that relocation </w:t>
      </w:r>
      <w:proofErr w:type="gramStart"/>
      <w:r w:rsidR="00CD6E5A" w:rsidRPr="00F53504">
        <w:t>was not considered</w:t>
      </w:r>
      <w:proofErr w:type="gramEnd"/>
      <w:r w:rsidR="001C52FB">
        <w:t xml:space="preserve"> </w:t>
      </w:r>
      <w:r w:rsidR="00CD6E5A" w:rsidRPr="00F53504">
        <w:t xml:space="preserve">a viable option </w:t>
      </w:r>
      <w:r w:rsidR="001E129A" w:rsidRPr="00F53504">
        <w:t xml:space="preserve">were </w:t>
      </w:r>
      <w:r w:rsidRPr="00F53504">
        <w:t xml:space="preserve">having </w:t>
      </w:r>
      <w:r w:rsidR="00EF412C" w:rsidRPr="00F53504">
        <w:t>caring responsibilities (31 </w:t>
      </w:r>
      <w:r w:rsidRPr="00F53504">
        <w:t>per cent)</w:t>
      </w:r>
      <w:r w:rsidR="00DC36FD" w:rsidRPr="00F53504">
        <w:t>;</w:t>
      </w:r>
      <w:r w:rsidRPr="00F53504">
        <w:t xml:space="preserve"> not wanting to leave family or friends (18</w:t>
      </w:r>
      <w:r w:rsidR="00CD6E5A" w:rsidRPr="00F53504">
        <w:t>.7</w:t>
      </w:r>
      <w:r w:rsidR="004158F3">
        <w:t> </w:t>
      </w:r>
      <w:r w:rsidRPr="00F53504">
        <w:t>per</w:t>
      </w:r>
      <w:r w:rsidR="004158F3">
        <w:t> </w:t>
      </w:r>
      <w:r w:rsidRPr="00F53504">
        <w:t>cent) or the costs of relocation (1</w:t>
      </w:r>
      <w:r w:rsidR="00CD6E5A" w:rsidRPr="00F53504">
        <w:t>2.4</w:t>
      </w:r>
      <w:r w:rsidR="004158F3">
        <w:t> </w:t>
      </w:r>
      <w:r w:rsidRPr="00F53504">
        <w:t>per</w:t>
      </w:r>
      <w:r w:rsidR="004158F3">
        <w:t> </w:t>
      </w:r>
      <w:r w:rsidRPr="00F53504">
        <w:t>cent) (</w:t>
      </w:r>
      <w:r w:rsidR="006B7675" w:rsidRPr="00F53504">
        <w:fldChar w:fldCharType="begin"/>
      </w:r>
      <w:r w:rsidR="006B7675" w:rsidRPr="00F53504">
        <w:instrText xml:space="preserve"> REF _Ref484506798 \h </w:instrText>
      </w:r>
      <w:r w:rsidR="006B7675" w:rsidRPr="00F53504">
        <w:fldChar w:fldCharType="separate"/>
      </w:r>
      <w:r w:rsidR="00AA36FE" w:rsidRPr="00F53504">
        <w:t xml:space="preserve">Figure </w:t>
      </w:r>
      <w:r w:rsidR="00AA36FE">
        <w:rPr>
          <w:noProof/>
        </w:rPr>
        <w:t>3</w:t>
      </w:r>
      <w:r w:rsidR="00AA36FE">
        <w:t>.</w:t>
      </w:r>
      <w:r w:rsidR="00AA36FE">
        <w:rPr>
          <w:noProof/>
        </w:rPr>
        <w:t>4</w:t>
      </w:r>
      <w:r w:rsidR="006B7675" w:rsidRPr="00F53504">
        <w:fldChar w:fldCharType="end"/>
      </w:r>
      <w:r w:rsidRPr="00F53504">
        <w:t>).</w:t>
      </w:r>
    </w:p>
    <w:p w14:paraId="59797D61" w14:textId="72269BED" w:rsidR="0014305F" w:rsidRPr="00F53504" w:rsidRDefault="00C251A5" w:rsidP="00950C72">
      <w:pPr>
        <w:pStyle w:val="Caption"/>
      </w:pPr>
      <w:bookmarkStart w:id="94" w:name="_Ref484506798"/>
      <w:bookmarkStart w:id="95" w:name="_Ref455395598"/>
      <w:r w:rsidRPr="00F53504">
        <w:t xml:space="preserve">Figure </w:t>
      </w:r>
      <w:r w:rsidR="00AA36FE">
        <w:rPr>
          <w:noProof/>
        </w:rPr>
        <w:fldChar w:fldCharType="begin"/>
      </w:r>
      <w:r w:rsidR="00AA36FE">
        <w:rPr>
          <w:noProof/>
        </w:rPr>
        <w:instrText xml:space="preserve"> STYLEREF 1 \s </w:instrText>
      </w:r>
      <w:r w:rsidR="00AA36FE">
        <w:rPr>
          <w:noProof/>
        </w:rPr>
        <w:fldChar w:fldCharType="separate"/>
      </w:r>
      <w:r w:rsidR="00AA36FE">
        <w:rPr>
          <w:noProof/>
        </w:rPr>
        <w:t>3</w:t>
      </w:r>
      <w:r w:rsidR="00AA36FE">
        <w:rPr>
          <w:noProof/>
        </w:rPr>
        <w:fldChar w:fldCharType="end"/>
      </w:r>
      <w:r w:rsidR="00B31485">
        <w:t>.</w:t>
      </w:r>
      <w:r w:rsidR="00AA36FE">
        <w:rPr>
          <w:noProof/>
        </w:rPr>
        <w:fldChar w:fldCharType="begin"/>
      </w:r>
      <w:r w:rsidR="00AA36FE">
        <w:rPr>
          <w:noProof/>
        </w:rPr>
        <w:instrText xml:space="preserve"> SEQ Figure \* ARABIC \s 1 </w:instrText>
      </w:r>
      <w:r w:rsidR="00AA36FE">
        <w:rPr>
          <w:noProof/>
        </w:rPr>
        <w:fldChar w:fldCharType="separate"/>
      </w:r>
      <w:r w:rsidR="00AA36FE">
        <w:rPr>
          <w:noProof/>
        </w:rPr>
        <w:t>4</w:t>
      </w:r>
      <w:r w:rsidR="00AA36FE">
        <w:rPr>
          <w:noProof/>
        </w:rPr>
        <w:fldChar w:fldCharType="end"/>
      </w:r>
      <w:bookmarkEnd w:id="94"/>
      <w:r w:rsidRPr="00F53504">
        <w:t xml:space="preserve">: </w:t>
      </w:r>
      <w:r w:rsidR="00BA024A">
        <w:t>Main reason</w:t>
      </w:r>
      <w:r w:rsidR="00BA024A" w:rsidRPr="00F53504">
        <w:t xml:space="preserve"> </w:t>
      </w:r>
      <w:r w:rsidRPr="00F53504">
        <w:t>job seekers have not considered moving to another location to take up a job</w:t>
      </w:r>
      <w:r w:rsidRPr="00F53504">
        <w:rPr>
          <w:noProof/>
          <w:color w:val="FFFFFF" w:themeColor="background1"/>
          <w:lang w:eastAsia="en-AU"/>
        </w:rPr>
        <w:t xml:space="preserve"> </w:t>
      </w:r>
      <w:r w:rsidR="00EF412C" w:rsidRPr="00F53504">
        <w:rPr>
          <w:noProof/>
          <w:color w:val="FFFFFF" w:themeColor="background1"/>
          <w:lang w:eastAsia="en-AU"/>
        </w:rPr>
        <w:drawing>
          <wp:inline distT="0" distB="0" distL="0" distR="0" wp14:anchorId="14235229" wp14:editId="7421397C">
            <wp:extent cx="5968365" cy="2731135"/>
            <wp:effectExtent l="0" t="0" r="0" b="0"/>
            <wp:docPr id="16" name="Picture 16" descr="Bar chart. &#10;Table of percentages showing reason moving to another location to take up a job was not considered:&#10;&#10;Caring responsibilities / family commitments  29.6. &#10;Don’t want to leave family and friends 18.7. &#10;Anticipated cost of relocating / too expensive  12.4. &#10;Have not thought to look for work outside my local area 6.5. &#10;Transport issues 6.1. &#10;Health issues 5.1. &#10;I like it here / I don’t want to move 4.7. &#10;No job offered in other area 2.8. &#10;Own my home 2.2. &#10;Other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365" cy="2731135"/>
                    </a:xfrm>
                    <a:prstGeom prst="rect">
                      <a:avLst/>
                    </a:prstGeom>
                    <a:noFill/>
                  </pic:spPr>
                </pic:pic>
              </a:graphicData>
            </a:graphic>
          </wp:inline>
        </w:drawing>
      </w:r>
      <w:bookmarkEnd w:id="95"/>
    </w:p>
    <w:p w14:paraId="24CBCF14" w14:textId="77777777" w:rsidR="00C251A5" w:rsidRPr="00F53504" w:rsidRDefault="00C251A5" w:rsidP="008B1A0F">
      <w:pPr>
        <w:pStyle w:val="Source"/>
      </w:pPr>
      <w:r w:rsidRPr="00F53504">
        <w:rPr>
          <w:b/>
        </w:rPr>
        <w:t>Note:</w:t>
      </w:r>
      <w:r w:rsidRPr="00F53504">
        <w:t xml:space="preserve"> n=507</w:t>
      </w:r>
    </w:p>
    <w:p w14:paraId="39D3E7C4" w14:textId="0961D0CE" w:rsidR="0014305F" w:rsidRPr="00F53504" w:rsidRDefault="00EF412C" w:rsidP="008B1A0F">
      <w:pPr>
        <w:pStyle w:val="Source"/>
      </w:pPr>
      <w:r w:rsidRPr="00F53504">
        <w:rPr>
          <w:b/>
        </w:rPr>
        <w:t>Source:</w:t>
      </w:r>
      <w:r w:rsidRPr="00F53504">
        <w:t xml:space="preserve"> </w:t>
      </w:r>
      <w:r w:rsidR="00FF0F5B">
        <w:t>2016 job seeker</w:t>
      </w:r>
      <w:r w:rsidR="00222988">
        <w:t xml:space="preserve"> survey</w:t>
      </w:r>
    </w:p>
    <w:p w14:paraId="116F1835" w14:textId="6FC33452" w:rsidR="0014305F" w:rsidRPr="00F53504" w:rsidRDefault="0014305F" w:rsidP="00EF412C">
      <w:pPr>
        <w:pStyle w:val="Heading3"/>
      </w:pPr>
      <w:bookmarkStart w:id="96" w:name="_Ref455478030"/>
      <w:r w:rsidRPr="00F53504">
        <w:t xml:space="preserve">Loss of </w:t>
      </w:r>
      <w:r w:rsidR="009556F0">
        <w:t xml:space="preserve">social </w:t>
      </w:r>
      <w:r w:rsidRPr="00F53504">
        <w:t>support networks</w:t>
      </w:r>
      <w:bookmarkEnd w:id="96"/>
    </w:p>
    <w:p w14:paraId="6E006019" w14:textId="614A8C94" w:rsidR="00E17873" w:rsidRPr="00F53504" w:rsidRDefault="007D2EB8" w:rsidP="00EF412C">
      <w:r>
        <w:t xml:space="preserve">Many people are </w:t>
      </w:r>
      <w:r w:rsidR="0014305F" w:rsidRPr="00F53504">
        <w:t>unwilling to move away from family and friends.</w:t>
      </w:r>
      <w:r>
        <w:t xml:space="preserve"> This also applies to job seekers.</w:t>
      </w:r>
      <w:r w:rsidR="0014305F" w:rsidRPr="00F53504">
        <w:t xml:space="preserve"> In </w:t>
      </w:r>
      <w:r w:rsidR="00B17EB7">
        <w:t>a</w:t>
      </w:r>
      <w:r w:rsidR="0014305F" w:rsidRPr="00F53504">
        <w:t xml:space="preserve"> 201</w:t>
      </w:r>
      <w:r w:rsidR="00576608" w:rsidRPr="00F53504">
        <w:t>6</w:t>
      </w:r>
      <w:r w:rsidR="0014305F" w:rsidRPr="00F53504">
        <w:t xml:space="preserve"> </w:t>
      </w:r>
      <w:r w:rsidR="00B17EB7">
        <w:t>p</w:t>
      </w:r>
      <w:r w:rsidR="0014305F" w:rsidRPr="00F53504">
        <w:t>rovider</w:t>
      </w:r>
      <w:r w:rsidR="00B17EB7">
        <w:t xml:space="preserve"> survey</w:t>
      </w:r>
      <w:r w:rsidR="0014305F" w:rsidRPr="00F53504">
        <w:t xml:space="preserve">, </w:t>
      </w:r>
      <w:r w:rsidR="00576608" w:rsidRPr="00F53504">
        <w:t xml:space="preserve">the most common reason </w:t>
      </w:r>
      <w:r w:rsidR="00945181">
        <w:t>providers gave</w:t>
      </w:r>
      <w:r w:rsidR="00945181" w:rsidRPr="00F53504">
        <w:t xml:space="preserve"> </w:t>
      </w:r>
      <w:r w:rsidR="00576608" w:rsidRPr="00F53504">
        <w:t xml:space="preserve">for why a job seeker would not use </w:t>
      </w:r>
      <w:r w:rsidR="0041378D" w:rsidRPr="00F53504">
        <w:t>RATTUAJ</w:t>
      </w:r>
      <w:r w:rsidR="00060805">
        <w:t xml:space="preserve"> was ‘Family Reasons’ at 37 per </w:t>
      </w:r>
      <w:r w:rsidR="00576608" w:rsidRPr="00F53504">
        <w:t xml:space="preserve">cent of respondents. </w:t>
      </w:r>
      <w:r w:rsidR="0014305F" w:rsidRPr="00F53504">
        <w:t xml:space="preserve">Similarly, </w:t>
      </w:r>
      <w:r w:rsidR="00E17873" w:rsidRPr="00F53504">
        <w:t>44</w:t>
      </w:r>
      <w:r w:rsidR="00060805">
        <w:t> </w:t>
      </w:r>
      <w:r w:rsidR="00E17873" w:rsidRPr="00F53504">
        <w:t>per</w:t>
      </w:r>
      <w:r w:rsidR="00060805">
        <w:t> </w:t>
      </w:r>
      <w:r w:rsidR="00DF7E91" w:rsidRPr="00F53504">
        <w:t xml:space="preserve">cent </w:t>
      </w:r>
      <w:r w:rsidR="00436361">
        <w:t xml:space="preserve">of surveyed providers </w:t>
      </w:r>
      <w:r w:rsidR="00DF7E91" w:rsidRPr="00F53504">
        <w:t>said that b</w:t>
      </w:r>
      <w:r w:rsidR="00E17873" w:rsidRPr="00F53504">
        <w:t>eing away from family/</w:t>
      </w:r>
      <w:r w:rsidR="00DF7E91" w:rsidRPr="00F53504">
        <w:t>friends was</w:t>
      </w:r>
      <w:r w:rsidR="00E17873" w:rsidRPr="00F53504">
        <w:t xml:space="preserve"> the main challenge facing job seekers when they relocate. </w:t>
      </w:r>
      <w:proofErr w:type="gramStart"/>
      <w:r w:rsidR="00E17873" w:rsidRPr="00F53504">
        <w:t>These sentiments are echoed by job seekers themselves</w:t>
      </w:r>
      <w:proofErr w:type="gramEnd"/>
      <w:r w:rsidR="00E17873" w:rsidRPr="00F53504">
        <w:t>. Thirty-eight</w:t>
      </w:r>
      <w:r w:rsidR="0014305F" w:rsidRPr="00F53504">
        <w:t xml:space="preserve"> per cent of job seekers identified the loss of social support networks caused by relocation </w:t>
      </w:r>
      <w:r w:rsidR="00E17873" w:rsidRPr="00F53504">
        <w:t>as</w:t>
      </w:r>
      <w:r w:rsidR="0014305F" w:rsidRPr="00F53504">
        <w:t xml:space="preserve"> the primary challenge of relocation</w:t>
      </w:r>
      <w:r w:rsidR="00E17873" w:rsidRPr="00F53504">
        <w:t xml:space="preserve"> in </w:t>
      </w:r>
      <w:r w:rsidR="00B34194">
        <w:t>a</w:t>
      </w:r>
      <w:r w:rsidR="00B34194" w:rsidRPr="00F53504">
        <w:t xml:space="preserve"> </w:t>
      </w:r>
      <w:r w:rsidR="005561F6">
        <w:t xml:space="preserve">2016 </w:t>
      </w:r>
      <w:r w:rsidR="00B17EB7">
        <w:t>job seeker</w:t>
      </w:r>
      <w:r w:rsidR="00233402" w:rsidRPr="00F53504">
        <w:t xml:space="preserve"> survey</w:t>
      </w:r>
      <w:r w:rsidR="00060805">
        <w:t>.</w:t>
      </w:r>
    </w:p>
    <w:p w14:paraId="1F739DCA" w14:textId="62FFCD31" w:rsidR="0014305F" w:rsidRPr="00F53504" w:rsidRDefault="00907747" w:rsidP="00EF412C">
      <w:r w:rsidRPr="00F53504">
        <w:t>I</w:t>
      </w:r>
      <w:r w:rsidR="0014305F" w:rsidRPr="00F53504">
        <w:t xml:space="preserve">nterviews with job seekers entering into relocation agreements </w:t>
      </w:r>
      <w:r w:rsidR="00CD6E5A" w:rsidRPr="00F53504">
        <w:t xml:space="preserve">and with providers </w:t>
      </w:r>
      <w:r w:rsidR="0014305F" w:rsidRPr="00F53504">
        <w:t>indicated that separation from family and friends was a significant iss</w:t>
      </w:r>
      <w:r w:rsidR="00060805">
        <w:t>ue when considering relocation.</w:t>
      </w:r>
    </w:p>
    <w:p w14:paraId="317907DB" w14:textId="6F822327" w:rsidR="0014305F" w:rsidRPr="00F53504" w:rsidRDefault="0014305F" w:rsidP="00EF412C">
      <w:pPr>
        <w:pStyle w:val="Quote"/>
        <w:rPr>
          <w:lang w:val="en-AU"/>
        </w:rPr>
      </w:pPr>
      <w:r w:rsidRPr="00F53504">
        <w:rPr>
          <w:lang w:val="en-AU"/>
        </w:rPr>
        <w:t>“Well for me, I’m by myself but I have [family] so I had to discuss [relocating] with them</w:t>
      </w:r>
      <w:r w:rsidR="00F65436">
        <w:rPr>
          <w:lang w:val="en-AU"/>
        </w:rPr>
        <w:t>...</w:t>
      </w:r>
      <w:r w:rsidRPr="00F53504">
        <w:rPr>
          <w:lang w:val="en-AU"/>
        </w:rPr>
        <w:t>because I have a f</w:t>
      </w:r>
      <w:r w:rsidR="00060805">
        <w:rPr>
          <w:lang w:val="en-AU"/>
        </w:rPr>
        <w:t>air bit to do with my [family].</w:t>
      </w:r>
    </w:p>
    <w:p w14:paraId="0B2F1C40" w14:textId="77777777" w:rsidR="0014305F" w:rsidRPr="00F53504" w:rsidRDefault="0014305F" w:rsidP="00EF412C">
      <w:pPr>
        <w:pStyle w:val="Quoteattribution"/>
      </w:pPr>
      <w:r w:rsidRPr="00F53504">
        <w:t>Female, 50s, from regional area, to regional area</w:t>
      </w:r>
    </w:p>
    <w:p w14:paraId="295B85DD" w14:textId="77777777" w:rsidR="0014305F" w:rsidRPr="00F53504" w:rsidRDefault="0014305F" w:rsidP="00EF412C">
      <w:pPr>
        <w:pStyle w:val="Quote"/>
        <w:rPr>
          <w:lang w:val="en-AU"/>
        </w:rPr>
      </w:pPr>
      <w:r w:rsidRPr="00F53504">
        <w:rPr>
          <w:lang w:val="en-AU"/>
        </w:rPr>
        <w:t xml:space="preserve">“I think it was both easy and hard [when deciding to relocate]. Easy in as much as it was a job. Hard leaving the </w:t>
      </w:r>
      <w:proofErr w:type="gramStart"/>
      <w:r w:rsidRPr="00F53504">
        <w:rPr>
          <w:lang w:val="en-AU"/>
        </w:rPr>
        <w:t>family, [that]</w:t>
      </w:r>
      <w:proofErr w:type="gramEnd"/>
      <w:r w:rsidRPr="00F53504">
        <w:rPr>
          <w:lang w:val="en-AU"/>
        </w:rPr>
        <w:t xml:space="preserve"> was not something I wanted to do.”</w:t>
      </w:r>
    </w:p>
    <w:p w14:paraId="372B351F" w14:textId="77777777" w:rsidR="0014305F" w:rsidRPr="00F53504" w:rsidRDefault="0014305F" w:rsidP="00EF412C">
      <w:pPr>
        <w:pStyle w:val="Quoteattribution"/>
      </w:pPr>
      <w:r w:rsidRPr="00F53504">
        <w:t>Male, 60s, from regional area, to regional area</w:t>
      </w:r>
    </w:p>
    <w:p w14:paraId="0FA1A4D5" w14:textId="147DC0E4" w:rsidR="0014305F" w:rsidRPr="00F53504" w:rsidRDefault="0014305F" w:rsidP="00EF412C">
      <w:pPr>
        <w:pStyle w:val="Quote"/>
        <w:rPr>
          <w:lang w:val="en-AU"/>
        </w:rPr>
      </w:pPr>
      <w:r w:rsidRPr="00F53504">
        <w:rPr>
          <w:lang w:val="en-AU"/>
        </w:rPr>
        <w:t>“I was keen to move because of this job, but I was a bit concerned about leaving my family</w:t>
      </w:r>
      <w:r w:rsidR="00F65436">
        <w:rPr>
          <w:lang w:val="en-AU"/>
        </w:rPr>
        <w:t>...</w:t>
      </w:r>
      <w:r w:rsidRPr="00F53504">
        <w:rPr>
          <w:lang w:val="en-AU"/>
        </w:rPr>
        <w:t>It was just the fact having to leave the family, all my kids and my parents.”</w:t>
      </w:r>
    </w:p>
    <w:p w14:paraId="473D2631" w14:textId="77777777" w:rsidR="0014305F" w:rsidRPr="00F53504" w:rsidRDefault="0014305F" w:rsidP="00EF412C">
      <w:pPr>
        <w:pStyle w:val="Quoteattribution"/>
      </w:pPr>
      <w:r w:rsidRPr="00F53504">
        <w:t>Female, 50s, from regional area, to regional area</w:t>
      </w:r>
    </w:p>
    <w:p w14:paraId="0FEF0317" w14:textId="4468DF09" w:rsidR="0014305F" w:rsidRPr="00F53504" w:rsidRDefault="0014305F" w:rsidP="00EF412C">
      <w:pPr>
        <w:pStyle w:val="Quote"/>
        <w:rPr>
          <w:lang w:val="en-AU"/>
        </w:rPr>
      </w:pPr>
      <w:r w:rsidRPr="00F53504">
        <w:rPr>
          <w:lang w:val="en-AU"/>
        </w:rPr>
        <w:lastRenderedPageBreak/>
        <w:t>“Primarily they don’t want to move away from family is the main one that they give [as the reason for not considering relocation more closely] but I think there’s probably a fear factor of actually getting out of the c</w:t>
      </w:r>
      <w:r w:rsidR="00060805">
        <w:rPr>
          <w:lang w:val="en-AU"/>
        </w:rPr>
        <w:t>omfort zone is the reason why.”</w:t>
      </w:r>
    </w:p>
    <w:p w14:paraId="5F56424D" w14:textId="77777777" w:rsidR="0014305F" w:rsidRPr="00F53504" w:rsidRDefault="0014305F" w:rsidP="00EF412C">
      <w:pPr>
        <w:pStyle w:val="Quoteattribution"/>
      </w:pPr>
      <w:r w:rsidRPr="00F53504">
        <w:t xml:space="preserve">Provider, </w:t>
      </w:r>
      <w:r w:rsidR="00A73578" w:rsidRPr="00F53504">
        <w:t>regional area</w:t>
      </w:r>
      <w:r w:rsidR="00CD549C" w:rsidRPr="00F53504">
        <w:t xml:space="preserve">, </w:t>
      </w:r>
      <w:r w:rsidR="00907747" w:rsidRPr="00F53504">
        <w:t>in-depth interview</w:t>
      </w:r>
    </w:p>
    <w:p w14:paraId="0B3A5F9D" w14:textId="77777777" w:rsidR="0014305F" w:rsidRPr="00F53504" w:rsidRDefault="0014305F" w:rsidP="00EF412C">
      <w:pPr>
        <w:pStyle w:val="Heading3"/>
      </w:pPr>
      <w:r w:rsidRPr="00F53504">
        <w:t>Costs of Relocation</w:t>
      </w:r>
    </w:p>
    <w:p w14:paraId="5972C321" w14:textId="23F35079" w:rsidR="0014305F" w:rsidRPr="00F53504" w:rsidRDefault="0014305F" w:rsidP="00EF412C">
      <w:r w:rsidRPr="00F53504">
        <w:t xml:space="preserve">Many participants interviewed stated that they could not have afforded to relocate for employment without the financial assistance provided through </w:t>
      </w:r>
      <w:r w:rsidR="0041378D" w:rsidRPr="00F53504">
        <w:t>RATTUAJ</w:t>
      </w:r>
      <w:r w:rsidR="00060805">
        <w:t>.</w:t>
      </w:r>
    </w:p>
    <w:p w14:paraId="22B4B290" w14:textId="77777777" w:rsidR="0014305F" w:rsidRPr="00F53504" w:rsidRDefault="0014305F" w:rsidP="00EF412C">
      <w:pPr>
        <w:pStyle w:val="Quote"/>
        <w:rPr>
          <w:lang w:val="en-AU"/>
        </w:rPr>
      </w:pPr>
      <w:r w:rsidRPr="00F53504">
        <w:rPr>
          <w:lang w:val="en-AU"/>
        </w:rPr>
        <w:t>“Without [the relocation assistance</w:t>
      </w:r>
      <w:r w:rsidR="00382EE3">
        <w:rPr>
          <w:lang w:val="en-AU"/>
        </w:rPr>
        <w:t>]</w:t>
      </w:r>
      <w:r w:rsidRPr="00F53504">
        <w:rPr>
          <w:lang w:val="en-AU"/>
        </w:rPr>
        <w:t xml:space="preserve"> I wouldn’t have moved out there, just because like I hadn’t been working and like without that money I wouldn’t have been able to drive out there in the first place, or eat while I was out there, until I got paid.”</w:t>
      </w:r>
    </w:p>
    <w:p w14:paraId="09331588" w14:textId="77777777" w:rsidR="0014305F" w:rsidRPr="00F53504" w:rsidRDefault="0014305F" w:rsidP="00EF412C">
      <w:pPr>
        <w:pStyle w:val="Quoteattribution"/>
      </w:pPr>
      <w:r w:rsidRPr="00F53504">
        <w:t>Female, 20s, from regional area, to regional area</w:t>
      </w:r>
    </w:p>
    <w:p w14:paraId="07CDC65F" w14:textId="77777777" w:rsidR="0014305F" w:rsidRPr="00F53504" w:rsidRDefault="0014305F" w:rsidP="00EF412C">
      <w:r w:rsidRPr="00F53504">
        <w:t xml:space="preserve">For many participants, the financial assistance allowed them to overcome a major impediment when making decisions about relocating for employment. This means that the </w:t>
      </w:r>
      <w:r w:rsidR="004F68D9" w:rsidRPr="00F53504">
        <w:t>program</w:t>
      </w:r>
      <w:r w:rsidRPr="00F53504">
        <w:t xml:space="preserve"> is meeting its aim of supporting relocation for these participants.</w:t>
      </w:r>
    </w:p>
    <w:p w14:paraId="7C3FD452" w14:textId="77777777" w:rsidR="0014305F" w:rsidRPr="00F53504" w:rsidRDefault="0014305F" w:rsidP="00EF412C">
      <w:pPr>
        <w:pStyle w:val="Quote"/>
        <w:rPr>
          <w:lang w:val="en-AU"/>
        </w:rPr>
      </w:pPr>
      <w:r w:rsidRPr="00F53504">
        <w:rPr>
          <w:lang w:val="en-AU"/>
        </w:rPr>
        <w:t>“Like I said, I just didn’t have that kind of money upfront, so that [relocation assistance] made a massive difference</w:t>
      </w:r>
      <w:r w:rsidR="00CD6E5A" w:rsidRPr="00F53504">
        <w:rPr>
          <w:lang w:val="en-AU"/>
        </w:rPr>
        <w:t>.</w:t>
      </w:r>
      <w:r w:rsidRPr="00F53504">
        <w:rPr>
          <w:lang w:val="en-AU"/>
        </w:rPr>
        <w:t>”</w:t>
      </w:r>
    </w:p>
    <w:p w14:paraId="37C13544" w14:textId="77777777" w:rsidR="0014305F" w:rsidRPr="00F53504" w:rsidRDefault="0014305F" w:rsidP="00EF412C">
      <w:pPr>
        <w:pStyle w:val="Quoteattribution"/>
      </w:pPr>
      <w:r w:rsidRPr="00F53504">
        <w:t>Female, 20s, from capital city, to capital city</w:t>
      </w:r>
    </w:p>
    <w:p w14:paraId="0A2545B4" w14:textId="77777777" w:rsidR="0014305F" w:rsidRPr="00F53504" w:rsidRDefault="0014305F" w:rsidP="00EF412C">
      <w:pPr>
        <w:pStyle w:val="Quote"/>
        <w:rPr>
          <w:lang w:val="en-AU"/>
        </w:rPr>
      </w:pPr>
      <w:r w:rsidRPr="00F53504">
        <w:rPr>
          <w:lang w:val="en-AU"/>
        </w:rPr>
        <w:t>“The ability to move. I would not have been able to move my furniture. My life, I wouldn’t have been able to pick it up and move it, I wouldn’t have been able to afford that</w:t>
      </w:r>
      <w:r w:rsidR="00CD6E5A" w:rsidRPr="00F53504">
        <w:rPr>
          <w:lang w:val="en-AU"/>
        </w:rPr>
        <w:t>.</w:t>
      </w:r>
      <w:r w:rsidRPr="00F53504">
        <w:rPr>
          <w:lang w:val="en-AU"/>
        </w:rPr>
        <w:t>”</w:t>
      </w:r>
    </w:p>
    <w:p w14:paraId="52EFAF41" w14:textId="77777777" w:rsidR="0014305F" w:rsidRPr="00F53504" w:rsidRDefault="0014305F" w:rsidP="00EF412C">
      <w:pPr>
        <w:pStyle w:val="Quoteattribution"/>
      </w:pPr>
      <w:r w:rsidRPr="00F53504">
        <w:t>Female, 20s, from capital city, to regional area</w:t>
      </w:r>
    </w:p>
    <w:p w14:paraId="5023388A" w14:textId="23A64E70" w:rsidR="0014305F" w:rsidRPr="00F53504" w:rsidRDefault="003B2848" w:rsidP="00EF412C">
      <w:pPr>
        <w:pStyle w:val="Quote"/>
        <w:rPr>
          <w:lang w:val="en-AU"/>
        </w:rPr>
      </w:pPr>
      <w:r>
        <w:rPr>
          <w:lang w:val="en-AU"/>
        </w:rPr>
        <w:t>“Majority [of job seekers] c</w:t>
      </w:r>
      <w:r w:rsidR="0014305F" w:rsidRPr="00F53504">
        <w:rPr>
          <w:lang w:val="en-AU"/>
        </w:rPr>
        <w:t xml:space="preserve">ouldn’t afford to relocate with moving their entire households. </w:t>
      </w:r>
      <w:proofErr w:type="gramStart"/>
      <w:r w:rsidR="0014305F" w:rsidRPr="00F53504">
        <w:rPr>
          <w:lang w:val="en-AU"/>
        </w:rPr>
        <w:t>Like</w:t>
      </w:r>
      <w:proofErr w:type="gramEnd"/>
      <w:r w:rsidR="0014305F" w:rsidRPr="00F53504">
        <w:rPr>
          <w:lang w:val="en-AU"/>
        </w:rPr>
        <w:t xml:space="preserve"> I said they’re generally people who’ve got minimal finances to tap into. I have had clients that have potentially, ‘if you don’t help me I’ll have to borrow this sort of dollars to get out of here because I’m determined I’m going to go’. Some of them just go, ‘well if you’re not going to assist I can’t go’. So yeah but majority, yeah, if there wasn’t the funding they’d be still sitting here.”</w:t>
      </w:r>
    </w:p>
    <w:p w14:paraId="723CDD7F" w14:textId="77777777" w:rsidR="0014305F" w:rsidRPr="00F53504" w:rsidRDefault="0014305F" w:rsidP="00EF412C">
      <w:pPr>
        <w:pStyle w:val="Quoteattribution"/>
      </w:pPr>
      <w:r w:rsidRPr="00F53504">
        <w:t xml:space="preserve">Provider, </w:t>
      </w:r>
      <w:r w:rsidR="00A73578" w:rsidRPr="00F53504">
        <w:t>regional area</w:t>
      </w:r>
      <w:r w:rsidR="00CD549C" w:rsidRPr="00F53504">
        <w:t xml:space="preserve">, </w:t>
      </w:r>
      <w:r w:rsidR="00907747" w:rsidRPr="00F53504">
        <w:t>in-depth interview</w:t>
      </w:r>
    </w:p>
    <w:p w14:paraId="240A4966" w14:textId="77777777" w:rsidR="0014305F" w:rsidRPr="00F53504" w:rsidRDefault="0014305F" w:rsidP="00EF412C">
      <w:r w:rsidRPr="00F53504">
        <w:t xml:space="preserve">Some participants indicated that they would have found a way to relocate even if financial assistance was not available. For example, participants reported they would have borrowed money from family or friends or taken on debt in order to fund their move if assistance through RATTUAJ was not available. Additionally, a few job seekers either relocated without assistance or did not complete relocation. This indicates that there is a </w:t>
      </w:r>
      <w:r w:rsidR="00B265CE" w:rsidRPr="00F53504">
        <w:t xml:space="preserve">small </w:t>
      </w:r>
      <w:r w:rsidRPr="00F53504">
        <w:t>level of deadweight, although having the funding available may have made it considerably easier for a job seeker to relocate, and may have improved the success of ongoing employment, due to lower stress.</w:t>
      </w:r>
    </w:p>
    <w:p w14:paraId="39AE9610" w14:textId="7C68ED28" w:rsidR="0014305F" w:rsidRPr="00F53504" w:rsidRDefault="0014305F" w:rsidP="00EF412C">
      <w:pPr>
        <w:pStyle w:val="Quote"/>
        <w:rPr>
          <w:lang w:val="en-AU"/>
        </w:rPr>
      </w:pPr>
      <w:r w:rsidRPr="00F53504">
        <w:rPr>
          <w:lang w:val="en-AU"/>
        </w:rPr>
        <w:t>“We could have [relocated] but we would have been eating bread and dripping until our first pay day</w:t>
      </w:r>
      <w:r w:rsidR="00F65436">
        <w:rPr>
          <w:lang w:val="en-AU"/>
        </w:rPr>
        <w:t>...</w:t>
      </w:r>
      <w:r w:rsidRPr="00F53504">
        <w:rPr>
          <w:lang w:val="en-AU"/>
        </w:rPr>
        <w:t>not many people do but we had the money to get here and set up but this just made it a little bit better.”</w:t>
      </w:r>
    </w:p>
    <w:p w14:paraId="79BFACA4" w14:textId="77777777" w:rsidR="0014305F" w:rsidRPr="00F53504" w:rsidRDefault="0014305F" w:rsidP="00EF412C">
      <w:pPr>
        <w:pStyle w:val="Quoteattribution"/>
      </w:pPr>
      <w:r w:rsidRPr="00F53504">
        <w:t>Male, 60s, from regional area, to regional area</w:t>
      </w:r>
    </w:p>
    <w:p w14:paraId="494EFEB2" w14:textId="77777777" w:rsidR="0014305F" w:rsidRPr="00F53504" w:rsidRDefault="0014305F" w:rsidP="00EF412C">
      <w:pPr>
        <w:pStyle w:val="Quote"/>
        <w:rPr>
          <w:lang w:val="en-AU"/>
        </w:rPr>
      </w:pPr>
      <w:r w:rsidRPr="00F53504">
        <w:rPr>
          <w:lang w:val="en-AU"/>
        </w:rPr>
        <w:lastRenderedPageBreak/>
        <w:t>“Yeah, no, [relocation assistance] did help a lot, because I mean I probably could have scrounged up money to get out there, but it just made it a little bit easier.”</w:t>
      </w:r>
    </w:p>
    <w:p w14:paraId="768DDAE3" w14:textId="77777777" w:rsidR="0014305F" w:rsidRPr="00F53504" w:rsidRDefault="0014305F" w:rsidP="00EF412C">
      <w:pPr>
        <w:pStyle w:val="Quoteattribution"/>
      </w:pPr>
      <w:r w:rsidRPr="00F53504">
        <w:t>Male, 30s, from regional area, to regional area</w:t>
      </w:r>
    </w:p>
    <w:p w14:paraId="3B1329B5" w14:textId="7BF34BB5" w:rsidR="0014305F" w:rsidRPr="00F53504" w:rsidRDefault="0014305F" w:rsidP="00EF412C">
      <w:pPr>
        <w:pStyle w:val="Quote"/>
        <w:rPr>
          <w:lang w:val="en-AU"/>
        </w:rPr>
      </w:pPr>
      <w:r w:rsidRPr="00F53504">
        <w:rPr>
          <w:lang w:val="en-AU"/>
        </w:rPr>
        <w:t>“I would have had to try and borrow off family and friends which is very hard</w:t>
      </w:r>
      <w:r w:rsidR="00F65436">
        <w:rPr>
          <w:lang w:val="en-AU"/>
        </w:rPr>
        <w:t>...</w:t>
      </w:r>
      <w:r w:rsidRPr="00F53504">
        <w:rPr>
          <w:lang w:val="en-AU"/>
        </w:rPr>
        <w:t>I would have just been scraping the barrel to get there, sleeping in the car and stuff, uncomfortable, but I would have done it if I needed to.”</w:t>
      </w:r>
    </w:p>
    <w:p w14:paraId="6933C650" w14:textId="77777777" w:rsidR="0014305F" w:rsidRPr="00F53504" w:rsidRDefault="0014305F" w:rsidP="00EF412C">
      <w:pPr>
        <w:pStyle w:val="Quoteattribution"/>
      </w:pPr>
      <w:r w:rsidRPr="00F53504">
        <w:t>Male, 20s, from regional area, to regional area</w:t>
      </w:r>
    </w:p>
    <w:p w14:paraId="024BE8CC" w14:textId="071FA770" w:rsidR="0014305F" w:rsidRPr="00F53504" w:rsidRDefault="0014305F" w:rsidP="00EF412C">
      <w:pPr>
        <w:pStyle w:val="Heading3"/>
      </w:pPr>
      <w:r w:rsidRPr="00F53504">
        <w:t>Provider</w:t>
      </w:r>
      <w:r w:rsidR="0099647C">
        <w:t>s</w:t>
      </w:r>
      <w:r w:rsidRPr="00F53504">
        <w:t>’ lack of understanding and information</w:t>
      </w:r>
    </w:p>
    <w:p w14:paraId="352E85A5" w14:textId="4D6335BA" w:rsidR="0014305F" w:rsidRPr="00F53504" w:rsidRDefault="00522F66" w:rsidP="00C67990">
      <w:r w:rsidRPr="00F53504">
        <w:t>J</w:t>
      </w:r>
      <w:r w:rsidR="0014305F" w:rsidRPr="00F53504">
        <w:t xml:space="preserve">ob seekers </w:t>
      </w:r>
      <w:r w:rsidRPr="00F53504">
        <w:t xml:space="preserve">perceived </w:t>
      </w:r>
      <w:r w:rsidR="0014305F" w:rsidRPr="00F53504">
        <w:t xml:space="preserve">providers </w:t>
      </w:r>
      <w:r w:rsidR="0010279C" w:rsidRPr="00F53504">
        <w:t xml:space="preserve">as having </w:t>
      </w:r>
      <w:r w:rsidR="0014305F" w:rsidRPr="00F53504">
        <w:t xml:space="preserve">a </w:t>
      </w:r>
      <w:r w:rsidR="003252E1" w:rsidRPr="00F53504">
        <w:t>low level of</w:t>
      </w:r>
      <w:r w:rsidR="0014305F" w:rsidRPr="00F53504">
        <w:t xml:space="preserve"> information and understanding about </w:t>
      </w:r>
      <w:r w:rsidR="0041378D" w:rsidRPr="00F53504">
        <w:t>RATTUAJ</w:t>
      </w:r>
      <w:r w:rsidR="00C67990">
        <w:t xml:space="preserve"> </w:t>
      </w:r>
      <w:r w:rsidR="00C67990" w:rsidRPr="00F53504">
        <w:t>and reported a lack of</w:t>
      </w:r>
      <w:r w:rsidR="00101543">
        <w:t xml:space="preserve"> awareness of any</w:t>
      </w:r>
      <w:r w:rsidR="00C67990" w:rsidRPr="00F53504">
        <w:t xml:space="preserve"> promotion of the program</w:t>
      </w:r>
      <w:r w:rsidR="0014305F" w:rsidRPr="00F53504">
        <w:t>.</w:t>
      </w:r>
      <w:r w:rsidR="00737DC3">
        <w:rPr>
          <w:rStyle w:val="FootnoteReference"/>
        </w:rPr>
        <w:footnoteReference w:id="23"/>
      </w:r>
      <w:r w:rsidR="0014305F" w:rsidRPr="00F53504">
        <w:t xml:space="preserve"> Many of </w:t>
      </w:r>
      <w:r w:rsidR="00753B88" w:rsidRPr="00F53504">
        <w:t>the participants</w:t>
      </w:r>
      <w:r w:rsidR="0014305F" w:rsidRPr="00F53504">
        <w:t xml:space="preserve"> reported that providers </w:t>
      </w:r>
      <w:r w:rsidRPr="00F53504">
        <w:t xml:space="preserve">did not </w:t>
      </w:r>
      <w:r w:rsidR="0014305F" w:rsidRPr="00F53504">
        <w:t xml:space="preserve">completely </w:t>
      </w:r>
      <w:r w:rsidR="0010279C" w:rsidRPr="00F53504">
        <w:t xml:space="preserve">understand </w:t>
      </w:r>
      <w:r w:rsidR="0041378D" w:rsidRPr="00F53504">
        <w:t>RATTUAJ</w:t>
      </w:r>
      <w:r w:rsidR="0014305F" w:rsidRPr="00F53504">
        <w:t xml:space="preserve"> and some thought that the </w:t>
      </w:r>
      <w:r w:rsidR="004F68D9" w:rsidRPr="00F53504">
        <w:t>program</w:t>
      </w:r>
      <w:r w:rsidR="0014305F" w:rsidRPr="00F53504">
        <w:t xml:space="preserve"> was not a typical part of their providers’ services. </w:t>
      </w:r>
      <w:r w:rsidR="00EB5FA2" w:rsidRPr="00F53504">
        <w:t>For some participants this led to</w:t>
      </w:r>
      <w:r w:rsidR="0014305F" w:rsidRPr="00F53504">
        <w:t xml:space="preserve"> </w:t>
      </w:r>
      <w:r w:rsidR="00EB5FA2" w:rsidRPr="00F53504">
        <w:t xml:space="preserve">a lack </w:t>
      </w:r>
      <w:r w:rsidR="00FC2410" w:rsidRPr="00F53504">
        <w:t>of</w:t>
      </w:r>
      <w:r w:rsidR="00EB5FA2" w:rsidRPr="00F53504">
        <w:t xml:space="preserve"> confidence to make the move while others reported that</w:t>
      </w:r>
      <w:r w:rsidR="0014305F" w:rsidRPr="00F53504">
        <w:t xml:space="preserve"> </w:t>
      </w:r>
      <w:proofErr w:type="gramStart"/>
      <w:r w:rsidR="0014305F" w:rsidRPr="00F53504">
        <w:t xml:space="preserve">had </w:t>
      </w:r>
      <w:r w:rsidR="00EB5FA2" w:rsidRPr="00F53504">
        <w:t xml:space="preserve">they </w:t>
      </w:r>
      <w:r w:rsidR="0014305F" w:rsidRPr="00F53504">
        <w:t>been supplied</w:t>
      </w:r>
      <w:proofErr w:type="gramEnd"/>
      <w:r w:rsidR="0014305F" w:rsidRPr="00F53504">
        <w:t xml:space="preserve"> with better information upfront then the decision making process regarding</w:t>
      </w:r>
      <w:r w:rsidR="00C846B8">
        <w:t xml:space="preserve"> moving would have been easier.</w:t>
      </w:r>
    </w:p>
    <w:p w14:paraId="54C9D2E0" w14:textId="159B31ED" w:rsidR="0014305F" w:rsidRPr="00F53504" w:rsidRDefault="00465E5E" w:rsidP="00EF412C">
      <w:pPr>
        <w:pStyle w:val="Quote"/>
        <w:rPr>
          <w:lang w:val="en-AU"/>
        </w:rPr>
      </w:pPr>
      <w:r w:rsidRPr="00F53504">
        <w:rPr>
          <w:lang w:val="en-AU"/>
        </w:rPr>
        <w:t xml:space="preserve">“It was quite a sort of grey area that I had to ring up and clarify it because the employment agency should have - they sort of said they had no idea. They certainly left me feeling well if you’ve got no idea and I’m meant to go through you, this is going to be a difficult process </w:t>
      </w:r>
      <w:r w:rsidR="00F65436">
        <w:rPr>
          <w:lang w:val="en-AU"/>
        </w:rPr>
        <w:t>...</w:t>
      </w:r>
      <w:r w:rsidRPr="00F53504">
        <w:rPr>
          <w:lang w:val="en-AU"/>
        </w:rPr>
        <w:t xml:space="preserve"> </w:t>
      </w:r>
      <w:r w:rsidR="0014305F" w:rsidRPr="00F53504">
        <w:rPr>
          <w:lang w:val="en-AU"/>
        </w:rPr>
        <w:t xml:space="preserve">Not knowing what’s actually happening </w:t>
      </w:r>
      <w:r w:rsidR="00F65436">
        <w:rPr>
          <w:lang w:val="en-AU"/>
        </w:rPr>
        <w:t>...</w:t>
      </w:r>
      <w:r w:rsidR="0014305F" w:rsidRPr="00F53504">
        <w:rPr>
          <w:lang w:val="en-AU"/>
        </w:rPr>
        <w:t xml:space="preserve"> I was a bit disappointed that they didn’t know much about this employment services relocation assistance because it really made me feel</w:t>
      </w:r>
      <w:r w:rsidR="00C846B8">
        <w:rPr>
          <w:lang w:val="en-AU"/>
        </w:rPr>
        <w:t xml:space="preserve"> like I couldn’t take the job.”</w:t>
      </w:r>
    </w:p>
    <w:p w14:paraId="5DABB43D" w14:textId="77777777" w:rsidR="0014305F" w:rsidRPr="00F53504" w:rsidRDefault="0014305F" w:rsidP="00EF412C">
      <w:pPr>
        <w:pStyle w:val="Quoteattribution"/>
      </w:pPr>
      <w:r w:rsidRPr="00F53504">
        <w:t>Male, 30s, from capital city, to regional area</w:t>
      </w:r>
    </w:p>
    <w:p w14:paraId="1F2E7256" w14:textId="0AC4DBC3" w:rsidR="0014305F" w:rsidRPr="00F53504" w:rsidRDefault="0014305F" w:rsidP="00EF412C">
      <w:pPr>
        <w:pStyle w:val="Quote"/>
        <w:rPr>
          <w:lang w:val="en-AU"/>
        </w:rPr>
      </w:pPr>
      <w:proofErr w:type="gramStart"/>
      <w:r w:rsidRPr="00F53504">
        <w:rPr>
          <w:lang w:val="en-AU"/>
        </w:rPr>
        <w:t>“They just named a few things which I was entitled to</w:t>
      </w:r>
      <w:r w:rsidR="00F65436">
        <w:rPr>
          <w:lang w:val="en-AU"/>
        </w:rPr>
        <w:t>...</w:t>
      </w:r>
      <w:r w:rsidRPr="00F53504">
        <w:rPr>
          <w:lang w:val="en-AU"/>
        </w:rPr>
        <w:t xml:space="preserve">but I’m sure that if I had been presented with a document to read, this is the Government </w:t>
      </w:r>
      <w:r w:rsidR="004F68D9" w:rsidRPr="00F53504">
        <w:rPr>
          <w:lang w:val="en-AU"/>
        </w:rPr>
        <w:t>program</w:t>
      </w:r>
      <w:r w:rsidRPr="00F53504">
        <w:rPr>
          <w:lang w:val="en-AU"/>
        </w:rPr>
        <w:t>, this is what it entails, this is what one could access, not necessarily have access to but could get access to, and then you can make further informed choices about what it is you want to do.”</w:t>
      </w:r>
      <w:proofErr w:type="gramEnd"/>
    </w:p>
    <w:p w14:paraId="53E50F7A" w14:textId="77777777" w:rsidR="0014305F" w:rsidRPr="00F53504" w:rsidRDefault="0014305F" w:rsidP="00EF412C">
      <w:pPr>
        <w:pStyle w:val="Quoteattribution"/>
      </w:pPr>
      <w:r w:rsidRPr="00F53504">
        <w:t>Male, 50s, from regional area, to regional area</w:t>
      </w:r>
    </w:p>
    <w:p w14:paraId="158FAB0B" w14:textId="77777777" w:rsidR="0014305F" w:rsidRPr="00F53504" w:rsidRDefault="001231E8" w:rsidP="00435DE3">
      <w:pPr>
        <w:pStyle w:val="Heading3"/>
      </w:pPr>
      <w:r w:rsidRPr="00F53504">
        <w:t xml:space="preserve">The </w:t>
      </w:r>
      <w:r w:rsidR="0014305F" w:rsidRPr="00F53504">
        <w:t>12 week non-payment period</w:t>
      </w:r>
    </w:p>
    <w:p w14:paraId="43A171CE" w14:textId="7F38ED41" w:rsidR="0014305F" w:rsidRPr="00F53504" w:rsidRDefault="0014305F" w:rsidP="001231E8">
      <w:r w:rsidRPr="00F53504">
        <w:t xml:space="preserve">One condition of the RATTUAJ </w:t>
      </w:r>
      <w:r w:rsidR="004F68D9" w:rsidRPr="00F53504">
        <w:t>program</w:t>
      </w:r>
      <w:r w:rsidR="002D0E6E">
        <w:t>me</w:t>
      </w:r>
      <w:r w:rsidRPr="00F53504">
        <w:t xml:space="preserve"> is that participants can face a 12 week non-payment period, where income support payments are </w:t>
      </w:r>
      <w:r w:rsidR="00CD6E5A" w:rsidRPr="00F53504">
        <w:t>suspended</w:t>
      </w:r>
      <w:r w:rsidRPr="00F53504">
        <w:t>, if they:</w:t>
      </w:r>
    </w:p>
    <w:p w14:paraId="2397B724" w14:textId="77777777" w:rsidR="0014305F" w:rsidRPr="00F53504" w:rsidRDefault="0014305F" w:rsidP="00435DE3">
      <w:pPr>
        <w:pStyle w:val="ListBullet"/>
      </w:pPr>
      <w:r w:rsidRPr="00F53504">
        <w:t xml:space="preserve">leave the job they relocated for without reasonable cause </w:t>
      </w:r>
      <w:r w:rsidR="00470FF9" w:rsidRPr="00F53504">
        <w:t xml:space="preserve">during </w:t>
      </w:r>
      <w:r w:rsidRPr="00F53504">
        <w:t>the first six months</w:t>
      </w:r>
    </w:p>
    <w:p w14:paraId="0E59A89D" w14:textId="77777777" w:rsidR="0014305F" w:rsidRPr="00F53504" w:rsidRDefault="0014305F" w:rsidP="00435DE3">
      <w:pPr>
        <w:pStyle w:val="ListBullet"/>
      </w:pPr>
      <w:r w:rsidRPr="00F53504">
        <w:t>are terminated by their employer due to misconduct</w:t>
      </w:r>
    </w:p>
    <w:p w14:paraId="20A63BEB" w14:textId="1BD83A2C" w:rsidR="0014305F" w:rsidRPr="00F53504" w:rsidRDefault="0014305F" w:rsidP="00435DE3">
      <w:pPr>
        <w:pStyle w:val="ListBullet"/>
      </w:pPr>
      <w:proofErr w:type="gramStart"/>
      <w:r w:rsidRPr="00F53504">
        <w:t>accept</w:t>
      </w:r>
      <w:proofErr w:type="gramEnd"/>
      <w:r w:rsidRPr="00F53504">
        <w:t xml:space="preserve"> relocation assistance, but do not commence employment or complete relocation.</w:t>
      </w:r>
    </w:p>
    <w:p w14:paraId="245578A5" w14:textId="17146566" w:rsidR="0014305F" w:rsidRPr="00F53504" w:rsidRDefault="0014305F" w:rsidP="001231E8">
      <w:r w:rsidRPr="00F53504">
        <w:t xml:space="preserve">Some job seekers reported that their provider advised them of the </w:t>
      </w:r>
      <w:proofErr w:type="gramStart"/>
      <w:r w:rsidRPr="00F53504">
        <w:t>12 week</w:t>
      </w:r>
      <w:proofErr w:type="gramEnd"/>
      <w:r w:rsidRPr="00F53504">
        <w:t xml:space="preserve"> non-payment period. Of those who could specifically recall this condition either being mentioned by their providers or as part of the agreement they signed, about half did not feel this was a significant concern for them or a barrier to relocating though the </w:t>
      </w:r>
      <w:r w:rsidR="004F68D9" w:rsidRPr="00F53504">
        <w:t>program</w:t>
      </w:r>
      <w:r w:rsidRPr="00F53504">
        <w:t xml:space="preserve">. A few job seekers were aware of the </w:t>
      </w:r>
      <w:proofErr w:type="gramStart"/>
      <w:r w:rsidRPr="00F53504">
        <w:t>12 week</w:t>
      </w:r>
      <w:proofErr w:type="gramEnd"/>
      <w:r w:rsidRPr="00F53504">
        <w:t xml:space="preserve"> </w:t>
      </w:r>
      <w:r w:rsidRPr="00F53504">
        <w:lastRenderedPageBreak/>
        <w:t>non</w:t>
      </w:r>
      <w:r w:rsidR="00C846B8">
        <w:noBreakHyphen/>
      </w:r>
      <w:r w:rsidRPr="00F53504">
        <w:t>payment period and</w:t>
      </w:r>
      <w:r w:rsidR="009A6977">
        <w:t>,</w:t>
      </w:r>
      <w:r w:rsidRPr="00F53504">
        <w:t xml:space="preserve"> while they had concerns</w:t>
      </w:r>
      <w:r w:rsidR="009A6977">
        <w:t>,</w:t>
      </w:r>
      <w:r w:rsidRPr="00F53504">
        <w:t xml:space="preserve"> they decided to proceed with the relocation anyway.</w:t>
      </w:r>
    </w:p>
    <w:p w14:paraId="7E021659" w14:textId="0F543DA5" w:rsidR="0014305F" w:rsidRPr="00F53504" w:rsidRDefault="0014305F" w:rsidP="001231E8">
      <w:pPr>
        <w:pStyle w:val="Quote"/>
        <w:rPr>
          <w:lang w:val="en-AU"/>
        </w:rPr>
      </w:pPr>
      <w:r w:rsidRPr="00F53504">
        <w:rPr>
          <w:lang w:val="en-AU"/>
        </w:rPr>
        <w:t xml:space="preserve">“It did [worry me] but I thought, well hell, what do I do? </w:t>
      </w:r>
      <w:proofErr w:type="gramStart"/>
      <w:r w:rsidRPr="00F53504">
        <w:rPr>
          <w:lang w:val="en-AU"/>
        </w:rPr>
        <w:t>I either</w:t>
      </w:r>
      <w:proofErr w:type="gramEnd"/>
      <w:r w:rsidRPr="00F53504">
        <w:rPr>
          <w:lang w:val="en-AU"/>
        </w:rPr>
        <w:t xml:space="preserve"> need to take this assistance to continue on the journey with this job or I let things like that worry me and say well what am I going to do? I thought, know what, </w:t>
      </w:r>
      <w:proofErr w:type="gramStart"/>
      <w:r w:rsidRPr="00F53504">
        <w:rPr>
          <w:lang w:val="en-AU"/>
        </w:rPr>
        <w:t>I’ll</w:t>
      </w:r>
      <w:proofErr w:type="gramEnd"/>
      <w:r w:rsidRPr="00F53504">
        <w:rPr>
          <w:lang w:val="en-AU"/>
        </w:rPr>
        <w:t xml:space="preserve"> do is I’ll just take the position, take the assistance that I can get and go for it. If anything goes wrong down the track then I’l</w:t>
      </w:r>
      <w:r w:rsidR="00333B9F">
        <w:rPr>
          <w:lang w:val="en-AU"/>
        </w:rPr>
        <w:t>l have to deal with that then.”</w:t>
      </w:r>
    </w:p>
    <w:p w14:paraId="31204E51" w14:textId="77777777" w:rsidR="0014305F" w:rsidRPr="00F53504" w:rsidRDefault="0014305F" w:rsidP="001231E8">
      <w:pPr>
        <w:pStyle w:val="Quoteattribution"/>
      </w:pPr>
      <w:r w:rsidRPr="00F53504">
        <w:t>Male, 40s, from regional area, to capital city</w:t>
      </w:r>
    </w:p>
    <w:p w14:paraId="3F69482D" w14:textId="44A041E8" w:rsidR="0014305F" w:rsidRPr="00F53504" w:rsidRDefault="0014305F" w:rsidP="001231E8">
      <w:r w:rsidRPr="00F53504">
        <w:t xml:space="preserve">A few participants were aware of penalties applying if they left the job they relocated for but were confused about what it actually meant </w:t>
      </w:r>
      <w:r w:rsidR="00771124">
        <w:t>in</w:t>
      </w:r>
      <w:r w:rsidRPr="00F53504">
        <w:t xml:space="preserve"> practical </w:t>
      </w:r>
      <w:r w:rsidR="00771124">
        <w:t>terms</w:t>
      </w:r>
      <w:r w:rsidRPr="00F53504">
        <w:t xml:space="preserve">. Two participants reported that they believed the conditions of RATTUAJ required them to repay the financial assistance given to them if they did not remain employed in the job they relocated </w:t>
      </w:r>
      <w:proofErr w:type="gramStart"/>
      <w:r w:rsidRPr="00F53504">
        <w:t>for</w:t>
      </w:r>
      <w:proofErr w:type="gramEnd"/>
      <w:r w:rsidRPr="00F53504">
        <w:t xml:space="preserve">. </w:t>
      </w:r>
      <w:r w:rsidR="00ED5DB3">
        <w:t>A few p</w:t>
      </w:r>
      <w:r w:rsidRPr="00F53504">
        <w:t xml:space="preserve">articipants </w:t>
      </w:r>
      <w:r w:rsidR="006333B4" w:rsidRPr="00F53504">
        <w:t xml:space="preserve">reported </w:t>
      </w:r>
      <w:r w:rsidRPr="00F53504">
        <w:t xml:space="preserve">that providers specified that they would be required to pay back relocation assistance if they did not retain the job they moved for. While the </w:t>
      </w:r>
      <w:r w:rsidR="004F68D9" w:rsidRPr="00F53504">
        <w:t>program</w:t>
      </w:r>
      <w:r w:rsidRPr="00F53504">
        <w:t xml:space="preserve"> guidelines do not specify that the financial assistance needs to </w:t>
      </w:r>
      <w:proofErr w:type="gramStart"/>
      <w:r w:rsidRPr="00F53504">
        <w:t>be repaid</w:t>
      </w:r>
      <w:proofErr w:type="gramEnd"/>
      <w:r w:rsidRPr="00F53504">
        <w:t xml:space="preserve">, it is possible that </w:t>
      </w:r>
      <w:r w:rsidR="00AE49B8">
        <w:t>particular</w:t>
      </w:r>
      <w:r w:rsidR="006333B4" w:rsidRPr="00F53504">
        <w:t xml:space="preserve"> </w:t>
      </w:r>
      <w:r w:rsidRPr="00F53504">
        <w:t xml:space="preserve">providers </w:t>
      </w:r>
      <w:r w:rsidR="006333B4" w:rsidRPr="00F53504">
        <w:t>incorrectly tell job seekers that it does</w:t>
      </w:r>
      <w:r w:rsidRPr="00F53504">
        <w:t>.</w:t>
      </w:r>
    </w:p>
    <w:p w14:paraId="4502BC84" w14:textId="24976F30" w:rsidR="0014305F" w:rsidRPr="00F53504" w:rsidRDefault="0014305F" w:rsidP="001231E8">
      <w:pPr>
        <w:pStyle w:val="Quote"/>
        <w:rPr>
          <w:lang w:val="en-AU"/>
        </w:rPr>
      </w:pPr>
      <w:r w:rsidRPr="00F53504">
        <w:rPr>
          <w:lang w:val="en-AU"/>
        </w:rPr>
        <w:t xml:space="preserve">"Yeah, one of the – some of the conditions were: Whatever I’d been granted, if I am made redundant, or if I quit the job within the first six months, I cop a fine of how much I was granted. I have to pay back that full amount of $6000. </w:t>
      </w:r>
      <w:proofErr w:type="gramStart"/>
      <w:r w:rsidRPr="00F53504">
        <w:rPr>
          <w:lang w:val="en-AU"/>
        </w:rPr>
        <w:t>And</w:t>
      </w:r>
      <w:proofErr w:type="gramEnd"/>
      <w:r w:rsidRPr="00F53504">
        <w:rPr>
          <w:lang w:val="en-AU"/>
        </w:rPr>
        <w:t xml:space="preserve"> I was like, “Oh, crap!” </w:t>
      </w:r>
      <w:proofErr w:type="gramStart"/>
      <w:r w:rsidRPr="00F53504">
        <w:rPr>
          <w:lang w:val="en-AU"/>
        </w:rPr>
        <w:t>And</w:t>
      </w:r>
      <w:proofErr w:type="gramEnd"/>
      <w:r w:rsidRPr="00F53504">
        <w:rPr>
          <w:lang w:val="en-AU"/>
        </w:rPr>
        <w:t xml:space="preserve"> it was just – that was mainly the only one they fully told me about. Well, they may have told me more, but that was the m</w:t>
      </w:r>
      <w:r w:rsidR="00333B9F">
        <w:rPr>
          <w:lang w:val="en-AU"/>
        </w:rPr>
        <w:t>ain one that stuck in my head."</w:t>
      </w:r>
    </w:p>
    <w:p w14:paraId="1506E973" w14:textId="77777777" w:rsidR="0014305F" w:rsidRPr="00F53504" w:rsidRDefault="0014305F" w:rsidP="001231E8">
      <w:pPr>
        <w:pStyle w:val="Quoteattribution"/>
      </w:pPr>
      <w:r w:rsidRPr="00F53504">
        <w:t>Male, 20s, from regional area, to capital city</w:t>
      </w:r>
    </w:p>
    <w:p w14:paraId="45369DEB" w14:textId="7DB4540B" w:rsidR="0014305F" w:rsidRPr="00F53504" w:rsidRDefault="0014305F" w:rsidP="001231E8">
      <w:pPr>
        <w:pStyle w:val="Quote"/>
        <w:rPr>
          <w:lang w:val="en-AU"/>
        </w:rPr>
      </w:pPr>
      <w:r w:rsidRPr="00F53504">
        <w:rPr>
          <w:lang w:val="en-AU"/>
        </w:rPr>
        <w:t xml:space="preserve">"I know that if I leave this position on my own, without good reason, then I would be responsible to pay that money back to the agency, because of – if it’s something that I’ve done, or I’ve just decided, “No.” and returned back to home, or wherever. Then, not </w:t>
      </w:r>
      <w:proofErr w:type="gramStart"/>
      <w:r w:rsidRPr="00F53504">
        <w:rPr>
          <w:lang w:val="en-AU"/>
        </w:rPr>
        <w:t>that’s</w:t>
      </w:r>
      <w:proofErr w:type="gramEnd"/>
      <w:r w:rsidRPr="00F53504">
        <w:rPr>
          <w:lang w:val="en-AU"/>
        </w:rPr>
        <w:t xml:space="preserve"> not acceptable under the government acts. No, then I would be responsible to pay that money back,</w:t>
      </w:r>
      <w:r w:rsidR="00333B9F">
        <w:rPr>
          <w:lang w:val="en-AU"/>
        </w:rPr>
        <w:t xml:space="preserve"> for all the relocation costs."</w:t>
      </w:r>
    </w:p>
    <w:p w14:paraId="5B55229A" w14:textId="77777777" w:rsidR="0014305F" w:rsidRPr="00F53504" w:rsidRDefault="0014305F" w:rsidP="001231E8">
      <w:pPr>
        <w:pStyle w:val="Quoteattribution"/>
        <w:rPr>
          <w:i/>
        </w:rPr>
      </w:pPr>
      <w:r w:rsidRPr="00F53504">
        <w:t>Female, 40s, from capital city, to regional area</w:t>
      </w:r>
    </w:p>
    <w:p w14:paraId="6C1D4CCD" w14:textId="4DC0AA91" w:rsidR="0014305F" w:rsidRPr="00F53504" w:rsidRDefault="0014305F" w:rsidP="0014305F">
      <w:r w:rsidRPr="00F53504">
        <w:t xml:space="preserve">One participant who did not complete relocation stated that </w:t>
      </w:r>
      <w:r w:rsidR="00C65F49">
        <w:t xml:space="preserve">when she became aware of </w:t>
      </w:r>
      <w:r w:rsidRPr="00F53504">
        <w:t xml:space="preserve">the </w:t>
      </w:r>
      <w:proofErr w:type="gramStart"/>
      <w:r w:rsidRPr="00F53504">
        <w:t>12</w:t>
      </w:r>
      <w:r w:rsidR="005023CC">
        <w:t> </w:t>
      </w:r>
      <w:r w:rsidRPr="00F53504">
        <w:t>week</w:t>
      </w:r>
      <w:proofErr w:type="gramEnd"/>
      <w:r w:rsidRPr="00F53504">
        <w:t xml:space="preserve"> non-payment period </w:t>
      </w:r>
      <w:r w:rsidR="00C65F49">
        <w:t>during her initial interview this discouraged her from moving</w:t>
      </w:r>
      <w:r w:rsidRPr="00F53504">
        <w:t>.</w:t>
      </w:r>
    </w:p>
    <w:p w14:paraId="3B185307" w14:textId="305E1E54" w:rsidR="0014305F" w:rsidRPr="00F53504" w:rsidRDefault="0014305F" w:rsidP="001231E8">
      <w:pPr>
        <w:pStyle w:val="Quote"/>
        <w:rPr>
          <w:lang w:val="en-AU"/>
        </w:rPr>
      </w:pPr>
      <w:proofErr w:type="gramStart"/>
      <w:r w:rsidRPr="00F53504">
        <w:rPr>
          <w:lang w:val="en-AU"/>
        </w:rPr>
        <w:t>“Okay, in this situation because I only had a one month probation period where they could say to me oh look it’s not working out, all right, in that situation even if I got another job in the area I would still</w:t>
      </w:r>
      <w:r w:rsidR="00F65436">
        <w:rPr>
          <w:lang w:val="en-AU"/>
        </w:rPr>
        <w:t>...</w:t>
      </w:r>
      <w:r w:rsidRPr="00F53504">
        <w:rPr>
          <w:lang w:val="en-AU"/>
        </w:rPr>
        <w:t xml:space="preserve"> not be able to get any payments for that [12 week non-payment period]</w:t>
      </w:r>
      <w:r w:rsidR="00F65436">
        <w:rPr>
          <w:lang w:val="en-AU"/>
        </w:rPr>
        <w:t>...</w:t>
      </w:r>
      <w:r w:rsidRPr="00F53504">
        <w:rPr>
          <w:lang w:val="en-AU"/>
        </w:rPr>
        <w:t>In that situation I wouldn’t relocate would I?</w:t>
      </w:r>
      <w:proofErr w:type="gramEnd"/>
      <w:r w:rsidRPr="00F53504">
        <w:rPr>
          <w:lang w:val="en-AU"/>
        </w:rPr>
        <w:t xml:space="preserve"> Who would do that?”</w:t>
      </w:r>
    </w:p>
    <w:p w14:paraId="2F360571" w14:textId="77777777" w:rsidR="0014305F" w:rsidRPr="00F53504" w:rsidRDefault="0014305F" w:rsidP="001231E8">
      <w:pPr>
        <w:pStyle w:val="Quoteattribution"/>
      </w:pPr>
      <w:r w:rsidRPr="00F53504">
        <w:t>Female, 40s, from regional area, did not relocate</w:t>
      </w:r>
    </w:p>
    <w:p w14:paraId="467B87FB" w14:textId="4BDEC3DC" w:rsidR="0014305F" w:rsidRPr="00F53504" w:rsidRDefault="0014305F" w:rsidP="0014305F">
      <w:r w:rsidRPr="00F53504">
        <w:t xml:space="preserve">Only one participant of the six no longer employed in the job </w:t>
      </w:r>
      <w:r w:rsidR="00DC36FD" w:rsidRPr="00F53504">
        <w:t xml:space="preserve">for which </w:t>
      </w:r>
      <w:r w:rsidRPr="00F53504">
        <w:t>the</w:t>
      </w:r>
      <w:r w:rsidR="00333B9F">
        <w:t xml:space="preserve">y relocated, experienced the </w:t>
      </w:r>
      <w:proofErr w:type="gramStart"/>
      <w:r w:rsidR="00333B9F">
        <w:t>12 </w:t>
      </w:r>
      <w:r w:rsidRPr="00F53504">
        <w:t>week</w:t>
      </w:r>
      <w:proofErr w:type="gramEnd"/>
      <w:r w:rsidRPr="00F53504">
        <w:t xml:space="preserve"> non-payment period. </w:t>
      </w:r>
      <w:r w:rsidR="00C65F49">
        <w:t>T</w:t>
      </w:r>
      <w:r w:rsidRPr="00F53504">
        <w:t>h</w:t>
      </w:r>
      <w:r w:rsidR="00C65F49">
        <w:t xml:space="preserve">is </w:t>
      </w:r>
      <w:r w:rsidRPr="00F53504">
        <w:t xml:space="preserve">participant ultimately decided </w:t>
      </w:r>
      <w:r w:rsidR="00C65F49">
        <w:t xml:space="preserve">the penalty </w:t>
      </w:r>
      <w:r w:rsidRPr="00F53504">
        <w:t xml:space="preserve">was worth incurring rather than </w:t>
      </w:r>
      <w:r w:rsidR="00333B9F">
        <w:t>remaining in the job.</w:t>
      </w:r>
    </w:p>
    <w:p w14:paraId="0C1C906A" w14:textId="1D4F292F" w:rsidR="0014305F" w:rsidRPr="00F53504" w:rsidRDefault="0014305F" w:rsidP="001231E8">
      <w:pPr>
        <w:pStyle w:val="Quote"/>
        <w:rPr>
          <w:lang w:val="en-AU"/>
        </w:rPr>
      </w:pPr>
      <w:r w:rsidRPr="00F53504">
        <w:rPr>
          <w:lang w:val="en-AU"/>
        </w:rPr>
        <w:t xml:space="preserve">"Yeah [the 12 week non-payment period] did [worry me], but you know, at the end of the day the job was not worth staying in it through fear of not being able to get payments, do you know what </w:t>
      </w:r>
      <w:r w:rsidRPr="00F53504">
        <w:rPr>
          <w:lang w:val="en-AU"/>
        </w:rPr>
        <w:lastRenderedPageBreak/>
        <w:t>I mean? I knew that I’d probably most likely be able to get a job, another job anyway, so it wasn’t</w:t>
      </w:r>
      <w:r w:rsidR="00C65F49">
        <w:rPr>
          <w:lang w:val="en-AU"/>
        </w:rPr>
        <w:t>—</w:t>
      </w:r>
      <w:r w:rsidRPr="00F53504">
        <w:rPr>
          <w:lang w:val="en-AU"/>
        </w:rPr>
        <w:t>I wan</w:t>
      </w:r>
      <w:r w:rsidR="00333B9F">
        <w:rPr>
          <w:lang w:val="en-AU"/>
        </w:rPr>
        <w:t>ted to be working pretty much."</w:t>
      </w:r>
    </w:p>
    <w:p w14:paraId="3EDCD905" w14:textId="486EC999" w:rsidR="00B51AB9" w:rsidRPr="00F53504" w:rsidRDefault="0014305F" w:rsidP="0064221B">
      <w:pPr>
        <w:pStyle w:val="Quoteattribution"/>
      </w:pPr>
      <w:r w:rsidRPr="00F53504">
        <w:t>Male 30s, from capital city, to regional area</w:t>
      </w:r>
      <w:bookmarkEnd w:id="93"/>
      <w:r w:rsidR="00B51AB9" w:rsidRPr="00F53504">
        <w:br w:type="page"/>
      </w:r>
    </w:p>
    <w:p w14:paraId="397E7C98" w14:textId="77777777" w:rsidR="00B51AB9" w:rsidRPr="00F53504" w:rsidRDefault="00B51AB9" w:rsidP="00B51AB9">
      <w:pPr>
        <w:pStyle w:val="Heading1"/>
      </w:pPr>
      <w:bookmarkStart w:id="97" w:name="_Toc512529327"/>
      <w:r w:rsidRPr="00F53504">
        <w:lastRenderedPageBreak/>
        <w:t>Emerging Issues</w:t>
      </w:r>
      <w:bookmarkEnd w:id="97"/>
    </w:p>
    <w:p w14:paraId="484C6671" w14:textId="2DE99540" w:rsidR="00994637" w:rsidRPr="00C65F49" w:rsidRDefault="008F2D78" w:rsidP="00C65F49">
      <w:pPr>
        <w:pStyle w:val="Answerbox"/>
        <w:rPr>
          <w:b/>
        </w:rPr>
      </w:pPr>
      <w:r w:rsidRPr="00C65F49">
        <w:rPr>
          <w:b/>
        </w:rPr>
        <w:t xml:space="preserve">While many </w:t>
      </w:r>
      <w:r w:rsidR="00AD486E" w:rsidRPr="00C65F49">
        <w:rPr>
          <w:b/>
        </w:rPr>
        <w:t>participant</w:t>
      </w:r>
      <w:r w:rsidRPr="00C65F49">
        <w:rPr>
          <w:b/>
        </w:rPr>
        <w:t>s and providers successful</w:t>
      </w:r>
      <w:r w:rsidR="00C65F49">
        <w:rPr>
          <w:b/>
        </w:rPr>
        <w:t xml:space="preserve">ly used </w:t>
      </w:r>
      <w:r w:rsidR="0041378D" w:rsidRPr="00C65F49">
        <w:rPr>
          <w:b/>
        </w:rPr>
        <w:t>RATTUAJ</w:t>
      </w:r>
      <w:r w:rsidRPr="00C65F49">
        <w:rPr>
          <w:b/>
        </w:rPr>
        <w:t>, for some there were</w:t>
      </w:r>
      <w:r w:rsidR="003142EB" w:rsidRPr="00C65F49">
        <w:rPr>
          <w:b/>
        </w:rPr>
        <w:t xml:space="preserve"> </w:t>
      </w:r>
      <w:r w:rsidR="00C65F49">
        <w:rPr>
          <w:b/>
        </w:rPr>
        <w:t>issues with the program, including</w:t>
      </w:r>
      <w:r w:rsidR="00385614">
        <w:rPr>
          <w:b/>
        </w:rPr>
        <w:t xml:space="preserve"> the financial mechanisms—particularly the reimbursement model, administrative burden, challenges finding accommodation, the short time frames for relocation and the limitation on eligibility.</w:t>
      </w:r>
    </w:p>
    <w:p w14:paraId="3321BB63" w14:textId="2FD77246" w:rsidR="00C65F49" w:rsidRDefault="00C65F49" w:rsidP="003142EB">
      <w:r w:rsidRPr="00C65F49">
        <w:t xml:space="preserve">This chapter discusses issues that have emerged </w:t>
      </w:r>
      <w:r w:rsidR="00CE3B79">
        <w:t>from</w:t>
      </w:r>
      <w:r w:rsidRPr="00C65F49">
        <w:t xml:space="preserve"> the evaluation of the RATTUAJ program</w:t>
      </w:r>
      <w:r w:rsidR="002D0E6E">
        <w:t>me</w:t>
      </w:r>
      <w:r w:rsidRPr="00C65F49">
        <w:t xml:space="preserve">, including the RATTUAJ qualitative research and the 2015 and 2016 surveys of </w:t>
      </w:r>
      <w:r w:rsidR="00B17EB7">
        <w:t>p</w:t>
      </w:r>
      <w:r w:rsidRPr="00C65F49">
        <w:t>roviders.</w:t>
      </w:r>
    </w:p>
    <w:p w14:paraId="22CE5A99" w14:textId="58EC0688" w:rsidR="00385614" w:rsidRPr="00385614" w:rsidRDefault="00385614" w:rsidP="00385614">
      <w:r>
        <w:t xml:space="preserve">Issues </w:t>
      </w:r>
      <w:proofErr w:type="gramStart"/>
      <w:r>
        <w:t>were raised</w:t>
      </w:r>
      <w:proofErr w:type="gramEnd"/>
      <w:r>
        <w:t xml:space="preserve"> with the </w:t>
      </w:r>
      <w:r w:rsidRPr="00385614">
        <w:t>financial mechanisms and reimbursement model</w:t>
      </w:r>
      <w:r>
        <w:t xml:space="preserve"> of the </w:t>
      </w:r>
      <w:r w:rsidR="00CE3B79">
        <w:t>program</w:t>
      </w:r>
      <w:r w:rsidRPr="00385614">
        <w:t>, including job seekers</w:t>
      </w:r>
      <w:r w:rsidR="00566690">
        <w:t xml:space="preserve"> having enough money to make up</w:t>
      </w:r>
      <w:r w:rsidRPr="00385614">
        <w:t>front payments on the expectation of later reimbursement, reclamation of rental bond, providers’ ability to directly pay suppliers during relocation, and confusion regarding which expenses could be claimed through the program.</w:t>
      </w:r>
    </w:p>
    <w:p w14:paraId="28EEB87D" w14:textId="6C6F6864" w:rsidR="003142EB" w:rsidRPr="00F53504" w:rsidRDefault="003142EB" w:rsidP="003142EB">
      <w:r w:rsidRPr="00F53504">
        <w:t xml:space="preserve">Other issues </w:t>
      </w:r>
      <w:r w:rsidR="00385614">
        <w:t xml:space="preserve">were </w:t>
      </w:r>
      <w:r w:rsidR="005B74FF" w:rsidRPr="00F53504">
        <w:t xml:space="preserve">the administrative burden of the </w:t>
      </w:r>
      <w:r w:rsidR="004F68D9" w:rsidRPr="00F53504">
        <w:t>program</w:t>
      </w:r>
      <w:r w:rsidR="005B74FF" w:rsidRPr="00F53504">
        <w:t>,</w:t>
      </w:r>
      <w:r w:rsidRPr="00F53504">
        <w:t xml:space="preserve"> </w:t>
      </w:r>
      <w:proofErr w:type="gramStart"/>
      <w:r w:rsidRPr="00F53504">
        <w:t>difficulty finding</w:t>
      </w:r>
      <w:proofErr w:type="gramEnd"/>
      <w:r w:rsidRPr="00F53504">
        <w:t xml:space="preserve"> accommodation</w:t>
      </w:r>
      <w:r w:rsidR="006B596D" w:rsidRPr="00F53504">
        <w:t xml:space="preserve"> in the new location</w:t>
      </w:r>
      <w:r w:rsidRPr="00F53504">
        <w:t xml:space="preserve">, </w:t>
      </w:r>
      <w:r w:rsidR="004F3A0C" w:rsidRPr="00F53504">
        <w:t xml:space="preserve">and </w:t>
      </w:r>
      <w:r w:rsidRPr="00F53504">
        <w:t xml:space="preserve">the relatively </w:t>
      </w:r>
      <w:r w:rsidR="00EE5F10" w:rsidRPr="00F53504">
        <w:t>short</w:t>
      </w:r>
      <w:r w:rsidRPr="00F53504">
        <w:t xml:space="preserve"> timeframes in which participants were being asked to relocate and commence employment. Providers also identified issues with eligibility requirements.</w:t>
      </w:r>
    </w:p>
    <w:p w14:paraId="69286322" w14:textId="77777777" w:rsidR="00270008" w:rsidRPr="00F53504" w:rsidRDefault="00270008" w:rsidP="00270008">
      <w:pPr>
        <w:pStyle w:val="Heading2"/>
      </w:pPr>
      <w:bookmarkStart w:id="98" w:name="_Toc512529328"/>
      <w:r w:rsidRPr="00F53504">
        <w:t>Financial issues</w:t>
      </w:r>
      <w:bookmarkEnd w:id="98"/>
    </w:p>
    <w:p w14:paraId="4D6FF361" w14:textId="77777777" w:rsidR="00270008" w:rsidRPr="00F53504" w:rsidRDefault="00270008" w:rsidP="00B034E5">
      <w:pPr>
        <w:pStyle w:val="Heading3"/>
      </w:pPr>
      <w:bookmarkStart w:id="99" w:name="_Ref456018314"/>
      <w:r w:rsidRPr="00F53504">
        <w:t xml:space="preserve">Financial </w:t>
      </w:r>
      <w:r w:rsidRPr="00B034E5">
        <w:t>mechanisms</w:t>
      </w:r>
      <w:bookmarkEnd w:id="99"/>
    </w:p>
    <w:p w14:paraId="624754D5" w14:textId="2F843C92" w:rsidR="00550446" w:rsidRPr="00B034E5" w:rsidRDefault="00550446" w:rsidP="00B034E5">
      <w:r w:rsidRPr="00B034E5">
        <w:t xml:space="preserve">The RATTUAJ programme provides flexible assistance both upfront and by reimbursement to support a participant to move to take up a job. Once a quote is agreed, the provider is able to pay costs directly to the supplier or the participant. Providers are then able to claim reimbursement from the Department. These claims for reimbursement </w:t>
      </w:r>
      <w:proofErr w:type="gramStart"/>
      <w:r w:rsidRPr="00B034E5">
        <w:t>can be made</w:t>
      </w:r>
      <w:proofErr w:type="gramEnd"/>
      <w:r w:rsidRPr="00B034E5">
        <w:t xml:space="preserve"> as soon as the goods/services receipt is received, however the provider must first make the payment from their own funds. Payments made to the participant before the payment has occurred (upfront), </w:t>
      </w:r>
      <w:proofErr w:type="gramStart"/>
      <w:r w:rsidRPr="00B034E5">
        <w:t>are only made</w:t>
      </w:r>
      <w:proofErr w:type="gramEnd"/>
      <w:r w:rsidRPr="00B034E5">
        <w:t xml:space="preserve"> where the participant is experiencing financial hardship or it is not possible for the provider to make the payment directly to the supplier on the participant’s behalf. As the provider pays the job seeker or supplier from their own funds, and then submits a claim to the Department to </w:t>
      </w:r>
      <w:proofErr w:type="gramStart"/>
      <w:r w:rsidRPr="00B034E5">
        <w:t>be reimbursed</w:t>
      </w:r>
      <w:proofErr w:type="gramEnd"/>
      <w:r w:rsidRPr="00B034E5">
        <w:t>, this could result in the job seeker or the provider not being fully reimbursed should the documentation be incorrect or incomplete.</w:t>
      </w:r>
    </w:p>
    <w:p w14:paraId="47D3127A" w14:textId="5B0AA15E" w:rsidR="00270008" w:rsidRPr="00B034E5" w:rsidRDefault="00385614" w:rsidP="00B034E5">
      <w:r w:rsidRPr="00B034E5">
        <w:t xml:space="preserve">Some </w:t>
      </w:r>
      <w:r w:rsidR="00DF7E91" w:rsidRPr="00B034E5">
        <w:t>provider</w:t>
      </w:r>
      <w:r w:rsidRPr="00B034E5">
        <w:t>s</w:t>
      </w:r>
      <w:r w:rsidR="00DF7E91" w:rsidRPr="00B034E5">
        <w:t xml:space="preserve"> </w:t>
      </w:r>
      <w:r w:rsidRPr="00B034E5">
        <w:t xml:space="preserve">had </w:t>
      </w:r>
      <w:r w:rsidR="00EB7FD4" w:rsidRPr="00B034E5">
        <w:t>concerns with post decision review</w:t>
      </w:r>
      <w:r w:rsidR="00791102" w:rsidRPr="00B034E5">
        <w:t>s</w:t>
      </w:r>
      <w:r w:rsidR="00EB7FD4" w:rsidRPr="00B034E5">
        <w:t xml:space="preserve"> by the </w:t>
      </w:r>
      <w:r w:rsidR="00441263" w:rsidRPr="00B034E5">
        <w:t>Department and consequent financial risks to job seekers and providers</w:t>
      </w:r>
      <w:r w:rsidRPr="00B034E5">
        <w:t xml:space="preserve">. This led to them </w:t>
      </w:r>
      <w:r w:rsidR="00270008" w:rsidRPr="00B034E5">
        <w:t>being unwilling to giv</w:t>
      </w:r>
      <w:r w:rsidR="009234D4" w:rsidRPr="00B034E5">
        <w:t>e job seekers upfront payments.</w:t>
      </w:r>
    </w:p>
    <w:p w14:paraId="0778AD23" w14:textId="77777777" w:rsidR="00270008" w:rsidRPr="00B034E5" w:rsidRDefault="00270008" w:rsidP="00B034E5">
      <w:pPr>
        <w:pStyle w:val="Quote"/>
      </w:pPr>
      <w:r w:rsidRPr="00B034E5">
        <w:t>“So if we’re spending the money and we’re claiming it back in six months' time the Department will perform an audit and we have to provide our documentary evidence to support that we did that in line with their guidelines. If we don’t have, if we haven’t done it in line with their guidelines then they take that money back.”</w:t>
      </w:r>
    </w:p>
    <w:p w14:paraId="3B96D0E3" w14:textId="77777777" w:rsidR="00270008" w:rsidRPr="00B034E5" w:rsidRDefault="00270008" w:rsidP="00B034E5">
      <w:pPr>
        <w:pStyle w:val="Quoteattribution"/>
      </w:pPr>
      <w:r w:rsidRPr="00B034E5">
        <w:t xml:space="preserve">Provider, </w:t>
      </w:r>
      <w:r w:rsidR="00A73578" w:rsidRPr="00B034E5">
        <w:t>capital city</w:t>
      </w:r>
      <w:r w:rsidR="00465E5E" w:rsidRPr="00B034E5">
        <w:t xml:space="preserve">, </w:t>
      </w:r>
      <w:r w:rsidR="00907747" w:rsidRPr="00B034E5">
        <w:t>in-depth interview</w:t>
      </w:r>
    </w:p>
    <w:p w14:paraId="23D85EA5" w14:textId="606B320E" w:rsidR="00270008" w:rsidRPr="00F53504" w:rsidRDefault="00385614" w:rsidP="00270008">
      <w:r>
        <w:lastRenderedPageBreak/>
        <w:t xml:space="preserve">Job seekers and providers had issues with the </w:t>
      </w:r>
      <w:r w:rsidR="00747BA5">
        <w:t>clarity of</w:t>
      </w:r>
      <w:r w:rsidR="00270008" w:rsidRPr="00F53504">
        <w:t xml:space="preserve"> guidelines </w:t>
      </w:r>
      <w:r w:rsidR="00747BA5">
        <w:t xml:space="preserve">and advice </w:t>
      </w:r>
      <w:r w:rsidR="00441263" w:rsidRPr="00F53504">
        <w:t xml:space="preserve">from the Department </w:t>
      </w:r>
      <w:r w:rsidR="00DC36FD" w:rsidRPr="00F53504">
        <w:t xml:space="preserve">about </w:t>
      </w:r>
      <w:r w:rsidR="00270008" w:rsidRPr="00F53504">
        <w:t>how to provide supporting documentary evidence, such as receipts and invoices.</w:t>
      </w:r>
      <w:r w:rsidR="009F7143">
        <w:rPr>
          <w:rStyle w:val="FootnoteReference"/>
        </w:rPr>
        <w:footnoteReference w:id="24"/>
      </w:r>
      <w:r w:rsidR="00270008" w:rsidRPr="00F53504">
        <w:t xml:space="preserve"> Participants reported that a lack of clear guidelines on the reimbursement process </w:t>
      </w:r>
      <w:r w:rsidR="00FB762C" w:rsidRPr="00F53504">
        <w:t>caused difficulties</w:t>
      </w:r>
      <w:r w:rsidR="00270008" w:rsidRPr="00F53504">
        <w:t xml:space="preserve">. Many participants felt they did not receive enough information and about </w:t>
      </w:r>
      <w:r w:rsidR="00FC2410" w:rsidRPr="00F53504">
        <w:t>half stated</w:t>
      </w:r>
      <w:r w:rsidR="00270008" w:rsidRPr="00F53504">
        <w:t xml:space="preserve"> they had to request information or clarification about the application process from their provider.</w:t>
      </w:r>
    </w:p>
    <w:p w14:paraId="3EB3B30A" w14:textId="3A311553" w:rsidR="00270008" w:rsidRPr="00F53504" w:rsidRDefault="00270008" w:rsidP="00270008">
      <w:pPr>
        <w:pStyle w:val="Quote"/>
        <w:rPr>
          <w:lang w:val="en-AU"/>
        </w:rPr>
      </w:pPr>
      <w:r w:rsidRPr="00F53504">
        <w:rPr>
          <w:lang w:val="en-AU"/>
        </w:rPr>
        <w:t xml:space="preserve">“There’s a lack of [communication]. </w:t>
      </w:r>
      <w:proofErr w:type="gramStart"/>
      <w:r w:rsidRPr="00F53504">
        <w:rPr>
          <w:lang w:val="en-AU"/>
        </w:rPr>
        <w:t>It’s</w:t>
      </w:r>
      <w:proofErr w:type="gramEnd"/>
      <w:r w:rsidRPr="00F53504">
        <w:rPr>
          <w:lang w:val="en-AU"/>
        </w:rPr>
        <w:t xml:space="preserve"> more or less like you’re trying to put stuff through and you don’t hear back from them. You have to chase them up all the time. There has been times when </w:t>
      </w:r>
      <w:proofErr w:type="gramStart"/>
      <w:r w:rsidRPr="00F53504">
        <w:rPr>
          <w:lang w:val="en-AU"/>
        </w:rPr>
        <w:t>I’ve</w:t>
      </w:r>
      <w:proofErr w:type="gramEnd"/>
      <w:r w:rsidRPr="00F53504">
        <w:rPr>
          <w:lang w:val="en-AU"/>
        </w:rPr>
        <w:t xml:space="preserve"> put something in to claim money back and I didn’t hear back from them for maybe four weeks. I had to ring them up and then they said ‘oh you can’t claim for that’. It shou</w:t>
      </w:r>
      <w:r w:rsidR="001E378E">
        <w:rPr>
          <w:lang w:val="en-AU"/>
        </w:rPr>
        <w:t>ld be a bit quicker than that.”</w:t>
      </w:r>
    </w:p>
    <w:p w14:paraId="0EE84AF9" w14:textId="77777777" w:rsidR="00270008" w:rsidRPr="00F53504" w:rsidRDefault="00270008" w:rsidP="00270008">
      <w:pPr>
        <w:pStyle w:val="Quoteattribution"/>
      </w:pPr>
      <w:r w:rsidRPr="00F53504">
        <w:t>Male, 40s, from regional area, to regional area</w:t>
      </w:r>
    </w:p>
    <w:p w14:paraId="0090D8C0" w14:textId="446B289C" w:rsidR="00270008" w:rsidRPr="00F53504" w:rsidRDefault="00270008" w:rsidP="00270008">
      <w:pPr>
        <w:pStyle w:val="Quote"/>
        <w:rPr>
          <w:lang w:val="en-AU"/>
        </w:rPr>
      </w:pPr>
      <w:r w:rsidRPr="00F53504">
        <w:rPr>
          <w:lang w:val="en-AU"/>
        </w:rPr>
        <w:t>“I started to make plans to move and paying for things before the grant was approved and I didn’t know that it had to be from the approval date...I could have waited until the approval date before I handed in my receipts because it was the date before. If I knew, I would have waited until the approval date and I didn’t kno</w:t>
      </w:r>
      <w:r w:rsidR="001E378E">
        <w:rPr>
          <w:lang w:val="en-AU"/>
        </w:rPr>
        <w:t>w that we couldn’t back claim.”</w:t>
      </w:r>
    </w:p>
    <w:p w14:paraId="4FD7EA42" w14:textId="77777777" w:rsidR="00270008" w:rsidRPr="00F53504" w:rsidRDefault="00270008" w:rsidP="00270008">
      <w:pPr>
        <w:pStyle w:val="Quoteattribution"/>
      </w:pPr>
      <w:r w:rsidRPr="00F53504">
        <w:t>Female, 20s, from capital city, to regional area</w:t>
      </w:r>
    </w:p>
    <w:p w14:paraId="2942BBC6" w14:textId="5ABEAF7A" w:rsidR="0041071D" w:rsidRPr="00F53504" w:rsidRDefault="00E558A6" w:rsidP="0041071D">
      <w:r>
        <w:t>Participants indicated that a lack of access to clear guidance, c</w:t>
      </w:r>
      <w:r w:rsidR="0041071D" w:rsidRPr="00F53504">
        <w:t>oupled with a lack of assistance from their providers</w:t>
      </w:r>
      <w:r>
        <w:t xml:space="preserve"> led to </w:t>
      </w:r>
      <w:r w:rsidR="0041071D" w:rsidRPr="00F53504">
        <w:t xml:space="preserve">reluctance to keep chasing reimbursements even though the expenses were eligible to </w:t>
      </w:r>
      <w:proofErr w:type="gramStart"/>
      <w:r w:rsidR="0041071D" w:rsidRPr="00F53504">
        <w:t>be claimed</w:t>
      </w:r>
      <w:proofErr w:type="gramEnd"/>
      <w:r w:rsidR="0041071D" w:rsidRPr="00F53504">
        <w:t xml:space="preserve"> under the </w:t>
      </w:r>
      <w:r w:rsidR="004F68D9" w:rsidRPr="00F53504">
        <w:t>program</w:t>
      </w:r>
      <w:r w:rsidR="001E378E">
        <w:t>.</w:t>
      </w:r>
    </w:p>
    <w:p w14:paraId="002A590D" w14:textId="77777777" w:rsidR="0041071D" w:rsidRPr="00F53504" w:rsidRDefault="0041071D" w:rsidP="0041071D">
      <w:pPr>
        <w:pStyle w:val="Quote"/>
        <w:rPr>
          <w:lang w:val="en-AU"/>
        </w:rPr>
      </w:pPr>
      <w:r w:rsidRPr="00F53504">
        <w:rPr>
          <w:lang w:val="en-AU"/>
        </w:rPr>
        <w:t xml:space="preserve">“Yeah just waiting for the payment, if that had come a little bit quicker. </w:t>
      </w:r>
      <w:proofErr w:type="gramStart"/>
      <w:r w:rsidRPr="00F53504">
        <w:rPr>
          <w:lang w:val="en-AU"/>
        </w:rPr>
        <w:t>That’s</w:t>
      </w:r>
      <w:proofErr w:type="gramEnd"/>
      <w:r w:rsidRPr="00F53504">
        <w:rPr>
          <w:lang w:val="en-AU"/>
        </w:rPr>
        <w:t xml:space="preserve"> the only thing, but that was a small glitch and it wasn’t something that made me desperate. It was something that was frustrating but not life threatening if you know what I mean.”</w:t>
      </w:r>
    </w:p>
    <w:p w14:paraId="73A6EB16" w14:textId="77777777" w:rsidR="0041071D" w:rsidRPr="00F53504" w:rsidRDefault="0041071D" w:rsidP="0041071D">
      <w:pPr>
        <w:pStyle w:val="Quoteattribution"/>
      </w:pPr>
      <w:r w:rsidRPr="00F53504">
        <w:t>Female, 50s, from regional area, to regional area</w:t>
      </w:r>
    </w:p>
    <w:p w14:paraId="6595A101" w14:textId="77777777" w:rsidR="0041071D" w:rsidRPr="00F53504" w:rsidRDefault="0041071D" w:rsidP="0041071D">
      <w:pPr>
        <w:pStyle w:val="Quote"/>
        <w:rPr>
          <w:lang w:val="en-AU"/>
        </w:rPr>
      </w:pPr>
      <w:r w:rsidRPr="00F53504">
        <w:rPr>
          <w:lang w:val="en-AU"/>
        </w:rPr>
        <w:t xml:space="preserve">“No. I </w:t>
      </w:r>
      <w:proofErr w:type="gramStart"/>
      <w:r w:rsidRPr="00F53504">
        <w:rPr>
          <w:lang w:val="en-AU"/>
        </w:rPr>
        <w:t>didn’t</w:t>
      </w:r>
      <w:proofErr w:type="gramEnd"/>
      <w:r w:rsidRPr="00F53504">
        <w:rPr>
          <w:lang w:val="en-AU"/>
        </w:rPr>
        <w:t xml:space="preserve"> chase. I just – because I told you [FAMILY] helped me also move so he gave me the money ahead and stuff like that so there’s no use doing – I couldn’t force anything and all I wanted to do was get into work so when that actually happened I was just fully into work [NUMBER] days a week. I </w:t>
      </w:r>
      <w:proofErr w:type="gramStart"/>
      <w:r w:rsidRPr="00F53504">
        <w:rPr>
          <w:lang w:val="en-AU"/>
        </w:rPr>
        <w:t>didn’t</w:t>
      </w:r>
      <w:proofErr w:type="gramEnd"/>
      <w:r w:rsidRPr="00F53504">
        <w:rPr>
          <w:lang w:val="en-AU"/>
        </w:rPr>
        <w:t xml:space="preserve"> have time to – when you’re doing it yourself – I can’t take time off work to try and chase the money that’s owing. </w:t>
      </w:r>
      <w:proofErr w:type="gramStart"/>
      <w:r w:rsidRPr="00F53504">
        <w:rPr>
          <w:lang w:val="en-AU"/>
        </w:rPr>
        <w:t>So</w:t>
      </w:r>
      <w:proofErr w:type="gramEnd"/>
      <w:r w:rsidRPr="00F53504">
        <w:rPr>
          <w:lang w:val="en-AU"/>
        </w:rPr>
        <w:t xml:space="preserve"> I’ll just absorb it. So I just pay [FAMILY] back.”</w:t>
      </w:r>
    </w:p>
    <w:p w14:paraId="384E8EE3" w14:textId="77777777" w:rsidR="0041071D" w:rsidRPr="00F53504" w:rsidRDefault="0041071D" w:rsidP="0041071D">
      <w:pPr>
        <w:pStyle w:val="Quoteattribution"/>
      </w:pPr>
      <w:r w:rsidRPr="00F53504">
        <w:t>Male, 50s, regional area, to capital city</w:t>
      </w:r>
    </w:p>
    <w:p w14:paraId="38CC670B" w14:textId="6E3FA14A" w:rsidR="0041071D" w:rsidRPr="00F53504" w:rsidRDefault="004D7229" w:rsidP="0041071D">
      <w:pPr>
        <w:rPr>
          <w:rFonts w:eastAsia="Calibri"/>
          <w:u w:color="000000"/>
          <w:lang w:eastAsia="en-AU"/>
        </w:rPr>
      </w:pPr>
      <w:r>
        <w:rPr>
          <w:rFonts w:eastAsia="Calibri"/>
          <w:u w:color="000000"/>
          <w:lang w:eastAsia="en-AU"/>
        </w:rPr>
        <w:t>Participants reported situations where</w:t>
      </w:r>
      <w:r w:rsidR="00EE56D9">
        <w:rPr>
          <w:rFonts w:eastAsia="Calibri"/>
          <w:u w:color="000000"/>
          <w:lang w:eastAsia="en-AU"/>
        </w:rPr>
        <w:t xml:space="preserve"> t</w:t>
      </w:r>
      <w:r w:rsidR="0041071D" w:rsidRPr="00F53504">
        <w:rPr>
          <w:rFonts w:eastAsia="Calibri"/>
          <w:u w:color="000000"/>
          <w:lang w:eastAsia="en-AU"/>
        </w:rPr>
        <w:t xml:space="preserve">he </w:t>
      </w:r>
      <w:r w:rsidR="006775E2" w:rsidRPr="00F53504">
        <w:rPr>
          <w:rFonts w:eastAsia="Calibri"/>
          <w:u w:color="000000"/>
          <w:lang w:eastAsia="en-AU"/>
        </w:rPr>
        <w:t xml:space="preserve">reimbursement </w:t>
      </w:r>
      <w:r w:rsidR="0041071D" w:rsidRPr="00F53504">
        <w:rPr>
          <w:rFonts w:eastAsia="Calibri"/>
          <w:u w:color="000000"/>
          <w:lang w:eastAsia="en-AU"/>
        </w:rPr>
        <w:t xml:space="preserve">model </w:t>
      </w:r>
      <w:r w:rsidR="001E6ED0" w:rsidRPr="00F53504">
        <w:rPr>
          <w:rFonts w:eastAsia="Calibri"/>
          <w:u w:color="000000"/>
          <w:lang w:eastAsia="en-AU"/>
        </w:rPr>
        <w:t xml:space="preserve">could </w:t>
      </w:r>
      <w:r w:rsidR="0041071D" w:rsidRPr="00F53504">
        <w:rPr>
          <w:rFonts w:eastAsia="Calibri"/>
          <w:u w:color="000000"/>
          <w:lang w:eastAsia="en-AU"/>
        </w:rPr>
        <w:t xml:space="preserve">add stress in </w:t>
      </w:r>
      <w:r w:rsidR="006775E2" w:rsidRPr="00F53504">
        <w:rPr>
          <w:rFonts w:eastAsia="Calibri"/>
          <w:u w:color="000000"/>
          <w:lang w:eastAsia="en-AU"/>
        </w:rPr>
        <w:t>finding accommodation, specifically the ability to act quickly to secure housing when competition for rented properties is tight.</w:t>
      </w:r>
    </w:p>
    <w:p w14:paraId="1499DCE7" w14:textId="31928271" w:rsidR="0041071D" w:rsidRPr="00F53504" w:rsidRDefault="0041071D" w:rsidP="0041071D">
      <w:pPr>
        <w:pStyle w:val="Quote"/>
        <w:rPr>
          <w:lang w:val="en-AU"/>
        </w:rPr>
      </w:pPr>
      <w:r w:rsidRPr="00F53504">
        <w:rPr>
          <w:lang w:val="en-AU"/>
        </w:rPr>
        <w:t xml:space="preserve">“The issue that I had was that I already had houses that I was putting in for that were snapped up by someone else. I </w:t>
      </w:r>
      <w:proofErr w:type="gramStart"/>
      <w:r w:rsidRPr="00F53504">
        <w:rPr>
          <w:lang w:val="en-AU"/>
        </w:rPr>
        <w:t>couldn’t</w:t>
      </w:r>
      <w:proofErr w:type="gramEnd"/>
      <w:r w:rsidRPr="00F53504">
        <w:rPr>
          <w:lang w:val="en-AU"/>
        </w:rPr>
        <w:t xml:space="preserve"> be waiting around for [TIME PERIOD] for my service provider to action an invoice from a real estate agent. The real estate would just say, “Well, I’m not going to wait for this, I’ll take the next person</w:t>
      </w:r>
      <w:r w:rsidR="004F677E">
        <w:rPr>
          <w:lang w:val="en-AU"/>
        </w:rPr>
        <w:t>.</w:t>
      </w:r>
      <w:r w:rsidRPr="00F53504">
        <w:rPr>
          <w:lang w:val="en-AU"/>
        </w:rPr>
        <w:t xml:space="preserve"> </w:t>
      </w:r>
      <w:r w:rsidR="004F677E">
        <w:rPr>
          <w:lang w:val="en-AU"/>
        </w:rPr>
        <w:t>T</w:t>
      </w:r>
      <w:r w:rsidRPr="00F53504">
        <w:rPr>
          <w:lang w:val="en-AU"/>
        </w:rPr>
        <w:t xml:space="preserve">hey’ve got their money ready.” So I ended up borrowing the money from [FAMILY] because I </w:t>
      </w:r>
      <w:proofErr w:type="gramStart"/>
      <w:r w:rsidRPr="00F53504">
        <w:rPr>
          <w:lang w:val="en-AU"/>
        </w:rPr>
        <w:t>don’t</w:t>
      </w:r>
      <w:proofErr w:type="gramEnd"/>
      <w:r w:rsidRPr="00F53504">
        <w:rPr>
          <w:lang w:val="en-AU"/>
        </w:rPr>
        <w:t xml:space="preserve"> have [AMOUNT] hanging around for bond, or whatever it was. I think it was [AMOUNT] or something. Yeah and if I’m on Centrelink benefits I don’t have </w:t>
      </w:r>
      <w:r w:rsidRPr="00F53504">
        <w:rPr>
          <w:lang w:val="en-AU"/>
        </w:rPr>
        <w:lastRenderedPageBreak/>
        <w:t>money to be moving interstate let alone putting up bond money for a place when I’m</w:t>
      </w:r>
      <w:r w:rsidR="00597A47">
        <w:rPr>
          <w:lang w:val="en-AU"/>
        </w:rPr>
        <w:t xml:space="preserve"> only just starting a new job.”</w:t>
      </w:r>
    </w:p>
    <w:p w14:paraId="6DBC3D77" w14:textId="77777777" w:rsidR="0041071D" w:rsidRPr="00F53504" w:rsidRDefault="0041071D" w:rsidP="0041071D">
      <w:pPr>
        <w:pStyle w:val="Quoteattribution"/>
      </w:pPr>
      <w:r w:rsidRPr="00F53504">
        <w:t>Male, 30s, from regional area, to capital city</w:t>
      </w:r>
    </w:p>
    <w:p w14:paraId="698EFD3B" w14:textId="77777777" w:rsidR="00DF7E91" w:rsidRPr="00F53504" w:rsidRDefault="00DF7E91" w:rsidP="00DF7E91">
      <w:r w:rsidRPr="00F53504">
        <w:t xml:space="preserve">The administration of expenses also caused difficulties for some participants and providers. For example, one provider stated that the necessity of having the relocation agreement signed before any costs </w:t>
      </w:r>
      <w:proofErr w:type="gramStart"/>
      <w:r w:rsidRPr="00F53504">
        <w:t>could be claimed</w:t>
      </w:r>
      <w:proofErr w:type="gramEnd"/>
      <w:r w:rsidRPr="00F53504">
        <w:t xml:space="preserve"> caused difficulties. This was particularly relevant when job seekers found their own employment and then approached their provider about financial assistance having already </w:t>
      </w:r>
      <w:proofErr w:type="gramStart"/>
      <w:r w:rsidRPr="00F53504">
        <w:t>made</w:t>
      </w:r>
      <w:proofErr w:type="gramEnd"/>
      <w:r w:rsidRPr="00F53504">
        <w:t xml:space="preserve"> some bookings or organised services that could have potentially been claimed through RATTUAJ.</w:t>
      </w:r>
    </w:p>
    <w:p w14:paraId="2D95BC24" w14:textId="77777777" w:rsidR="00DF7E91" w:rsidRPr="00F53504" w:rsidRDefault="00DF7E91" w:rsidP="00DF7E91">
      <w:pPr>
        <w:pStyle w:val="Quote"/>
        <w:rPr>
          <w:lang w:val="en-AU"/>
        </w:rPr>
      </w:pPr>
      <w:proofErr w:type="gramStart"/>
      <w:r w:rsidRPr="00F53504">
        <w:rPr>
          <w:lang w:val="en-AU"/>
        </w:rPr>
        <w:t>“It's more difficult to access this [RATTUAJ] package but this is just from our point of view the documentary evidence requirements and just the having everything in place in the right order rather than you know, if a job seeker relocates and tells us two days later and says, “Oh I’ve moved to Perth, I paid $600 for my flights and I’m now standing on the street, can you give me some money, can you give me, can you pay me back for my flights?”</w:t>
      </w:r>
      <w:proofErr w:type="gramEnd"/>
      <w:r w:rsidRPr="00F53504">
        <w:rPr>
          <w:lang w:val="en-AU"/>
        </w:rPr>
        <w:t xml:space="preserve"> We can, you know, with discretion, we could probably do that under Employment Fund but not for a job seeker that’s eligible for the [RATTUAJ] package.” </w:t>
      </w:r>
    </w:p>
    <w:p w14:paraId="645F86A5" w14:textId="77777777" w:rsidR="00DF7E91" w:rsidRPr="00F53504" w:rsidRDefault="00DF7E91" w:rsidP="00DF7E91">
      <w:pPr>
        <w:pStyle w:val="Quoteattribution"/>
      </w:pPr>
      <w:r w:rsidRPr="00F53504">
        <w:t xml:space="preserve">Provider, capital city, </w:t>
      </w:r>
      <w:r w:rsidR="00907747" w:rsidRPr="00F53504">
        <w:t>in-depth interview</w:t>
      </w:r>
    </w:p>
    <w:p w14:paraId="3FBD526A" w14:textId="77777777" w:rsidR="00DF7E91" w:rsidRPr="00F53504" w:rsidRDefault="00DF7E91" w:rsidP="00DF7E91">
      <w:pPr>
        <w:pStyle w:val="Quote"/>
        <w:rPr>
          <w:lang w:val="en-AU"/>
        </w:rPr>
      </w:pPr>
      <w:r w:rsidRPr="00F53504">
        <w:rPr>
          <w:lang w:val="en-AU"/>
        </w:rPr>
        <w:t xml:space="preserve">“Yeah I think probably in terms of actually the stipulations regarding the agreement in terms of actually placing the job seeker. Say for example if you do it round the wrong way and don’t approve the agreement before you place the job seeker then you can’t do the agreement.” </w:t>
      </w:r>
    </w:p>
    <w:p w14:paraId="5D0F8A9E" w14:textId="77777777" w:rsidR="00DF7E91" w:rsidRPr="00F53504" w:rsidRDefault="00DF7E91" w:rsidP="00DF7E91">
      <w:pPr>
        <w:pStyle w:val="Quoteattribution"/>
      </w:pPr>
      <w:r w:rsidRPr="00F53504">
        <w:t xml:space="preserve">Provider, regional area, </w:t>
      </w:r>
      <w:r w:rsidR="00907747" w:rsidRPr="00F53504">
        <w:t>in-depth interview</w:t>
      </w:r>
    </w:p>
    <w:p w14:paraId="3845AEA2" w14:textId="77777777" w:rsidR="000446F1" w:rsidRPr="00F53504" w:rsidRDefault="000446F1" w:rsidP="000446F1">
      <w:pPr>
        <w:pStyle w:val="Heading3"/>
      </w:pPr>
      <w:r w:rsidRPr="00F53504">
        <w:t>Payment and reclamation of rental bond</w:t>
      </w:r>
    </w:p>
    <w:p w14:paraId="64495185" w14:textId="4464B2FD" w:rsidR="000446F1" w:rsidRPr="00F53504" w:rsidRDefault="000446F1" w:rsidP="000446F1">
      <w:r w:rsidRPr="00F53504">
        <w:t xml:space="preserve">Under the RATTUAJ guidelines, rental bond is a cost that </w:t>
      </w:r>
      <w:proofErr w:type="gramStart"/>
      <w:r w:rsidRPr="00F53504">
        <w:t>can be claimed</w:t>
      </w:r>
      <w:proofErr w:type="gramEnd"/>
      <w:r w:rsidRPr="00F53504">
        <w:t xml:space="preserve"> by participants through the program. Records of bond payment are only available in the administrative data from the start of the jobactive contract (1 July 2015). Under JSA, payment of bond was harder to confirm as there was not a </w:t>
      </w:r>
      <w:r w:rsidR="00FE1DBD" w:rsidRPr="00F53504">
        <w:t xml:space="preserve">specific </w:t>
      </w:r>
      <w:r w:rsidRPr="00F53504">
        <w:t>claim code that could be reviewed. From record</w:t>
      </w:r>
      <w:r w:rsidR="00C37302">
        <w:t>s available under jobactive, 17 </w:t>
      </w:r>
      <w:r w:rsidRPr="00F53504">
        <w:t>per</w:t>
      </w:r>
      <w:r w:rsidR="00C37302">
        <w:t> </w:t>
      </w:r>
      <w:r w:rsidRPr="00F53504">
        <w:t>cent of participants claimed rental bond as part of their financial assistance through the program. This is relatively low, particularly given the substantial outlay rental bond would be to a participant that had been on</w:t>
      </w:r>
      <w:r w:rsidR="00C37302">
        <w:t xml:space="preserve"> income support for at least 12 </w:t>
      </w:r>
      <w:r w:rsidRPr="00F53504">
        <w:t>months.</w:t>
      </w:r>
    </w:p>
    <w:p w14:paraId="6BC93EE5" w14:textId="77777777" w:rsidR="000446F1" w:rsidRPr="00F53504" w:rsidRDefault="000446F1" w:rsidP="000446F1">
      <w:r w:rsidRPr="00F53504">
        <w:t>One potential reason bond</w:t>
      </w:r>
      <w:r w:rsidR="00DC36FD" w:rsidRPr="00F53504">
        <w:t>s</w:t>
      </w:r>
      <w:r w:rsidRPr="00F53504">
        <w:t xml:space="preserve"> ha</w:t>
      </w:r>
      <w:r w:rsidR="00DC36FD" w:rsidRPr="00F53504">
        <w:t>d</w:t>
      </w:r>
      <w:r w:rsidRPr="00F53504">
        <w:t xml:space="preserve"> a low share in the overall costs claimed </w:t>
      </w:r>
      <w:r w:rsidR="00DC36FD" w:rsidRPr="00F53504">
        <w:t>wa</w:t>
      </w:r>
      <w:r w:rsidRPr="00F53504">
        <w:t xml:space="preserve">s that providers may </w:t>
      </w:r>
      <w:r w:rsidR="00DC36FD" w:rsidRPr="00F53504">
        <w:t xml:space="preserve">have </w:t>
      </w:r>
      <w:r w:rsidRPr="00F53504">
        <w:t>perceive</w:t>
      </w:r>
      <w:r w:rsidR="00DC36FD" w:rsidRPr="00F53504">
        <w:t>d</w:t>
      </w:r>
      <w:r w:rsidRPr="00F53504">
        <w:t xml:space="preserve"> eligibility </w:t>
      </w:r>
      <w:r w:rsidR="00DC36FD" w:rsidRPr="00F53504">
        <w:t xml:space="preserve">for </w:t>
      </w:r>
      <w:r w:rsidRPr="00F53504">
        <w:t>the reclamation of bond money to be ambiguous. According to the Department’s guidelines:</w:t>
      </w:r>
    </w:p>
    <w:p w14:paraId="227EC065" w14:textId="77777777" w:rsidR="000446F1" w:rsidRPr="00F53504" w:rsidRDefault="000446F1" w:rsidP="000446F1">
      <w:pPr>
        <w:pStyle w:val="Quote"/>
        <w:rPr>
          <w:lang w:val="en-AU"/>
        </w:rPr>
      </w:pPr>
      <w:r w:rsidRPr="00F53504">
        <w:rPr>
          <w:lang w:val="en-AU"/>
        </w:rPr>
        <w:t xml:space="preserve">“The Employment Provider should have the bond paid and registered in the Employment Provider’s name. If it is not possible to have the bond paid and registered in the Employment Provider’s name, the bond </w:t>
      </w:r>
      <w:proofErr w:type="gramStart"/>
      <w:r w:rsidRPr="00F53504">
        <w:rPr>
          <w:lang w:val="en-AU"/>
        </w:rPr>
        <w:t>should be issued</w:t>
      </w:r>
      <w:proofErr w:type="gramEnd"/>
      <w:r w:rsidRPr="00F53504">
        <w:rPr>
          <w:lang w:val="en-AU"/>
        </w:rPr>
        <w:t xml:space="preserve"> in the job seeker’s name. The Employment Provider must inform the participant that it is their responsibility to return any remaining bond when the lease ends.”</w:t>
      </w:r>
    </w:p>
    <w:p w14:paraId="73A79710" w14:textId="07D2C51E" w:rsidR="006775E2" w:rsidRPr="00F53504" w:rsidRDefault="006775E2" w:rsidP="006775E2">
      <w:pPr>
        <w:pStyle w:val="Quoteattribution"/>
      </w:pPr>
      <w:r w:rsidRPr="00F53504">
        <w:t xml:space="preserve">Relocation Assistance to Take </w:t>
      </w:r>
      <w:proofErr w:type="gramStart"/>
      <w:r w:rsidRPr="00F53504">
        <w:t>Up</w:t>
      </w:r>
      <w:proofErr w:type="gramEnd"/>
      <w:r w:rsidRPr="00F53504">
        <w:t xml:space="preserve"> a Job Guidelines v1.3, Department of </w:t>
      </w:r>
      <w:r w:rsidR="00722C96">
        <w:t>Jobs and Small Business</w:t>
      </w:r>
    </w:p>
    <w:p w14:paraId="7F5B3FBD" w14:textId="7909DAC1" w:rsidR="000446F1" w:rsidRPr="00F53504" w:rsidRDefault="000446F1" w:rsidP="000446F1">
      <w:r w:rsidRPr="00F53504">
        <w:t xml:space="preserve">Providers reported that they were unsure whether it was their responsibility to reclaim bond on behalf of the Department if the job seeker did not return the bond. If providers are required to </w:t>
      </w:r>
      <w:r w:rsidRPr="00F53504">
        <w:lastRenderedPageBreak/>
        <w:t>recover the costs of bond, they may not have the resources to recover money from participants. Then there are additional complications such as the provider no longer operating – who is to recover the bond then? Perhaps due to this ambiguity of reclaiming bond, a few providers stated they were reluctant to offer t</w:t>
      </w:r>
      <w:r w:rsidR="00C37302">
        <w:t>o pay for a participant’s bond.</w:t>
      </w:r>
    </w:p>
    <w:p w14:paraId="6AA92A79" w14:textId="432D7685" w:rsidR="000446F1" w:rsidRPr="00F53504" w:rsidRDefault="000446F1" w:rsidP="000446F1">
      <w:pPr>
        <w:pStyle w:val="Quote"/>
        <w:rPr>
          <w:lang w:val="en-AU"/>
        </w:rPr>
      </w:pPr>
      <w:r w:rsidRPr="00F53504">
        <w:rPr>
          <w:lang w:val="en-AU"/>
        </w:rPr>
        <w:t>“I don’t like the fact that we pay for bond and then we’re responsible for potentially reclaiming that money on behalf of the Department</w:t>
      </w:r>
      <w:r w:rsidR="00F65436">
        <w:rPr>
          <w:lang w:val="en-AU"/>
        </w:rPr>
        <w:t>...</w:t>
      </w:r>
      <w:r w:rsidRPr="00F53504">
        <w:rPr>
          <w:lang w:val="en-AU"/>
        </w:rPr>
        <w:t>we just don’t tend to pay for bond. We should because it’s in the guidelines but then there’s I guess</w:t>
      </w:r>
      <w:r w:rsidR="00F65436">
        <w:rPr>
          <w:lang w:val="en-AU"/>
        </w:rPr>
        <w:t>...</w:t>
      </w:r>
      <w:r w:rsidRPr="00F53504">
        <w:rPr>
          <w:lang w:val="en-AU"/>
        </w:rPr>
        <w:t>a requirement for us to, should they leave that leasing situation, we then should be actually chasing that bond money up and having it repaid to the Department. I just think that’s an unrealistic expectatio</w:t>
      </w:r>
      <w:r w:rsidR="00C37302">
        <w:rPr>
          <w:lang w:val="en-AU"/>
        </w:rPr>
        <w:t>n so I tend not to offer bond.”</w:t>
      </w:r>
    </w:p>
    <w:p w14:paraId="76CF44B0" w14:textId="77777777" w:rsidR="000446F1" w:rsidRPr="00F53504" w:rsidRDefault="000446F1" w:rsidP="000446F1">
      <w:pPr>
        <w:pStyle w:val="Quoteattribution"/>
      </w:pPr>
      <w:r w:rsidRPr="00F53504">
        <w:t xml:space="preserve">Provider, regional area, </w:t>
      </w:r>
      <w:r w:rsidR="00907747" w:rsidRPr="00F53504">
        <w:t>in-depth interview</w:t>
      </w:r>
    </w:p>
    <w:p w14:paraId="088B00E3" w14:textId="77777777" w:rsidR="000446F1" w:rsidRPr="00F53504" w:rsidRDefault="000446F1" w:rsidP="000446F1">
      <w:pPr>
        <w:pStyle w:val="Quote"/>
        <w:rPr>
          <w:lang w:val="en-AU"/>
        </w:rPr>
      </w:pPr>
      <w:r w:rsidRPr="00F53504">
        <w:rPr>
          <w:lang w:val="en-AU"/>
        </w:rPr>
        <w:t xml:space="preserve">“There is that grey area, it’s meant to come back to [the provider] and we’re responsible for it. </w:t>
      </w:r>
      <w:proofErr w:type="gramStart"/>
      <w:r w:rsidRPr="00F53504">
        <w:rPr>
          <w:lang w:val="en-AU"/>
        </w:rPr>
        <w:t>So</w:t>
      </w:r>
      <w:proofErr w:type="gramEnd"/>
      <w:r w:rsidRPr="00F53504">
        <w:rPr>
          <w:lang w:val="en-AU"/>
        </w:rPr>
        <w:t xml:space="preserve"> we do it as eight weeks’ rent instead. And if their real estate wants to use it as – four weeks of it as bond and four weeks of it as rent, that’s fine, but that eight weeks’ rent is within the guidelines.”</w:t>
      </w:r>
    </w:p>
    <w:p w14:paraId="57ADBC23" w14:textId="77777777" w:rsidR="000446F1" w:rsidRPr="00F53504" w:rsidRDefault="000446F1" w:rsidP="000446F1">
      <w:pPr>
        <w:pStyle w:val="Quoteattribution"/>
      </w:pPr>
      <w:r w:rsidRPr="00F53504">
        <w:t xml:space="preserve">Provider, regional area, </w:t>
      </w:r>
      <w:r w:rsidR="00907747" w:rsidRPr="00F53504">
        <w:t>in-depth interview</w:t>
      </w:r>
    </w:p>
    <w:p w14:paraId="3F1762FB" w14:textId="77777777" w:rsidR="000446F1" w:rsidRPr="00F53504" w:rsidRDefault="000446F1" w:rsidP="000446F1">
      <w:r w:rsidRPr="00F53504">
        <w:t>Participants reported that providers’ unwillingness to pay for bond caused stress during the relocation process.</w:t>
      </w:r>
    </w:p>
    <w:p w14:paraId="7F3D0FF8" w14:textId="77777777" w:rsidR="000446F1" w:rsidRPr="00F53504" w:rsidRDefault="000446F1" w:rsidP="000446F1">
      <w:pPr>
        <w:pStyle w:val="Quote"/>
        <w:rPr>
          <w:lang w:val="en-AU"/>
        </w:rPr>
      </w:pPr>
      <w:r w:rsidRPr="00F53504">
        <w:rPr>
          <w:lang w:val="en-AU"/>
        </w:rPr>
        <w:t xml:space="preserve">“[The provider] said ‘No, bond is definitely not covered’ and I had to actually escalate it with the employment agency at Centrelink because I was concerned that these guys were saying no. </w:t>
      </w:r>
      <w:proofErr w:type="gramStart"/>
      <w:r w:rsidRPr="00F53504">
        <w:rPr>
          <w:lang w:val="en-AU"/>
        </w:rPr>
        <w:t>So</w:t>
      </w:r>
      <w:proofErr w:type="gramEnd"/>
      <w:r w:rsidRPr="00F53504">
        <w:rPr>
          <w:lang w:val="en-AU"/>
        </w:rPr>
        <w:t xml:space="preserve"> I was confused because if they say that, I can’t take the job because I’ve got to live somewhere. So there were a lot of problems with it regarding that and it was a lot of stress for me.”</w:t>
      </w:r>
    </w:p>
    <w:p w14:paraId="649AA6A9" w14:textId="77777777" w:rsidR="000446F1" w:rsidRPr="00F53504" w:rsidRDefault="000446F1" w:rsidP="000446F1">
      <w:pPr>
        <w:pStyle w:val="Quoteattribution"/>
      </w:pPr>
      <w:r w:rsidRPr="00F53504">
        <w:t>Male, 30s, from capital city, to regional area</w:t>
      </w:r>
    </w:p>
    <w:p w14:paraId="1BF88E1E" w14:textId="77777777" w:rsidR="00270008" w:rsidRPr="00F53504" w:rsidRDefault="00270008" w:rsidP="00270008">
      <w:pPr>
        <w:pStyle w:val="Heading3"/>
      </w:pPr>
      <w:bookmarkStart w:id="100" w:name="_Ref456018267"/>
      <w:r w:rsidRPr="00F53504">
        <w:t>Financial hardship provisions</w:t>
      </w:r>
      <w:bookmarkEnd w:id="100"/>
    </w:p>
    <w:p w14:paraId="2970DDE1" w14:textId="77777777" w:rsidR="00270008" w:rsidRPr="00F53504" w:rsidRDefault="00270008" w:rsidP="00270008">
      <w:r w:rsidRPr="00F53504">
        <w:t xml:space="preserve">The financial </w:t>
      </w:r>
      <w:r w:rsidR="005B74FF" w:rsidRPr="00F53504">
        <w:t xml:space="preserve">mechanisms in </w:t>
      </w:r>
      <w:r w:rsidR="0041378D" w:rsidRPr="00F53504">
        <w:t>RATTUAJ</w:t>
      </w:r>
      <w:r w:rsidR="005B74FF" w:rsidRPr="00F53504">
        <w:t xml:space="preserve"> aim</w:t>
      </w:r>
      <w:r w:rsidRPr="00F53504">
        <w:t xml:space="preserve"> to ensure that job seekers </w:t>
      </w:r>
      <w:proofErr w:type="gramStart"/>
      <w:r w:rsidRPr="00F53504">
        <w:t>are reimbursed</w:t>
      </w:r>
      <w:proofErr w:type="gramEnd"/>
      <w:r w:rsidRPr="00F53504">
        <w:t xml:space="preserve"> for legitimate costs. However, paying costs associated with relocating upfront can often be an unaffordable option for job seekers, particularly when a job seeker has been on income support for </w:t>
      </w:r>
      <w:r w:rsidR="005B74FF" w:rsidRPr="00F53504">
        <w:t>12 months or more</w:t>
      </w:r>
      <w:r w:rsidRPr="00F53504">
        <w:t>.</w:t>
      </w:r>
    </w:p>
    <w:p w14:paraId="69FCD76E" w14:textId="20D310B8" w:rsidR="00DC36FD" w:rsidRPr="00F53504" w:rsidRDefault="00270008" w:rsidP="00270008">
      <w:r w:rsidRPr="00F53504">
        <w:t xml:space="preserve">The RATTUAJ </w:t>
      </w:r>
      <w:r w:rsidR="004F68D9" w:rsidRPr="00F53504">
        <w:t>program</w:t>
      </w:r>
      <w:r w:rsidR="002D0E6E">
        <w:t>me</w:t>
      </w:r>
      <w:r w:rsidRPr="00F53504">
        <w:t xml:space="preserve"> guidelines provide for job seekers facing financial hardship. The guidelines describe ‘financial hardship’ as occurring when the participant would be unable to commence employment without an upfront payment being provided and allow </w:t>
      </w:r>
      <w:proofErr w:type="gramStart"/>
      <w:r w:rsidRPr="00F53504">
        <w:t>for providers</w:t>
      </w:r>
      <w:proofErr w:type="gramEnd"/>
      <w:r w:rsidRPr="00F53504">
        <w:t xml:space="preserve"> to give out upfront payments in these cases. Usually, these upfront payments consist of the providers paying direct to the supplier or offering the job seeker pre-paid</w:t>
      </w:r>
      <w:r w:rsidR="00C37302">
        <w:t xml:space="preserve"> cards for fuel or other costs.</w:t>
      </w:r>
    </w:p>
    <w:p w14:paraId="23E176DF" w14:textId="5A37035B" w:rsidR="00270008" w:rsidRPr="00F53504" w:rsidRDefault="00270008" w:rsidP="00270008">
      <w:r w:rsidRPr="00F53504">
        <w:t xml:space="preserve">Advance payments </w:t>
      </w:r>
      <w:proofErr w:type="gramStart"/>
      <w:r w:rsidRPr="00F53504">
        <w:t>can also be made</w:t>
      </w:r>
      <w:proofErr w:type="gramEnd"/>
      <w:r w:rsidRPr="00F53504">
        <w:t xml:space="preserve"> directly to the participants experiencing hardship if a provider cannot make the payment directly to the supplier on behalf of a job seeker. </w:t>
      </w:r>
      <w:r w:rsidR="00DC36FD" w:rsidRPr="00F53504">
        <w:t xml:space="preserve">A </w:t>
      </w:r>
      <w:r w:rsidRPr="00F53504">
        <w:t xml:space="preserve">few participants indicated that </w:t>
      </w:r>
      <w:r w:rsidR="00BB06BE" w:rsidRPr="00F53504">
        <w:t xml:space="preserve">their </w:t>
      </w:r>
      <w:r w:rsidRPr="00F53504">
        <w:t>service providers seemed ver</w:t>
      </w:r>
      <w:r w:rsidR="00C37302">
        <w:t>y reluctant to use this option.</w:t>
      </w:r>
    </w:p>
    <w:p w14:paraId="1B9A0FAC" w14:textId="30B9B1FE" w:rsidR="00270008" w:rsidRPr="00F53504" w:rsidRDefault="00270008" w:rsidP="00270008">
      <w:pPr>
        <w:pStyle w:val="Quote"/>
        <w:rPr>
          <w:lang w:val="en-AU"/>
        </w:rPr>
      </w:pPr>
      <w:r w:rsidRPr="00F53504">
        <w:rPr>
          <w:lang w:val="en-AU"/>
        </w:rPr>
        <w:t>“They told me if I would have paid the fuel that I drove down here with they were going to reimburse me but I didn’t really get that sort of thing</w:t>
      </w:r>
      <w:r w:rsidR="00F65436">
        <w:rPr>
          <w:lang w:val="en-AU"/>
        </w:rPr>
        <w:t>...</w:t>
      </w:r>
      <w:r w:rsidRPr="00F53504">
        <w:rPr>
          <w:lang w:val="en-AU"/>
        </w:rPr>
        <w:t xml:space="preserve"> I asked them to pay me fuel vouchers instead of giving me the money. They said they don’t do that</w:t>
      </w:r>
      <w:r w:rsidR="00F65436">
        <w:rPr>
          <w:lang w:val="en-AU"/>
        </w:rPr>
        <w:t>...</w:t>
      </w:r>
      <w:r w:rsidRPr="00F53504">
        <w:rPr>
          <w:lang w:val="en-AU"/>
        </w:rPr>
        <w:t>The only option was to just pay for the fuel, get down here and then they were going to reimburse me for that money.”</w:t>
      </w:r>
    </w:p>
    <w:p w14:paraId="0057F7FB" w14:textId="77777777" w:rsidR="00270008" w:rsidRPr="00F53504" w:rsidRDefault="00270008" w:rsidP="00270008">
      <w:pPr>
        <w:pStyle w:val="Quoteattribution"/>
      </w:pPr>
      <w:r w:rsidRPr="00F53504">
        <w:t>Female, 20s, from regional area, to capital city</w:t>
      </w:r>
    </w:p>
    <w:p w14:paraId="49D0F807" w14:textId="53F7CAB0" w:rsidR="00270008" w:rsidRPr="00F53504" w:rsidRDefault="00270008" w:rsidP="00270008">
      <w:r w:rsidRPr="00F53504">
        <w:lastRenderedPageBreak/>
        <w:t xml:space="preserve">One job seeker stated they </w:t>
      </w:r>
      <w:proofErr w:type="gramStart"/>
      <w:r w:rsidRPr="00F53504">
        <w:t>were not informed</w:t>
      </w:r>
      <w:proofErr w:type="gramEnd"/>
      <w:r w:rsidRPr="00F53504">
        <w:t xml:space="preserve"> of the possibility of upfront payments, although their lack of available money </w:t>
      </w:r>
      <w:r w:rsidR="00C37302">
        <w:t>made relocation more stressful.</w:t>
      </w:r>
    </w:p>
    <w:p w14:paraId="70C805F3" w14:textId="5CC6C295" w:rsidR="00270008" w:rsidRPr="00F53504" w:rsidRDefault="00270008" w:rsidP="00270008">
      <w:pPr>
        <w:pStyle w:val="Quote"/>
        <w:rPr>
          <w:lang w:val="en-AU"/>
        </w:rPr>
      </w:pPr>
      <w:r w:rsidRPr="00F53504">
        <w:rPr>
          <w:lang w:val="en-AU"/>
        </w:rPr>
        <w:t>“A lot of the expense I was putting on my credit card, which is already at a hefty rate being unemployed, and it took absolutely ages [to get reimbursed]</w:t>
      </w:r>
      <w:r w:rsidR="00F65436">
        <w:rPr>
          <w:lang w:val="en-AU"/>
        </w:rPr>
        <w:t>...</w:t>
      </w:r>
      <w:r w:rsidRPr="00F53504">
        <w:rPr>
          <w:lang w:val="en-AU"/>
        </w:rPr>
        <w:t xml:space="preserve"> So to give you an idea of how long it’s been taking</w:t>
      </w:r>
      <w:r w:rsidR="00F65436">
        <w:rPr>
          <w:lang w:val="en-AU"/>
        </w:rPr>
        <w:t>...</w:t>
      </w:r>
      <w:r w:rsidRPr="00F53504">
        <w:rPr>
          <w:lang w:val="en-AU"/>
        </w:rPr>
        <w:t>I was in a foreign town for the first time and I had all of $8 in my account and still no sign of reimbursement of my out of pocket expens</w:t>
      </w:r>
      <w:r w:rsidR="00C37302">
        <w:rPr>
          <w:lang w:val="en-AU"/>
        </w:rPr>
        <w:t>es.”</w:t>
      </w:r>
    </w:p>
    <w:p w14:paraId="44992899" w14:textId="77777777" w:rsidR="00270008" w:rsidRPr="00F53504" w:rsidRDefault="00270008" w:rsidP="00270008">
      <w:pPr>
        <w:pStyle w:val="Quoteattribution"/>
      </w:pPr>
      <w:r w:rsidRPr="00F53504">
        <w:t>Male, 50s, from regional area, to regional area</w:t>
      </w:r>
    </w:p>
    <w:p w14:paraId="42B75005" w14:textId="4B7D7AFE" w:rsidR="00270008" w:rsidRPr="00F53504" w:rsidRDefault="00270008" w:rsidP="00270008">
      <w:r w:rsidRPr="00F53504">
        <w:t xml:space="preserve">A few participants were told that </w:t>
      </w:r>
      <w:proofErr w:type="gramStart"/>
      <w:r w:rsidRPr="00F53504">
        <w:t>payment for costs such as fuel or short-term accommodation would be paid by the provider</w:t>
      </w:r>
      <w:proofErr w:type="gramEnd"/>
      <w:r w:rsidRPr="00F53504">
        <w:t xml:space="preserve"> during the relocation process. </w:t>
      </w:r>
      <w:r w:rsidR="00B15659" w:rsidRPr="00F53504">
        <w:t xml:space="preserve">This approach also presented difficulties for participants. </w:t>
      </w:r>
      <w:r w:rsidRPr="00F53504">
        <w:t xml:space="preserve">One participant </w:t>
      </w:r>
      <w:proofErr w:type="gramStart"/>
      <w:r w:rsidRPr="00F53504">
        <w:t>was asked</w:t>
      </w:r>
      <w:proofErr w:type="gramEnd"/>
      <w:r w:rsidRPr="00F53504">
        <w:t xml:space="preserve"> to phone their provider during the relocation </w:t>
      </w:r>
      <w:r w:rsidR="00781916" w:rsidRPr="00F53504">
        <w:t xml:space="preserve">to pay for fuel </w:t>
      </w:r>
      <w:r w:rsidR="00B15659" w:rsidRPr="00F53504">
        <w:t xml:space="preserve">with the intent that the </w:t>
      </w:r>
      <w:r w:rsidRPr="00F53504">
        <w:t xml:space="preserve">provider </w:t>
      </w:r>
      <w:r w:rsidR="00B15659" w:rsidRPr="00F53504">
        <w:t>would pay</w:t>
      </w:r>
      <w:r w:rsidRPr="00F53504">
        <w:t xml:space="preserve"> the costs over the phone. </w:t>
      </w:r>
      <w:r w:rsidR="00DC36FD" w:rsidRPr="00F53504">
        <w:t>I</w:t>
      </w:r>
      <w:r w:rsidRPr="00F53504">
        <w:t xml:space="preserve">n this particular </w:t>
      </w:r>
      <w:proofErr w:type="gramStart"/>
      <w:r w:rsidRPr="00F53504">
        <w:t>case</w:t>
      </w:r>
      <w:proofErr w:type="gramEnd"/>
      <w:r w:rsidRPr="00F53504">
        <w:t xml:space="preserve"> the provider was not available at the time of the participant’s call, resulting in uncertainty </w:t>
      </w:r>
      <w:r w:rsidR="00B01DBB" w:rsidRPr="00F53504">
        <w:t xml:space="preserve">and embarrassment </w:t>
      </w:r>
      <w:r w:rsidR="00144284">
        <w:t>for the participant:</w:t>
      </w:r>
    </w:p>
    <w:p w14:paraId="0D85B2E0" w14:textId="21D14681" w:rsidR="00270008" w:rsidRPr="00F53504" w:rsidRDefault="00270008" w:rsidP="00270008">
      <w:pPr>
        <w:pStyle w:val="Quote"/>
        <w:rPr>
          <w:lang w:val="en-AU"/>
        </w:rPr>
      </w:pPr>
      <w:r w:rsidRPr="00F53504">
        <w:rPr>
          <w:lang w:val="en-AU"/>
        </w:rPr>
        <w:t xml:space="preserve">“I think if you’re going to give out your number and say, “Call me at this time” - have your phone on you at that time and be expecting that call. She gave me a time to call her, and she gave me her work mobile and her personal, and I </w:t>
      </w:r>
      <w:proofErr w:type="gramStart"/>
      <w:r w:rsidRPr="00F53504">
        <w:rPr>
          <w:lang w:val="en-AU"/>
        </w:rPr>
        <w:t>couldn’t</w:t>
      </w:r>
      <w:proofErr w:type="gramEnd"/>
      <w:r w:rsidRPr="00F53504">
        <w:rPr>
          <w:lang w:val="en-AU"/>
        </w:rPr>
        <w:t xml:space="preserve"> get through to her. I ended up calling the office and they told me that </w:t>
      </w:r>
      <w:proofErr w:type="gramStart"/>
      <w:r w:rsidRPr="00F53504">
        <w:rPr>
          <w:lang w:val="en-AU"/>
        </w:rPr>
        <w:t>they’d</w:t>
      </w:r>
      <w:proofErr w:type="gramEnd"/>
      <w:r w:rsidRPr="00F53504">
        <w:rPr>
          <w:lang w:val="en-AU"/>
        </w:rPr>
        <w:t xml:space="preserve"> get her to call back once she gets into work. Which was difficult for me because I had to sit at the fuel station w</w:t>
      </w:r>
      <w:r w:rsidR="00C37302">
        <w:rPr>
          <w:lang w:val="en-AU"/>
        </w:rPr>
        <w:t>aiting.”</w:t>
      </w:r>
    </w:p>
    <w:p w14:paraId="5D2BF3CB" w14:textId="77777777" w:rsidR="00270008" w:rsidRPr="00F53504" w:rsidRDefault="00270008" w:rsidP="00270008">
      <w:pPr>
        <w:pStyle w:val="Quoteattribution"/>
      </w:pPr>
      <w:r w:rsidRPr="00F53504">
        <w:t>Female, 20s, from regional area, to regional area</w:t>
      </w:r>
    </w:p>
    <w:p w14:paraId="7A34AA54" w14:textId="77777777" w:rsidR="00270008" w:rsidRPr="00F53504" w:rsidRDefault="00270008" w:rsidP="00270008">
      <w:r w:rsidRPr="00F53504">
        <w:t xml:space="preserve">Another participant was told that the provider would pay the hotel directly, however when the payment had not been </w:t>
      </w:r>
      <w:proofErr w:type="gramStart"/>
      <w:r w:rsidRPr="00F53504">
        <w:t>made</w:t>
      </w:r>
      <w:proofErr w:type="gramEnd"/>
      <w:r w:rsidRPr="00F53504">
        <w:t xml:space="preserve"> the hotel manager had to ask the participant for payment:</w:t>
      </w:r>
    </w:p>
    <w:p w14:paraId="517754D2" w14:textId="5F8598B7" w:rsidR="00270008" w:rsidRPr="00F53504" w:rsidRDefault="00270008" w:rsidP="00270008">
      <w:pPr>
        <w:pStyle w:val="Quote"/>
        <w:rPr>
          <w:lang w:val="en-AU"/>
        </w:rPr>
      </w:pPr>
      <w:proofErr w:type="gramStart"/>
      <w:r w:rsidRPr="00F53504">
        <w:rPr>
          <w:lang w:val="en-AU"/>
        </w:rPr>
        <w:t>“See that was another thing you know like for example, the manager of the hotel was wanting payment, they hadn’t received any payment, despite me giving them a pro-forma invoice even before I left</w:t>
      </w:r>
      <w:r w:rsidR="00F65436">
        <w:rPr>
          <w:lang w:val="en-AU"/>
        </w:rPr>
        <w:t>...</w:t>
      </w:r>
      <w:r w:rsidRPr="00F53504">
        <w:rPr>
          <w:lang w:val="en-AU"/>
        </w:rPr>
        <w:t>Coming up in the second week the hotel manager asked me for payment, I wasn’t able to give him payment because I had no money in my account and I thought, God this is incredible, I might be thrown out on the street here now</w:t>
      </w:r>
      <w:r w:rsidR="00F65436">
        <w:rPr>
          <w:lang w:val="en-AU"/>
        </w:rPr>
        <w:t>...</w:t>
      </w:r>
      <w:r w:rsidRPr="00F53504">
        <w:rPr>
          <w:lang w:val="en-AU"/>
        </w:rPr>
        <w:t>And finally [the provider] took it upon themselves to pay with a credit card or something in their office, the hotel bill, so that was a relief, but once again it just you know, the client should not be put in those kinds of situations you know that we’re talking about money</w:t>
      </w:r>
      <w:r w:rsidR="00C37302">
        <w:rPr>
          <w:lang w:val="en-AU"/>
        </w:rPr>
        <w:t xml:space="preserve"> that we’re not in control of.”</w:t>
      </w:r>
      <w:proofErr w:type="gramEnd"/>
    </w:p>
    <w:p w14:paraId="69FDE350" w14:textId="77777777" w:rsidR="00270008" w:rsidRPr="00F53504" w:rsidRDefault="00270008" w:rsidP="00270008">
      <w:pPr>
        <w:pStyle w:val="Quoteattribution"/>
      </w:pPr>
      <w:r w:rsidRPr="00F53504">
        <w:t>Male, 50s, from regional area, to regional area</w:t>
      </w:r>
    </w:p>
    <w:p w14:paraId="4C066AE6" w14:textId="10121C6B" w:rsidR="006B7ABB" w:rsidRPr="00F53504" w:rsidRDefault="006B7ABB" w:rsidP="006B7ABB">
      <w:r w:rsidRPr="00F53504">
        <w:t xml:space="preserve">A few </w:t>
      </w:r>
      <w:r w:rsidR="00AD486E" w:rsidRPr="00F53504">
        <w:t>participant</w:t>
      </w:r>
      <w:r w:rsidRPr="00F53504">
        <w:t xml:space="preserve">s </w:t>
      </w:r>
      <w:r w:rsidR="00AB0780" w:rsidRPr="00F53504">
        <w:t xml:space="preserve">reported having </w:t>
      </w:r>
      <w:r w:rsidRPr="00F53504">
        <w:t>to borrow money in order to pay for the</w:t>
      </w:r>
      <w:r w:rsidR="00C37302">
        <w:t>ir relocation expenses upfront.</w:t>
      </w:r>
    </w:p>
    <w:p w14:paraId="2D3FD68B" w14:textId="14A919BF" w:rsidR="006B7ABB" w:rsidRPr="00F53504" w:rsidRDefault="006B7ABB" w:rsidP="006B7ABB">
      <w:pPr>
        <w:pStyle w:val="Quote"/>
        <w:rPr>
          <w:lang w:val="en-AU"/>
        </w:rPr>
      </w:pPr>
      <w:r w:rsidRPr="00F53504">
        <w:rPr>
          <w:lang w:val="en-AU"/>
        </w:rPr>
        <w:t>“No I actually had to borrow the money because I had to get here for my job so I had to borrow the money to get up here and it was quite hard. I didn’t have a</w:t>
      </w:r>
      <w:r w:rsidR="00C37302">
        <w:rPr>
          <w:lang w:val="en-AU"/>
        </w:rPr>
        <w:t xml:space="preserve"> lot of money to come up with.”</w:t>
      </w:r>
    </w:p>
    <w:p w14:paraId="051655EF" w14:textId="77777777" w:rsidR="006B7ABB" w:rsidRPr="00F53504" w:rsidRDefault="006B7ABB" w:rsidP="006B7ABB">
      <w:pPr>
        <w:pStyle w:val="Quoteattribution"/>
      </w:pPr>
      <w:r w:rsidRPr="00F53504">
        <w:t>Female, 30s, from capital city, to capital city</w:t>
      </w:r>
    </w:p>
    <w:p w14:paraId="44EB7795" w14:textId="6FDFE6E0" w:rsidR="006B7ABB" w:rsidRPr="00F53504" w:rsidRDefault="006B7ABB" w:rsidP="006B7ABB">
      <w:pPr>
        <w:pStyle w:val="Quote"/>
        <w:rPr>
          <w:lang w:val="en-AU"/>
        </w:rPr>
      </w:pPr>
      <w:r w:rsidRPr="00F53504">
        <w:rPr>
          <w:lang w:val="en-AU"/>
        </w:rPr>
        <w:t xml:space="preserve">“It was hard because they only gave me a week to get everything organised. I </w:t>
      </w:r>
      <w:proofErr w:type="gramStart"/>
      <w:r w:rsidRPr="00F53504">
        <w:rPr>
          <w:lang w:val="en-AU"/>
        </w:rPr>
        <w:t>didn’t</w:t>
      </w:r>
      <w:proofErr w:type="gramEnd"/>
      <w:r w:rsidRPr="00F53504">
        <w:rPr>
          <w:lang w:val="en-AU"/>
        </w:rPr>
        <w:t xml:space="preserve"> have much money to come down with. The flights were expensive so I had to borrow my [FAMILY MEMBER’S] car and pay fuel. I drove by myself down here</w:t>
      </w:r>
      <w:r w:rsidR="00F65436">
        <w:rPr>
          <w:lang w:val="en-AU"/>
        </w:rPr>
        <w:t>...</w:t>
      </w:r>
      <w:r w:rsidRPr="00F53504">
        <w:rPr>
          <w:lang w:val="en-AU"/>
        </w:rPr>
        <w:t xml:space="preserve"> It was an odd week that I </w:t>
      </w:r>
      <w:proofErr w:type="gramStart"/>
      <w:r w:rsidRPr="00F53504">
        <w:rPr>
          <w:lang w:val="en-AU"/>
        </w:rPr>
        <w:t>didn’t get</w:t>
      </w:r>
      <w:proofErr w:type="gramEnd"/>
      <w:r w:rsidRPr="00F53504">
        <w:rPr>
          <w:lang w:val="en-AU"/>
        </w:rPr>
        <w:t xml:space="preserve"> paid so I had no money at all. I had to scrape up money for fuel and for flights. My job provider </w:t>
      </w:r>
      <w:r w:rsidRPr="00F53504">
        <w:rPr>
          <w:lang w:val="en-AU"/>
        </w:rPr>
        <w:lastRenderedPageBreak/>
        <w:t xml:space="preserve">that I was up there with, they </w:t>
      </w:r>
      <w:proofErr w:type="gramStart"/>
      <w:r w:rsidRPr="00F53504">
        <w:rPr>
          <w:lang w:val="en-AU"/>
        </w:rPr>
        <w:t>didn’t</w:t>
      </w:r>
      <w:proofErr w:type="gramEnd"/>
      <w:r w:rsidRPr="00F53504">
        <w:rPr>
          <w:lang w:val="en-AU"/>
        </w:rPr>
        <w:t xml:space="preserve"> have any funding for me. They only did a purchase order f</w:t>
      </w:r>
      <w:r w:rsidR="00C37302">
        <w:rPr>
          <w:lang w:val="en-AU"/>
        </w:rPr>
        <w:t>or three work pants and shoes.”</w:t>
      </w:r>
    </w:p>
    <w:p w14:paraId="18576D17" w14:textId="77777777" w:rsidR="006B7ABB" w:rsidRPr="00F53504" w:rsidRDefault="006B7ABB" w:rsidP="006B7ABB">
      <w:pPr>
        <w:pStyle w:val="Quoteattribution"/>
      </w:pPr>
      <w:r w:rsidRPr="00F53504">
        <w:t>Female, 20s, from regional area, to capital city</w:t>
      </w:r>
    </w:p>
    <w:p w14:paraId="6D00DCA6" w14:textId="77777777" w:rsidR="00270008" w:rsidRPr="00F53504" w:rsidRDefault="00D15817" w:rsidP="00270008">
      <w:pPr>
        <w:pStyle w:val="Heading3"/>
      </w:pPr>
      <w:r w:rsidRPr="00F53504">
        <w:t xml:space="preserve">Requirement for multiple </w:t>
      </w:r>
      <w:r w:rsidR="00270008" w:rsidRPr="00F53504">
        <w:t>quotes</w:t>
      </w:r>
      <w:r w:rsidR="00640046" w:rsidRPr="00F53504">
        <w:t xml:space="preserve"> before expenditure</w:t>
      </w:r>
    </w:p>
    <w:p w14:paraId="551DCF94" w14:textId="2188A87D" w:rsidR="003629A7" w:rsidRPr="00F53504" w:rsidRDefault="00270008" w:rsidP="00270008">
      <w:r w:rsidRPr="00F53504">
        <w:t xml:space="preserve">The </w:t>
      </w:r>
      <w:r w:rsidR="00FB1253" w:rsidRPr="00F53504">
        <w:t xml:space="preserve">tight timeframes </w:t>
      </w:r>
      <w:r w:rsidR="00FB1253">
        <w:t xml:space="preserve">for relocation </w:t>
      </w:r>
      <w:r w:rsidR="0034649D">
        <w:t xml:space="preserve">and the </w:t>
      </w:r>
      <w:r w:rsidR="00FB1253">
        <w:t xml:space="preserve">requirements for multiple quotes </w:t>
      </w:r>
      <w:r w:rsidR="00FB1253" w:rsidRPr="00F53504">
        <w:t>resulted in difficulties for both participants and providers.</w:t>
      </w:r>
      <w:r w:rsidR="00FB1253">
        <w:t xml:space="preserve"> </w:t>
      </w:r>
      <w:r w:rsidRPr="00F53504">
        <w:t xml:space="preserve">RATTUAJ </w:t>
      </w:r>
      <w:r w:rsidR="004F68D9" w:rsidRPr="00F53504">
        <w:t>program</w:t>
      </w:r>
      <w:r w:rsidR="002D0E6E">
        <w:t>me</w:t>
      </w:r>
      <w:r w:rsidRPr="00F53504">
        <w:t xml:space="preserve"> guidelines indicate that participants or providers are</w:t>
      </w:r>
      <w:r w:rsidR="00AA486E" w:rsidRPr="00F53504">
        <w:t>,</w:t>
      </w:r>
      <w:r w:rsidR="00511DAD" w:rsidRPr="00F53504">
        <w:t xml:space="preserve"> in some circumstances</w:t>
      </w:r>
      <w:r w:rsidR="00AA486E" w:rsidRPr="00F53504">
        <w:t>,</w:t>
      </w:r>
      <w:r w:rsidRPr="00F53504">
        <w:t xml:space="preserve"> required to obtain two quotes for services and goods relating to relocation, unless there is only one supplier available, and undertake to receive value for money for the service. Two quotes are required for larger costs, such as plane tickets, car hire, cleaning fees, temporary accommodation and removalist</w:t>
      </w:r>
      <w:r w:rsidR="00511DAD" w:rsidRPr="00F53504">
        <w:t>s</w:t>
      </w:r>
      <w:r w:rsidRPr="00F53504">
        <w:t xml:space="preserve">. </w:t>
      </w:r>
      <w:r w:rsidR="003629A7" w:rsidRPr="00F53504">
        <w:t>Many</w:t>
      </w:r>
      <w:r w:rsidRPr="00F53504">
        <w:t xml:space="preserve"> participants </w:t>
      </w:r>
      <w:r w:rsidR="003629A7" w:rsidRPr="00F53504">
        <w:t>reported that they were</w:t>
      </w:r>
      <w:r w:rsidRPr="00F53504">
        <w:t xml:space="preserve"> required to relocate</w:t>
      </w:r>
      <w:r w:rsidR="003629A7" w:rsidRPr="00F53504">
        <w:t xml:space="preserve"> relatively quickly. This </w:t>
      </w:r>
      <w:proofErr w:type="gramStart"/>
      <w:r w:rsidR="003629A7" w:rsidRPr="00F53504">
        <w:t>is supported</w:t>
      </w:r>
      <w:proofErr w:type="gramEnd"/>
      <w:r w:rsidR="003629A7" w:rsidRPr="00F53504">
        <w:t xml:space="preserve"> by the administrative data that showed the average number of days between the start of Relocation Agreement and the date a participant started their job was 12.9 days, with a median of 8 days.</w:t>
      </w:r>
    </w:p>
    <w:p w14:paraId="727B0E75" w14:textId="51A8FAF6" w:rsidR="00270008" w:rsidRPr="00F53504" w:rsidRDefault="00270008" w:rsidP="00270008">
      <w:pPr>
        <w:pStyle w:val="Quote"/>
        <w:rPr>
          <w:lang w:val="en-AU"/>
        </w:rPr>
      </w:pPr>
      <w:r w:rsidRPr="00F53504">
        <w:rPr>
          <w:lang w:val="en-AU"/>
        </w:rPr>
        <w:t xml:space="preserve">“So, I had to get quotes, two quotes for each service, or minimum of two quotes. So, best value for money obviously, to </w:t>
      </w:r>
      <w:proofErr w:type="gramStart"/>
      <w:r w:rsidRPr="00F53504">
        <w:rPr>
          <w:lang w:val="en-AU"/>
        </w:rPr>
        <w:t>be put</w:t>
      </w:r>
      <w:proofErr w:type="gramEnd"/>
      <w:r w:rsidRPr="00F53504">
        <w:rPr>
          <w:lang w:val="en-AU"/>
        </w:rPr>
        <w:t xml:space="preserve"> up against, in regards to them paying for a service. Look, the process, </w:t>
      </w:r>
      <w:proofErr w:type="gramStart"/>
      <w:r w:rsidRPr="00F53504">
        <w:rPr>
          <w:lang w:val="en-AU"/>
        </w:rPr>
        <w:t>there was nothing wrong with the process</w:t>
      </w:r>
      <w:proofErr w:type="gramEnd"/>
      <w:r w:rsidRPr="00F53504">
        <w:rPr>
          <w:lang w:val="en-AU"/>
        </w:rPr>
        <w:t xml:space="preserve">, </w:t>
      </w:r>
      <w:proofErr w:type="gramStart"/>
      <w:r w:rsidRPr="00F53504">
        <w:rPr>
          <w:lang w:val="en-AU"/>
        </w:rPr>
        <w:t>it was the timeframes</w:t>
      </w:r>
      <w:proofErr w:type="gramEnd"/>
      <w:r w:rsidRPr="00F53504">
        <w:rPr>
          <w:lang w:val="en-AU"/>
        </w:rPr>
        <w:t>. [The provider’s] accounts side of things need to take into consideration, especially when the urgency was there</w:t>
      </w:r>
      <w:r w:rsidR="00F65436">
        <w:rPr>
          <w:lang w:val="en-AU"/>
        </w:rPr>
        <w:t>...</w:t>
      </w:r>
      <w:r w:rsidRPr="00F53504">
        <w:rPr>
          <w:lang w:val="en-AU"/>
        </w:rPr>
        <w:t xml:space="preserve">it wasn’t like I was waiting </w:t>
      </w:r>
      <w:r w:rsidR="00B15659" w:rsidRPr="00F53504">
        <w:rPr>
          <w:lang w:val="en-AU"/>
        </w:rPr>
        <w:t>‘</w:t>
      </w:r>
      <w:r w:rsidRPr="00F53504">
        <w:rPr>
          <w:lang w:val="en-AU"/>
        </w:rPr>
        <w:t>til after I’d moved up here, like they had everything before, like way before I even booked my [flights], because they said they were going to book it and they didn’t. So I ended up having to pay for it because there were two seats left, and the price would ha</w:t>
      </w:r>
      <w:r w:rsidR="00C37302">
        <w:rPr>
          <w:lang w:val="en-AU"/>
        </w:rPr>
        <w:t>ve been triple if I’d left it.”</w:t>
      </w:r>
    </w:p>
    <w:p w14:paraId="75E6A299" w14:textId="77777777" w:rsidR="00270008" w:rsidRPr="00F53504" w:rsidRDefault="00270008" w:rsidP="00270008">
      <w:pPr>
        <w:pStyle w:val="Quoteattribution"/>
      </w:pPr>
      <w:r w:rsidRPr="00F53504">
        <w:t>Female, 40s, from capital city, to regional area</w:t>
      </w:r>
    </w:p>
    <w:p w14:paraId="2BF8D0C7" w14:textId="37B10318" w:rsidR="00270008" w:rsidRPr="00F53504" w:rsidRDefault="00270008" w:rsidP="00270008">
      <w:pPr>
        <w:pStyle w:val="Quote"/>
        <w:rPr>
          <w:lang w:val="en-AU"/>
        </w:rPr>
      </w:pPr>
      <w:r w:rsidRPr="00F53504">
        <w:rPr>
          <w:lang w:val="en-AU"/>
        </w:rPr>
        <w:t xml:space="preserve">“So I just went online and just took quotes off - what I had to do is obviously measure the difference. I </w:t>
      </w:r>
      <w:proofErr w:type="gramStart"/>
      <w:r w:rsidRPr="00F53504">
        <w:rPr>
          <w:lang w:val="en-AU"/>
        </w:rPr>
        <w:t>didn’t</w:t>
      </w:r>
      <w:proofErr w:type="gramEnd"/>
      <w:r w:rsidRPr="00F53504">
        <w:rPr>
          <w:lang w:val="en-AU"/>
        </w:rPr>
        <w:t xml:space="preserve"> have a car at the time so I had to rent a car. </w:t>
      </w:r>
      <w:proofErr w:type="gramStart"/>
      <w:r w:rsidRPr="00F53504">
        <w:rPr>
          <w:lang w:val="en-AU"/>
        </w:rPr>
        <w:t>So</w:t>
      </w:r>
      <w:proofErr w:type="gramEnd"/>
      <w:r w:rsidRPr="00F53504">
        <w:rPr>
          <w:lang w:val="en-AU"/>
        </w:rPr>
        <w:t xml:space="preserve"> I had to</w:t>
      </w:r>
      <w:r w:rsidR="00F65436">
        <w:rPr>
          <w:lang w:val="en-AU"/>
        </w:rPr>
        <w:t>...</w:t>
      </w:r>
      <w:r w:rsidRPr="00F53504">
        <w:rPr>
          <w:lang w:val="en-AU"/>
        </w:rPr>
        <w:t xml:space="preserve">take into consideration how many days it would take, fuel, food, where I would stay and all that. </w:t>
      </w:r>
      <w:proofErr w:type="gramStart"/>
      <w:r w:rsidRPr="00F53504">
        <w:rPr>
          <w:lang w:val="en-AU"/>
        </w:rPr>
        <w:t>So</w:t>
      </w:r>
      <w:proofErr w:type="gramEnd"/>
      <w:r w:rsidRPr="00F53504">
        <w:rPr>
          <w:lang w:val="en-AU"/>
        </w:rPr>
        <w:t xml:space="preserve"> I didn’t get it. What I did is I did two options. I did two versions of the same thing essentially and what they took from it is they said </w:t>
      </w:r>
      <w:proofErr w:type="gramStart"/>
      <w:r w:rsidRPr="00F53504">
        <w:rPr>
          <w:lang w:val="en-AU"/>
        </w:rPr>
        <w:t>we’re</w:t>
      </w:r>
      <w:proofErr w:type="gramEnd"/>
      <w:r w:rsidRPr="00F53504">
        <w:rPr>
          <w:lang w:val="en-AU"/>
        </w:rPr>
        <w:t xml:space="preserve"> just going to go with the cheapest option. Anyway, </w:t>
      </w:r>
      <w:proofErr w:type="gramStart"/>
      <w:r w:rsidRPr="00F53504">
        <w:rPr>
          <w:lang w:val="en-AU"/>
        </w:rPr>
        <w:t>a week or so later when they finally approved it the prices</w:t>
      </w:r>
      <w:proofErr w:type="gramEnd"/>
      <w:r w:rsidRPr="00F53504">
        <w:rPr>
          <w:lang w:val="en-AU"/>
        </w:rPr>
        <w:t xml:space="preserve"> had changed for accommodation, for the rental and all that. </w:t>
      </w:r>
      <w:proofErr w:type="gramStart"/>
      <w:r w:rsidRPr="00F53504">
        <w:rPr>
          <w:lang w:val="en-AU"/>
        </w:rPr>
        <w:t>So</w:t>
      </w:r>
      <w:proofErr w:type="gramEnd"/>
      <w:r w:rsidRPr="00F53504">
        <w:rPr>
          <w:lang w:val="en-AU"/>
        </w:rPr>
        <w:t xml:space="preserve"> in the end I was out of pocket in the end. </w:t>
      </w:r>
      <w:r w:rsidR="00C37302">
        <w:rPr>
          <w:lang w:val="en-AU"/>
        </w:rPr>
        <w:t>I actually had to spend money”.</w:t>
      </w:r>
    </w:p>
    <w:p w14:paraId="036E2C40" w14:textId="77777777" w:rsidR="00270008" w:rsidRPr="00F53504" w:rsidRDefault="00270008" w:rsidP="00270008">
      <w:pPr>
        <w:pStyle w:val="Quoteattribution"/>
      </w:pPr>
      <w:r w:rsidRPr="00F53504">
        <w:t>Male, 30s, from capital city, to regional area</w:t>
      </w:r>
    </w:p>
    <w:p w14:paraId="34A45171" w14:textId="77777777" w:rsidR="00270008" w:rsidRPr="00F53504" w:rsidRDefault="00270008" w:rsidP="00270008">
      <w:r w:rsidRPr="00F53504">
        <w:t xml:space="preserve">Providers had similar comments to the participants, stating that the need for multiple quotes was difficult in the relatively short timeframes. </w:t>
      </w:r>
    </w:p>
    <w:p w14:paraId="1ED52CC0" w14:textId="7EB13DA4" w:rsidR="00270008" w:rsidRPr="00F53504" w:rsidRDefault="00270008" w:rsidP="00270008">
      <w:pPr>
        <w:pStyle w:val="Quote"/>
        <w:rPr>
          <w:lang w:val="en-AU"/>
        </w:rPr>
      </w:pPr>
      <w:r w:rsidRPr="00F53504">
        <w:rPr>
          <w:lang w:val="en-AU"/>
        </w:rPr>
        <w:t xml:space="preserve">“I think there needs to be a little bit of leeway in terms of the agreement because often short timeframes are involved in it. </w:t>
      </w:r>
      <w:proofErr w:type="gramStart"/>
      <w:r w:rsidRPr="00F53504">
        <w:rPr>
          <w:lang w:val="en-AU"/>
        </w:rPr>
        <w:t>It’s</w:t>
      </w:r>
      <w:proofErr w:type="gramEnd"/>
      <w:r w:rsidRPr="00F53504">
        <w:rPr>
          <w:lang w:val="en-AU"/>
        </w:rPr>
        <w:t xml:space="preserve"> not like we’ve got two months of lead up towards it. It can be a matter of days. So yeah, I think there’s some red tape issues where it’s maybe not used as much as what could be used.”</w:t>
      </w:r>
    </w:p>
    <w:p w14:paraId="73228D46" w14:textId="77777777" w:rsidR="00270008" w:rsidRPr="00F53504" w:rsidRDefault="00270008" w:rsidP="00270008">
      <w:pPr>
        <w:pStyle w:val="Quoteattribution"/>
      </w:pPr>
      <w:r w:rsidRPr="00F53504">
        <w:t xml:space="preserve">Provider, </w:t>
      </w:r>
      <w:r w:rsidR="00A73578" w:rsidRPr="00F53504">
        <w:t>regional area</w:t>
      </w:r>
      <w:r w:rsidR="00465E5E" w:rsidRPr="00F53504">
        <w:t xml:space="preserve">, </w:t>
      </w:r>
      <w:r w:rsidR="00907747" w:rsidRPr="00F53504">
        <w:t>in-depth interview</w:t>
      </w:r>
    </w:p>
    <w:p w14:paraId="0F92BA3B" w14:textId="58EA443A" w:rsidR="00270008" w:rsidRPr="00F53504" w:rsidRDefault="00270008" w:rsidP="00270008">
      <w:pPr>
        <w:pStyle w:val="Quote"/>
        <w:rPr>
          <w:lang w:val="en-AU"/>
        </w:rPr>
      </w:pPr>
      <w:r w:rsidRPr="00F53504">
        <w:rPr>
          <w:lang w:val="en-AU"/>
        </w:rPr>
        <w:t>“Double quotes has been fun. Sometimes you’re in such tight time constraints that getting quotes from two or three different companies or organisations can be a real challenge - particularly removalist companies.”</w:t>
      </w:r>
    </w:p>
    <w:p w14:paraId="0AFF3065" w14:textId="77777777" w:rsidR="00270008" w:rsidRPr="00F53504" w:rsidRDefault="00270008" w:rsidP="00270008">
      <w:pPr>
        <w:pStyle w:val="Quoteattribution"/>
      </w:pPr>
      <w:r w:rsidRPr="00F53504">
        <w:t xml:space="preserve">Provider, </w:t>
      </w:r>
      <w:r w:rsidR="00A73578" w:rsidRPr="00F53504">
        <w:t>regional area</w:t>
      </w:r>
      <w:r w:rsidR="00465E5E" w:rsidRPr="00F53504">
        <w:t xml:space="preserve">, </w:t>
      </w:r>
      <w:r w:rsidR="00907747" w:rsidRPr="00F53504">
        <w:t>in-depth interview</w:t>
      </w:r>
    </w:p>
    <w:p w14:paraId="7AF046B0" w14:textId="6B6C605E" w:rsidR="00270008" w:rsidRPr="00F53504" w:rsidRDefault="00270008" w:rsidP="00270008">
      <w:r w:rsidRPr="00F53504">
        <w:lastRenderedPageBreak/>
        <w:t>Additionally, some providers sought three quotes,</w:t>
      </w:r>
      <w:r w:rsidR="00B15659" w:rsidRPr="00F53504">
        <w:t xml:space="preserve"> as they would do if they were to use the Employment Fund</w:t>
      </w:r>
      <w:r w:rsidR="00C37302">
        <w:t>.</w:t>
      </w:r>
    </w:p>
    <w:p w14:paraId="6ED4D063" w14:textId="01F67DBB" w:rsidR="00270008" w:rsidRPr="00F53504" w:rsidRDefault="00270008" w:rsidP="00270008">
      <w:pPr>
        <w:pStyle w:val="Quote"/>
        <w:rPr>
          <w:lang w:val="en-AU"/>
        </w:rPr>
      </w:pPr>
      <w:r w:rsidRPr="00F53504">
        <w:rPr>
          <w:lang w:val="en-AU"/>
        </w:rPr>
        <w:t>“When they actually ask for the funding we generally use the principle of access to the Employment Fund, so they get the three quotes and which one is best for value, and then we app</w:t>
      </w:r>
      <w:r w:rsidR="00C37302">
        <w:rPr>
          <w:lang w:val="en-AU"/>
        </w:rPr>
        <w:t>rove the funding for that one.”</w:t>
      </w:r>
    </w:p>
    <w:p w14:paraId="754B48F1" w14:textId="77777777" w:rsidR="00270008" w:rsidRPr="00F53504" w:rsidRDefault="00270008" w:rsidP="00270008">
      <w:pPr>
        <w:pStyle w:val="Quoteattribution"/>
      </w:pPr>
      <w:r w:rsidRPr="00F53504">
        <w:t xml:space="preserve">Provider, </w:t>
      </w:r>
      <w:r w:rsidR="00A73578" w:rsidRPr="00F53504">
        <w:t>capital city</w:t>
      </w:r>
      <w:r w:rsidR="00465E5E" w:rsidRPr="00F53504">
        <w:t xml:space="preserve">, </w:t>
      </w:r>
      <w:r w:rsidR="00907747" w:rsidRPr="00F53504">
        <w:t>in-depth interview</w:t>
      </w:r>
    </w:p>
    <w:p w14:paraId="643A43CE" w14:textId="77777777" w:rsidR="00FE1DBD" w:rsidRPr="00F53504" w:rsidRDefault="00FE1DBD" w:rsidP="00FE1DBD">
      <w:pPr>
        <w:pStyle w:val="Heading3"/>
      </w:pPr>
      <w:r w:rsidRPr="00F53504">
        <w:t>Other sources of relocation funding assistance</w:t>
      </w:r>
    </w:p>
    <w:p w14:paraId="2A481239" w14:textId="171A4FD7" w:rsidR="00FE1DBD" w:rsidRPr="00F53504" w:rsidRDefault="00D31D3E" w:rsidP="00FE1DBD">
      <w:r>
        <w:t xml:space="preserve">Some interviewed </w:t>
      </w:r>
      <w:r w:rsidR="00FE1DBD" w:rsidRPr="00F53504">
        <w:t xml:space="preserve">providers </w:t>
      </w:r>
      <w:r>
        <w:t xml:space="preserve">preferred </w:t>
      </w:r>
      <w:r w:rsidR="00FE1DBD" w:rsidRPr="00F53504">
        <w:t xml:space="preserve">to use the jobactive Employment Fund (EF; previously called the Employment Pathway Fund (EPF) under JSA) to provide financial assistance to relocating job seekers. </w:t>
      </w:r>
      <w:r>
        <w:t>These p</w:t>
      </w:r>
      <w:r w:rsidR="00FE1DBD" w:rsidRPr="00F53504">
        <w:t xml:space="preserve">roviders indicated that the administrative burden associated with using </w:t>
      </w:r>
      <w:r w:rsidR="0041378D" w:rsidRPr="00F53504">
        <w:t>RATTUAJ</w:t>
      </w:r>
      <w:r w:rsidR="00FE1DBD" w:rsidRPr="00F53504">
        <w:t xml:space="preserve">, as well as some of its limitations, meant that the EPF/EF was a more accessible and easier way to provide assistance. For example, many providers reported issues with claiming costs through </w:t>
      </w:r>
      <w:r w:rsidR="0041378D" w:rsidRPr="00F53504">
        <w:t>RATTUAJ</w:t>
      </w:r>
      <w:r w:rsidR="002C2043">
        <w:t xml:space="preserve"> when compared to the EPF/EF.</w:t>
      </w:r>
    </w:p>
    <w:p w14:paraId="29EFED20" w14:textId="44534D8F" w:rsidR="00FE1DBD" w:rsidRPr="00F53504" w:rsidRDefault="00FE1DBD" w:rsidP="00FE1DBD">
      <w:pPr>
        <w:pStyle w:val="Quote"/>
        <w:rPr>
          <w:lang w:val="en-AU"/>
        </w:rPr>
      </w:pPr>
      <w:proofErr w:type="gramStart"/>
      <w:r w:rsidRPr="00F53504">
        <w:rPr>
          <w:lang w:val="en-AU"/>
        </w:rPr>
        <w:t xml:space="preserve">“There’s more rules around limits of expenditure [in </w:t>
      </w:r>
      <w:r w:rsidR="0041378D" w:rsidRPr="00F53504">
        <w:rPr>
          <w:lang w:val="en-AU"/>
        </w:rPr>
        <w:t>RATTUAJ</w:t>
      </w:r>
      <w:r w:rsidRPr="00F53504">
        <w:rPr>
          <w:lang w:val="en-AU"/>
        </w:rPr>
        <w:t>] and just the documentary evidence requirements, you have to have an agreement and offer an acceptance of employment, it has to meet certain criteria, whereas there’s not – I mean there’s Employment Fund principles that are overarching across anything we spend under that pool, but there’s very little in the way that they determine how we can spend funding for relocation assista</w:t>
      </w:r>
      <w:r w:rsidR="002C2043">
        <w:rPr>
          <w:lang w:val="en-AU"/>
        </w:rPr>
        <w:t>nce under the Employment Fund.”</w:t>
      </w:r>
      <w:proofErr w:type="gramEnd"/>
    </w:p>
    <w:p w14:paraId="7468A4FC" w14:textId="77777777" w:rsidR="00FE1DBD" w:rsidRPr="00F53504" w:rsidRDefault="00FE1DBD" w:rsidP="00FE1DBD">
      <w:pPr>
        <w:pStyle w:val="Quoteattribution"/>
      </w:pPr>
      <w:r w:rsidRPr="00F53504">
        <w:t>Provider, capital city, in-depth interview</w:t>
      </w:r>
    </w:p>
    <w:p w14:paraId="6D8E58DF" w14:textId="77777777" w:rsidR="00FE1DBD" w:rsidRPr="00F53504" w:rsidRDefault="00FE1DBD" w:rsidP="00FE1DBD">
      <w:pPr>
        <w:pStyle w:val="Quote"/>
        <w:rPr>
          <w:lang w:val="en-AU"/>
        </w:rPr>
      </w:pPr>
      <w:proofErr w:type="gramStart"/>
      <w:r w:rsidRPr="00F53504">
        <w:rPr>
          <w:lang w:val="en-AU"/>
        </w:rPr>
        <w:t>“The Employment Fund covers a whole range of expenditures, its clothes, like lots of other stuff, training, everything can be claimed from Employment Fund, not everything but specific things, with the Employment Fund there’s an upload facility so we, our IT Department develops a specifically formatted file that has all the lines of data in it of all of our expenditure and we can upload that and the system you know, we can upload 2000 lines of data and the system takes the file up and then reimburses the funds, whereas with the labour mobility [RATTUAJ] they’re manual claims so you have to go in and claim each one individually...if we spend $10 here for fuel, $20 here for fuel, $40 here, $10 for food, they’re five different claims.”</w:t>
      </w:r>
      <w:proofErr w:type="gramEnd"/>
    </w:p>
    <w:p w14:paraId="08F450A3" w14:textId="77777777" w:rsidR="00FE1DBD" w:rsidRPr="00F53504" w:rsidRDefault="00FE1DBD" w:rsidP="00FE1DBD">
      <w:pPr>
        <w:pStyle w:val="Quoteattribution"/>
      </w:pPr>
      <w:r w:rsidRPr="00F53504">
        <w:t>Provider, capital city, in-depth interview</w:t>
      </w:r>
    </w:p>
    <w:p w14:paraId="0723DB48" w14:textId="5EC8D6F3" w:rsidR="00F91B3D" w:rsidRPr="00F53504" w:rsidRDefault="00FE1DBD">
      <w:pPr>
        <w:spacing w:before="0" w:after="200"/>
        <w:rPr>
          <w:b/>
          <w:bCs/>
          <w:szCs w:val="18"/>
        </w:rPr>
      </w:pPr>
      <w:r w:rsidRPr="00F53504">
        <w:t xml:space="preserve">While </w:t>
      </w:r>
      <w:r w:rsidR="00BB4C76">
        <w:t xml:space="preserve">it </w:t>
      </w:r>
      <w:r w:rsidRPr="00F53504">
        <w:t xml:space="preserve">is difficult to identify </w:t>
      </w:r>
      <w:r w:rsidR="00BB4C76">
        <w:t xml:space="preserve">the </w:t>
      </w:r>
      <w:r w:rsidR="00BB4C76" w:rsidRPr="00F53504">
        <w:t xml:space="preserve">use of the EPF/EF for relocation </w:t>
      </w:r>
      <w:r w:rsidR="00D31D3E">
        <w:t xml:space="preserve">directly </w:t>
      </w:r>
      <w:r w:rsidRPr="00F53504">
        <w:t>in the Department</w:t>
      </w:r>
      <w:proofErr w:type="gramStart"/>
      <w:r w:rsidRPr="00F53504">
        <w:t>’s administrative data, usage can be estimated</w:t>
      </w:r>
      <w:proofErr w:type="gramEnd"/>
      <w:r w:rsidRPr="00F53504">
        <w:t>.</w:t>
      </w:r>
      <w:r w:rsidR="00E8212E" w:rsidRPr="00F53504">
        <w:rPr>
          <w:rStyle w:val="FootnoteReference"/>
        </w:rPr>
        <w:footnoteReference w:id="25"/>
      </w:r>
      <w:r w:rsidRPr="00F53504">
        <w:t xml:space="preserve"> </w:t>
      </w:r>
      <w:r w:rsidR="00BB4C76">
        <w:t>T</w:t>
      </w:r>
      <w:r w:rsidRPr="00F53504">
        <w:t xml:space="preserve">he source of funding provided to </w:t>
      </w:r>
      <w:r w:rsidR="007C2879">
        <w:t>participants</w:t>
      </w:r>
      <w:r w:rsidRPr="00F53504">
        <w:t xml:space="preserve"> with approved Relocation Agreements </w:t>
      </w:r>
      <w:proofErr w:type="gramStart"/>
      <w:r w:rsidRPr="00F53504">
        <w:t>is presented</w:t>
      </w:r>
      <w:proofErr w:type="gramEnd"/>
      <w:r w:rsidRPr="00F53504">
        <w:t xml:space="preserve"> in</w:t>
      </w:r>
      <w:r w:rsidR="006B7675" w:rsidRPr="00F53504">
        <w:t xml:space="preserve"> </w:t>
      </w:r>
      <w:r w:rsidR="006B7675" w:rsidRPr="00F53504">
        <w:fldChar w:fldCharType="begin"/>
      </w:r>
      <w:r w:rsidR="006B7675" w:rsidRPr="00F53504">
        <w:instrText xml:space="preserve"> REF _Ref484507171 \h </w:instrText>
      </w:r>
      <w:r w:rsidR="006B7675" w:rsidRPr="00F53504">
        <w:fldChar w:fldCharType="separate"/>
      </w:r>
      <w:r w:rsidR="00AA36FE" w:rsidRPr="00F53504">
        <w:t xml:space="preserve">Table </w:t>
      </w:r>
      <w:r w:rsidR="00AA36FE">
        <w:rPr>
          <w:noProof/>
        </w:rPr>
        <w:t>4</w:t>
      </w:r>
      <w:r w:rsidR="00AA36FE">
        <w:t>.</w:t>
      </w:r>
      <w:r w:rsidR="00AA36FE">
        <w:rPr>
          <w:noProof/>
        </w:rPr>
        <w:t>1</w:t>
      </w:r>
      <w:r w:rsidR="006B7675" w:rsidRPr="00F53504">
        <w:fldChar w:fldCharType="end"/>
      </w:r>
      <w:r w:rsidRPr="00F53504">
        <w:t xml:space="preserve">. For 16 per cent of </w:t>
      </w:r>
      <w:r w:rsidR="00BB4C76">
        <w:t xml:space="preserve">these </w:t>
      </w:r>
      <w:r w:rsidRPr="00F53504">
        <w:t>job seekers only EPF/EF funding was used.</w:t>
      </w:r>
    </w:p>
    <w:p w14:paraId="05A01C4C" w14:textId="4F264872" w:rsidR="00FE1DBD" w:rsidRPr="00F53504" w:rsidRDefault="00FE1DBD" w:rsidP="00B42C0C">
      <w:pPr>
        <w:pStyle w:val="Caption"/>
      </w:pPr>
      <w:bookmarkStart w:id="101" w:name="_Ref484507171"/>
      <w:r w:rsidRPr="00F53504">
        <w:lastRenderedPageBreak/>
        <w:t xml:space="preserve">Table </w:t>
      </w:r>
      <w:r w:rsidR="00AA36FE">
        <w:rPr>
          <w:noProof/>
        </w:rPr>
        <w:fldChar w:fldCharType="begin"/>
      </w:r>
      <w:r w:rsidR="00AA36FE">
        <w:rPr>
          <w:noProof/>
        </w:rPr>
        <w:instrText xml:space="preserve"> STYLEREF 1 \s </w:instrText>
      </w:r>
      <w:r w:rsidR="00AA36FE">
        <w:rPr>
          <w:noProof/>
        </w:rPr>
        <w:fldChar w:fldCharType="separate"/>
      </w:r>
      <w:r w:rsidR="00AA36FE">
        <w:rPr>
          <w:noProof/>
        </w:rPr>
        <w:t>4</w:t>
      </w:r>
      <w:r w:rsidR="00AA36FE">
        <w:rPr>
          <w:noProof/>
        </w:rPr>
        <w:fldChar w:fldCharType="end"/>
      </w:r>
      <w:r w:rsidR="0008140A">
        <w:t>.</w:t>
      </w:r>
      <w:r w:rsidR="00AA36FE">
        <w:rPr>
          <w:noProof/>
        </w:rPr>
        <w:fldChar w:fldCharType="begin"/>
      </w:r>
      <w:r w:rsidR="00AA36FE">
        <w:rPr>
          <w:noProof/>
        </w:rPr>
        <w:instrText xml:space="preserve"> SEQ Table \* ARABIC \s 1 </w:instrText>
      </w:r>
      <w:r w:rsidR="00AA36FE">
        <w:rPr>
          <w:noProof/>
        </w:rPr>
        <w:fldChar w:fldCharType="separate"/>
      </w:r>
      <w:r w:rsidR="00AA36FE">
        <w:rPr>
          <w:noProof/>
        </w:rPr>
        <w:t>1</w:t>
      </w:r>
      <w:r w:rsidR="00AA36FE">
        <w:rPr>
          <w:noProof/>
        </w:rPr>
        <w:fldChar w:fldCharType="end"/>
      </w:r>
      <w:bookmarkEnd w:id="101"/>
      <w:r w:rsidRPr="00F53504">
        <w:t xml:space="preserve">: Source of financial assistance to job seekers with approved RATTUAJ Relocation Agreements, JSA and jobactive </w:t>
      </w:r>
      <w:r w:rsidR="00787484" w:rsidRPr="00F53504">
        <w:rPr>
          <w:bCs w:val="0"/>
          <w:szCs w:val="22"/>
        </w:rPr>
        <w:t>as at 31 March 2016</w:t>
      </w:r>
    </w:p>
    <w:tbl>
      <w:tblPr>
        <w:tblW w:w="5000" w:type="pct"/>
        <w:tblLayout w:type="fixed"/>
        <w:tblCellMar>
          <w:left w:w="0" w:type="dxa"/>
          <w:right w:w="0" w:type="dxa"/>
        </w:tblCellMar>
        <w:tblLook w:val="04A0" w:firstRow="1" w:lastRow="0" w:firstColumn="1" w:lastColumn="0" w:noHBand="0" w:noVBand="1"/>
      </w:tblPr>
      <w:tblGrid>
        <w:gridCol w:w="7715"/>
        <w:gridCol w:w="1311"/>
      </w:tblGrid>
      <w:tr w:rsidR="00FE1DBD" w:rsidRPr="00F53504" w14:paraId="2EFF8525" w14:textId="77777777" w:rsidTr="004F546D">
        <w:trPr>
          <w:cantSplit/>
          <w:tblHeader/>
        </w:trPr>
        <w:tc>
          <w:tcPr>
            <w:tcW w:w="4274" w:type="pct"/>
            <w:shd w:val="clear" w:color="auto" w:fill="1E3D6B"/>
            <w:tcMar>
              <w:top w:w="0" w:type="dxa"/>
              <w:left w:w="108" w:type="dxa"/>
              <w:bottom w:w="0" w:type="dxa"/>
              <w:right w:w="108" w:type="dxa"/>
            </w:tcMar>
            <w:vAlign w:val="bottom"/>
            <w:hideMark/>
          </w:tcPr>
          <w:p w14:paraId="6A6A397E" w14:textId="77777777" w:rsidR="00FE1DBD" w:rsidRPr="00F53504" w:rsidRDefault="00FE1DBD" w:rsidP="00B42C0C">
            <w:pPr>
              <w:pStyle w:val="Tableheadingleftcolumn"/>
              <w:keepNext/>
            </w:pPr>
            <w:r w:rsidRPr="00F53504">
              <w:t>Source of support</w:t>
            </w:r>
          </w:p>
        </w:tc>
        <w:tc>
          <w:tcPr>
            <w:tcW w:w="726" w:type="pct"/>
            <w:shd w:val="clear" w:color="auto" w:fill="1E3D6B"/>
          </w:tcPr>
          <w:p w14:paraId="082C8539" w14:textId="77777777" w:rsidR="00FE1DBD" w:rsidRPr="00F53504" w:rsidRDefault="00B17563" w:rsidP="00B42C0C">
            <w:pPr>
              <w:pStyle w:val="Tableheadingrightcolumn"/>
              <w:keepNext/>
              <w:jc w:val="center"/>
            </w:pPr>
            <w:r w:rsidRPr="00F53504">
              <w:t xml:space="preserve">Total </w:t>
            </w:r>
            <w:r w:rsidRPr="00F53504">
              <w:br/>
            </w:r>
            <w:r w:rsidR="00FE1DBD" w:rsidRPr="00F53504">
              <w:t>(per cent)</w:t>
            </w:r>
          </w:p>
        </w:tc>
      </w:tr>
      <w:tr w:rsidR="00FE1DBD" w:rsidRPr="00F53504" w14:paraId="66D2C458" w14:textId="77777777" w:rsidTr="004F546D">
        <w:trPr>
          <w:cantSplit/>
          <w:trHeight w:val="283"/>
        </w:trPr>
        <w:tc>
          <w:tcPr>
            <w:tcW w:w="4274" w:type="pct"/>
            <w:tcMar>
              <w:top w:w="0" w:type="dxa"/>
              <w:left w:w="108" w:type="dxa"/>
              <w:bottom w:w="0" w:type="dxa"/>
              <w:right w:w="108" w:type="dxa"/>
            </w:tcMar>
            <w:vAlign w:val="bottom"/>
            <w:hideMark/>
          </w:tcPr>
          <w:p w14:paraId="1BA3A114" w14:textId="51B1A593" w:rsidR="00FE1DBD" w:rsidRPr="00F53504" w:rsidRDefault="00FE1DBD" w:rsidP="00B42C0C">
            <w:pPr>
              <w:pStyle w:val="Tablecontentleftcolumn"/>
              <w:keepNext/>
            </w:pPr>
            <w:r w:rsidRPr="00F53504">
              <w:t>RATTUAJ program</w:t>
            </w:r>
            <w:r w:rsidR="002D0E6E">
              <w:t>me</w:t>
            </w:r>
            <w:r w:rsidRPr="00F53504">
              <w:t xml:space="preserve"> only</w:t>
            </w:r>
          </w:p>
        </w:tc>
        <w:tc>
          <w:tcPr>
            <w:tcW w:w="726" w:type="pct"/>
            <w:vAlign w:val="bottom"/>
          </w:tcPr>
          <w:p w14:paraId="6F673E6D" w14:textId="77777777" w:rsidR="00FE1DBD" w:rsidRPr="00F53504" w:rsidRDefault="00FE1DBD" w:rsidP="00B42C0C">
            <w:pPr>
              <w:pStyle w:val="Tablecontentrightcolumn"/>
              <w:keepNext/>
              <w:jc w:val="center"/>
            </w:pPr>
            <w:r w:rsidRPr="00F53504">
              <w:t>42.6</w:t>
            </w:r>
          </w:p>
        </w:tc>
      </w:tr>
      <w:tr w:rsidR="00FE1DBD" w:rsidRPr="00F53504" w14:paraId="2E3972EC" w14:textId="77777777" w:rsidTr="004F546D">
        <w:trPr>
          <w:cantSplit/>
          <w:trHeight w:val="283"/>
        </w:trPr>
        <w:tc>
          <w:tcPr>
            <w:tcW w:w="4274" w:type="pct"/>
            <w:shd w:val="clear" w:color="auto" w:fill="F2F2F2" w:themeFill="background1" w:themeFillShade="F2"/>
            <w:tcMar>
              <w:top w:w="0" w:type="dxa"/>
              <w:left w:w="108" w:type="dxa"/>
              <w:bottom w:w="0" w:type="dxa"/>
              <w:right w:w="108" w:type="dxa"/>
            </w:tcMar>
            <w:vAlign w:val="bottom"/>
            <w:hideMark/>
          </w:tcPr>
          <w:p w14:paraId="3EC361C6" w14:textId="77777777" w:rsidR="00FE1DBD" w:rsidRPr="00F53504" w:rsidRDefault="00FE1DBD" w:rsidP="00B42C0C">
            <w:pPr>
              <w:pStyle w:val="Tablecontentleftcolumn"/>
              <w:keepNext/>
            </w:pPr>
            <w:r w:rsidRPr="00F53504">
              <w:t>EPF/EF only</w:t>
            </w:r>
          </w:p>
        </w:tc>
        <w:tc>
          <w:tcPr>
            <w:tcW w:w="726" w:type="pct"/>
            <w:shd w:val="clear" w:color="auto" w:fill="F2F2F2" w:themeFill="background1" w:themeFillShade="F2"/>
            <w:vAlign w:val="bottom"/>
          </w:tcPr>
          <w:p w14:paraId="688AC1CB" w14:textId="77777777" w:rsidR="00FE1DBD" w:rsidRPr="00F53504" w:rsidRDefault="00FE1DBD" w:rsidP="00B42C0C">
            <w:pPr>
              <w:pStyle w:val="Tablecontentrightcolumn"/>
              <w:keepNext/>
              <w:jc w:val="center"/>
            </w:pPr>
            <w:r w:rsidRPr="00F53504">
              <w:t>16.3</w:t>
            </w:r>
          </w:p>
        </w:tc>
      </w:tr>
      <w:tr w:rsidR="00FE1DBD" w:rsidRPr="00F53504" w14:paraId="2AEFA4CF" w14:textId="77777777" w:rsidTr="004F546D">
        <w:trPr>
          <w:cantSplit/>
          <w:trHeight w:val="283"/>
        </w:trPr>
        <w:tc>
          <w:tcPr>
            <w:tcW w:w="4274" w:type="pct"/>
            <w:tcMar>
              <w:top w:w="0" w:type="dxa"/>
              <w:left w:w="108" w:type="dxa"/>
              <w:bottom w:w="0" w:type="dxa"/>
              <w:right w:w="108" w:type="dxa"/>
            </w:tcMar>
            <w:vAlign w:val="bottom"/>
            <w:hideMark/>
          </w:tcPr>
          <w:p w14:paraId="6CFA89F8" w14:textId="77777777" w:rsidR="00FE1DBD" w:rsidRPr="00F53504" w:rsidRDefault="00FE1DBD" w:rsidP="00B42C0C">
            <w:pPr>
              <w:pStyle w:val="Tablecontentleftcolumn"/>
              <w:keepNext/>
            </w:pPr>
            <w:r w:rsidRPr="00F53504">
              <w:t>Both RATTUAJ and EPF/EF</w:t>
            </w:r>
          </w:p>
        </w:tc>
        <w:tc>
          <w:tcPr>
            <w:tcW w:w="726" w:type="pct"/>
            <w:vAlign w:val="bottom"/>
          </w:tcPr>
          <w:p w14:paraId="628BDECF" w14:textId="77777777" w:rsidR="00FE1DBD" w:rsidRPr="00F53504" w:rsidRDefault="00FE1DBD" w:rsidP="00B42C0C">
            <w:pPr>
              <w:pStyle w:val="Tablecontentrightcolumn"/>
              <w:keepNext/>
              <w:jc w:val="center"/>
            </w:pPr>
            <w:r w:rsidRPr="00F53504">
              <w:t>32.0</w:t>
            </w:r>
          </w:p>
        </w:tc>
      </w:tr>
      <w:tr w:rsidR="00FE1DBD" w:rsidRPr="00F53504" w14:paraId="626D7AC4" w14:textId="77777777" w:rsidTr="004F546D">
        <w:trPr>
          <w:cantSplit/>
          <w:trHeight w:val="283"/>
        </w:trPr>
        <w:tc>
          <w:tcPr>
            <w:tcW w:w="4274" w:type="pct"/>
            <w:shd w:val="clear" w:color="auto" w:fill="F2F2F2" w:themeFill="background1" w:themeFillShade="F2"/>
            <w:tcMar>
              <w:top w:w="0" w:type="dxa"/>
              <w:left w:w="108" w:type="dxa"/>
              <w:bottom w:w="0" w:type="dxa"/>
              <w:right w:w="108" w:type="dxa"/>
            </w:tcMar>
            <w:vAlign w:val="bottom"/>
            <w:hideMark/>
          </w:tcPr>
          <w:p w14:paraId="46926B78" w14:textId="77777777" w:rsidR="00FE1DBD" w:rsidRPr="00F53504" w:rsidRDefault="00FE1DBD" w:rsidP="00B42C0C">
            <w:pPr>
              <w:pStyle w:val="Tablecontentleftcolumn"/>
              <w:keepNext/>
            </w:pPr>
            <w:r w:rsidRPr="00F53504">
              <w:t>No financial assistance provided</w:t>
            </w:r>
          </w:p>
        </w:tc>
        <w:tc>
          <w:tcPr>
            <w:tcW w:w="726" w:type="pct"/>
            <w:shd w:val="clear" w:color="auto" w:fill="F2F2F2" w:themeFill="background1" w:themeFillShade="F2"/>
            <w:vAlign w:val="bottom"/>
          </w:tcPr>
          <w:p w14:paraId="7A31C55D" w14:textId="77777777" w:rsidR="00FE1DBD" w:rsidRPr="00F53504" w:rsidRDefault="00FE1DBD" w:rsidP="00B42C0C">
            <w:pPr>
              <w:pStyle w:val="Tablecontentrightcolumn"/>
              <w:keepNext/>
              <w:jc w:val="center"/>
            </w:pPr>
            <w:r w:rsidRPr="00F53504">
              <w:t>9.1</w:t>
            </w:r>
          </w:p>
        </w:tc>
      </w:tr>
      <w:tr w:rsidR="00FE1DBD" w:rsidRPr="00F53504" w14:paraId="69DF67B6" w14:textId="77777777" w:rsidTr="004F546D">
        <w:trPr>
          <w:cantSplit/>
          <w:trHeight w:val="283"/>
        </w:trPr>
        <w:tc>
          <w:tcPr>
            <w:tcW w:w="4274" w:type="pct"/>
            <w:shd w:val="clear" w:color="auto" w:fill="8EAEDE"/>
            <w:tcMar>
              <w:top w:w="0" w:type="dxa"/>
              <w:left w:w="108" w:type="dxa"/>
              <w:bottom w:w="0" w:type="dxa"/>
              <w:right w:w="108" w:type="dxa"/>
            </w:tcMar>
            <w:vAlign w:val="bottom"/>
            <w:hideMark/>
          </w:tcPr>
          <w:p w14:paraId="1D0BA652" w14:textId="77777777" w:rsidR="00FE1DBD" w:rsidRPr="00F53504" w:rsidRDefault="00FE1DBD" w:rsidP="00B42C0C">
            <w:pPr>
              <w:pStyle w:val="Tablecontentleftcolumn"/>
              <w:keepNext/>
            </w:pPr>
            <w:r w:rsidRPr="00F53504">
              <w:t>Total</w:t>
            </w:r>
          </w:p>
        </w:tc>
        <w:tc>
          <w:tcPr>
            <w:tcW w:w="726" w:type="pct"/>
            <w:shd w:val="clear" w:color="auto" w:fill="8EAEDE"/>
            <w:vAlign w:val="bottom"/>
          </w:tcPr>
          <w:p w14:paraId="62F84797" w14:textId="77777777" w:rsidR="00FE1DBD" w:rsidRPr="00F53504" w:rsidRDefault="00FE1DBD" w:rsidP="00B42C0C">
            <w:pPr>
              <w:pStyle w:val="Tablecontentrightcolumn"/>
              <w:keepNext/>
              <w:jc w:val="center"/>
            </w:pPr>
            <w:r w:rsidRPr="00F53504">
              <w:t>100.0</w:t>
            </w:r>
          </w:p>
        </w:tc>
      </w:tr>
    </w:tbl>
    <w:p w14:paraId="3A9A949F" w14:textId="46E3E527" w:rsidR="00FE1DBD" w:rsidRPr="00F53504" w:rsidRDefault="00FE1DBD" w:rsidP="00B42C0C">
      <w:pPr>
        <w:pStyle w:val="Source"/>
        <w:keepNext/>
      </w:pPr>
      <w:r w:rsidRPr="00F53504">
        <w:t>Note</w:t>
      </w:r>
      <w:r w:rsidR="009B65B9" w:rsidRPr="00F53504">
        <w:t xml:space="preserve"> 1</w:t>
      </w:r>
      <w:r w:rsidRPr="00F53504">
        <w:t xml:space="preserve">: The total figure includes 28 job seekers who did not complete relocation. Costs incurred by </w:t>
      </w:r>
      <w:proofErr w:type="gramStart"/>
      <w:r w:rsidRPr="00F53504">
        <w:t xml:space="preserve">these </w:t>
      </w:r>
      <w:r w:rsidR="002C64BC">
        <w:t xml:space="preserve"> </w:t>
      </w:r>
      <w:r w:rsidRPr="00F53504">
        <w:t>job</w:t>
      </w:r>
      <w:proofErr w:type="gramEnd"/>
      <w:r w:rsidRPr="00F53504">
        <w:t xml:space="preserve"> seekers, such as non-refundable deposits, may have been legitimate relocation expenditures. </w:t>
      </w:r>
    </w:p>
    <w:p w14:paraId="574479FE" w14:textId="1C4DF50D" w:rsidR="009B65B9" w:rsidRPr="00F53504" w:rsidRDefault="009B65B9" w:rsidP="00B42C0C">
      <w:pPr>
        <w:pStyle w:val="Source"/>
        <w:keepNext/>
      </w:pPr>
      <w:r w:rsidRPr="00F53504">
        <w:t xml:space="preserve">Note 2: </w:t>
      </w:r>
      <w:r w:rsidR="00207606" w:rsidRPr="00F53504">
        <w:t xml:space="preserve">Data presented for all job seekers with RATTUAJ Relocation Agreements </w:t>
      </w:r>
      <w:r w:rsidRPr="00F53504">
        <w:t xml:space="preserve">started between 1 July 2014 and 31 December 2015, JSA and jobactive </w:t>
      </w:r>
      <w:r w:rsidRPr="00F53504">
        <w:rPr>
          <w:bCs w:val="0"/>
          <w:szCs w:val="22"/>
        </w:rPr>
        <w:t>as at 31 March 2016</w:t>
      </w:r>
      <w:r w:rsidR="00207606" w:rsidRPr="00F53504">
        <w:rPr>
          <w:bCs w:val="0"/>
          <w:szCs w:val="22"/>
        </w:rPr>
        <w:t>.</w:t>
      </w:r>
    </w:p>
    <w:p w14:paraId="7908E421" w14:textId="7D2F08EC" w:rsidR="00FE1DBD" w:rsidRDefault="00FE1DBD" w:rsidP="00B42C0C">
      <w:pPr>
        <w:pStyle w:val="Source"/>
        <w:keepNext/>
      </w:pPr>
      <w:r w:rsidRPr="00F53504">
        <w:rPr>
          <w:b/>
        </w:rPr>
        <w:t>Source:</w:t>
      </w:r>
      <w:r w:rsidRPr="00F53504">
        <w:t xml:space="preserve"> EBIW data.</w:t>
      </w:r>
    </w:p>
    <w:p w14:paraId="10763335" w14:textId="5067B58D" w:rsidR="00BB4C76" w:rsidRPr="00BB4C76" w:rsidRDefault="00BB4C76" w:rsidP="00BB4C76">
      <w:r>
        <w:t xml:space="preserve">It is not possible to capture providers’ financial support to job seekers </w:t>
      </w:r>
      <w:r w:rsidRPr="00F53504">
        <w:t>in the Department’s administrative data</w:t>
      </w:r>
      <w:r>
        <w:t xml:space="preserve"> where they did not </w:t>
      </w:r>
      <w:r w:rsidRPr="00F53504">
        <w:t xml:space="preserve">make use of RATTUAJ at all, and instead </w:t>
      </w:r>
      <w:r w:rsidR="00EC1C54">
        <w:t xml:space="preserve">opted </w:t>
      </w:r>
      <w:r w:rsidRPr="00F53504">
        <w:t>to provide financial assistance using EPF or EF without entering into a relocation agreement</w:t>
      </w:r>
      <w:r w:rsidR="00B42C0C">
        <w:t xml:space="preserve"> or use the Relocation Assistance EPF/EF code</w:t>
      </w:r>
      <w:r w:rsidRPr="00F53504">
        <w:t>.</w:t>
      </w:r>
    </w:p>
    <w:p w14:paraId="6524C48A" w14:textId="77777777" w:rsidR="005927CA" w:rsidRPr="00F53504" w:rsidRDefault="005927CA" w:rsidP="005927CA">
      <w:pPr>
        <w:pStyle w:val="Heading2"/>
      </w:pPr>
      <w:bookmarkStart w:id="102" w:name="_Toc512529329"/>
      <w:r w:rsidRPr="00F53504">
        <w:t>Administrative burden</w:t>
      </w:r>
      <w:bookmarkEnd w:id="102"/>
    </w:p>
    <w:p w14:paraId="4E94DA64" w14:textId="4D69C2F1" w:rsidR="005927CA" w:rsidRPr="00F53504" w:rsidRDefault="002D004F" w:rsidP="005927CA">
      <w:r>
        <w:t>P</w:t>
      </w:r>
      <w:r w:rsidR="005927CA" w:rsidRPr="00F53504">
        <w:t>ro</w:t>
      </w:r>
      <w:r w:rsidR="0014793C">
        <w:t>viders identified pro</w:t>
      </w:r>
      <w:r w:rsidR="005927CA" w:rsidRPr="00F53504">
        <w:t xml:space="preserve">gram </w:t>
      </w:r>
      <w:r>
        <w:t xml:space="preserve">administrative processes </w:t>
      </w:r>
      <w:r w:rsidR="00F7166D">
        <w:t xml:space="preserve">as </w:t>
      </w:r>
      <w:r w:rsidR="005927CA" w:rsidRPr="00F53504">
        <w:t>warranting improvement. In particular</w:t>
      </w:r>
      <w:r w:rsidR="0033300E">
        <w:t>,</w:t>
      </w:r>
      <w:r w:rsidR="005927CA" w:rsidRPr="00F53504">
        <w:t xml:space="preserve"> </w:t>
      </w:r>
      <w:r w:rsidR="00F7166D">
        <w:t xml:space="preserve">completing </w:t>
      </w:r>
      <w:r w:rsidR="005927CA" w:rsidRPr="00F53504">
        <w:t xml:space="preserve">an application </w:t>
      </w:r>
      <w:proofErr w:type="gramStart"/>
      <w:r w:rsidR="005927CA" w:rsidRPr="00F53504">
        <w:t>was considered</w:t>
      </w:r>
      <w:proofErr w:type="gramEnd"/>
      <w:r w:rsidR="005927CA" w:rsidRPr="00F53504">
        <w:t xml:space="preserve"> lengthy and </w:t>
      </w:r>
      <w:r w:rsidR="00F7166D">
        <w:t>complex</w:t>
      </w:r>
      <w:r w:rsidR="0014793C">
        <w:t>.</w:t>
      </w:r>
    </w:p>
    <w:p w14:paraId="6731A1C9" w14:textId="0CE49FE0" w:rsidR="005927CA" w:rsidRPr="00F53504" w:rsidRDefault="005927CA" w:rsidP="005927CA">
      <w:pPr>
        <w:pStyle w:val="Quote"/>
        <w:rPr>
          <w:lang w:val="en-AU"/>
        </w:rPr>
      </w:pPr>
      <w:r w:rsidRPr="00F53504">
        <w:rPr>
          <w:lang w:val="en-AU"/>
        </w:rPr>
        <w:t xml:space="preserve">“Yeah, so the package has a lot more documentary evidence requirements. You have to have a signed agreement prior to the job seeker accepting employment or relocating, so that’s all got to take place beforehand, you’ve got to have an offer of acceptance of employment, you’ve got to make sure that the employer has tried to source local employees before you know, sourcing somebody from elsewhere. The documentary evidence requirements are quite, much more difficult than Employment Fund. Employment Fund you </w:t>
      </w:r>
      <w:r w:rsidR="00AA4B84">
        <w:rPr>
          <w:lang w:val="en-AU"/>
        </w:rPr>
        <w:t>just need, it’s a tax invoice.”</w:t>
      </w:r>
    </w:p>
    <w:p w14:paraId="761883CB" w14:textId="77777777" w:rsidR="005927CA" w:rsidRPr="00F53504" w:rsidRDefault="005927CA" w:rsidP="005927CA">
      <w:pPr>
        <w:pStyle w:val="Quoteattribution"/>
      </w:pPr>
      <w:r w:rsidRPr="00F53504">
        <w:t>Provider, capital city, in-depth interview</w:t>
      </w:r>
    </w:p>
    <w:p w14:paraId="2584F28B" w14:textId="46D5349F" w:rsidR="005927CA" w:rsidRPr="00F53504" w:rsidRDefault="00B17EB7" w:rsidP="005927CA">
      <w:r>
        <w:t xml:space="preserve">This </w:t>
      </w:r>
      <w:proofErr w:type="gramStart"/>
      <w:r>
        <w:t>was also reflected</w:t>
      </w:r>
      <w:proofErr w:type="gramEnd"/>
      <w:r>
        <w:t xml:space="preserve"> in a</w:t>
      </w:r>
      <w:r w:rsidR="005927CA" w:rsidRPr="00F53504">
        <w:t xml:space="preserve"> 2015 </w:t>
      </w:r>
      <w:r>
        <w:t>provider s</w:t>
      </w:r>
      <w:r w:rsidR="005927CA" w:rsidRPr="00F53504">
        <w:t>urvey.</w:t>
      </w:r>
    </w:p>
    <w:p w14:paraId="78597245" w14:textId="77777777" w:rsidR="005927CA" w:rsidRPr="00F53504" w:rsidRDefault="005927CA" w:rsidP="005927CA">
      <w:pPr>
        <w:pStyle w:val="Quote"/>
        <w:rPr>
          <w:lang w:val="en-AU"/>
        </w:rPr>
      </w:pPr>
      <w:r w:rsidRPr="00F53504">
        <w:rPr>
          <w:lang w:val="en-AU"/>
        </w:rPr>
        <w:t>“A lot of paperwork; a lot of A to Z stuff to get that happening; a lot of extra work on behalf of the EA to filling the forms in, getting him to sign this - like, checking absolutely everything. Yeah, it was a lot of paperwork involved.”</w:t>
      </w:r>
    </w:p>
    <w:p w14:paraId="1A81AE9D" w14:textId="4AB1C73C" w:rsidR="005927CA" w:rsidRPr="00F53504" w:rsidRDefault="005927CA" w:rsidP="005927CA">
      <w:pPr>
        <w:pStyle w:val="Quoteattribution"/>
      </w:pPr>
      <w:r w:rsidRPr="00F53504">
        <w:t xml:space="preserve">Provider, regional area, </w:t>
      </w:r>
      <w:r w:rsidR="00222988">
        <w:t>response to a Departmental survey in 2015</w:t>
      </w:r>
    </w:p>
    <w:p w14:paraId="7C148616" w14:textId="195F3FAD" w:rsidR="005927CA" w:rsidRPr="00F53504" w:rsidRDefault="005927CA" w:rsidP="005927CA">
      <w:pPr>
        <w:pStyle w:val="Quote"/>
        <w:rPr>
          <w:lang w:val="en-AU"/>
        </w:rPr>
      </w:pPr>
      <w:r w:rsidRPr="00F53504">
        <w:rPr>
          <w:lang w:val="en-AU"/>
        </w:rPr>
        <w:t xml:space="preserve">“Once again, there is a lot of guidelines attached to it. </w:t>
      </w:r>
      <w:proofErr w:type="gramStart"/>
      <w:r w:rsidRPr="00F53504">
        <w:rPr>
          <w:lang w:val="en-AU"/>
        </w:rPr>
        <w:t>There's got</w:t>
      </w:r>
      <w:proofErr w:type="gramEnd"/>
      <w:r w:rsidRPr="00F53504">
        <w:rPr>
          <w:lang w:val="en-AU"/>
        </w:rPr>
        <w:t xml:space="preserve"> to be a guaranteed job; they only pay for - you know, they have got to give us receipts, approve payments for relocation assistance, whether it be furniture removal, flights, whatever the case may be. It can be very top-heavy administration. I haven't done one here yet.”</w:t>
      </w:r>
    </w:p>
    <w:p w14:paraId="3A68FE04" w14:textId="36780EA3" w:rsidR="005927CA" w:rsidRPr="00F53504" w:rsidRDefault="005927CA" w:rsidP="005927CA">
      <w:pPr>
        <w:pStyle w:val="Quoteattribution"/>
      </w:pPr>
      <w:r w:rsidRPr="00F53504">
        <w:t xml:space="preserve">Provider, regional area, </w:t>
      </w:r>
      <w:r w:rsidR="00222988">
        <w:t>response to a Departmental survey in 2015</w:t>
      </w:r>
    </w:p>
    <w:p w14:paraId="68E5BB63" w14:textId="3B5F07A1" w:rsidR="005927CA" w:rsidRPr="00F53504" w:rsidRDefault="005927CA" w:rsidP="005927CA">
      <w:pPr>
        <w:pStyle w:val="Quote"/>
        <w:rPr>
          <w:lang w:val="en-AU"/>
        </w:rPr>
      </w:pPr>
      <w:r w:rsidRPr="00F53504">
        <w:rPr>
          <w:lang w:val="en-AU"/>
        </w:rPr>
        <w:lastRenderedPageBreak/>
        <w:t xml:space="preserve">“Sometimes it just needs a little more work with the department to make sure that the funds will be there when needed. </w:t>
      </w:r>
      <w:proofErr w:type="gramStart"/>
      <w:r w:rsidRPr="00F53504">
        <w:rPr>
          <w:lang w:val="en-AU"/>
        </w:rPr>
        <w:t>Normally it is just a matter of entering the data</w:t>
      </w:r>
      <w:proofErr w:type="gramEnd"/>
      <w:r w:rsidRPr="00F53504">
        <w:rPr>
          <w:lang w:val="en-AU"/>
        </w:rPr>
        <w:t xml:space="preserve">, </w:t>
      </w:r>
      <w:proofErr w:type="gramStart"/>
      <w:r w:rsidRPr="00F53504">
        <w:rPr>
          <w:lang w:val="en-AU"/>
        </w:rPr>
        <w:t>it takes half an hour</w:t>
      </w:r>
      <w:proofErr w:type="gramEnd"/>
      <w:r w:rsidRPr="00F53504">
        <w:rPr>
          <w:lang w:val="en-AU"/>
        </w:rPr>
        <w:t>. But with some it can take days of b</w:t>
      </w:r>
      <w:r w:rsidR="002C2043">
        <w:rPr>
          <w:lang w:val="en-AU"/>
        </w:rPr>
        <w:t>ack and forth to get it right.”</w:t>
      </w:r>
    </w:p>
    <w:p w14:paraId="5052C04C" w14:textId="06EF1DA4" w:rsidR="005927CA" w:rsidRPr="00F53504" w:rsidRDefault="005927CA" w:rsidP="005927CA">
      <w:pPr>
        <w:pStyle w:val="Quoteattribution"/>
      </w:pPr>
      <w:r w:rsidRPr="00F53504">
        <w:t xml:space="preserve">Provider, capital city, </w:t>
      </w:r>
      <w:r w:rsidR="00222988">
        <w:t>response to a Departmental survey in 2015</w:t>
      </w:r>
    </w:p>
    <w:p w14:paraId="11A7FCB4" w14:textId="1F9F52AE" w:rsidR="005927CA" w:rsidRPr="00F53504" w:rsidRDefault="005927CA" w:rsidP="005927CA">
      <w:r w:rsidRPr="00F53504">
        <w:t xml:space="preserve">Results from </w:t>
      </w:r>
      <w:r w:rsidR="00B17EB7">
        <w:t>a</w:t>
      </w:r>
      <w:r w:rsidRPr="00F53504">
        <w:t xml:space="preserve"> 2016 </w:t>
      </w:r>
      <w:r w:rsidR="00B17EB7">
        <w:t xml:space="preserve">provider survey </w:t>
      </w:r>
      <w:r w:rsidRPr="00F53504">
        <w:t>also identified issue</w:t>
      </w:r>
      <w:r w:rsidR="0014793C">
        <w:t>s</w:t>
      </w:r>
      <w:r w:rsidRPr="00F53504">
        <w:t xml:space="preserve"> with </w:t>
      </w:r>
      <w:r w:rsidR="0014793C">
        <w:t xml:space="preserve">the administrative burden of </w:t>
      </w:r>
      <w:r w:rsidR="0041378D" w:rsidRPr="00F53504">
        <w:t>RATTUAJ</w:t>
      </w:r>
      <w:r w:rsidRPr="00F53504">
        <w:t xml:space="preserve">. </w:t>
      </w:r>
      <w:r w:rsidR="00787484" w:rsidRPr="00F53504">
        <w:t xml:space="preserve">Three-quarters (78 per cent) </w:t>
      </w:r>
      <w:r w:rsidRPr="00F53504">
        <w:t>of the providers</w:t>
      </w:r>
      <w:r w:rsidR="00CE61D4" w:rsidRPr="00F53504">
        <w:t xml:space="preserve"> </w:t>
      </w:r>
      <w:r w:rsidR="00DC36FD" w:rsidRPr="00F53504">
        <w:t xml:space="preserve">who </w:t>
      </w:r>
      <w:r w:rsidR="00CE61D4" w:rsidRPr="00F53504">
        <w:t>did not promote the program or only promoted it to some extent</w:t>
      </w:r>
      <w:r w:rsidRPr="00F53504">
        <w:t xml:space="preserve"> </w:t>
      </w:r>
      <w:r w:rsidR="005E37CA">
        <w:t xml:space="preserve">said that </w:t>
      </w:r>
      <w:r w:rsidRPr="00F53504">
        <w:t>administrative burden involved with the program</w:t>
      </w:r>
      <w:r w:rsidR="00CE61D4" w:rsidRPr="00F53504">
        <w:t xml:space="preserve"> </w:t>
      </w:r>
      <w:r w:rsidR="005E37CA">
        <w:t>w</w:t>
      </w:r>
      <w:r w:rsidR="00CE61D4" w:rsidRPr="00F53504">
        <w:t xml:space="preserve">as the reason </w:t>
      </w:r>
      <w:r w:rsidR="005E37CA">
        <w:t>they did not promote it</w:t>
      </w:r>
      <w:r w:rsidRPr="00F53504">
        <w:t>.</w:t>
      </w:r>
      <w:r w:rsidR="002944A2">
        <w:rPr>
          <w:rStyle w:val="FootnoteReference"/>
        </w:rPr>
        <w:footnoteReference w:id="26"/>
      </w:r>
      <w:r w:rsidRPr="00F53504">
        <w:t xml:space="preserve"> </w:t>
      </w:r>
      <w:r w:rsidR="00156911">
        <w:t xml:space="preserve">More information is </w:t>
      </w:r>
      <w:r w:rsidR="00156911" w:rsidRPr="00F53504">
        <w:t xml:space="preserve">in Section </w:t>
      </w:r>
      <w:r w:rsidR="00156911" w:rsidRPr="00F53504">
        <w:fldChar w:fldCharType="begin"/>
      </w:r>
      <w:r w:rsidR="00156911" w:rsidRPr="00F53504">
        <w:instrText xml:space="preserve"> REF _Ref484420376 \r \h </w:instrText>
      </w:r>
      <w:r w:rsidR="00156911" w:rsidRPr="00F53504">
        <w:fldChar w:fldCharType="separate"/>
      </w:r>
      <w:r w:rsidR="00AA36FE">
        <w:t>3.6.1</w:t>
      </w:r>
      <w:r w:rsidR="00156911" w:rsidRPr="00F53504">
        <w:fldChar w:fldCharType="end"/>
      </w:r>
      <w:r w:rsidR="00156911">
        <w:t>.</w:t>
      </w:r>
    </w:p>
    <w:p w14:paraId="749637BD" w14:textId="77777777" w:rsidR="005927CA" w:rsidRPr="00F53504" w:rsidRDefault="005927CA" w:rsidP="005927CA">
      <w:pPr>
        <w:pStyle w:val="Heading2"/>
      </w:pPr>
      <w:bookmarkStart w:id="103" w:name="_Toc512529330"/>
      <w:r w:rsidRPr="00F53504">
        <w:t>Eligibility Issues</w:t>
      </w:r>
      <w:bookmarkEnd w:id="103"/>
    </w:p>
    <w:p w14:paraId="41E55043" w14:textId="4B5312CA" w:rsidR="005927CA" w:rsidRPr="00F53504" w:rsidRDefault="005927CA" w:rsidP="005927CA">
      <w:r w:rsidRPr="00F53504">
        <w:t xml:space="preserve">One concern raised in interviews with providers is that the eligibility requirements were not reflective of some employers’ hiring practices and limitations on job seeker circumstances made this program too restrictive. In particular, the requirement for a job seeker to be </w:t>
      </w:r>
      <w:r w:rsidR="00AA4B84">
        <w:t>receiving</w:t>
      </w:r>
      <w:r w:rsidRPr="00F53504">
        <w:t xml:space="preserve"> particular income support payments for at least 12 months, and the requirement for the job seeker to have a formal employment offer, sometimes meant that providers could not support a willing job seeker’s </w:t>
      </w:r>
      <w:r w:rsidR="00B575F8">
        <w:t>relocation through the program.</w:t>
      </w:r>
    </w:p>
    <w:p w14:paraId="1544E4E5" w14:textId="5EE628A4" w:rsidR="005927CA" w:rsidRPr="00F53504" w:rsidRDefault="005927CA" w:rsidP="005927CA">
      <w:pPr>
        <w:pStyle w:val="Quote"/>
        <w:rPr>
          <w:lang w:val="en-AU"/>
        </w:rPr>
      </w:pPr>
      <w:r w:rsidRPr="00F53504">
        <w:rPr>
          <w:lang w:val="en-AU"/>
        </w:rPr>
        <w:t>“We had 2 people who we wanted to use it for but couldn’t because they hadn’t been unemployed for long enough so to me that was a fail. So th</w:t>
      </w:r>
      <w:r w:rsidR="006C7D5E">
        <w:rPr>
          <w:lang w:val="en-AU"/>
        </w:rPr>
        <w:t>at was a little disappointing.”</w:t>
      </w:r>
    </w:p>
    <w:p w14:paraId="0F0DF4C5" w14:textId="19D5DF12" w:rsidR="005927CA" w:rsidRPr="00F53504" w:rsidRDefault="005927CA" w:rsidP="005927CA">
      <w:pPr>
        <w:pStyle w:val="Quoteattribution"/>
      </w:pPr>
      <w:r w:rsidRPr="00F53504">
        <w:t xml:space="preserve">Provider, capital city, </w:t>
      </w:r>
      <w:r w:rsidR="00463FD9">
        <w:t>response to a Departmental survey in 2015</w:t>
      </w:r>
    </w:p>
    <w:p w14:paraId="2573D94C" w14:textId="6D05C569" w:rsidR="005927CA" w:rsidRPr="00F53504" w:rsidRDefault="005927CA" w:rsidP="005927CA">
      <w:r w:rsidRPr="00F53504">
        <w:t>In addition to the eligibility requirements for job seekers who wish to relocate, the employer, type of employment and location must also meet conditions. Some providers reported that the eligibility restrictions and documentation required im</w:t>
      </w:r>
      <w:r w:rsidR="00485604">
        <w:t>peded their use of the program.</w:t>
      </w:r>
    </w:p>
    <w:p w14:paraId="68640722" w14:textId="77777777" w:rsidR="005927CA" w:rsidRPr="00F53504" w:rsidRDefault="005927CA" w:rsidP="005927CA">
      <w:pPr>
        <w:pStyle w:val="Quote"/>
        <w:rPr>
          <w:lang w:val="en-AU"/>
        </w:rPr>
      </w:pPr>
      <w:r w:rsidRPr="00F53504">
        <w:rPr>
          <w:lang w:val="en-AU"/>
        </w:rPr>
        <w:t>“Yeah, so the package has a lot more documentary evidence requirements...it’s not just if the job seeker’s eligible, the employment has to be eligible, the location has to be eligible, and the placement has to be eligible. So if this job seeker’s eligible for the package</w:t>
      </w:r>
      <w:r w:rsidR="0016540E">
        <w:rPr>
          <w:lang w:val="en-AU"/>
        </w:rPr>
        <w:t xml:space="preserve"> [RATTUAJ]</w:t>
      </w:r>
      <w:r w:rsidRPr="00F53504">
        <w:rPr>
          <w:lang w:val="en-AU"/>
        </w:rPr>
        <w:t>, they’re not eligible for Employment Fund,</w:t>
      </w:r>
      <w:r w:rsidR="00B236C3">
        <w:rPr>
          <w:rStyle w:val="FootnoteReference"/>
          <w:lang w:val="en-AU"/>
        </w:rPr>
        <w:footnoteReference w:id="27"/>
      </w:r>
      <w:r w:rsidRPr="00F53504">
        <w:rPr>
          <w:lang w:val="en-AU"/>
        </w:rPr>
        <w:t xml:space="preserve"> but just because the job seeker’s eligible, doesn’t mean the placement, employer and location are.”</w:t>
      </w:r>
    </w:p>
    <w:p w14:paraId="60728AFA" w14:textId="77777777" w:rsidR="005927CA" w:rsidRPr="00F53504" w:rsidRDefault="005927CA" w:rsidP="005927CA">
      <w:pPr>
        <w:pStyle w:val="Quoteattribution"/>
      </w:pPr>
      <w:r w:rsidRPr="00F53504">
        <w:t>Provider, capital city, in-depth interview</w:t>
      </w:r>
    </w:p>
    <w:p w14:paraId="254A7AAE" w14:textId="3DF987BD" w:rsidR="005927CA" w:rsidRPr="00F53504" w:rsidRDefault="005927CA" w:rsidP="005927CA">
      <w:r w:rsidRPr="00F53504">
        <w:t xml:space="preserve">A few providers indicated that program guidelines </w:t>
      </w:r>
      <w:proofErr w:type="gramStart"/>
      <w:r w:rsidRPr="00F53504">
        <w:t>may</w:t>
      </w:r>
      <w:proofErr w:type="gramEnd"/>
      <w:r w:rsidRPr="00F53504">
        <w:t xml:space="preserve"> not account for actual employer hiring practices. For example, employers’ reluctance to commit a new employee to a full-time </w:t>
      </w:r>
      <w:proofErr w:type="gramStart"/>
      <w:r w:rsidRPr="00F53504">
        <w:t>position;</w:t>
      </w:r>
      <w:proofErr w:type="gramEnd"/>
      <w:r w:rsidRPr="00F53504">
        <w:t xml:space="preserve"> they may start someone on a casual basis but with the likelihood of revising the position to full-time after a period of time depending on the employee’s performance and also on business </w:t>
      </w:r>
      <w:r w:rsidR="00D0220B" w:rsidRPr="00F53504">
        <w:t>needs</w:t>
      </w:r>
      <w:r w:rsidR="005A66A3">
        <w:t>.</w:t>
      </w:r>
    </w:p>
    <w:p w14:paraId="3551213B" w14:textId="40ECFFF3" w:rsidR="005927CA" w:rsidRPr="00F53504" w:rsidRDefault="005927CA" w:rsidP="005927CA">
      <w:pPr>
        <w:pStyle w:val="Quote"/>
        <w:rPr>
          <w:lang w:val="en-AU"/>
        </w:rPr>
      </w:pPr>
      <w:r w:rsidRPr="00F53504">
        <w:rPr>
          <w:lang w:val="en-AU"/>
        </w:rPr>
        <w:lastRenderedPageBreak/>
        <w:t>“It’s very unusual for an employer to offer someone full-time work, or to put in writing that they are going to give someone full-time work</w:t>
      </w:r>
      <w:r w:rsidR="00F65436">
        <w:rPr>
          <w:lang w:val="en-AU"/>
        </w:rPr>
        <w:t>...</w:t>
      </w:r>
      <w:r w:rsidRPr="00F53504">
        <w:rPr>
          <w:lang w:val="en-AU"/>
        </w:rPr>
        <w:t>So most work, for anyone, they start off casual and build them up to full time.”</w:t>
      </w:r>
    </w:p>
    <w:p w14:paraId="04749ADF" w14:textId="77777777" w:rsidR="005927CA" w:rsidRPr="00F53504" w:rsidRDefault="005927CA" w:rsidP="005927CA">
      <w:pPr>
        <w:pStyle w:val="Quoteattribution"/>
      </w:pPr>
      <w:r w:rsidRPr="00F53504">
        <w:t>Provider, regional area, in-depth interview</w:t>
      </w:r>
    </w:p>
    <w:p w14:paraId="0866069A" w14:textId="77777777" w:rsidR="005927CA" w:rsidRPr="00F53504" w:rsidRDefault="005927CA" w:rsidP="005927CA">
      <w:r w:rsidRPr="00F53504">
        <w:t xml:space="preserve">One provider stated that their application for relocation assistance through </w:t>
      </w:r>
      <w:r w:rsidR="0041378D" w:rsidRPr="00F53504">
        <w:t>RATTUAJ</w:t>
      </w:r>
      <w:r w:rsidRPr="00F53504">
        <w:t xml:space="preserve"> </w:t>
      </w:r>
      <w:proofErr w:type="gramStart"/>
      <w:r w:rsidRPr="00F53504">
        <w:t>was denied</w:t>
      </w:r>
      <w:proofErr w:type="gramEnd"/>
      <w:r w:rsidRPr="00F53504">
        <w:t xml:space="preserve"> as the job seeker was relocating as a self-employed contractor:</w:t>
      </w:r>
    </w:p>
    <w:p w14:paraId="4D17EE27" w14:textId="0158A780" w:rsidR="005927CA" w:rsidRPr="00F53504" w:rsidRDefault="005927CA" w:rsidP="005927CA">
      <w:pPr>
        <w:pStyle w:val="Quote"/>
        <w:rPr>
          <w:lang w:val="en-AU"/>
        </w:rPr>
      </w:pPr>
      <w:proofErr w:type="gramStart"/>
      <w:r w:rsidRPr="00F53504">
        <w:rPr>
          <w:lang w:val="en-AU"/>
        </w:rPr>
        <w:t>“Recently we assisted a candidate, she’s a mature age and she got herself [a job in another location], that it’s actually – she is contracted to this centre and they are going to open a centre that can use her skill</w:t>
      </w:r>
      <w:r w:rsidR="005B302F">
        <w:rPr>
          <w:lang w:val="en-AU"/>
        </w:rPr>
        <w:t>,</w:t>
      </w:r>
      <w:r w:rsidRPr="00F53504">
        <w:rPr>
          <w:lang w:val="en-AU"/>
        </w:rPr>
        <w:t xml:space="preserve"> like therapist skills and counselling skills</w:t>
      </w:r>
      <w:r w:rsidR="00F65436">
        <w:rPr>
          <w:lang w:val="en-AU"/>
        </w:rPr>
        <w:t>...</w:t>
      </w:r>
      <w:r w:rsidRPr="00F53504">
        <w:rPr>
          <w:lang w:val="en-AU"/>
        </w:rPr>
        <w:t>we applied for it but it got knocked back by contract because she is a self-employed contractor, delivering contract work, so for the take up – for that particular funding only applied to permanent role or full-time role, so we couldn’t access to that.</w:t>
      </w:r>
      <w:proofErr w:type="gramEnd"/>
      <w:r w:rsidRPr="00F53504">
        <w:rPr>
          <w:lang w:val="en-AU"/>
        </w:rPr>
        <w:t xml:space="preserve"> Ins</w:t>
      </w:r>
      <w:r w:rsidR="007B5864">
        <w:rPr>
          <w:lang w:val="en-AU"/>
        </w:rPr>
        <w:t>tead we accessed E</w:t>
      </w:r>
      <w:r w:rsidRPr="00F53504">
        <w:rPr>
          <w:lang w:val="en-AU"/>
        </w:rPr>
        <w:t xml:space="preserve">mployment </w:t>
      </w:r>
      <w:r w:rsidR="007B5864">
        <w:rPr>
          <w:lang w:val="en-AU"/>
        </w:rPr>
        <w:t>F</w:t>
      </w:r>
      <w:r w:rsidRPr="00F53504">
        <w:rPr>
          <w:lang w:val="en-AU"/>
        </w:rPr>
        <w:t>und to assist her to do relocation, and the rental and al</w:t>
      </w:r>
      <w:r w:rsidR="00485604">
        <w:rPr>
          <w:lang w:val="en-AU"/>
        </w:rPr>
        <w:t>l that.”</w:t>
      </w:r>
    </w:p>
    <w:p w14:paraId="2A182E74" w14:textId="77777777" w:rsidR="005927CA" w:rsidRPr="00F53504" w:rsidRDefault="005927CA" w:rsidP="005927CA">
      <w:pPr>
        <w:pStyle w:val="Quoteattribution"/>
      </w:pPr>
      <w:r w:rsidRPr="00F53504">
        <w:t>Provider, capital city, in-depth interview</w:t>
      </w:r>
    </w:p>
    <w:p w14:paraId="7CBADB46" w14:textId="614F4891" w:rsidR="005927CA" w:rsidRPr="00F53504" w:rsidRDefault="005927CA" w:rsidP="005927CA">
      <w:r w:rsidRPr="00F53504">
        <w:t xml:space="preserve">A few providers questioned the </w:t>
      </w:r>
      <w:r w:rsidR="005B302F">
        <w:t>rationale for</w:t>
      </w:r>
      <w:r w:rsidRPr="00F53504">
        <w:t xml:space="preserve"> requiring a minimum of 12 months’ income support for a job seeker that is willing to move. It </w:t>
      </w:r>
      <w:proofErr w:type="gramStart"/>
      <w:r w:rsidRPr="00F53504">
        <w:t>was thought</w:t>
      </w:r>
      <w:proofErr w:type="gramEnd"/>
      <w:r w:rsidRPr="00F53504">
        <w:t xml:space="preserve"> that early intervention would be more desirable than risking a new job seeker becoming entrenched in the income support system.</w:t>
      </w:r>
    </w:p>
    <w:p w14:paraId="277B030B" w14:textId="77777777" w:rsidR="005927CA" w:rsidRPr="00F53504" w:rsidRDefault="005927CA" w:rsidP="005927CA">
      <w:pPr>
        <w:pStyle w:val="Quote"/>
        <w:rPr>
          <w:lang w:val="en-AU"/>
        </w:rPr>
      </w:pPr>
      <w:r w:rsidRPr="00F53504">
        <w:rPr>
          <w:lang w:val="en-AU"/>
        </w:rPr>
        <w:t xml:space="preserve">“If you’ve got someone that’s keen to move and they can get work, why should we have to wait 12 months to tap into that money? I mean we all know that the unemployment rate here is </w:t>
      </w:r>
      <w:proofErr w:type="gramStart"/>
      <w:r w:rsidRPr="00F53504">
        <w:rPr>
          <w:lang w:val="en-AU"/>
        </w:rPr>
        <w:t>really high</w:t>
      </w:r>
      <w:proofErr w:type="gramEnd"/>
      <w:r w:rsidRPr="00F53504">
        <w:rPr>
          <w:lang w:val="en-AU"/>
        </w:rPr>
        <w:t xml:space="preserve">, why prolong it 12 months. In that </w:t>
      </w:r>
      <w:proofErr w:type="gramStart"/>
      <w:r w:rsidRPr="00F53504">
        <w:rPr>
          <w:lang w:val="en-AU"/>
        </w:rPr>
        <w:t>12 month</w:t>
      </w:r>
      <w:proofErr w:type="gramEnd"/>
      <w:r w:rsidRPr="00F53504">
        <w:rPr>
          <w:lang w:val="en-AU"/>
        </w:rPr>
        <w:t xml:space="preserve"> period they start to lose motivation, depression kicks in. If </w:t>
      </w:r>
      <w:proofErr w:type="gramStart"/>
      <w:r w:rsidRPr="00F53504">
        <w:rPr>
          <w:lang w:val="en-AU"/>
        </w:rPr>
        <w:t>they’re</w:t>
      </w:r>
      <w:proofErr w:type="gramEnd"/>
      <w:r w:rsidRPr="00F53504">
        <w:rPr>
          <w:lang w:val="en-AU"/>
        </w:rPr>
        <w:t xml:space="preserve"> hanging around, depending on the people they hang around, [LOCATION] has a high drug problem so they just end up spiralling out of control. So why leave it so long?”</w:t>
      </w:r>
    </w:p>
    <w:p w14:paraId="35308527" w14:textId="77777777" w:rsidR="005927CA" w:rsidRPr="00F53504" w:rsidRDefault="005927CA" w:rsidP="005927CA">
      <w:pPr>
        <w:pStyle w:val="Quoteattribution"/>
      </w:pPr>
      <w:r w:rsidRPr="00F53504">
        <w:t>Provider, regional area, in-depth interview</w:t>
      </w:r>
    </w:p>
    <w:p w14:paraId="17DDA3B8" w14:textId="60E91813" w:rsidR="00906679" w:rsidRDefault="00B51AB9" w:rsidP="00B51AB9">
      <w:pPr>
        <w:pStyle w:val="Heading1"/>
      </w:pPr>
      <w:bookmarkStart w:id="104" w:name="_Toc512529331"/>
      <w:r w:rsidRPr="00F53504">
        <w:lastRenderedPageBreak/>
        <w:t>Conclusion</w:t>
      </w:r>
      <w:bookmarkEnd w:id="104"/>
      <w:r w:rsidR="00906679">
        <w:t xml:space="preserve"> </w:t>
      </w:r>
    </w:p>
    <w:p w14:paraId="7DBDF0E5" w14:textId="35CB440D" w:rsidR="00E8493B" w:rsidRDefault="00E8493B" w:rsidP="00E8493B">
      <w:r w:rsidRPr="00F53504">
        <w:t xml:space="preserve">The Department of </w:t>
      </w:r>
      <w:r>
        <w:t>Jobs and Small Business</w:t>
      </w:r>
      <w:r w:rsidRPr="00F53504">
        <w:t xml:space="preserve"> evaluated the first eighteen months of the RATTUAJ program</w:t>
      </w:r>
      <w:r w:rsidR="002D0E6E">
        <w:t>me</w:t>
      </w:r>
      <w:r w:rsidR="007C2879">
        <w:t xml:space="preserve"> under JSA and jobactive</w:t>
      </w:r>
      <w:r w:rsidRPr="00F53504">
        <w:t>. The evaluation used administrative data and qualitative and quantitative research to examine the program’s effectiveness</w:t>
      </w:r>
      <w:r>
        <w:t>,</w:t>
      </w:r>
      <w:r w:rsidRPr="00F53504">
        <w:t xml:space="preserve"> </w:t>
      </w:r>
      <w:r w:rsidR="00485604">
        <w:t>efficiency and appropriateness.</w:t>
      </w:r>
    </w:p>
    <w:p w14:paraId="7ACF8AE8" w14:textId="6645FE1E" w:rsidR="00E8493B" w:rsidRPr="00F53504" w:rsidRDefault="00E8493B" w:rsidP="00E8493B">
      <w:r w:rsidRPr="00F53504">
        <w:t xml:space="preserve">Early indications are that financial assistance through RATTUAJ </w:t>
      </w:r>
      <w:r>
        <w:t>wa</w:t>
      </w:r>
      <w:r w:rsidRPr="00F53504">
        <w:t xml:space="preserve">s effective for long-term unemployed job seekers who were motivated to </w:t>
      </w:r>
      <w:r w:rsidR="00BC6EB6">
        <w:t>take up</w:t>
      </w:r>
      <w:r w:rsidR="00BC6EB6" w:rsidRPr="00F53504">
        <w:t xml:space="preserve"> </w:t>
      </w:r>
      <w:r w:rsidRPr="00F53504">
        <w:t xml:space="preserve">employment in another location, with most successfully relocating and </w:t>
      </w:r>
      <w:r w:rsidR="007B5864">
        <w:t>many</w:t>
      </w:r>
      <w:r w:rsidRPr="00F53504">
        <w:t xml:space="preserve"> still in employme</w:t>
      </w:r>
      <w:r w:rsidR="00485604">
        <w:t>nt six months after relocation.</w:t>
      </w:r>
    </w:p>
    <w:p w14:paraId="6ABA116F" w14:textId="49308F36" w:rsidR="00E8493B" w:rsidRPr="00F53504" w:rsidRDefault="00E8493B" w:rsidP="00E8493B">
      <w:r w:rsidRPr="00F53504">
        <w:t xml:space="preserve">There were issues with efficiency, given the low numbers of participants, administrative burden, and </w:t>
      </w:r>
      <w:r w:rsidR="00114D92">
        <w:t>a process designed for a move that is slower and more organised than most actually were</w:t>
      </w:r>
      <w:r w:rsidRPr="00F53504">
        <w:t>.</w:t>
      </w:r>
    </w:p>
    <w:p w14:paraId="7F3BBA9E" w14:textId="61C8878E" w:rsidR="00E8493B" w:rsidRDefault="00E8493B" w:rsidP="00E8493B">
      <w:r w:rsidRPr="00F53504">
        <w:t xml:space="preserve">The appropriateness of the program </w:t>
      </w:r>
      <w:proofErr w:type="gramStart"/>
      <w:r w:rsidRPr="00F53504">
        <w:t>could be improved</w:t>
      </w:r>
      <w:proofErr w:type="gramEnd"/>
      <w:r w:rsidRPr="00F53504">
        <w:t xml:space="preserve"> by broadening eligibilit</w:t>
      </w:r>
      <w:r w:rsidR="00D11400">
        <w:t xml:space="preserve">y criteria to increase take up </w:t>
      </w:r>
      <w:r w:rsidRPr="00F53504">
        <w:t xml:space="preserve">and by </w:t>
      </w:r>
      <w:r w:rsidR="009869D0">
        <w:t>adjusting</w:t>
      </w:r>
      <w:r w:rsidR="009869D0" w:rsidRPr="00F53504">
        <w:t xml:space="preserve"> </w:t>
      </w:r>
      <w:r w:rsidRPr="00F53504">
        <w:t>requirements for participants to make payments upfront and then seek reimbursement.</w:t>
      </w:r>
    </w:p>
    <w:p w14:paraId="5C8499E6" w14:textId="1E526988" w:rsidR="0014793C" w:rsidRPr="00F53504" w:rsidRDefault="0014793C" w:rsidP="0014793C">
      <w:pPr>
        <w:pStyle w:val="Heading2"/>
      </w:pPr>
      <w:bookmarkStart w:id="105" w:name="_Toc512529332"/>
      <w:r>
        <w:t>Findings</w:t>
      </w:r>
      <w:bookmarkEnd w:id="105"/>
    </w:p>
    <w:p w14:paraId="4991761E" w14:textId="01320523" w:rsidR="0014793C" w:rsidRPr="00E8493B" w:rsidRDefault="00B37002" w:rsidP="0014793C">
      <w:r w:rsidRPr="00F53504">
        <w:t>This evaluation of the RATTUAJ program</w:t>
      </w:r>
      <w:r w:rsidR="002D0E6E">
        <w:t>me</w:t>
      </w:r>
      <w:r w:rsidRPr="00F53504">
        <w:t xml:space="preserve"> builds upon evaluation findings of previous Australian Government-funded relocation pilots and trials. As a national program, RATTUAJ allows </w:t>
      </w:r>
      <w:proofErr w:type="gramStart"/>
      <w:r w:rsidRPr="00F53504">
        <w:t>for findings</w:t>
      </w:r>
      <w:proofErr w:type="gramEnd"/>
      <w:r w:rsidRPr="00F53504">
        <w:t xml:space="preserve"> to be generalised </w:t>
      </w:r>
      <w:r>
        <w:t>across</w:t>
      </w:r>
      <w:r w:rsidRPr="00F53504">
        <w:t xml:space="preserve"> a broader population and more diverse locations. </w:t>
      </w:r>
      <w:r>
        <w:t xml:space="preserve">While the evaluation findings offer insights, they are constrained </w:t>
      </w:r>
      <w:r w:rsidRPr="00F53504">
        <w:t xml:space="preserve">by the short timeframe between the inception of the program and the preparation of this report. </w:t>
      </w:r>
      <w:r w:rsidR="0014793C">
        <w:t>An important caveat is that the evaluation findings relate to a small, voluntary program. These findings may not generalise if there were significant changes in program design, eligibility or scale.</w:t>
      </w:r>
    </w:p>
    <w:p w14:paraId="29CC4AA8" w14:textId="3D510389" w:rsidR="00B37002" w:rsidRDefault="00B37002" w:rsidP="00B37002">
      <w:r>
        <w:t>In summary:</w:t>
      </w:r>
    </w:p>
    <w:p w14:paraId="1D58C67B" w14:textId="77777777" w:rsidR="00B37002" w:rsidRDefault="00B37002" w:rsidP="00B37002">
      <w:pPr>
        <w:pStyle w:val="ListParagraph"/>
        <w:numPr>
          <w:ilvl w:val="0"/>
          <w:numId w:val="46"/>
        </w:numPr>
      </w:pPr>
      <w:r w:rsidRPr="00A340E2">
        <w:t>Relocation to take up a job is uncommon</w:t>
      </w:r>
    </w:p>
    <w:p w14:paraId="71C3200B" w14:textId="77777777" w:rsidR="00B37002" w:rsidRDefault="00B37002" w:rsidP="00B37002">
      <w:pPr>
        <w:pStyle w:val="ListParagraph"/>
        <w:numPr>
          <w:ilvl w:val="0"/>
          <w:numId w:val="46"/>
        </w:numPr>
      </w:pPr>
      <w:r w:rsidRPr="00A340E2">
        <w:t>Moving to take up a job can be challenging and stressful</w:t>
      </w:r>
    </w:p>
    <w:p w14:paraId="65B12B26" w14:textId="77777777" w:rsidR="00B37002" w:rsidRDefault="00B37002" w:rsidP="00B37002">
      <w:pPr>
        <w:pStyle w:val="ListParagraph"/>
        <w:numPr>
          <w:ilvl w:val="0"/>
          <w:numId w:val="46"/>
        </w:numPr>
      </w:pPr>
      <w:r w:rsidRPr="00F53504">
        <w:t xml:space="preserve">RATTUAJ </w:t>
      </w:r>
      <w:r>
        <w:t>helped people move to take up a job</w:t>
      </w:r>
    </w:p>
    <w:p w14:paraId="58D13309" w14:textId="2CED5E47" w:rsidR="00B37002" w:rsidRDefault="00B37002" w:rsidP="00B37002">
      <w:pPr>
        <w:pStyle w:val="ListParagraph"/>
        <w:numPr>
          <w:ilvl w:val="0"/>
          <w:numId w:val="46"/>
        </w:numPr>
      </w:pPr>
      <w:r w:rsidRPr="00A340E2">
        <w:t>RATTUAJ did</w:t>
      </w:r>
      <w:r w:rsidR="00600826">
        <w:t xml:space="preserve"> </w:t>
      </w:r>
      <w:r w:rsidRPr="00A340E2">
        <w:t>n</w:t>
      </w:r>
      <w:r w:rsidR="00600826">
        <w:t>o</w:t>
      </w:r>
      <w:r w:rsidRPr="00A340E2">
        <w:t>t encourage people to find jobs in other location</w:t>
      </w:r>
      <w:r>
        <w:t>s</w:t>
      </w:r>
      <w:r w:rsidRPr="00A340E2">
        <w:t xml:space="preserve"> </w:t>
      </w:r>
      <w:r>
        <w:t>but did help them move</w:t>
      </w:r>
    </w:p>
    <w:p w14:paraId="6C9FBF20" w14:textId="59CF03B3" w:rsidR="00B37002" w:rsidRDefault="00B37002" w:rsidP="00B37002">
      <w:pPr>
        <w:pStyle w:val="ListParagraph"/>
        <w:numPr>
          <w:ilvl w:val="0"/>
          <w:numId w:val="46"/>
        </w:numPr>
      </w:pPr>
      <w:r w:rsidRPr="00A340E2">
        <w:t xml:space="preserve">People who used RATTUAJ to relocate for a job </w:t>
      </w:r>
      <w:r w:rsidR="00FB7842">
        <w:t>had different characteristics</w:t>
      </w:r>
      <w:r w:rsidRPr="00A340E2">
        <w:t xml:space="preserve"> </w:t>
      </w:r>
      <w:r w:rsidR="00FB7842">
        <w:t>to</w:t>
      </w:r>
      <w:r w:rsidRPr="00A340E2">
        <w:t xml:space="preserve"> most unemployed</w:t>
      </w:r>
      <w:r w:rsidR="00D1571D">
        <w:t xml:space="preserve"> people</w:t>
      </w:r>
    </w:p>
    <w:p w14:paraId="47742D2E" w14:textId="6353E85B" w:rsidR="00B37002" w:rsidRDefault="00B37002" w:rsidP="00B37002">
      <w:pPr>
        <w:pStyle w:val="ListParagraph"/>
        <w:numPr>
          <w:ilvl w:val="0"/>
          <w:numId w:val="46"/>
        </w:numPr>
      </w:pPr>
      <w:r w:rsidRPr="00A340E2">
        <w:t xml:space="preserve">RATTUAJ supported people </w:t>
      </w:r>
      <w:r w:rsidR="00D1571D">
        <w:t xml:space="preserve">to </w:t>
      </w:r>
      <w:r w:rsidRPr="00A340E2">
        <w:t>move to take up regional jobs</w:t>
      </w:r>
    </w:p>
    <w:p w14:paraId="4EF60F9B" w14:textId="77777777" w:rsidR="00B37002" w:rsidRDefault="00B37002" w:rsidP="00B37002">
      <w:pPr>
        <w:pStyle w:val="ListParagraph"/>
        <w:numPr>
          <w:ilvl w:val="0"/>
          <w:numId w:val="46"/>
        </w:numPr>
      </w:pPr>
      <w:r w:rsidRPr="00A340E2">
        <w:t>RATTUAJ worked best where providers gave clear explanations and advocated for job seekers</w:t>
      </w:r>
    </w:p>
    <w:p w14:paraId="7084D8B6" w14:textId="1DB901BC" w:rsidR="0034649D" w:rsidRDefault="00B37002" w:rsidP="00B37002">
      <w:pPr>
        <w:pStyle w:val="ListParagraph"/>
        <w:numPr>
          <w:ilvl w:val="0"/>
          <w:numId w:val="46"/>
        </w:numPr>
      </w:pPr>
      <w:r w:rsidRPr="00A340E2">
        <w:t>RATTUAJ guidelines</w:t>
      </w:r>
      <w:r w:rsidR="0034649D">
        <w:t xml:space="preserve">, reimbursement </w:t>
      </w:r>
      <w:r w:rsidR="00D1571D">
        <w:t>approaches</w:t>
      </w:r>
      <w:r w:rsidRPr="00A340E2">
        <w:t xml:space="preserve"> and administration </w:t>
      </w:r>
      <w:r w:rsidR="0034649D">
        <w:t xml:space="preserve">could be improved </w:t>
      </w:r>
    </w:p>
    <w:p w14:paraId="2E7B4B2C" w14:textId="196D9951" w:rsidR="00B37002" w:rsidRDefault="00B37002" w:rsidP="00B37002">
      <w:pPr>
        <w:pStyle w:val="ListParagraph"/>
        <w:numPr>
          <w:ilvl w:val="0"/>
          <w:numId w:val="46"/>
        </w:numPr>
      </w:pPr>
      <w:r w:rsidRPr="00A340E2">
        <w:t>Providers lack incentives</w:t>
      </w:r>
      <w:r w:rsidR="00EB40CF">
        <w:t xml:space="preserve"> beyond employment outcome payments</w:t>
      </w:r>
      <w:r w:rsidRPr="00A340E2">
        <w:t xml:space="preserve"> </w:t>
      </w:r>
      <w:r w:rsidR="00CD2830">
        <w:t xml:space="preserve">to </w:t>
      </w:r>
      <w:r w:rsidRPr="00A340E2">
        <w:t>use RATTUAJ</w:t>
      </w:r>
    </w:p>
    <w:p w14:paraId="4AFFA3DC" w14:textId="38D465D1" w:rsidR="00B37002" w:rsidRPr="00A340E2" w:rsidRDefault="00B37002" w:rsidP="00B37002">
      <w:pPr>
        <w:pStyle w:val="ListParagraph"/>
        <w:numPr>
          <w:ilvl w:val="0"/>
          <w:numId w:val="46"/>
        </w:numPr>
      </w:pPr>
      <w:r>
        <w:t xml:space="preserve">Some </w:t>
      </w:r>
      <w:r w:rsidR="00D1571D">
        <w:t>ineligible</w:t>
      </w:r>
      <w:r>
        <w:t xml:space="preserve"> job seekers could also benefit from relocation assistance</w:t>
      </w:r>
    </w:p>
    <w:p w14:paraId="4C3E16B2" w14:textId="0F190D84" w:rsidR="00B37002" w:rsidRDefault="00B37002" w:rsidP="00706850">
      <w:pPr>
        <w:pStyle w:val="Conclusionheadings"/>
      </w:pPr>
      <w:r>
        <w:t>Relocation to take up a job is uncommon</w:t>
      </w:r>
    </w:p>
    <w:p w14:paraId="04F99A76" w14:textId="68FBCB10" w:rsidR="00B37002" w:rsidRDefault="00B37002" w:rsidP="00B37002">
      <w:r>
        <w:t xml:space="preserve">Few people </w:t>
      </w:r>
      <w:r w:rsidR="00FC7E4C">
        <w:t>are willing</w:t>
      </w:r>
      <w:r>
        <w:t xml:space="preserve"> to move from where they currently live for a job. In Australia, people are far more likely to move locally or commute further than to move a considerable distance. For </w:t>
      </w:r>
      <w:r>
        <w:lastRenderedPageBreak/>
        <w:t xml:space="preserve">unemployed people, the financial </w:t>
      </w:r>
      <w:r w:rsidR="000F1F64">
        <w:t>costs</w:t>
      </w:r>
      <w:r>
        <w:t xml:space="preserve"> and </w:t>
      </w:r>
      <w:r w:rsidR="000F1F64">
        <w:t xml:space="preserve">loss of informal services provided by their </w:t>
      </w:r>
      <w:r>
        <w:t>social support</w:t>
      </w:r>
      <w:r w:rsidR="000F1F64">
        <w:t xml:space="preserve"> </w:t>
      </w:r>
      <w:r>
        <w:t xml:space="preserve">networks </w:t>
      </w:r>
      <w:r w:rsidR="00977F39">
        <w:t xml:space="preserve">associated with moving </w:t>
      </w:r>
      <w:r>
        <w:t xml:space="preserve">can </w:t>
      </w:r>
      <w:r w:rsidR="000F1F64">
        <w:t>be</w:t>
      </w:r>
      <w:r>
        <w:t xml:space="preserve"> difficult to overcome, and few unemployed people move to a new location to take up a job.</w:t>
      </w:r>
    </w:p>
    <w:p w14:paraId="76A754A4" w14:textId="40C0B1E5" w:rsidR="00B37002" w:rsidRDefault="00B37002" w:rsidP="00B37002">
      <w:r>
        <w:t xml:space="preserve">The uptake of RATTUAJ reflects this. </w:t>
      </w:r>
      <w:r w:rsidRPr="00F53504">
        <w:t xml:space="preserve">From an eligible caseload size of approximately 450,000 job seekers, there were only 620 job seekers who </w:t>
      </w:r>
      <w:r>
        <w:t xml:space="preserve">used the program to </w:t>
      </w:r>
      <w:r w:rsidRPr="00F53504">
        <w:t xml:space="preserve">successfully relocate over an </w:t>
      </w:r>
      <w:proofErr w:type="gramStart"/>
      <w:r w:rsidRPr="00F53504">
        <w:t>18</w:t>
      </w:r>
      <w:r w:rsidR="00977F39">
        <w:t> </w:t>
      </w:r>
      <w:r w:rsidRPr="00F53504">
        <w:t>month</w:t>
      </w:r>
      <w:proofErr w:type="gramEnd"/>
      <w:r w:rsidRPr="00F53504">
        <w:t xml:space="preserve"> period.</w:t>
      </w:r>
    </w:p>
    <w:p w14:paraId="0C670520" w14:textId="77777777" w:rsidR="00B37002" w:rsidRPr="00F53504" w:rsidRDefault="00B37002" w:rsidP="00706850">
      <w:pPr>
        <w:pStyle w:val="Conclusionheadings"/>
      </w:pPr>
      <w:r>
        <w:t xml:space="preserve">Moving to take up a job can be challenging and </w:t>
      </w:r>
      <w:r w:rsidRPr="00F53504">
        <w:t>stress</w:t>
      </w:r>
      <w:r>
        <w:t>ful</w:t>
      </w:r>
    </w:p>
    <w:p w14:paraId="673C65AE" w14:textId="77777777" w:rsidR="00B37002" w:rsidRDefault="00B37002" w:rsidP="00B37002">
      <w:r>
        <w:t xml:space="preserve">Unemployed people who moved for a job reported </w:t>
      </w:r>
      <w:r w:rsidRPr="00F53504">
        <w:t xml:space="preserve">significant financial and emotional stress during the relocation process. </w:t>
      </w:r>
      <w:r>
        <w:t xml:space="preserve">Some also </w:t>
      </w:r>
      <w:r w:rsidRPr="00F53504">
        <w:t>face</w:t>
      </w:r>
      <w:r>
        <w:t>d</w:t>
      </w:r>
      <w:r w:rsidRPr="00F53504">
        <w:t xml:space="preserve"> cash flow challenges due to gaps in final unemployment benefits received and the first pay period for their new employment.</w:t>
      </w:r>
    </w:p>
    <w:p w14:paraId="1315A1E0" w14:textId="2831DB16" w:rsidR="00B37002" w:rsidRDefault="00B37002" w:rsidP="00B37002">
      <w:r>
        <w:t xml:space="preserve">Participants </w:t>
      </w:r>
      <w:r w:rsidRPr="00F53504">
        <w:t xml:space="preserve">noted </w:t>
      </w:r>
      <w:r>
        <w:t xml:space="preserve">that </w:t>
      </w:r>
      <w:r w:rsidRPr="00F53504">
        <w:t>deci</w:t>
      </w:r>
      <w:r>
        <w:t xml:space="preserve">ding </w:t>
      </w:r>
      <w:r w:rsidRPr="00F53504">
        <w:t xml:space="preserve">to move </w:t>
      </w:r>
      <w:r>
        <w:t xml:space="preserve">for </w:t>
      </w:r>
      <w:r w:rsidRPr="00F53504">
        <w:t xml:space="preserve">a job was difficult, </w:t>
      </w:r>
      <w:r>
        <w:t xml:space="preserve">particularly as it meant </w:t>
      </w:r>
      <w:r w:rsidRPr="00F53504">
        <w:t xml:space="preserve">leaving </w:t>
      </w:r>
      <w:r w:rsidR="00485604">
        <w:t>behind social support networks.</w:t>
      </w:r>
    </w:p>
    <w:p w14:paraId="3FEFC3CD" w14:textId="33D6A7B5" w:rsidR="00B37002" w:rsidRDefault="00B37002" w:rsidP="00B37002">
      <w:r w:rsidRPr="00F53504">
        <w:t xml:space="preserve">That said, </w:t>
      </w:r>
      <w:r>
        <w:t>j</w:t>
      </w:r>
      <w:r w:rsidRPr="00F53504">
        <w:t>ob seekers are motivated to relocate primarily to take up the job offer in the alternate location and are highly motivated to make both the move and the new job work out for them in the immediate and medium term.</w:t>
      </w:r>
    </w:p>
    <w:p w14:paraId="6C375681" w14:textId="0118A3BA" w:rsidR="00B37002" w:rsidRDefault="00B37002" w:rsidP="00B37002">
      <w:r>
        <w:t>T</w:t>
      </w:r>
      <w:r w:rsidRPr="00F53504">
        <w:t>he majority of participants made efforts to establish themselves in their new location both with their new employer and wi</w:t>
      </w:r>
      <w:r w:rsidR="00485604">
        <w:t>th the broader local community.</w:t>
      </w:r>
    </w:p>
    <w:p w14:paraId="21FE7433" w14:textId="704E9DA1" w:rsidR="00B37002" w:rsidRDefault="00B37002" w:rsidP="00B37002">
      <w:proofErr w:type="gramStart"/>
      <w:r>
        <w:t>People</w:t>
      </w:r>
      <w:proofErr w:type="gramEnd"/>
      <w:r>
        <w:t xml:space="preserve"> who </w:t>
      </w:r>
      <w:r w:rsidRPr="00F53504">
        <w:t>relocate</w:t>
      </w:r>
      <w:r>
        <w:t>d</w:t>
      </w:r>
      <w:r w:rsidRPr="00F53504">
        <w:t xml:space="preserve"> to a</w:t>
      </w:r>
      <w:r>
        <w:t xml:space="preserve"> familiar </w:t>
      </w:r>
      <w:r w:rsidRPr="00F53504">
        <w:t xml:space="preserve">area or </w:t>
      </w:r>
      <w:r w:rsidR="00783C06">
        <w:t xml:space="preserve">one </w:t>
      </w:r>
      <w:r w:rsidRPr="00F53504">
        <w:t>where they had friends or family members, were generally better able to manage the relocation and more readily established themselves in their new location.</w:t>
      </w:r>
    </w:p>
    <w:p w14:paraId="39BC7A35" w14:textId="693EF008" w:rsidR="00B37002" w:rsidRPr="00F53504" w:rsidRDefault="00B37002" w:rsidP="00B37002">
      <w:r w:rsidRPr="00F53504">
        <w:t>The challenge of securing both short-term and longer-term accommodation was a common experience for program participants.</w:t>
      </w:r>
    </w:p>
    <w:p w14:paraId="0EA90724" w14:textId="0D089CEE" w:rsidR="00B37002" w:rsidRPr="00F53504" w:rsidRDefault="00B37002" w:rsidP="00B37002">
      <w:r w:rsidRPr="00F53504">
        <w:t xml:space="preserve">Collectively, these financial and emotional challenges exacerbated the difficulties experienced in moving to a new location and being </w:t>
      </w:r>
      <w:r w:rsidR="00783C06">
        <w:t>able</w:t>
      </w:r>
      <w:r w:rsidRPr="00F53504">
        <w:t xml:space="preserve"> to successfully initiate and sustain e</w:t>
      </w:r>
      <w:r w:rsidR="00485604">
        <w:t>mployment for many job seekers.</w:t>
      </w:r>
    </w:p>
    <w:p w14:paraId="0583B949" w14:textId="77777777" w:rsidR="00B37002" w:rsidRPr="00F53504" w:rsidRDefault="00B37002" w:rsidP="00706850">
      <w:pPr>
        <w:pStyle w:val="Conclusionheadings"/>
      </w:pPr>
      <w:r w:rsidRPr="00F53504">
        <w:t xml:space="preserve">RATTUAJ </w:t>
      </w:r>
      <w:r>
        <w:t>helped people move to take up a job</w:t>
      </w:r>
    </w:p>
    <w:p w14:paraId="2967EAC1" w14:textId="0D7E7548" w:rsidR="00B37002" w:rsidRDefault="00B37002" w:rsidP="00B37002">
      <w:r>
        <w:t xml:space="preserve">The RATTUAJ </w:t>
      </w:r>
      <w:r w:rsidRPr="00F53504">
        <w:t>program</w:t>
      </w:r>
      <w:r w:rsidR="002D0E6E">
        <w:t>me</w:t>
      </w:r>
      <w:r w:rsidRPr="00F53504">
        <w:t xml:space="preserve"> </w:t>
      </w:r>
      <w:r>
        <w:t xml:space="preserve">helped unemployed people move to an alternative location to take up a job. This </w:t>
      </w:r>
      <w:proofErr w:type="gramStart"/>
      <w:r>
        <w:t>is supported</w:t>
      </w:r>
      <w:proofErr w:type="gramEnd"/>
      <w:r>
        <w:t xml:space="preserve"> by feedback from j</w:t>
      </w:r>
      <w:r w:rsidRPr="00F53504">
        <w:t xml:space="preserve">ob seekers and providers </w:t>
      </w:r>
      <w:r>
        <w:t xml:space="preserve">and administrative data. </w:t>
      </w:r>
      <w:r w:rsidR="00CE3B79">
        <w:t xml:space="preserve">Relocation assistance is meeting its objective of </w:t>
      </w:r>
      <w:r w:rsidR="00CE3B79" w:rsidRPr="00CE3B79">
        <w:t>providing practical and financial assistance to job seekers who need help to relocate to get and keep work</w:t>
      </w:r>
      <w:r>
        <w:t>.</w:t>
      </w:r>
    </w:p>
    <w:p w14:paraId="12A5C1A9" w14:textId="77777777" w:rsidR="00B37002" w:rsidRDefault="00B37002" w:rsidP="00B37002">
      <w:r>
        <w:t>T</w:t>
      </w:r>
      <w:r w:rsidRPr="00F53504">
        <w:t xml:space="preserve">he program </w:t>
      </w:r>
      <w:r>
        <w:t xml:space="preserve">helped </w:t>
      </w:r>
      <w:r w:rsidRPr="00F53504">
        <w:t>address financial stress in terms of direct costs associated with relocation</w:t>
      </w:r>
      <w:r>
        <w:t>.</w:t>
      </w:r>
    </w:p>
    <w:p w14:paraId="7C03382C" w14:textId="77777777" w:rsidR="00B37002" w:rsidRDefault="00B37002" w:rsidP="00B37002">
      <w:r w:rsidRPr="00F53504">
        <w:t>Almost all (96 per cent) of job seekers who entered into an approved relocation agreement went on to successfully relocate in that they commenced in a job placement.</w:t>
      </w:r>
    </w:p>
    <w:p w14:paraId="228EF0A3" w14:textId="3780383B" w:rsidR="00B37002" w:rsidRPr="00F53504" w:rsidRDefault="00B37002" w:rsidP="00B37002">
      <w:r w:rsidRPr="00F53504">
        <w:t>While a minority of job seekers indicated they could have moved without funding assistance (through borrowing from family</w:t>
      </w:r>
      <w:r w:rsidR="00114D92">
        <w:t xml:space="preserve"> or</w:t>
      </w:r>
      <w:r w:rsidRPr="00F53504">
        <w:t xml:space="preserve"> friends, or using credit cards), the vast majority noted that without the program</w:t>
      </w:r>
      <w:r w:rsidR="00114D92">
        <w:t>’s</w:t>
      </w:r>
      <w:r w:rsidRPr="00F53504">
        <w:t xml:space="preserve"> </w:t>
      </w:r>
      <w:r w:rsidR="00114D92">
        <w:t xml:space="preserve">financial </w:t>
      </w:r>
      <w:r w:rsidRPr="00F53504">
        <w:t>support</w:t>
      </w:r>
      <w:r w:rsidR="00720826">
        <w:t>,</w:t>
      </w:r>
      <w:r w:rsidRPr="00F53504">
        <w:t xml:space="preserve"> the relocation would not have been feasible.</w:t>
      </w:r>
    </w:p>
    <w:p w14:paraId="38DBEDC7" w14:textId="65732158" w:rsidR="00B37002" w:rsidRPr="00DB7537" w:rsidRDefault="00B37002" w:rsidP="00706850">
      <w:pPr>
        <w:pStyle w:val="Conclusionheadings"/>
      </w:pPr>
      <w:r w:rsidRPr="00F70D89">
        <w:lastRenderedPageBreak/>
        <w:t xml:space="preserve">RATTUAJ </w:t>
      </w:r>
      <w:r w:rsidRPr="00DB7537">
        <w:t>did</w:t>
      </w:r>
      <w:r w:rsidR="00600826">
        <w:t xml:space="preserve"> </w:t>
      </w:r>
      <w:r w:rsidRPr="00DB7537">
        <w:t>n</w:t>
      </w:r>
      <w:r w:rsidR="00600826">
        <w:t>o</w:t>
      </w:r>
      <w:r w:rsidRPr="00DB7537">
        <w:t>t encourage people to find jobs in other location</w:t>
      </w:r>
      <w:r>
        <w:t>s</w:t>
      </w:r>
      <w:r w:rsidRPr="00DB7537">
        <w:t xml:space="preserve"> </w:t>
      </w:r>
      <w:r>
        <w:t>but did help them move</w:t>
      </w:r>
    </w:p>
    <w:p w14:paraId="683DB7A5" w14:textId="65D9AC5E" w:rsidR="00B37002" w:rsidRPr="00F53504" w:rsidRDefault="00B37002" w:rsidP="00B37002">
      <w:r w:rsidRPr="00F53504">
        <w:t xml:space="preserve">The qualitative research showed that the relocation process </w:t>
      </w:r>
      <w:proofErr w:type="gramStart"/>
      <w:r w:rsidRPr="00F53504">
        <w:t xml:space="preserve">was </w:t>
      </w:r>
      <w:r>
        <w:t>mainly started</w:t>
      </w:r>
      <w:proofErr w:type="gramEnd"/>
      <w:r>
        <w:t xml:space="preserve"> </w:t>
      </w:r>
      <w:r w:rsidRPr="00F53504">
        <w:t xml:space="preserve">by the job seeker, who having found a job elsewhere, </w:t>
      </w:r>
      <w:r w:rsidR="006602AA">
        <w:t>sought</w:t>
      </w:r>
      <w:r w:rsidRPr="00F53504">
        <w:t xml:space="preserve"> support from their provider to relocate. </w:t>
      </w:r>
      <w:r w:rsidR="00114D92">
        <w:t>Provider</w:t>
      </w:r>
      <w:r w:rsidR="006602AA">
        <w:t xml:space="preserve"> involvement with relocations occurred </w:t>
      </w:r>
      <w:r w:rsidR="00485604">
        <w:t>primarily on a reactive basis.</w:t>
      </w:r>
    </w:p>
    <w:p w14:paraId="22BB124E" w14:textId="57AF2FF2" w:rsidR="00B37002" w:rsidRDefault="00B37002" w:rsidP="00B37002">
      <w:r w:rsidRPr="00F53504">
        <w:t xml:space="preserve">Given some job seekers did not know of the financial assistance available to them until after making a decision to relocate, RATTUAJ </w:t>
      </w:r>
      <w:r>
        <w:t>was not</w:t>
      </w:r>
      <w:r w:rsidR="006602AA">
        <w:t xml:space="preserve"> necessarily</w:t>
      </w:r>
      <w:r>
        <w:t xml:space="preserve"> an </w:t>
      </w:r>
      <w:r w:rsidRPr="00F53504">
        <w:t xml:space="preserve">incentive </w:t>
      </w:r>
      <w:r>
        <w:t xml:space="preserve">for </w:t>
      </w:r>
      <w:r w:rsidRPr="00F53504">
        <w:t>job seekers to seek employment in other regions</w:t>
      </w:r>
      <w:r>
        <w:t xml:space="preserve"> but did support the move</w:t>
      </w:r>
      <w:r w:rsidRPr="00F53504">
        <w:t>.</w:t>
      </w:r>
    </w:p>
    <w:p w14:paraId="7DB9FA3F" w14:textId="7C7EE82E" w:rsidR="00B37002" w:rsidRDefault="00B37002" w:rsidP="00706850">
      <w:pPr>
        <w:pStyle w:val="Conclusionheadings"/>
      </w:pPr>
      <w:r>
        <w:t xml:space="preserve">People who used RATTUAJ to relocate for a job </w:t>
      </w:r>
      <w:r w:rsidR="00706850">
        <w:t>had different characteristics</w:t>
      </w:r>
      <w:r>
        <w:t xml:space="preserve"> </w:t>
      </w:r>
      <w:r w:rsidR="00706850">
        <w:t>to</w:t>
      </w:r>
      <w:r>
        <w:t xml:space="preserve"> most unemployed</w:t>
      </w:r>
      <w:r w:rsidR="006602AA">
        <w:t xml:space="preserve"> people</w:t>
      </w:r>
    </w:p>
    <w:p w14:paraId="62C240C4" w14:textId="5AF79400" w:rsidR="00B37002" w:rsidRDefault="00B37002" w:rsidP="00B37002">
      <w:r w:rsidRPr="00F53504">
        <w:t>RATTUAJ appealed primarily to men without depend</w:t>
      </w:r>
      <w:r w:rsidR="00455A0A">
        <w:t>a</w:t>
      </w:r>
      <w:r w:rsidRPr="00F53504">
        <w:t>nts. Compared with the eligible caseload</w:t>
      </w:r>
      <w:r w:rsidR="005527E8">
        <w:t>,</w:t>
      </w:r>
      <w:r w:rsidRPr="00F53504">
        <w:t xml:space="preserve"> the participants were likely to be more highly educated, less likely to report a disability and less likely to be very long-term unemployed (une</w:t>
      </w:r>
      <w:r w:rsidR="00485604">
        <w:t>mployed for 24 or more months).</w:t>
      </w:r>
    </w:p>
    <w:p w14:paraId="513B7F09" w14:textId="59410461" w:rsidR="00B37002" w:rsidRPr="00706850" w:rsidRDefault="00B37002" w:rsidP="00706850">
      <w:pPr>
        <w:pStyle w:val="Conclusionheadings"/>
      </w:pPr>
      <w:r w:rsidRPr="00706850">
        <w:t xml:space="preserve">RATTUAJ supported people </w:t>
      </w:r>
      <w:r w:rsidR="005527E8" w:rsidRPr="00706850">
        <w:t xml:space="preserve">to </w:t>
      </w:r>
      <w:r w:rsidRPr="00706850">
        <w:t>move to take up regional jobs</w:t>
      </w:r>
    </w:p>
    <w:p w14:paraId="72856252" w14:textId="77777777" w:rsidR="00B37002" w:rsidRPr="00F53504" w:rsidRDefault="00B37002" w:rsidP="00B37002">
      <w:r w:rsidRPr="00F53504">
        <w:t>Almost three-quarters of the participants moved to a regional area. This is consistent with the findings of prior relocation programs.</w:t>
      </w:r>
    </w:p>
    <w:p w14:paraId="0219CCC5" w14:textId="77777777" w:rsidR="00B37002" w:rsidRPr="00F53504" w:rsidRDefault="00B37002" w:rsidP="00706850">
      <w:pPr>
        <w:pStyle w:val="Conclusionheadings"/>
      </w:pPr>
      <w:r>
        <w:t>RATTUAJ worked best where p</w:t>
      </w:r>
      <w:r w:rsidRPr="00F53504">
        <w:t>roviders</w:t>
      </w:r>
      <w:r>
        <w:t xml:space="preserve"> gave clear explanations and advocated for job seekers</w:t>
      </w:r>
    </w:p>
    <w:p w14:paraId="32D1411D" w14:textId="78B2B50C" w:rsidR="00B37002" w:rsidRDefault="00B37002" w:rsidP="00B37002">
      <w:r>
        <w:t>J</w:t>
      </w:r>
      <w:r w:rsidRPr="00F53504">
        <w:t>ob seekers</w:t>
      </w:r>
      <w:r w:rsidR="005527E8">
        <w:t>’</w:t>
      </w:r>
      <w:r w:rsidRPr="00F53504">
        <w:t xml:space="preserve"> relationship</w:t>
      </w:r>
      <w:r w:rsidR="005527E8">
        <w:t>s</w:t>
      </w:r>
      <w:r w:rsidRPr="00F53504">
        <w:t xml:space="preserve"> with their provider</w:t>
      </w:r>
      <w:r w:rsidR="005527E8">
        <w:t>s</w:t>
      </w:r>
      <w:r w:rsidRPr="00F53504">
        <w:t xml:space="preserve"> ha</w:t>
      </w:r>
      <w:r w:rsidR="005527E8">
        <w:t>d</w:t>
      </w:r>
      <w:r w:rsidRPr="00F53504">
        <w:t xml:space="preserve"> an important impact on their relocation experience and successful transition to a new environment. Job seekers who felt their providers explained the program clearly and acted as an advocate on their behalf</w:t>
      </w:r>
      <w:r w:rsidR="005527E8">
        <w:t>,</w:t>
      </w:r>
      <w:r w:rsidRPr="00F53504">
        <w:t xml:space="preserve"> in terms of ensuring they received all the financial support they needed</w:t>
      </w:r>
      <w:r w:rsidR="005527E8">
        <w:t>,</w:t>
      </w:r>
      <w:r w:rsidRPr="00F53504">
        <w:t xml:space="preserve"> generally experienced a far smoother and more positive relocation experience. In contrast, job seekers who felt their providers were poorly informed about the program</w:t>
      </w:r>
      <w:r>
        <w:t>,</w:t>
      </w:r>
      <w:r w:rsidRPr="00F53504">
        <w:t xml:space="preserve"> or perceived their providers as making the process of accessing financial assistance through the program difficult</w:t>
      </w:r>
      <w:r>
        <w:t>,</w:t>
      </w:r>
      <w:r w:rsidRPr="00F53504">
        <w:t xml:space="preserve"> typically reported a more negative experience overall and a greater struggle in adjusting to their new jobs and locations.</w:t>
      </w:r>
    </w:p>
    <w:p w14:paraId="20BBBB13" w14:textId="17433ED3" w:rsidR="00B37002" w:rsidRPr="00F53504" w:rsidRDefault="00B37002" w:rsidP="00706850">
      <w:pPr>
        <w:pStyle w:val="Conclusionheadings"/>
      </w:pPr>
      <w:r>
        <w:t xml:space="preserve">RATTUAJ </w:t>
      </w:r>
      <w:r w:rsidRPr="00F53504">
        <w:t>guidelines</w:t>
      </w:r>
      <w:r w:rsidR="0034649D">
        <w:t xml:space="preserve">, reimbursement </w:t>
      </w:r>
      <w:r w:rsidR="00F32714">
        <w:t>approaches</w:t>
      </w:r>
      <w:r w:rsidRPr="00F53504">
        <w:t xml:space="preserve"> and </w:t>
      </w:r>
      <w:r>
        <w:t xml:space="preserve">administration </w:t>
      </w:r>
      <w:proofErr w:type="gramStart"/>
      <w:r w:rsidR="0034649D">
        <w:t>could be improved</w:t>
      </w:r>
      <w:proofErr w:type="gramEnd"/>
    </w:p>
    <w:p w14:paraId="5D048198" w14:textId="2E25186E" w:rsidR="00B37002" w:rsidRDefault="00B37002" w:rsidP="00B37002">
      <w:r w:rsidRPr="00F53504">
        <w:t>The program guidelines and administrati</w:t>
      </w:r>
      <w:r>
        <w:t xml:space="preserve">on </w:t>
      </w:r>
      <w:r w:rsidRPr="00F53504">
        <w:t>reflect a planned relocation process</w:t>
      </w:r>
      <w:r>
        <w:t xml:space="preserve"> over </w:t>
      </w:r>
      <w:r w:rsidR="00945DFF">
        <w:t>four to eight</w:t>
      </w:r>
      <w:r w:rsidRPr="00F53504">
        <w:t xml:space="preserve"> weeks. </w:t>
      </w:r>
      <w:r>
        <w:t xml:space="preserve">There was </w:t>
      </w:r>
      <w:r w:rsidRPr="00F53504">
        <w:t xml:space="preserve">an average of 12.9 days between the start of the Relocation Agreement and starting in the job, </w:t>
      </w:r>
      <w:r>
        <w:t xml:space="preserve">suggesting that </w:t>
      </w:r>
      <w:r w:rsidRPr="00F53504">
        <w:t xml:space="preserve">moving was </w:t>
      </w:r>
      <w:r>
        <w:t>a rushed process</w:t>
      </w:r>
      <w:r w:rsidR="00D4136C">
        <w:t xml:space="preserve"> for most people</w:t>
      </w:r>
      <w:r w:rsidRPr="00F53504">
        <w:t>.</w:t>
      </w:r>
    </w:p>
    <w:p w14:paraId="7F442FA4" w14:textId="718847C5" w:rsidR="0034649D" w:rsidRPr="00F53504" w:rsidRDefault="0034649D" w:rsidP="0034649D">
      <w:r w:rsidRPr="00F53504">
        <w:t xml:space="preserve">Having been unemployed for a considerable </w:t>
      </w:r>
      <w:proofErr w:type="gramStart"/>
      <w:r w:rsidRPr="00F53504">
        <w:t>period of time</w:t>
      </w:r>
      <w:proofErr w:type="gramEnd"/>
      <w:r w:rsidRPr="00F53504">
        <w:t xml:space="preserve">, very few </w:t>
      </w:r>
      <w:r w:rsidR="00D4136C">
        <w:t>RATTUAJ participants</w:t>
      </w:r>
      <w:r w:rsidRPr="00F53504">
        <w:t xml:space="preserve"> have any funds available to support themselves to relocate. Given this, the default funding model of RATTUAJ – where a job seeker </w:t>
      </w:r>
      <w:proofErr w:type="gramStart"/>
      <w:r w:rsidRPr="00F53504">
        <w:t>is expected</w:t>
      </w:r>
      <w:proofErr w:type="gramEnd"/>
      <w:r w:rsidRPr="00F53504">
        <w:t xml:space="preserve"> to bear costs first and then seek reimbursement for these expenses on provision of receipts – does not align with the reality of most job seekers’ financial position. Additionally, </w:t>
      </w:r>
      <w:r>
        <w:t xml:space="preserve">otherwise eligible </w:t>
      </w:r>
      <w:r w:rsidRPr="00F53504">
        <w:t xml:space="preserve">costs incurred before a relocation agreement </w:t>
      </w:r>
      <w:proofErr w:type="gramStart"/>
      <w:r w:rsidRPr="00F53504">
        <w:t>is signed</w:t>
      </w:r>
      <w:proofErr w:type="gramEnd"/>
      <w:r>
        <w:t xml:space="preserve"> </w:t>
      </w:r>
      <w:r w:rsidRPr="00F53504">
        <w:t>cannot be reimbursed</w:t>
      </w:r>
      <w:r>
        <w:t>. This requirement warrants further consideration, given job seekers often begin making expenditures prior to arranging a relocation agreement.</w:t>
      </w:r>
      <w:r w:rsidRPr="00F53504">
        <w:t xml:space="preserve"> </w:t>
      </w:r>
    </w:p>
    <w:p w14:paraId="75416757" w14:textId="2A7350AD" w:rsidR="009742B1" w:rsidRDefault="009742B1" w:rsidP="009742B1">
      <w:r>
        <w:lastRenderedPageBreak/>
        <w:t xml:space="preserve">Some providers expressed concern at the need for them to provide funding to the job seeker and then get reimbursement given there was a risk of paying for things they thought were eligible then </w:t>
      </w:r>
      <w:proofErr w:type="gramStart"/>
      <w:r>
        <w:t>being told</w:t>
      </w:r>
      <w:proofErr w:type="gramEnd"/>
      <w:r>
        <w:t xml:space="preserve"> they were not. This confusion around the rules may have resulted in some legitimate requests from</w:t>
      </w:r>
      <w:r w:rsidR="00485604">
        <w:t xml:space="preserve"> job seekers </w:t>
      </w:r>
      <w:proofErr w:type="gramStart"/>
      <w:r w:rsidR="00485604">
        <w:t>being turned down</w:t>
      </w:r>
      <w:proofErr w:type="gramEnd"/>
      <w:r w:rsidR="00485604">
        <w:t>.</w:t>
      </w:r>
    </w:p>
    <w:p w14:paraId="10EC9F2E" w14:textId="164DAB92" w:rsidR="00B37002" w:rsidRDefault="00B37002" w:rsidP="00B37002">
      <w:r>
        <w:t xml:space="preserve">Some providers reported that the </w:t>
      </w:r>
      <w:r w:rsidRPr="00F53504">
        <w:t>Employment Fund (or Employment Pathway Fund under JSA)</w:t>
      </w:r>
      <w:r>
        <w:t xml:space="preserve"> was a more attractive option to </w:t>
      </w:r>
      <w:r w:rsidRPr="00F53504">
        <w:t>RATTUAJ</w:t>
      </w:r>
      <w:r>
        <w:t xml:space="preserve"> as the administrative requirements were easier to meet.</w:t>
      </w:r>
    </w:p>
    <w:p w14:paraId="60A35DF5" w14:textId="6EE7E99F" w:rsidR="00B37002" w:rsidRPr="00F53504" w:rsidRDefault="00B37002" w:rsidP="00706850">
      <w:pPr>
        <w:pStyle w:val="Conclusionheadings"/>
      </w:pPr>
      <w:r>
        <w:t>P</w:t>
      </w:r>
      <w:r w:rsidRPr="00F53504">
        <w:t>roviders</w:t>
      </w:r>
      <w:r>
        <w:t xml:space="preserve"> lack incentives </w:t>
      </w:r>
      <w:r w:rsidR="00F32714">
        <w:t xml:space="preserve">to </w:t>
      </w:r>
      <w:r>
        <w:t>use RATTUAJ</w:t>
      </w:r>
    </w:p>
    <w:p w14:paraId="76586D52" w14:textId="4D810BDF" w:rsidR="00B37002" w:rsidRDefault="00B37002" w:rsidP="00B37002">
      <w:r>
        <w:t>P</w:t>
      </w:r>
      <w:r w:rsidRPr="00F53504">
        <w:t xml:space="preserve">roviders </w:t>
      </w:r>
      <w:r>
        <w:t xml:space="preserve">considered </w:t>
      </w:r>
      <w:r w:rsidRPr="00F53504">
        <w:t>that the administrative impost associated with placing a job seeker through this program was far greater than that for a local placement</w:t>
      </w:r>
      <w:r>
        <w:t xml:space="preserve"> but </w:t>
      </w:r>
      <w:r w:rsidRPr="00F53504">
        <w:t>the provider payments are the same (so long as the emplo</w:t>
      </w:r>
      <w:r w:rsidR="00E97C61">
        <w:t>yment milestones are achieved).</w:t>
      </w:r>
    </w:p>
    <w:p w14:paraId="3966E384" w14:textId="07211EC0" w:rsidR="00B37002" w:rsidRDefault="007B5864" w:rsidP="00B37002">
      <w:r>
        <w:t>P</w:t>
      </w:r>
      <w:r w:rsidR="00B37002" w:rsidRPr="00F53504">
        <w:t>roviders were also generally reluctant to invest too much effort engaging with and learning more about the program over</w:t>
      </w:r>
      <w:r w:rsidR="00B37002">
        <w:t xml:space="preserve"> what they considered to be more</w:t>
      </w:r>
      <w:r w:rsidR="00B37002" w:rsidRPr="00F53504">
        <w:t xml:space="preserve"> immediate work priorities (such as securing local placements for job seekers).</w:t>
      </w:r>
    </w:p>
    <w:p w14:paraId="3B331B31" w14:textId="75142DCF" w:rsidR="00B37002" w:rsidRDefault="00B37002" w:rsidP="00B37002">
      <w:r>
        <w:t>T</w:t>
      </w:r>
      <w:r w:rsidRPr="00F53504">
        <w:t>he</w:t>
      </w:r>
      <w:r>
        <w:t xml:space="preserve">se factors are a </w:t>
      </w:r>
      <w:r w:rsidRPr="00F53504">
        <w:t xml:space="preserve">disincentive for providers </w:t>
      </w:r>
      <w:r w:rsidR="008130EB">
        <w:t>to promote and use the program.</w:t>
      </w:r>
    </w:p>
    <w:p w14:paraId="32A6F148" w14:textId="7C48C1E6" w:rsidR="00B37002" w:rsidRPr="00F53504" w:rsidRDefault="00B37002" w:rsidP="00B37002">
      <w:r w:rsidRPr="00F53504">
        <w:t xml:space="preserve">Most providers did not report actively searching for employment opportunities in other locations, and more commonly reported using the program when approached by a job seeker who had already decided to relocate. </w:t>
      </w:r>
      <w:r>
        <w:t>T</w:t>
      </w:r>
      <w:r w:rsidRPr="00F53504">
        <w:t xml:space="preserve">he localised model of service provision – where providers are expected to know their own location in detail and maximise employment opportunities with local employers – </w:t>
      </w:r>
      <w:r>
        <w:t>was viewed as inconsistent</w:t>
      </w:r>
      <w:r w:rsidRPr="00F53504">
        <w:t xml:space="preserve"> with an expectation that energies would be expended in wider </w:t>
      </w:r>
      <w:r w:rsidR="008130EB">
        <w:t>geographic job search activity.</w:t>
      </w:r>
    </w:p>
    <w:p w14:paraId="49831FC3" w14:textId="419B56D9" w:rsidR="00B37002" w:rsidRPr="00F53504" w:rsidRDefault="00B37002" w:rsidP="00706850">
      <w:pPr>
        <w:pStyle w:val="Conclusionheadings"/>
      </w:pPr>
      <w:r>
        <w:t xml:space="preserve">Some </w:t>
      </w:r>
      <w:r w:rsidR="00F32714">
        <w:t>ineligible</w:t>
      </w:r>
      <w:r>
        <w:t xml:space="preserve"> job seekers could also benefit from relocation assistance </w:t>
      </w:r>
    </w:p>
    <w:p w14:paraId="541E57EA" w14:textId="5B0ADE12" w:rsidR="00C12A4B" w:rsidRPr="00806BC5" w:rsidRDefault="00B37002" w:rsidP="00485604">
      <w:r>
        <w:t>P</w:t>
      </w:r>
      <w:r w:rsidRPr="00F53504">
        <w:t>roviders highlighted that some interested job seekers were ineligible</w:t>
      </w:r>
      <w:r>
        <w:t xml:space="preserve"> for funding </w:t>
      </w:r>
      <w:r w:rsidRPr="00F53504">
        <w:t>through RATTUAJ.</w:t>
      </w:r>
      <w:r w:rsidR="00453048">
        <w:rPr>
          <w:rStyle w:val="FootnoteReference"/>
        </w:rPr>
        <w:footnoteReference w:id="28"/>
      </w:r>
      <w:r w:rsidRPr="00F53504">
        <w:t xml:space="preserve"> </w:t>
      </w:r>
      <w:r>
        <w:t>J</w:t>
      </w:r>
      <w:r w:rsidRPr="00F53504">
        <w:t>ob seekers who had been unemployed for less than 12 months, self-employed job seekers who wanted to take advantage of contract work</w:t>
      </w:r>
      <w:r>
        <w:t xml:space="preserve">, or </w:t>
      </w:r>
      <w:r w:rsidRPr="00F53504">
        <w:t>job seeker</w:t>
      </w:r>
      <w:r>
        <w:t>s offered casual or shorter</w:t>
      </w:r>
      <w:r w:rsidRPr="00F53504">
        <w:t xml:space="preserve">-term </w:t>
      </w:r>
      <w:r>
        <w:t>jobs by employers</w:t>
      </w:r>
      <w:r w:rsidR="009B4CB4">
        <w:t xml:space="preserve"> </w:t>
      </w:r>
      <w:proofErr w:type="gramStart"/>
      <w:r w:rsidR="009B4CB4">
        <w:t>may</w:t>
      </w:r>
      <w:proofErr w:type="gramEnd"/>
      <w:r w:rsidR="009B4CB4">
        <w:t xml:space="preserve"> also benefit from relocation assistance.</w:t>
      </w:r>
      <w:r w:rsidR="00C12A4B" w:rsidRPr="00F53504">
        <w:br w:type="page"/>
      </w:r>
    </w:p>
    <w:p w14:paraId="2B1F912A" w14:textId="77777777" w:rsidR="009145B2" w:rsidRPr="00F53504" w:rsidRDefault="009145B2" w:rsidP="009145B2">
      <w:pPr>
        <w:pStyle w:val="Heading1nonumber"/>
      </w:pPr>
      <w:bookmarkStart w:id="106" w:name="_Toc512529333"/>
      <w:r w:rsidRPr="00F53504">
        <w:lastRenderedPageBreak/>
        <w:t>Appendix A – Administrative data analysis</w:t>
      </w:r>
      <w:bookmarkEnd w:id="106"/>
    </w:p>
    <w:p w14:paraId="7510B3F9" w14:textId="59608337" w:rsidR="009145B2" w:rsidRPr="00F53504" w:rsidRDefault="009145B2" w:rsidP="009145B2">
      <w:r w:rsidRPr="00F53504">
        <w:t>This section presents additional administrative data analysis</w:t>
      </w:r>
      <w:r w:rsidR="009742B1">
        <w:t xml:space="preserve"> tables</w:t>
      </w:r>
      <w:r w:rsidRPr="00F53504">
        <w:t xml:space="preserve">. All figures reported here </w:t>
      </w:r>
      <w:proofErr w:type="gramStart"/>
      <w:r w:rsidRPr="00F53504">
        <w:t>were captured</w:t>
      </w:r>
      <w:proofErr w:type="gramEnd"/>
      <w:r w:rsidRPr="00F53504">
        <w:t xml:space="preserve"> at 31 March 2016 and relate to RATTUAJ approved Relocation Agreements with start dates </w:t>
      </w:r>
      <w:r w:rsidR="009B20B6" w:rsidRPr="00F53504">
        <w:t xml:space="preserve">from </w:t>
      </w:r>
      <w:r w:rsidRPr="00F53504">
        <w:t xml:space="preserve">1 July 2014 </w:t>
      </w:r>
      <w:r w:rsidR="009B20B6" w:rsidRPr="00F53504">
        <w:t xml:space="preserve">to </w:t>
      </w:r>
      <w:r w:rsidRPr="00F53504">
        <w:t xml:space="preserve">31 December 2015, unless otherwise specified in the notes of the table. </w:t>
      </w:r>
    </w:p>
    <w:p w14:paraId="1CD54EBF" w14:textId="11A982F1" w:rsidR="009145B2" w:rsidRPr="00F53504" w:rsidRDefault="009145B2" w:rsidP="009145B2">
      <w:r w:rsidRPr="00F53504">
        <w:t xml:space="preserve">The term ‘Relocated’ in </w:t>
      </w:r>
      <w:proofErr w:type="gramStart"/>
      <w:r w:rsidRPr="00F53504">
        <w:t>this</w:t>
      </w:r>
      <w:proofErr w:type="gramEnd"/>
      <w:r w:rsidRPr="00F53504">
        <w:t xml:space="preserve"> section applies to any agreement that had a confirmed employment placement, that is, a job seeker started the job.</w:t>
      </w:r>
    </w:p>
    <w:p w14:paraId="3E3AAF75" w14:textId="77777777" w:rsidR="009145B2" w:rsidRPr="00F53504" w:rsidRDefault="009145B2" w:rsidP="00806BC5">
      <w:pPr>
        <w:pStyle w:val="Heading2-nonumber"/>
        <w:spacing w:before="240"/>
      </w:pPr>
      <w:bookmarkStart w:id="107" w:name="_Toc455388990"/>
      <w:bookmarkStart w:id="108" w:name="_Toc484183011"/>
      <w:bookmarkStart w:id="109" w:name="_Toc484421893"/>
      <w:bookmarkStart w:id="110" w:name="_Toc512529334"/>
      <w:r w:rsidRPr="00F53504">
        <w:t>Approved Relocation Agreements</w:t>
      </w:r>
      <w:bookmarkEnd w:id="107"/>
      <w:bookmarkEnd w:id="108"/>
      <w:bookmarkEnd w:id="109"/>
      <w:bookmarkEnd w:id="110"/>
    </w:p>
    <w:p w14:paraId="6C69EC93" w14:textId="77777777" w:rsidR="009145B2" w:rsidRPr="00F53504" w:rsidRDefault="009145B2" w:rsidP="00806BC5">
      <w:pPr>
        <w:pStyle w:val="Caption"/>
        <w:spacing w:before="120"/>
      </w:pPr>
      <w:r w:rsidRPr="00F53504">
        <w:t>Table A.1: Approved Relocation Agreements – JSA and jobactive</w:t>
      </w:r>
    </w:p>
    <w:tbl>
      <w:tblPr>
        <w:tblStyle w:val="DEEWRTable"/>
        <w:tblW w:w="5000" w:type="pct"/>
        <w:tblLook w:val="0420" w:firstRow="1" w:lastRow="0" w:firstColumn="0" w:lastColumn="0" w:noHBand="0" w:noVBand="1"/>
      </w:tblPr>
      <w:tblGrid>
        <w:gridCol w:w="1816"/>
        <w:gridCol w:w="1572"/>
        <w:gridCol w:w="1353"/>
        <w:gridCol w:w="1581"/>
        <w:gridCol w:w="1352"/>
        <w:gridCol w:w="1352"/>
      </w:tblGrid>
      <w:tr w:rsidR="009145B2" w:rsidRPr="00F53504" w14:paraId="2F93B087" w14:textId="77777777" w:rsidTr="002754A9">
        <w:trPr>
          <w:cnfStyle w:val="100000000000" w:firstRow="1" w:lastRow="0" w:firstColumn="0" w:lastColumn="0" w:oddVBand="0" w:evenVBand="0" w:oddHBand="0" w:evenHBand="0" w:firstRowFirstColumn="0" w:firstRowLastColumn="0" w:lastRowFirstColumn="0" w:lastRowLastColumn="0"/>
        </w:trPr>
        <w:tc>
          <w:tcPr>
            <w:tcW w:w="1816" w:type="dxa"/>
            <w:tcBorders>
              <w:bottom w:val="nil"/>
            </w:tcBorders>
            <w:shd w:val="clear" w:color="auto" w:fill="1E3D6B"/>
            <w:vAlign w:val="bottom"/>
          </w:tcPr>
          <w:p w14:paraId="36A5B1C6" w14:textId="77777777" w:rsidR="009145B2" w:rsidRPr="00F53504" w:rsidRDefault="009145B2" w:rsidP="00851613">
            <w:pPr>
              <w:pStyle w:val="Tableheadingleftcolumn"/>
              <w:rPr>
                <w:b/>
              </w:rPr>
            </w:pPr>
            <w:r w:rsidRPr="00F53504">
              <w:rPr>
                <w:b/>
              </w:rPr>
              <w:t>Employment contract</w:t>
            </w:r>
          </w:p>
        </w:tc>
        <w:tc>
          <w:tcPr>
            <w:tcW w:w="1572" w:type="dxa"/>
            <w:tcBorders>
              <w:bottom w:val="nil"/>
            </w:tcBorders>
            <w:shd w:val="clear" w:color="auto" w:fill="1E3D6B"/>
            <w:vAlign w:val="bottom"/>
          </w:tcPr>
          <w:p w14:paraId="0DA1C1D7" w14:textId="77777777" w:rsidR="009145B2" w:rsidRPr="00F53504" w:rsidRDefault="009145B2" w:rsidP="00851613">
            <w:pPr>
              <w:pStyle w:val="Tableheadingrightcolumn"/>
              <w:rPr>
                <w:b/>
                <w:vertAlign w:val="superscript"/>
              </w:rPr>
            </w:pPr>
            <w:r w:rsidRPr="00F53504">
              <w:rPr>
                <w:b/>
              </w:rPr>
              <w:t>Relocated</w:t>
            </w:r>
          </w:p>
        </w:tc>
        <w:tc>
          <w:tcPr>
            <w:tcW w:w="1353" w:type="dxa"/>
            <w:tcBorders>
              <w:bottom w:val="nil"/>
            </w:tcBorders>
            <w:shd w:val="clear" w:color="auto" w:fill="1E3D6B"/>
            <w:vAlign w:val="bottom"/>
          </w:tcPr>
          <w:p w14:paraId="1195FE78" w14:textId="77777777" w:rsidR="009145B2" w:rsidRPr="00F53504" w:rsidRDefault="009145B2" w:rsidP="00851613">
            <w:pPr>
              <w:pStyle w:val="Tableheadingrightcolumn"/>
              <w:rPr>
                <w:b/>
              </w:rPr>
            </w:pPr>
            <w:r w:rsidRPr="00F53504">
              <w:rPr>
                <w:b/>
              </w:rPr>
              <w:t>Per cent</w:t>
            </w:r>
          </w:p>
        </w:tc>
        <w:tc>
          <w:tcPr>
            <w:tcW w:w="1581" w:type="dxa"/>
            <w:tcBorders>
              <w:bottom w:val="nil"/>
            </w:tcBorders>
            <w:shd w:val="clear" w:color="auto" w:fill="1E3D6B"/>
            <w:vAlign w:val="bottom"/>
          </w:tcPr>
          <w:p w14:paraId="424FFF43" w14:textId="77777777" w:rsidR="009145B2" w:rsidRPr="00F53504" w:rsidRDefault="009145B2" w:rsidP="00851613">
            <w:pPr>
              <w:pStyle w:val="Tableheadingrightcolumn"/>
              <w:rPr>
                <w:b/>
                <w:vertAlign w:val="superscript"/>
              </w:rPr>
            </w:pPr>
            <w:r w:rsidRPr="00F53504">
              <w:rPr>
                <w:b/>
              </w:rPr>
              <w:t>Not relocated</w:t>
            </w:r>
          </w:p>
        </w:tc>
        <w:tc>
          <w:tcPr>
            <w:tcW w:w="1352" w:type="dxa"/>
            <w:tcBorders>
              <w:bottom w:val="nil"/>
            </w:tcBorders>
            <w:shd w:val="clear" w:color="auto" w:fill="1E3D6B"/>
            <w:vAlign w:val="bottom"/>
          </w:tcPr>
          <w:p w14:paraId="120073A0" w14:textId="77777777" w:rsidR="009145B2" w:rsidRPr="00F53504" w:rsidRDefault="009145B2" w:rsidP="00851613">
            <w:pPr>
              <w:pStyle w:val="Tableheadingrightcolumn"/>
              <w:rPr>
                <w:b/>
              </w:rPr>
            </w:pPr>
            <w:r w:rsidRPr="00F53504">
              <w:rPr>
                <w:b/>
              </w:rPr>
              <w:t>Per cent</w:t>
            </w:r>
          </w:p>
        </w:tc>
        <w:tc>
          <w:tcPr>
            <w:tcW w:w="1352" w:type="dxa"/>
            <w:tcBorders>
              <w:bottom w:val="nil"/>
            </w:tcBorders>
            <w:shd w:val="clear" w:color="auto" w:fill="1E3D6B"/>
            <w:vAlign w:val="bottom"/>
          </w:tcPr>
          <w:p w14:paraId="36608323" w14:textId="4B62D577" w:rsidR="009145B2" w:rsidRPr="00F53504" w:rsidRDefault="009145B2" w:rsidP="00851613">
            <w:pPr>
              <w:pStyle w:val="Tableheadingrightcolumn"/>
              <w:rPr>
                <w:b/>
              </w:rPr>
            </w:pPr>
            <w:r w:rsidRPr="00F53504">
              <w:rPr>
                <w:b/>
              </w:rPr>
              <w:t>Total approved Relocation Agreements</w:t>
            </w:r>
          </w:p>
        </w:tc>
      </w:tr>
      <w:tr w:rsidR="009145B2" w:rsidRPr="00F53504" w14:paraId="29062E35" w14:textId="77777777" w:rsidTr="002754A9">
        <w:trPr>
          <w:trHeight w:val="283"/>
        </w:trPr>
        <w:tc>
          <w:tcPr>
            <w:tcW w:w="1816" w:type="dxa"/>
            <w:vAlign w:val="bottom"/>
          </w:tcPr>
          <w:p w14:paraId="4FE80A93" w14:textId="77777777" w:rsidR="009145B2" w:rsidRPr="00F53504" w:rsidRDefault="009145B2" w:rsidP="00851613">
            <w:pPr>
              <w:pStyle w:val="Tablecontentleftcolumn"/>
            </w:pPr>
            <w:r w:rsidRPr="00F53504">
              <w:t>JSA</w:t>
            </w:r>
          </w:p>
        </w:tc>
        <w:tc>
          <w:tcPr>
            <w:tcW w:w="1572" w:type="dxa"/>
          </w:tcPr>
          <w:p w14:paraId="13EA99F3" w14:textId="77777777" w:rsidR="009145B2" w:rsidRPr="00F53504" w:rsidRDefault="009145B2" w:rsidP="00851613">
            <w:pPr>
              <w:pStyle w:val="Tablecontentrightcolumn"/>
            </w:pPr>
            <w:r w:rsidRPr="00F53504">
              <w:t>391</w:t>
            </w:r>
          </w:p>
        </w:tc>
        <w:tc>
          <w:tcPr>
            <w:tcW w:w="1353" w:type="dxa"/>
          </w:tcPr>
          <w:p w14:paraId="2A20AC03" w14:textId="77777777" w:rsidR="009145B2" w:rsidRPr="00F53504" w:rsidRDefault="009145B2" w:rsidP="00851613">
            <w:pPr>
              <w:pStyle w:val="Tablecontentrightcolumn"/>
            </w:pPr>
            <w:r w:rsidRPr="00F53504">
              <w:t>95.6</w:t>
            </w:r>
          </w:p>
        </w:tc>
        <w:tc>
          <w:tcPr>
            <w:tcW w:w="1581" w:type="dxa"/>
            <w:vAlign w:val="bottom"/>
          </w:tcPr>
          <w:p w14:paraId="4273B36D" w14:textId="77777777" w:rsidR="009145B2" w:rsidRPr="00F53504" w:rsidRDefault="009145B2" w:rsidP="00851613">
            <w:pPr>
              <w:pStyle w:val="Tablecontentrightcolumn"/>
            </w:pPr>
            <w:r w:rsidRPr="00F53504">
              <w:t>18</w:t>
            </w:r>
          </w:p>
        </w:tc>
        <w:tc>
          <w:tcPr>
            <w:tcW w:w="1352" w:type="dxa"/>
          </w:tcPr>
          <w:p w14:paraId="6BB7293F" w14:textId="77777777" w:rsidR="009145B2" w:rsidRPr="00F53504" w:rsidRDefault="009145B2" w:rsidP="00851613">
            <w:pPr>
              <w:pStyle w:val="Tablecontentrightcolumn"/>
            </w:pPr>
            <w:r w:rsidRPr="00F53504">
              <w:t>4.4</w:t>
            </w:r>
          </w:p>
        </w:tc>
        <w:tc>
          <w:tcPr>
            <w:tcW w:w="1352" w:type="dxa"/>
            <w:vAlign w:val="bottom"/>
          </w:tcPr>
          <w:p w14:paraId="6CB64F1E" w14:textId="77777777" w:rsidR="009145B2" w:rsidRPr="00F53504" w:rsidRDefault="009145B2" w:rsidP="00851613">
            <w:pPr>
              <w:pStyle w:val="Tablecontentrightcolumn"/>
            </w:pPr>
            <w:r w:rsidRPr="00F53504">
              <w:t>409</w:t>
            </w:r>
          </w:p>
        </w:tc>
      </w:tr>
      <w:tr w:rsidR="009145B2" w:rsidRPr="00F53504" w14:paraId="210F9E6F" w14:textId="77777777" w:rsidTr="002754A9">
        <w:trPr>
          <w:trHeight w:val="283"/>
        </w:trPr>
        <w:tc>
          <w:tcPr>
            <w:tcW w:w="1816" w:type="dxa"/>
            <w:shd w:val="clear" w:color="auto" w:fill="F2F2F2" w:themeFill="background1" w:themeFillShade="F2"/>
            <w:vAlign w:val="bottom"/>
          </w:tcPr>
          <w:p w14:paraId="6D2767EA" w14:textId="77777777" w:rsidR="009145B2" w:rsidRPr="00F53504" w:rsidRDefault="009145B2" w:rsidP="00851613">
            <w:pPr>
              <w:pStyle w:val="Tablecontentleftcolumn"/>
            </w:pPr>
            <w:r w:rsidRPr="00F53504">
              <w:t>jobactive</w:t>
            </w:r>
          </w:p>
        </w:tc>
        <w:tc>
          <w:tcPr>
            <w:tcW w:w="1572" w:type="dxa"/>
            <w:shd w:val="clear" w:color="auto" w:fill="F2F2F2" w:themeFill="background1" w:themeFillShade="F2"/>
          </w:tcPr>
          <w:p w14:paraId="1BCA72D9" w14:textId="77777777" w:rsidR="009145B2" w:rsidRPr="00F53504" w:rsidRDefault="009145B2" w:rsidP="00851613">
            <w:pPr>
              <w:pStyle w:val="Tablecontentrightcolumn"/>
            </w:pPr>
            <w:r w:rsidRPr="00F53504">
              <w:t>231</w:t>
            </w:r>
          </w:p>
        </w:tc>
        <w:tc>
          <w:tcPr>
            <w:tcW w:w="1353" w:type="dxa"/>
            <w:shd w:val="clear" w:color="auto" w:fill="F2F2F2" w:themeFill="background1" w:themeFillShade="F2"/>
          </w:tcPr>
          <w:p w14:paraId="40A4A59B" w14:textId="77777777" w:rsidR="009145B2" w:rsidRPr="00F53504" w:rsidRDefault="009145B2" w:rsidP="00851613">
            <w:pPr>
              <w:pStyle w:val="Tablecontentrightcolumn"/>
            </w:pPr>
            <w:r w:rsidRPr="00F53504">
              <w:t>95.9</w:t>
            </w:r>
          </w:p>
        </w:tc>
        <w:tc>
          <w:tcPr>
            <w:tcW w:w="1581" w:type="dxa"/>
            <w:shd w:val="clear" w:color="auto" w:fill="F2F2F2" w:themeFill="background1" w:themeFillShade="F2"/>
            <w:vAlign w:val="bottom"/>
          </w:tcPr>
          <w:p w14:paraId="0771FCAF" w14:textId="77777777" w:rsidR="009145B2" w:rsidRPr="00F53504" w:rsidRDefault="009145B2" w:rsidP="00851613">
            <w:pPr>
              <w:pStyle w:val="Tablecontentrightcolumn"/>
            </w:pPr>
            <w:r w:rsidRPr="00F53504">
              <w:t>10</w:t>
            </w:r>
          </w:p>
        </w:tc>
        <w:tc>
          <w:tcPr>
            <w:tcW w:w="1352" w:type="dxa"/>
            <w:shd w:val="clear" w:color="auto" w:fill="F2F2F2" w:themeFill="background1" w:themeFillShade="F2"/>
          </w:tcPr>
          <w:p w14:paraId="3AF78317" w14:textId="77777777" w:rsidR="009145B2" w:rsidRPr="00F53504" w:rsidRDefault="009145B2" w:rsidP="00851613">
            <w:pPr>
              <w:pStyle w:val="Tablecontentrightcolumn"/>
            </w:pPr>
            <w:r w:rsidRPr="00F53504">
              <w:t>4.1</w:t>
            </w:r>
          </w:p>
        </w:tc>
        <w:tc>
          <w:tcPr>
            <w:tcW w:w="1352" w:type="dxa"/>
            <w:shd w:val="clear" w:color="auto" w:fill="F2F2F2" w:themeFill="background1" w:themeFillShade="F2"/>
            <w:vAlign w:val="bottom"/>
          </w:tcPr>
          <w:p w14:paraId="446CE811" w14:textId="77777777" w:rsidR="009145B2" w:rsidRPr="00F53504" w:rsidRDefault="009145B2" w:rsidP="00851613">
            <w:pPr>
              <w:pStyle w:val="Tablecontentrightcolumn"/>
            </w:pPr>
            <w:r w:rsidRPr="00F53504">
              <w:t>241</w:t>
            </w:r>
          </w:p>
        </w:tc>
      </w:tr>
      <w:tr w:rsidR="009145B2" w:rsidRPr="00F53504" w14:paraId="16D1071A" w14:textId="77777777" w:rsidTr="002754A9">
        <w:trPr>
          <w:trHeight w:val="283"/>
        </w:trPr>
        <w:tc>
          <w:tcPr>
            <w:tcW w:w="1816" w:type="dxa"/>
            <w:tcBorders>
              <w:top w:val="nil"/>
              <w:bottom w:val="nil"/>
            </w:tcBorders>
            <w:shd w:val="clear" w:color="auto" w:fill="8EAEDE"/>
            <w:vAlign w:val="bottom"/>
          </w:tcPr>
          <w:p w14:paraId="6F3DBC06" w14:textId="77777777" w:rsidR="009145B2" w:rsidRPr="00F53504" w:rsidRDefault="009145B2" w:rsidP="00851613">
            <w:pPr>
              <w:pStyle w:val="Tablecontentleftcolumn"/>
            </w:pPr>
            <w:r w:rsidRPr="00F53504">
              <w:t>Total</w:t>
            </w:r>
          </w:p>
        </w:tc>
        <w:tc>
          <w:tcPr>
            <w:tcW w:w="1572" w:type="dxa"/>
            <w:tcBorders>
              <w:top w:val="nil"/>
              <w:bottom w:val="nil"/>
            </w:tcBorders>
            <w:shd w:val="clear" w:color="auto" w:fill="8EAEDE"/>
          </w:tcPr>
          <w:p w14:paraId="2E6318C2" w14:textId="77777777" w:rsidR="009145B2" w:rsidRPr="00F53504" w:rsidRDefault="009145B2" w:rsidP="00851613">
            <w:pPr>
              <w:pStyle w:val="Tablecontentrightcolumn"/>
            </w:pPr>
            <w:r w:rsidRPr="00F53504">
              <w:t>622</w:t>
            </w:r>
          </w:p>
        </w:tc>
        <w:tc>
          <w:tcPr>
            <w:tcW w:w="1353" w:type="dxa"/>
            <w:tcBorders>
              <w:top w:val="nil"/>
              <w:bottom w:val="nil"/>
            </w:tcBorders>
            <w:shd w:val="clear" w:color="auto" w:fill="8EAEDE"/>
          </w:tcPr>
          <w:p w14:paraId="2AB99794" w14:textId="77777777" w:rsidR="009145B2" w:rsidRPr="00F53504" w:rsidRDefault="009145B2" w:rsidP="00851613">
            <w:pPr>
              <w:pStyle w:val="Tablecontentrightcolumn"/>
            </w:pPr>
            <w:r w:rsidRPr="00F53504">
              <w:t>95.7</w:t>
            </w:r>
          </w:p>
        </w:tc>
        <w:tc>
          <w:tcPr>
            <w:tcW w:w="1581" w:type="dxa"/>
            <w:tcBorders>
              <w:top w:val="nil"/>
              <w:bottom w:val="nil"/>
            </w:tcBorders>
            <w:shd w:val="clear" w:color="auto" w:fill="8EAEDE"/>
            <w:vAlign w:val="bottom"/>
          </w:tcPr>
          <w:p w14:paraId="2CF8DF16" w14:textId="77777777" w:rsidR="009145B2" w:rsidRPr="00F53504" w:rsidRDefault="009145B2" w:rsidP="00851613">
            <w:pPr>
              <w:pStyle w:val="Tablecontentrightcolumn"/>
            </w:pPr>
            <w:r w:rsidRPr="00F53504">
              <w:t>28</w:t>
            </w:r>
          </w:p>
        </w:tc>
        <w:tc>
          <w:tcPr>
            <w:tcW w:w="1352" w:type="dxa"/>
            <w:tcBorders>
              <w:top w:val="nil"/>
              <w:bottom w:val="nil"/>
            </w:tcBorders>
            <w:shd w:val="clear" w:color="auto" w:fill="8EAEDE"/>
          </w:tcPr>
          <w:p w14:paraId="62930C0F" w14:textId="77777777" w:rsidR="009145B2" w:rsidRPr="00F53504" w:rsidRDefault="009145B2" w:rsidP="00851613">
            <w:pPr>
              <w:pStyle w:val="Tablecontentrightcolumn"/>
            </w:pPr>
            <w:r w:rsidRPr="00F53504">
              <w:t>4.3</w:t>
            </w:r>
          </w:p>
        </w:tc>
        <w:tc>
          <w:tcPr>
            <w:tcW w:w="1352" w:type="dxa"/>
            <w:tcBorders>
              <w:top w:val="nil"/>
              <w:bottom w:val="nil"/>
            </w:tcBorders>
            <w:shd w:val="clear" w:color="auto" w:fill="8EAEDE"/>
            <w:vAlign w:val="bottom"/>
          </w:tcPr>
          <w:p w14:paraId="3E4276B6" w14:textId="77777777" w:rsidR="009145B2" w:rsidRPr="00F53504" w:rsidRDefault="009145B2" w:rsidP="00851613">
            <w:pPr>
              <w:pStyle w:val="Tablecontentrightcolumn"/>
            </w:pPr>
            <w:r w:rsidRPr="00F53504">
              <w:t>650</w:t>
            </w:r>
          </w:p>
        </w:tc>
      </w:tr>
    </w:tbl>
    <w:p w14:paraId="5BACC766" w14:textId="68553D35" w:rsidR="002754A9" w:rsidRDefault="002754A9" w:rsidP="002754A9">
      <w:pPr>
        <w:pStyle w:val="Source"/>
      </w:pPr>
      <w:r w:rsidRPr="00C22835">
        <w:rPr>
          <w:b/>
        </w:rPr>
        <w:t>Note</w:t>
      </w:r>
      <w:r w:rsidRPr="00C22835">
        <w:t>:</w:t>
      </w:r>
      <w:r>
        <w:t xml:space="preserve"> This table </w:t>
      </w:r>
      <w:proofErr w:type="gramStart"/>
      <w:r>
        <w:t>is based</w:t>
      </w:r>
      <w:proofErr w:type="gramEnd"/>
      <w:r>
        <w:t xml:space="preserve"> off 6</w:t>
      </w:r>
      <w:r w:rsidR="00C26ADF">
        <w:t>50</w:t>
      </w:r>
      <w:r>
        <w:t xml:space="preserve"> Relocation Agreements, which relates to 6</w:t>
      </w:r>
      <w:r w:rsidR="009F61ED">
        <w:t>48</w:t>
      </w:r>
      <w:r>
        <w:t xml:space="preserve"> job seekers.</w:t>
      </w:r>
    </w:p>
    <w:p w14:paraId="6C0A21E5" w14:textId="57372B9E" w:rsidR="009145B2" w:rsidRPr="00F53504" w:rsidRDefault="009145B2" w:rsidP="009145B2">
      <w:pPr>
        <w:pStyle w:val="Source"/>
      </w:pPr>
      <w:r w:rsidRPr="00F53504">
        <w:rPr>
          <w:b/>
        </w:rPr>
        <w:t>Source:</w:t>
      </w:r>
      <w:r w:rsidRPr="00F53504">
        <w:t xml:space="preserve"> EBIW data.</w:t>
      </w:r>
    </w:p>
    <w:p w14:paraId="5BC349E6" w14:textId="77777777" w:rsidR="009145B2" w:rsidRPr="00F53504" w:rsidRDefault="009145B2" w:rsidP="009145B2">
      <w:pPr>
        <w:pStyle w:val="Caption"/>
      </w:pPr>
      <w:r w:rsidRPr="00F53504">
        <w:t xml:space="preserve">Table A.2: Approved Relocation Agreements by stream and eligible caseload – JSA </w:t>
      </w:r>
    </w:p>
    <w:tbl>
      <w:tblPr>
        <w:tblStyle w:val="DEEWRTable"/>
        <w:tblW w:w="5000" w:type="pct"/>
        <w:tblLook w:val="0420" w:firstRow="1" w:lastRow="0" w:firstColumn="0" w:lastColumn="0" w:noHBand="0" w:noVBand="1"/>
      </w:tblPr>
      <w:tblGrid>
        <w:gridCol w:w="2045"/>
        <w:gridCol w:w="1398"/>
        <w:gridCol w:w="1398"/>
        <w:gridCol w:w="2734"/>
        <w:gridCol w:w="1451"/>
      </w:tblGrid>
      <w:tr w:rsidR="009145B2" w:rsidRPr="00F53504" w14:paraId="7E329A26" w14:textId="77777777" w:rsidTr="00806BC5">
        <w:trPr>
          <w:cnfStyle w:val="100000000000" w:firstRow="1" w:lastRow="0" w:firstColumn="0" w:lastColumn="0" w:oddVBand="0" w:evenVBand="0" w:oddHBand="0" w:evenHBand="0" w:firstRowFirstColumn="0" w:firstRowLastColumn="0" w:lastRowFirstColumn="0" w:lastRowLastColumn="0"/>
        </w:trPr>
        <w:tc>
          <w:tcPr>
            <w:tcW w:w="2092" w:type="dxa"/>
            <w:tcBorders>
              <w:bottom w:val="nil"/>
            </w:tcBorders>
            <w:shd w:val="clear" w:color="auto" w:fill="1E3D6B"/>
            <w:vAlign w:val="bottom"/>
          </w:tcPr>
          <w:p w14:paraId="6DF6D232" w14:textId="0F89A3AA" w:rsidR="009145B2" w:rsidRPr="00F53504" w:rsidRDefault="008E5A6E" w:rsidP="008E5A6E">
            <w:pPr>
              <w:pStyle w:val="Tableheadingleftcolumn"/>
              <w:rPr>
                <w:b/>
              </w:rPr>
            </w:pPr>
            <w:r>
              <w:rPr>
                <w:b/>
              </w:rPr>
              <w:t>Stream</w:t>
            </w:r>
          </w:p>
        </w:tc>
        <w:tc>
          <w:tcPr>
            <w:tcW w:w="1418" w:type="dxa"/>
            <w:tcBorders>
              <w:bottom w:val="nil"/>
            </w:tcBorders>
            <w:shd w:val="clear" w:color="auto" w:fill="1E3D6B"/>
            <w:vAlign w:val="bottom"/>
          </w:tcPr>
          <w:p w14:paraId="30EAB99B" w14:textId="77777777" w:rsidR="009145B2" w:rsidRPr="00F53504" w:rsidRDefault="009145B2" w:rsidP="00851613">
            <w:pPr>
              <w:pStyle w:val="Tableheadingrightcolumn"/>
              <w:rPr>
                <w:b/>
                <w:vertAlign w:val="superscript"/>
              </w:rPr>
            </w:pPr>
            <w:r w:rsidRPr="00F53504">
              <w:rPr>
                <w:b/>
              </w:rPr>
              <w:t>Relocated</w:t>
            </w:r>
            <w:r w:rsidRPr="00F53504">
              <w:rPr>
                <w:b/>
                <w:vertAlign w:val="superscript"/>
              </w:rPr>
              <w:br/>
            </w:r>
            <w:r w:rsidRPr="00F53504">
              <w:rPr>
                <w:b/>
              </w:rPr>
              <w:t>(number)</w:t>
            </w:r>
          </w:p>
        </w:tc>
        <w:tc>
          <w:tcPr>
            <w:tcW w:w="1418" w:type="dxa"/>
            <w:tcBorders>
              <w:bottom w:val="nil"/>
            </w:tcBorders>
            <w:shd w:val="clear" w:color="auto" w:fill="1E3D6B"/>
            <w:vAlign w:val="bottom"/>
          </w:tcPr>
          <w:p w14:paraId="37DF4973" w14:textId="77777777" w:rsidR="009145B2" w:rsidRPr="00F53504" w:rsidRDefault="009145B2" w:rsidP="00851613">
            <w:pPr>
              <w:pStyle w:val="Tableheadingrightcolumn"/>
              <w:rPr>
                <w:b/>
              </w:rPr>
            </w:pPr>
            <w:r w:rsidRPr="00F53504">
              <w:rPr>
                <w:b/>
              </w:rPr>
              <w:t>Relocated</w:t>
            </w:r>
            <w:r w:rsidRPr="00F53504">
              <w:rPr>
                <w:b/>
                <w:vertAlign w:val="superscript"/>
              </w:rPr>
              <w:br/>
            </w:r>
            <w:r w:rsidRPr="00F53504">
              <w:rPr>
                <w:b/>
              </w:rPr>
              <w:t>(per cent)</w:t>
            </w:r>
          </w:p>
        </w:tc>
        <w:tc>
          <w:tcPr>
            <w:tcW w:w="2835" w:type="dxa"/>
            <w:tcBorders>
              <w:bottom w:val="nil"/>
            </w:tcBorders>
            <w:shd w:val="clear" w:color="auto" w:fill="1E3D6B"/>
            <w:vAlign w:val="bottom"/>
          </w:tcPr>
          <w:p w14:paraId="0C1187F6" w14:textId="3C66FF39" w:rsidR="009145B2" w:rsidRPr="00F53504" w:rsidRDefault="009145B2" w:rsidP="006E7F5B">
            <w:pPr>
              <w:pStyle w:val="Tableheadingrightcolumn"/>
              <w:rPr>
                <w:b/>
              </w:rPr>
            </w:pPr>
            <w:r w:rsidRPr="00F53504">
              <w:rPr>
                <w:b/>
              </w:rPr>
              <w:t>Eligible job seekers in caseload as at 31 January 2015</w:t>
            </w:r>
            <w:r w:rsidRPr="00F53504">
              <w:rPr>
                <w:b/>
              </w:rPr>
              <w:br/>
              <w:t xml:space="preserve">(number) </w:t>
            </w:r>
          </w:p>
        </w:tc>
        <w:tc>
          <w:tcPr>
            <w:tcW w:w="1479" w:type="dxa"/>
            <w:tcBorders>
              <w:bottom w:val="nil"/>
            </w:tcBorders>
            <w:shd w:val="clear" w:color="auto" w:fill="1E3D6B"/>
            <w:vAlign w:val="bottom"/>
          </w:tcPr>
          <w:p w14:paraId="1799B146" w14:textId="77777777" w:rsidR="009145B2" w:rsidRPr="00F53504" w:rsidRDefault="009145B2" w:rsidP="00851613">
            <w:pPr>
              <w:pStyle w:val="Tableheadingrightcolumn"/>
              <w:rPr>
                <w:b/>
              </w:rPr>
            </w:pPr>
            <w:r w:rsidRPr="00F53504">
              <w:rPr>
                <w:b/>
              </w:rPr>
              <w:t>Caseload</w:t>
            </w:r>
            <w:r w:rsidRPr="00F53504">
              <w:rPr>
                <w:b/>
              </w:rPr>
              <w:br/>
              <w:t>(per cent)</w:t>
            </w:r>
          </w:p>
        </w:tc>
      </w:tr>
      <w:tr w:rsidR="009145B2" w:rsidRPr="00F53504" w14:paraId="1A11F5B5" w14:textId="77777777" w:rsidTr="00806BC5">
        <w:trPr>
          <w:trHeight w:val="283"/>
        </w:trPr>
        <w:tc>
          <w:tcPr>
            <w:tcW w:w="2092" w:type="dxa"/>
            <w:vAlign w:val="bottom"/>
          </w:tcPr>
          <w:p w14:paraId="7650AE32" w14:textId="77777777" w:rsidR="009145B2" w:rsidRPr="00F53504" w:rsidRDefault="009145B2" w:rsidP="00851613">
            <w:pPr>
              <w:pStyle w:val="Tablecontentleftcolumn"/>
            </w:pPr>
            <w:r w:rsidRPr="00F53504">
              <w:t>Stream 1</w:t>
            </w:r>
          </w:p>
        </w:tc>
        <w:tc>
          <w:tcPr>
            <w:tcW w:w="1418" w:type="dxa"/>
            <w:vAlign w:val="bottom"/>
          </w:tcPr>
          <w:p w14:paraId="1037A0E3" w14:textId="77777777" w:rsidR="009145B2" w:rsidRPr="00F53504" w:rsidRDefault="009145B2" w:rsidP="00851613">
            <w:pPr>
              <w:pStyle w:val="Tablecontentrightcolumn"/>
            </w:pPr>
            <w:r w:rsidRPr="00F53504">
              <w:t>63</w:t>
            </w:r>
          </w:p>
        </w:tc>
        <w:tc>
          <w:tcPr>
            <w:tcW w:w="1418" w:type="dxa"/>
            <w:vAlign w:val="bottom"/>
          </w:tcPr>
          <w:p w14:paraId="4123ED85" w14:textId="77777777" w:rsidR="009145B2" w:rsidRPr="00F53504" w:rsidRDefault="009145B2" w:rsidP="00851613">
            <w:pPr>
              <w:pStyle w:val="Tablecontentrightcolumn"/>
            </w:pPr>
            <w:r w:rsidRPr="00F53504">
              <w:t>16.1</w:t>
            </w:r>
          </w:p>
        </w:tc>
        <w:tc>
          <w:tcPr>
            <w:tcW w:w="2835" w:type="dxa"/>
            <w:vAlign w:val="bottom"/>
          </w:tcPr>
          <w:p w14:paraId="1A5BE4FB" w14:textId="77777777" w:rsidR="009145B2" w:rsidRPr="00F53504" w:rsidRDefault="009145B2" w:rsidP="00851613">
            <w:pPr>
              <w:pStyle w:val="Tablecontentrightcolumn"/>
            </w:pPr>
            <w:r w:rsidRPr="00F53504">
              <w:t>92,264</w:t>
            </w:r>
          </w:p>
        </w:tc>
        <w:tc>
          <w:tcPr>
            <w:tcW w:w="1479" w:type="dxa"/>
            <w:vAlign w:val="bottom"/>
          </w:tcPr>
          <w:p w14:paraId="526C269B" w14:textId="77777777" w:rsidR="009145B2" w:rsidRPr="00F53504" w:rsidRDefault="009145B2" w:rsidP="00851613">
            <w:pPr>
              <w:pStyle w:val="Tablecontentrightcolumn"/>
            </w:pPr>
            <w:r w:rsidRPr="00F53504">
              <w:t>20.5</w:t>
            </w:r>
          </w:p>
        </w:tc>
      </w:tr>
      <w:tr w:rsidR="009145B2" w:rsidRPr="00F53504" w14:paraId="0136E646" w14:textId="77777777" w:rsidTr="00806BC5">
        <w:trPr>
          <w:trHeight w:val="283"/>
        </w:trPr>
        <w:tc>
          <w:tcPr>
            <w:tcW w:w="2092" w:type="dxa"/>
            <w:shd w:val="clear" w:color="auto" w:fill="F2F2F2" w:themeFill="background1" w:themeFillShade="F2"/>
            <w:vAlign w:val="bottom"/>
          </w:tcPr>
          <w:p w14:paraId="3E0BDBB9" w14:textId="77777777" w:rsidR="009145B2" w:rsidRPr="00F53504" w:rsidRDefault="009145B2" w:rsidP="00851613">
            <w:pPr>
              <w:pStyle w:val="Tablecontentleftcolumn"/>
            </w:pPr>
            <w:r w:rsidRPr="00F53504">
              <w:t>Stream 2</w:t>
            </w:r>
          </w:p>
        </w:tc>
        <w:tc>
          <w:tcPr>
            <w:tcW w:w="1418" w:type="dxa"/>
            <w:shd w:val="clear" w:color="auto" w:fill="F2F2F2" w:themeFill="background1" w:themeFillShade="F2"/>
            <w:vAlign w:val="bottom"/>
          </w:tcPr>
          <w:p w14:paraId="67F9202C" w14:textId="77777777" w:rsidR="009145B2" w:rsidRPr="00F53504" w:rsidRDefault="009145B2" w:rsidP="00851613">
            <w:pPr>
              <w:pStyle w:val="Tablecontentrightcolumn"/>
            </w:pPr>
            <w:r w:rsidRPr="00F53504">
              <w:t>136</w:t>
            </w:r>
          </w:p>
        </w:tc>
        <w:tc>
          <w:tcPr>
            <w:tcW w:w="1418" w:type="dxa"/>
            <w:shd w:val="clear" w:color="auto" w:fill="F2F2F2" w:themeFill="background1" w:themeFillShade="F2"/>
            <w:vAlign w:val="bottom"/>
          </w:tcPr>
          <w:p w14:paraId="5B541B43" w14:textId="77777777" w:rsidR="009145B2" w:rsidRPr="00F53504" w:rsidRDefault="009145B2" w:rsidP="00851613">
            <w:pPr>
              <w:pStyle w:val="Tablecontentrightcolumn"/>
            </w:pPr>
            <w:r w:rsidRPr="00F53504">
              <w:t>34.8</w:t>
            </w:r>
          </w:p>
        </w:tc>
        <w:tc>
          <w:tcPr>
            <w:tcW w:w="2835" w:type="dxa"/>
            <w:shd w:val="clear" w:color="auto" w:fill="F2F2F2" w:themeFill="background1" w:themeFillShade="F2"/>
            <w:vAlign w:val="bottom"/>
          </w:tcPr>
          <w:p w14:paraId="44A6CD07" w14:textId="77777777" w:rsidR="009145B2" w:rsidRPr="00F53504" w:rsidRDefault="009145B2" w:rsidP="00851613">
            <w:pPr>
              <w:pStyle w:val="Tablecontentrightcolumn"/>
            </w:pPr>
            <w:r w:rsidRPr="00F53504">
              <w:t>127,548</w:t>
            </w:r>
          </w:p>
        </w:tc>
        <w:tc>
          <w:tcPr>
            <w:tcW w:w="1479" w:type="dxa"/>
            <w:shd w:val="clear" w:color="auto" w:fill="F2F2F2" w:themeFill="background1" w:themeFillShade="F2"/>
            <w:vAlign w:val="bottom"/>
          </w:tcPr>
          <w:p w14:paraId="4E1470C4" w14:textId="77777777" w:rsidR="009145B2" w:rsidRPr="00F53504" w:rsidRDefault="009145B2" w:rsidP="00851613">
            <w:pPr>
              <w:pStyle w:val="Tablecontentrightcolumn"/>
            </w:pPr>
            <w:r w:rsidRPr="00F53504">
              <w:t>28.3</w:t>
            </w:r>
          </w:p>
        </w:tc>
      </w:tr>
      <w:tr w:rsidR="009145B2" w:rsidRPr="00F53504" w14:paraId="53EBAAB7" w14:textId="77777777" w:rsidTr="00806BC5">
        <w:trPr>
          <w:trHeight w:val="283"/>
        </w:trPr>
        <w:tc>
          <w:tcPr>
            <w:tcW w:w="2092" w:type="dxa"/>
            <w:vAlign w:val="bottom"/>
          </w:tcPr>
          <w:p w14:paraId="322CC174" w14:textId="77777777" w:rsidR="009145B2" w:rsidRPr="00F53504" w:rsidRDefault="009145B2" w:rsidP="00851613">
            <w:pPr>
              <w:pStyle w:val="Tablecontentleftcolumn"/>
            </w:pPr>
            <w:r w:rsidRPr="00F53504">
              <w:t>Stream 3</w:t>
            </w:r>
          </w:p>
        </w:tc>
        <w:tc>
          <w:tcPr>
            <w:tcW w:w="1418" w:type="dxa"/>
            <w:vAlign w:val="bottom"/>
          </w:tcPr>
          <w:p w14:paraId="7A06578E" w14:textId="77777777" w:rsidR="009145B2" w:rsidRPr="00F53504" w:rsidRDefault="009145B2" w:rsidP="00851613">
            <w:pPr>
              <w:pStyle w:val="Tablecontentrightcolumn"/>
            </w:pPr>
            <w:r w:rsidRPr="00F53504">
              <w:t>102</w:t>
            </w:r>
          </w:p>
        </w:tc>
        <w:tc>
          <w:tcPr>
            <w:tcW w:w="1418" w:type="dxa"/>
            <w:vAlign w:val="bottom"/>
          </w:tcPr>
          <w:p w14:paraId="6059D4D0" w14:textId="77777777" w:rsidR="009145B2" w:rsidRPr="00F53504" w:rsidRDefault="009145B2" w:rsidP="00851613">
            <w:pPr>
              <w:pStyle w:val="Tablecontentrightcolumn"/>
            </w:pPr>
            <w:r w:rsidRPr="00F53504">
              <w:t>26.1</w:t>
            </w:r>
          </w:p>
        </w:tc>
        <w:tc>
          <w:tcPr>
            <w:tcW w:w="2835" w:type="dxa"/>
            <w:vAlign w:val="bottom"/>
          </w:tcPr>
          <w:p w14:paraId="71461949" w14:textId="77777777" w:rsidR="009145B2" w:rsidRPr="00F53504" w:rsidRDefault="009145B2" w:rsidP="00851613">
            <w:pPr>
              <w:pStyle w:val="Tablecontentrightcolumn"/>
            </w:pPr>
            <w:r w:rsidRPr="00F53504">
              <w:t>115,690</w:t>
            </w:r>
          </w:p>
        </w:tc>
        <w:tc>
          <w:tcPr>
            <w:tcW w:w="1479" w:type="dxa"/>
            <w:vAlign w:val="bottom"/>
          </w:tcPr>
          <w:p w14:paraId="2944EAAD" w14:textId="77777777" w:rsidR="009145B2" w:rsidRPr="00F53504" w:rsidRDefault="009145B2" w:rsidP="00851613">
            <w:pPr>
              <w:pStyle w:val="Tablecontentrightcolumn"/>
            </w:pPr>
            <w:r w:rsidRPr="00F53504">
              <w:t>25.7</w:t>
            </w:r>
          </w:p>
        </w:tc>
      </w:tr>
      <w:tr w:rsidR="009145B2" w:rsidRPr="00F53504" w14:paraId="23EC63A7" w14:textId="77777777" w:rsidTr="00806BC5">
        <w:trPr>
          <w:trHeight w:val="283"/>
        </w:trPr>
        <w:tc>
          <w:tcPr>
            <w:tcW w:w="2092" w:type="dxa"/>
            <w:tcBorders>
              <w:bottom w:val="nil"/>
            </w:tcBorders>
            <w:shd w:val="clear" w:color="auto" w:fill="F2F2F2" w:themeFill="background1" w:themeFillShade="F2"/>
            <w:vAlign w:val="bottom"/>
          </w:tcPr>
          <w:p w14:paraId="13010D58" w14:textId="77777777" w:rsidR="009145B2" w:rsidRPr="00F53504" w:rsidRDefault="009145B2" w:rsidP="00851613">
            <w:pPr>
              <w:pStyle w:val="Tablecontentleftcolumn"/>
            </w:pPr>
            <w:r w:rsidRPr="00F53504">
              <w:t>Stream 4</w:t>
            </w:r>
          </w:p>
        </w:tc>
        <w:tc>
          <w:tcPr>
            <w:tcW w:w="1418" w:type="dxa"/>
            <w:tcBorders>
              <w:bottom w:val="nil"/>
            </w:tcBorders>
            <w:shd w:val="clear" w:color="auto" w:fill="F2F2F2" w:themeFill="background1" w:themeFillShade="F2"/>
            <w:vAlign w:val="bottom"/>
          </w:tcPr>
          <w:p w14:paraId="2A699ACC" w14:textId="77777777" w:rsidR="009145B2" w:rsidRPr="00F53504" w:rsidRDefault="009145B2" w:rsidP="00851613">
            <w:pPr>
              <w:pStyle w:val="Tablecontentrightcolumn"/>
            </w:pPr>
            <w:r w:rsidRPr="00F53504">
              <w:t>90</w:t>
            </w:r>
          </w:p>
        </w:tc>
        <w:tc>
          <w:tcPr>
            <w:tcW w:w="1418" w:type="dxa"/>
            <w:tcBorders>
              <w:bottom w:val="nil"/>
            </w:tcBorders>
            <w:shd w:val="clear" w:color="auto" w:fill="F2F2F2" w:themeFill="background1" w:themeFillShade="F2"/>
            <w:vAlign w:val="bottom"/>
          </w:tcPr>
          <w:p w14:paraId="306455EF" w14:textId="77777777" w:rsidR="009145B2" w:rsidRPr="00F53504" w:rsidRDefault="009145B2" w:rsidP="00851613">
            <w:pPr>
              <w:pStyle w:val="Tablecontentrightcolumn"/>
            </w:pPr>
            <w:r w:rsidRPr="00F53504">
              <w:t>23.0</w:t>
            </w:r>
          </w:p>
        </w:tc>
        <w:tc>
          <w:tcPr>
            <w:tcW w:w="2835" w:type="dxa"/>
            <w:tcBorders>
              <w:bottom w:val="nil"/>
            </w:tcBorders>
            <w:shd w:val="clear" w:color="auto" w:fill="F2F2F2" w:themeFill="background1" w:themeFillShade="F2"/>
            <w:vAlign w:val="bottom"/>
          </w:tcPr>
          <w:p w14:paraId="144172CA" w14:textId="77777777" w:rsidR="009145B2" w:rsidRPr="00F53504" w:rsidRDefault="009145B2" w:rsidP="00851613">
            <w:pPr>
              <w:pStyle w:val="Tablecontentrightcolumn"/>
            </w:pPr>
            <w:r w:rsidRPr="00F53504">
              <w:t>115,010</w:t>
            </w:r>
          </w:p>
        </w:tc>
        <w:tc>
          <w:tcPr>
            <w:tcW w:w="1479" w:type="dxa"/>
            <w:tcBorders>
              <w:bottom w:val="nil"/>
            </w:tcBorders>
            <w:shd w:val="clear" w:color="auto" w:fill="F2F2F2" w:themeFill="background1" w:themeFillShade="F2"/>
            <w:vAlign w:val="bottom"/>
          </w:tcPr>
          <w:p w14:paraId="2DDD755E" w14:textId="77777777" w:rsidR="009145B2" w:rsidRPr="00F53504" w:rsidRDefault="009145B2" w:rsidP="00851613">
            <w:pPr>
              <w:pStyle w:val="Tablecontentrightcolumn"/>
            </w:pPr>
            <w:r w:rsidRPr="00F53504">
              <w:t>25.5</w:t>
            </w:r>
          </w:p>
        </w:tc>
      </w:tr>
      <w:tr w:rsidR="009145B2" w:rsidRPr="00F53504" w14:paraId="04BDE555" w14:textId="77777777" w:rsidTr="00806BC5">
        <w:trPr>
          <w:trHeight w:val="283"/>
        </w:trPr>
        <w:tc>
          <w:tcPr>
            <w:tcW w:w="2092" w:type="dxa"/>
            <w:tcBorders>
              <w:top w:val="nil"/>
              <w:bottom w:val="nil"/>
            </w:tcBorders>
            <w:shd w:val="clear" w:color="auto" w:fill="8EAEDE"/>
            <w:vAlign w:val="bottom"/>
          </w:tcPr>
          <w:p w14:paraId="3EB7C29A" w14:textId="77777777" w:rsidR="009145B2" w:rsidRPr="00F53504" w:rsidRDefault="009145B2" w:rsidP="00851613">
            <w:pPr>
              <w:pStyle w:val="Tablecontentleftcolumn"/>
            </w:pPr>
            <w:r w:rsidRPr="00F53504">
              <w:t>Total/overall</w:t>
            </w:r>
          </w:p>
        </w:tc>
        <w:tc>
          <w:tcPr>
            <w:tcW w:w="1418" w:type="dxa"/>
            <w:tcBorders>
              <w:top w:val="nil"/>
              <w:bottom w:val="nil"/>
            </w:tcBorders>
            <w:shd w:val="clear" w:color="auto" w:fill="8EAEDE"/>
            <w:vAlign w:val="bottom"/>
          </w:tcPr>
          <w:p w14:paraId="2AB16BFB" w14:textId="77777777" w:rsidR="009145B2" w:rsidRPr="00F53504" w:rsidRDefault="009145B2" w:rsidP="00851613">
            <w:pPr>
              <w:pStyle w:val="Tablecontentrightcolumn"/>
            </w:pPr>
            <w:r w:rsidRPr="00F53504">
              <w:t>391</w:t>
            </w:r>
          </w:p>
        </w:tc>
        <w:tc>
          <w:tcPr>
            <w:tcW w:w="1418" w:type="dxa"/>
            <w:tcBorders>
              <w:top w:val="nil"/>
              <w:bottom w:val="nil"/>
            </w:tcBorders>
            <w:shd w:val="clear" w:color="auto" w:fill="8EAEDE"/>
            <w:vAlign w:val="bottom"/>
          </w:tcPr>
          <w:p w14:paraId="73885472" w14:textId="77777777" w:rsidR="009145B2" w:rsidRPr="00F53504" w:rsidRDefault="009145B2" w:rsidP="00851613">
            <w:pPr>
              <w:pStyle w:val="Tablecontentrightcolumn"/>
            </w:pPr>
            <w:r w:rsidRPr="00F53504">
              <w:t>100.0</w:t>
            </w:r>
          </w:p>
        </w:tc>
        <w:tc>
          <w:tcPr>
            <w:tcW w:w="2835" w:type="dxa"/>
            <w:tcBorders>
              <w:top w:val="nil"/>
              <w:bottom w:val="nil"/>
            </w:tcBorders>
            <w:shd w:val="clear" w:color="auto" w:fill="8EAEDE"/>
            <w:vAlign w:val="bottom"/>
          </w:tcPr>
          <w:p w14:paraId="501C9891" w14:textId="77777777" w:rsidR="009145B2" w:rsidRPr="00F53504" w:rsidRDefault="009145B2" w:rsidP="00851613">
            <w:pPr>
              <w:pStyle w:val="Tablecontentrightcolumn"/>
            </w:pPr>
            <w:r w:rsidRPr="00F53504">
              <w:t>450,512</w:t>
            </w:r>
          </w:p>
        </w:tc>
        <w:tc>
          <w:tcPr>
            <w:tcW w:w="1479" w:type="dxa"/>
            <w:tcBorders>
              <w:top w:val="nil"/>
              <w:bottom w:val="nil"/>
            </w:tcBorders>
            <w:shd w:val="clear" w:color="auto" w:fill="8EAEDE"/>
            <w:vAlign w:val="bottom"/>
          </w:tcPr>
          <w:p w14:paraId="7415D5F4" w14:textId="77777777" w:rsidR="009145B2" w:rsidRPr="00F53504" w:rsidRDefault="009145B2" w:rsidP="00851613">
            <w:pPr>
              <w:pStyle w:val="Tablecontentrightcolumn"/>
            </w:pPr>
            <w:r w:rsidRPr="00F53504">
              <w:t>100.0</w:t>
            </w:r>
          </w:p>
        </w:tc>
      </w:tr>
    </w:tbl>
    <w:p w14:paraId="2463E789" w14:textId="318DDC6D" w:rsidR="0052378D" w:rsidRDefault="0052378D" w:rsidP="0052378D">
      <w:pPr>
        <w:pStyle w:val="Source"/>
      </w:pPr>
      <w:r w:rsidRPr="00C22835">
        <w:rPr>
          <w:b/>
        </w:rPr>
        <w:t>Note</w:t>
      </w:r>
      <w:r w:rsidRPr="00C22835">
        <w:t>:</w:t>
      </w:r>
      <w:r>
        <w:t xml:space="preserve"> Th</w:t>
      </w:r>
      <w:r w:rsidR="0036333F">
        <w:t>e ‘Relocated’</w:t>
      </w:r>
      <w:r>
        <w:t xml:space="preserve"> </w:t>
      </w:r>
      <w:r w:rsidR="0036333F">
        <w:t>column</w:t>
      </w:r>
      <w:r>
        <w:t xml:space="preserve"> </w:t>
      </w:r>
      <w:proofErr w:type="gramStart"/>
      <w:r>
        <w:t>is based</w:t>
      </w:r>
      <w:proofErr w:type="gramEnd"/>
      <w:r>
        <w:t xml:space="preserve"> off 391 Relocation Agreements, which relates to 389 job seekers.</w:t>
      </w:r>
    </w:p>
    <w:p w14:paraId="0413B2BE" w14:textId="0DB77950" w:rsidR="009145B2" w:rsidRPr="00F53504" w:rsidRDefault="009145B2" w:rsidP="009145B2">
      <w:pPr>
        <w:pStyle w:val="Source"/>
      </w:pPr>
      <w:r w:rsidRPr="00F53504">
        <w:rPr>
          <w:b/>
        </w:rPr>
        <w:t>Source:</w:t>
      </w:r>
      <w:r w:rsidRPr="00F53504">
        <w:t xml:space="preserve"> EBIW data.</w:t>
      </w:r>
    </w:p>
    <w:p w14:paraId="02BCD3BB" w14:textId="77777777" w:rsidR="009145B2" w:rsidRPr="00F53504" w:rsidRDefault="009145B2" w:rsidP="009145B2">
      <w:pPr>
        <w:pStyle w:val="Caption"/>
      </w:pPr>
      <w:r w:rsidRPr="00F53504">
        <w:t>Table A.3: Approved Relocation Agreements by stream and eligible caseload — jobactive</w:t>
      </w:r>
    </w:p>
    <w:tbl>
      <w:tblPr>
        <w:tblStyle w:val="DEEWRTable"/>
        <w:tblW w:w="5000" w:type="pct"/>
        <w:tblLook w:val="0420" w:firstRow="1" w:lastRow="0" w:firstColumn="0" w:lastColumn="0" w:noHBand="0" w:noVBand="1"/>
      </w:tblPr>
      <w:tblGrid>
        <w:gridCol w:w="2059"/>
        <w:gridCol w:w="1403"/>
        <w:gridCol w:w="1403"/>
        <w:gridCol w:w="2762"/>
        <w:gridCol w:w="1399"/>
      </w:tblGrid>
      <w:tr w:rsidR="009145B2" w:rsidRPr="00F53504" w14:paraId="561D3736" w14:textId="77777777" w:rsidTr="00851613">
        <w:trPr>
          <w:cnfStyle w:val="100000000000" w:firstRow="1" w:lastRow="0" w:firstColumn="0" w:lastColumn="0" w:oddVBand="0" w:evenVBand="0" w:oddHBand="0" w:evenHBand="0" w:firstRowFirstColumn="0" w:firstRowLastColumn="0" w:lastRowFirstColumn="0" w:lastRowLastColumn="0"/>
        </w:trPr>
        <w:tc>
          <w:tcPr>
            <w:tcW w:w="2092" w:type="dxa"/>
            <w:tcBorders>
              <w:bottom w:val="nil"/>
            </w:tcBorders>
            <w:shd w:val="clear" w:color="auto" w:fill="1E3D6B"/>
            <w:vAlign w:val="bottom"/>
          </w:tcPr>
          <w:p w14:paraId="211362F6" w14:textId="54899ABE" w:rsidR="009145B2" w:rsidRPr="00F53504" w:rsidRDefault="008E5A6E" w:rsidP="008E5A6E">
            <w:pPr>
              <w:pStyle w:val="Tableheadingleftcolumn"/>
              <w:rPr>
                <w:b/>
              </w:rPr>
            </w:pPr>
            <w:r>
              <w:rPr>
                <w:b/>
              </w:rPr>
              <w:t>Stream</w:t>
            </w:r>
          </w:p>
        </w:tc>
        <w:tc>
          <w:tcPr>
            <w:tcW w:w="1418" w:type="dxa"/>
            <w:tcBorders>
              <w:bottom w:val="nil"/>
            </w:tcBorders>
            <w:shd w:val="clear" w:color="auto" w:fill="1E3D6B"/>
            <w:vAlign w:val="bottom"/>
          </w:tcPr>
          <w:p w14:paraId="7FC8296B" w14:textId="77777777" w:rsidR="009145B2" w:rsidRPr="00F53504" w:rsidRDefault="009145B2" w:rsidP="00851613">
            <w:pPr>
              <w:pStyle w:val="Tableheadingrightcolumn"/>
              <w:rPr>
                <w:b/>
              </w:rPr>
            </w:pPr>
            <w:r w:rsidRPr="00F53504">
              <w:rPr>
                <w:b/>
              </w:rPr>
              <w:t>Relocated</w:t>
            </w:r>
            <w:r w:rsidRPr="00F53504">
              <w:rPr>
                <w:b/>
                <w:vertAlign w:val="superscript"/>
              </w:rPr>
              <w:br/>
            </w:r>
            <w:r w:rsidRPr="00F53504">
              <w:rPr>
                <w:b/>
              </w:rPr>
              <w:t>(number)</w:t>
            </w:r>
          </w:p>
        </w:tc>
        <w:tc>
          <w:tcPr>
            <w:tcW w:w="1418" w:type="dxa"/>
            <w:tcBorders>
              <w:bottom w:val="nil"/>
            </w:tcBorders>
            <w:shd w:val="clear" w:color="auto" w:fill="1E3D6B"/>
            <w:vAlign w:val="bottom"/>
          </w:tcPr>
          <w:p w14:paraId="3CE9EB9A" w14:textId="77777777" w:rsidR="009145B2" w:rsidRPr="00F53504" w:rsidRDefault="009145B2" w:rsidP="00851613">
            <w:pPr>
              <w:pStyle w:val="Tableheadingrightcolumn"/>
              <w:rPr>
                <w:b/>
              </w:rPr>
            </w:pPr>
            <w:r w:rsidRPr="00F53504">
              <w:rPr>
                <w:b/>
              </w:rPr>
              <w:t>Relocated</w:t>
            </w:r>
            <w:r w:rsidRPr="00F53504">
              <w:rPr>
                <w:b/>
                <w:vertAlign w:val="superscript"/>
              </w:rPr>
              <w:br/>
            </w:r>
            <w:r w:rsidRPr="00F53504">
              <w:rPr>
                <w:b/>
              </w:rPr>
              <w:t>(per cent)</w:t>
            </w:r>
          </w:p>
        </w:tc>
        <w:tc>
          <w:tcPr>
            <w:tcW w:w="2835" w:type="dxa"/>
            <w:tcBorders>
              <w:bottom w:val="nil"/>
            </w:tcBorders>
            <w:shd w:val="clear" w:color="auto" w:fill="1E3D6B"/>
            <w:vAlign w:val="bottom"/>
          </w:tcPr>
          <w:p w14:paraId="750044FD" w14:textId="01526982" w:rsidR="009145B2" w:rsidRPr="00F53504" w:rsidRDefault="009145B2" w:rsidP="00851613">
            <w:pPr>
              <w:pStyle w:val="Tableheadingrightcolumn"/>
              <w:rPr>
                <w:b/>
              </w:rPr>
            </w:pPr>
            <w:r w:rsidRPr="00F53504">
              <w:rPr>
                <w:b/>
              </w:rPr>
              <w:t>El</w:t>
            </w:r>
            <w:r w:rsidR="006E7F5B">
              <w:rPr>
                <w:b/>
              </w:rPr>
              <w:t xml:space="preserve">igible job seekers in caseload </w:t>
            </w:r>
            <w:r w:rsidRPr="00F53504">
              <w:rPr>
                <w:b/>
              </w:rPr>
              <w:t>as at 31 January 2016</w:t>
            </w:r>
            <w:r w:rsidRPr="00F53504">
              <w:rPr>
                <w:b/>
              </w:rPr>
              <w:br/>
              <w:t>(number)</w:t>
            </w:r>
          </w:p>
        </w:tc>
        <w:tc>
          <w:tcPr>
            <w:tcW w:w="1417" w:type="dxa"/>
            <w:tcBorders>
              <w:bottom w:val="nil"/>
            </w:tcBorders>
            <w:shd w:val="clear" w:color="auto" w:fill="1E3D6B"/>
            <w:vAlign w:val="bottom"/>
          </w:tcPr>
          <w:p w14:paraId="26639A25" w14:textId="77777777" w:rsidR="009145B2" w:rsidRPr="00F53504" w:rsidRDefault="009145B2" w:rsidP="00851613">
            <w:pPr>
              <w:pStyle w:val="Tableheadingrightcolumn"/>
              <w:rPr>
                <w:b/>
              </w:rPr>
            </w:pPr>
            <w:r w:rsidRPr="00F53504">
              <w:rPr>
                <w:b/>
              </w:rPr>
              <w:t>Caseload</w:t>
            </w:r>
            <w:r w:rsidRPr="00F53504">
              <w:rPr>
                <w:b/>
              </w:rPr>
              <w:br/>
              <w:t>(per cent)</w:t>
            </w:r>
          </w:p>
        </w:tc>
      </w:tr>
      <w:tr w:rsidR="009145B2" w:rsidRPr="00F53504" w14:paraId="5D51CC51" w14:textId="77777777" w:rsidTr="00851613">
        <w:trPr>
          <w:trHeight w:val="283"/>
        </w:trPr>
        <w:tc>
          <w:tcPr>
            <w:tcW w:w="2092" w:type="dxa"/>
            <w:vAlign w:val="bottom"/>
          </w:tcPr>
          <w:p w14:paraId="39DBEE2E" w14:textId="77777777" w:rsidR="009145B2" w:rsidRPr="00F53504" w:rsidRDefault="009145B2" w:rsidP="00851613">
            <w:pPr>
              <w:pStyle w:val="Tablecontentleftcolumn"/>
            </w:pPr>
            <w:r w:rsidRPr="00F53504">
              <w:t>Stream A</w:t>
            </w:r>
          </w:p>
        </w:tc>
        <w:tc>
          <w:tcPr>
            <w:tcW w:w="1418" w:type="dxa"/>
            <w:vAlign w:val="bottom"/>
          </w:tcPr>
          <w:p w14:paraId="454D3334" w14:textId="77777777" w:rsidR="009145B2" w:rsidRPr="00F53504" w:rsidRDefault="009145B2" w:rsidP="00851613">
            <w:pPr>
              <w:pStyle w:val="Tablecontentrightcolumn"/>
            </w:pPr>
            <w:r w:rsidRPr="00F53504">
              <w:t>106</w:t>
            </w:r>
          </w:p>
        </w:tc>
        <w:tc>
          <w:tcPr>
            <w:tcW w:w="1418" w:type="dxa"/>
            <w:vAlign w:val="bottom"/>
          </w:tcPr>
          <w:p w14:paraId="3DB21939" w14:textId="77777777" w:rsidR="009145B2" w:rsidRPr="00F53504" w:rsidRDefault="009145B2" w:rsidP="00851613">
            <w:pPr>
              <w:pStyle w:val="Tablecontentrightcolumn"/>
            </w:pPr>
            <w:r w:rsidRPr="00F53504">
              <w:t>45.9</w:t>
            </w:r>
          </w:p>
        </w:tc>
        <w:tc>
          <w:tcPr>
            <w:tcW w:w="2835" w:type="dxa"/>
            <w:vAlign w:val="bottom"/>
          </w:tcPr>
          <w:p w14:paraId="747E768C" w14:textId="77777777" w:rsidR="009145B2" w:rsidRPr="00F53504" w:rsidRDefault="009145B2" w:rsidP="00851613">
            <w:pPr>
              <w:pStyle w:val="Tablecontentrightcolumn"/>
            </w:pPr>
            <w:r w:rsidRPr="00F53504">
              <w:t>155,359</w:t>
            </w:r>
          </w:p>
        </w:tc>
        <w:tc>
          <w:tcPr>
            <w:tcW w:w="1417" w:type="dxa"/>
            <w:vAlign w:val="bottom"/>
          </w:tcPr>
          <w:p w14:paraId="3296C6B5" w14:textId="77777777" w:rsidR="009145B2" w:rsidRPr="00F53504" w:rsidRDefault="009145B2" w:rsidP="00851613">
            <w:pPr>
              <w:pStyle w:val="Tablecontentrightcolumn"/>
            </w:pPr>
            <w:r w:rsidRPr="00F53504">
              <w:t>37.0</w:t>
            </w:r>
          </w:p>
        </w:tc>
      </w:tr>
      <w:tr w:rsidR="009145B2" w:rsidRPr="00F53504" w14:paraId="4577CDBD" w14:textId="77777777" w:rsidTr="00851613">
        <w:trPr>
          <w:trHeight w:val="283"/>
        </w:trPr>
        <w:tc>
          <w:tcPr>
            <w:tcW w:w="2092" w:type="dxa"/>
            <w:shd w:val="clear" w:color="auto" w:fill="F2F2F2" w:themeFill="background1" w:themeFillShade="F2"/>
            <w:vAlign w:val="bottom"/>
          </w:tcPr>
          <w:p w14:paraId="261832F8" w14:textId="77777777" w:rsidR="009145B2" w:rsidRPr="00F53504" w:rsidRDefault="009145B2" w:rsidP="00851613">
            <w:pPr>
              <w:pStyle w:val="Tablecontentleftcolumn"/>
            </w:pPr>
            <w:r w:rsidRPr="00F53504">
              <w:t>Stream B</w:t>
            </w:r>
          </w:p>
        </w:tc>
        <w:tc>
          <w:tcPr>
            <w:tcW w:w="1418" w:type="dxa"/>
            <w:shd w:val="clear" w:color="auto" w:fill="F2F2F2" w:themeFill="background1" w:themeFillShade="F2"/>
            <w:vAlign w:val="bottom"/>
          </w:tcPr>
          <w:p w14:paraId="09680B05" w14:textId="77777777" w:rsidR="009145B2" w:rsidRPr="00F53504" w:rsidRDefault="009145B2" w:rsidP="00851613">
            <w:pPr>
              <w:pStyle w:val="Tablecontentrightcolumn"/>
            </w:pPr>
            <w:r w:rsidRPr="00F53504">
              <w:t>82</w:t>
            </w:r>
          </w:p>
        </w:tc>
        <w:tc>
          <w:tcPr>
            <w:tcW w:w="1418" w:type="dxa"/>
            <w:shd w:val="clear" w:color="auto" w:fill="F2F2F2" w:themeFill="background1" w:themeFillShade="F2"/>
            <w:vAlign w:val="bottom"/>
          </w:tcPr>
          <w:p w14:paraId="777B77C2" w14:textId="77777777" w:rsidR="009145B2" w:rsidRPr="00F53504" w:rsidRDefault="009145B2" w:rsidP="00851613">
            <w:pPr>
              <w:pStyle w:val="Tablecontentrightcolumn"/>
            </w:pPr>
            <w:r w:rsidRPr="00F53504">
              <w:t>35.5</w:t>
            </w:r>
          </w:p>
        </w:tc>
        <w:tc>
          <w:tcPr>
            <w:tcW w:w="2835" w:type="dxa"/>
            <w:shd w:val="clear" w:color="auto" w:fill="F2F2F2" w:themeFill="background1" w:themeFillShade="F2"/>
            <w:vAlign w:val="bottom"/>
          </w:tcPr>
          <w:p w14:paraId="56AE4F7A" w14:textId="77777777" w:rsidR="009145B2" w:rsidRPr="00F53504" w:rsidRDefault="009145B2" w:rsidP="00851613">
            <w:pPr>
              <w:pStyle w:val="Tablecontentrightcolumn"/>
            </w:pPr>
            <w:r w:rsidRPr="00F53504">
              <w:t>158,580</w:t>
            </w:r>
          </w:p>
        </w:tc>
        <w:tc>
          <w:tcPr>
            <w:tcW w:w="1417" w:type="dxa"/>
            <w:shd w:val="clear" w:color="auto" w:fill="F2F2F2" w:themeFill="background1" w:themeFillShade="F2"/>
            <w:vAlign w:val="bottom"/>
          </w:tcPr>
          <w:p w14:paraId="782BDADA" w14:textId="77777777" w:rsidR="009145B2" w:rsidRPr="00F53504" w:rsidRDefault="009145B2" w:rsidP="00851613">
            <w:pPr>
              <w:pStyle w:val="Tablecontentrightcolumn"/>
            </w:pPr>
            <w:r w:rsidRPr="00F53504">
              <w:t>37.8</w:t>
            </w:r>
          </w:p>
        </w:tc>
      </w:tr>
      <w:tr w:rsidR="009145B2" w:rsidRPr="00F53504" w14:paraId="3B442CBD" w14:textId="77777777" w:rsidTr="00851613">
        <w:trPr>
          <w:trHeight w:val="283"/>
        </w:trPr>
        <w:tc>
          <w:tcPr>
            <w:tcW w:w="2092" w:type="dxa"/>
            <w:vAlign w:val="bottom"/>
          </w:tcPr>
          <w:p w14:paraId="201C9EE8" w14:textId="77777777" w:rsidR="009145B2" w:rsidRPr="00F53504" w:rsidRDefault="009145B2" w:rsidP="00851613">
            <w:pPr>
              <w:pStyle w:val="Tablecontentleftcolumn"/>
            </w:pPr>
            <w:r w:rsidRPr="00F53504">
              <w:t>Stream C</w:t>
            </w:r>
          </w:p>
        </w:tc>
        <w:tc>
          <w:tcPr>
            <w:tcW w:w="1418" w:type="dxa"/>
            <w:vAlign w:val="bottom"/>
          </w:tcPr>
          <w:p w14:paraId="0508FC8E" w14:textId="77777777" w:rsidR="009145B2" w:rsidRPr="00F53504" w:rsidRDefault="009145B2" w:rsidP="00851613">
            <w:pPr>
              <w:pStyle w:val="Tablecontentrightcolumn"/>
            </w:pPr>
            <w:r w:rsidRPr="00F53504">
              <w:t>43</w:t>
            </w:r>
          </w:p>
        </w:tc>
        <w:tc>
          <w:tcPr>
            <w:tcW w:w="1418" w:type="dxa"/>
            <w:vAlign w:val="bottom"/>
          </w:tcPr>
          <w:p w14:paraId="44CD97FF" w14:textId="77777777" w:rsidR="009145B2" w:rsidRPr="00F53504" w:rsidRDefault="009145B2" w:rsidP="00851613">
            <w:pPr>
              <w:pStyle w:val="Tablecontentrightcolumn"/>
            </w:pPr>
            <w:r w:rsidRPr="00F53504">
              <w:t>18.6</w:t>
            </w:r>
          </w:p>
        </w:tc>
        <w:tc>
          <w:tcPr>
            <w:tcW w:w="2835" w:type="dxa"/>
            <w:vAlign w:val="bottom"/>
          </w:tcPr>
          <w:p w14:paraId="1E4CE542" w14:textId="77777777" w:rsidR="009145B2" w:rsidRPr="00F53504" w:rsidRDefault="009145B2" w:rsidP="00851613">
            <w:pPr>
              <w:pStyle w:val="Tablecontentrightcolumn"/>
            </w:pPr>
            <w:r w:rsidRPr="00F53504">
              <w:t>105,819</w:t>
            </w:r>
          </w:p>
        </w:tc>
        <w:tc>
          <w:tcPr>
            <w:tcW w:w="1417" w:type="dxa"/>
            <w:vAlign w:val="bottom"/>
          </w:tcPr>
          <w:p w14:paraId="0703E3BB" w14:textId="77777777" w:rsidR="009145B2" w:rsidRPr="00F53504" w:rsidRDefault="009145B2" w:rsidP="00851613">
            <w:pPr>
              <w:pStyle w:val="Tablecontentrightcolumn"/>
            </w:pPr>
            <w:r w:rsidRPr="00F53504">
              <w:t>25.2</w:t>
            </w:r>
          </w:p>
        </w:tc>
      </w:tr>
      <w:tr w:rsidR="009145B2" w:rsidRPr="00F53504" w14:paraId="206B0AAD" w14:textId="77777777" w:rsidTr="00851613">
        <w:trPr>
          <w:trHeight w:val="283"/>
        </w:trPr>
        <w:tc>
          <w:tcPr>
            <w:tcW w:w="2092" w:type="dxa"/>
            <w:tcBorders>
              <w:top w:val="nil"/>
              <w:bottom w:val="nil"/>
            </w:tcBorders>
            <w:shd w:val="clear" w:color="auto" w:fill="8EAEDE"/>
            <w:vAlign w:val="bottom"/>
          </w:tcPr>
          <w:p w14:paraId="41752427" w14:textId="77777777" w:rsidR="009145B2" w:rsidRPr="00F53504" w:rsidRDefault="009145B2" w:rsidP="00851613">
            <w:pPr>
              <w:pStyle w:val="Tablecontentleftcolumn"/>
            </w:pPr>
            <w:r w:rsidRPr="00F53504">
              <w:t>Total/overall</w:t>
            </w:r>
          </w:p>
        </w:tc>
        <w:tc>
          <w:tcPr>
            <w:tcW w:w="1418" w:type="dxa"/>
            <w:tcBorders>
              <w:top w:val="nil"/>
              <w:bottom w:val="nil"/>
            </w:tcBorders>
            <w:shd w:val="clear" w:color="auto" w:fill="8EAEDE"/>
            <w:vAlign w:val="bottom"/>
          </w:tcPr>
          <w:p w14:paraId="45F8CFAC" w14:textId="77777777" w:rsidR="009145B2" w:rsidRPr="00F53504" w:rsidRDefault="009145B2" w:rsidP="00851613">
            <w:pPr>
              <w:pStyle w:val="Tablecontentrightcolumn"/>
            </w:pPr>
            <w:r w:rsidRPr="00F53504">
              <w:t>231</w:t>
            </w:r>
          </w:p>
        </w:tc>
        <w:tc>
          <w:tcPr>
            <w:tcW w:w="1418" w:type="dxa"/>
            <w:tcBorders>
              <w:top w:val="nil"/>
              <w:bottom w:val="nil"/>
            </w:tcBorders>
            <w:shd w:val="clear" w:color="auto" w:fill="8EAEDE"/>
            <w:vAlign w:val="bottom"/>
          </w:tcPr>
          <w:p w14:paraId="7543DBB6" w14:textId="77777777" w:rsidR="009145B2" w:rsidRPr="00F53504" w:rsidRDefault="009145B2" w:rsidP="00851613">
            <w:pPr>
              <w:pStyle w:val="Tablecontentrightcolumn"/>
            </w:pPr>
            <w:r w:rsidRPr="00F53504">
              <w:t>100.0</w:t>
            </w:r>
          </w:p>
        </w:tc>
        <w:tc>
          <w:tcPr>
            <w:tcW w:w="2835" w:type="dxa"/>
            <w:tcBorders>
              <w:top w:val="nil"/>
              <w:bottom w:val="nil"/>
            </w:tcBorders>
            <w:shd w:val="clear" w:color="auto" w:fill="8EAEDE"/>
            <w:vAlign w:val="bottom"/>
          </w:tcPr>
          <w:p w14:paraId="4750DA57" w14:textId="77777777" w:rsidR="009145B2" w:rsidRPr="00F53504" w:rsidRDefault="009145B2" w:rsidP="00851613">
            <w:pPr>
              <w:pStyle w:val="Tablecontentrightcolumn"/>
            </w:pPr>
            <w:r w:rsidRPr="00F53504">
              <w:t>419,758</w:t>
            </w:r>
          </w:p>
        </w:tc>
        <w:tc>
          <w:tcPr>
            <w:tcW w:w="1417" w:type="dxa"/>
            <w:tcBorders>
              <w:top w:val="nil"/>
              <w:bottom w:val="nil"/>
            </w:tcBorders>
            <w:shd w:val="clear" w:color="auto" w:fill="8EAEDE"/>
            <w:vAlign w:val="bottom"/>
          </w:tcPr>
          <w:p w14:paraId="03D513F3" w14:textId="77777777" w:rsidR="009145B2" w:rsidRPr="00F53504" w:rsidRDefault="009145B2" w:rsidP="00851613">
            <w:pPr>
              <w:pStyle w:val="Tablecontentrightcolumn"/>
            </w:pPr>
            <w:r w:rsidRPr="00F53504">
              <w:t>100.0</w:t>
            </w:r>
          </w:p>
        </w:tc>
      </w:tr>
    </w:tbl>
    <w:p w14:paraId="45854792" w14:textId="77777777" w:rsidR="009145B2" w:rsidRPr="00F53504" w:rsidRDefault="009145B2" w:rsidP="009145B2">
      <w:pPr>
        <w:pStyle w:val="Source"/>
      </w:pPr>
      <w:r w:rsidRPr="00F53504">
        <w:rPr>
          <w:b/>
        </w:rPr>
        <w:t>Source:</w:t>
      </w:r>
      <w:r w:rsidRPr="00F53504">
        <w:t xml:space="preserve"> EBIW data.</w:t>
      </w:r>
    </w:p>
    <w:p w14:paraId="251772C6" w14:textId="77777777" w:rsidR="009145B2" w:rsidRPr="00F53504" w:rsidRDefault="009145B2" w:rsidP="009145B2">
      <w:pPr>
        <w:pStyle w:val="Heading2-nonumber"/>
        <w:rPr>
          <w:lang w:eastAsia="en-AU"/>
        </w:rPr>
      </w:pPr>
      <w:bookmarkStart w:id="111" w:name="_Toc455388994"/>
      <w:bookmarkStart w:id="112" w:name="_Toc484183014"/>
      <w:bookmarkStart w:id="113" w:name="_Toc484421896"/>
      <w:bookmarkStart w:id="114" w:name="_Toc512529335"/>
      <w:r w:rsidRPr="00F53504">
        <w:rPr>
          <w:lang w:eastAsia="en-AU"/>
        </w:rPr>
        <w:lastRenderedPageBreak/>
        <w:t>Expenditure</w:t>
      </w:r>
      <w:bookmarkEnd w:id="111"/>
      <w:bookmarkEnd w:id="112"/>
      <w:bookmarkEnd w:id="113"/>
      <w:bookmarkEnd w:id="114"/>
    </w:p>
    <w:p w14:paraId="0F9ADB64" w14:textId="1A344F2B" w:rsidR="009145B2" w:rsidRPr="00F53504" w:rsidRDefault="009145B2" w:rsidP="009145B2">
      <w:pPr>
        <w:rPr>
          <w:lang w:eastAsia="en-AU"/>
        </w:rPr>
      </w:pPr>
      <w:r w:rsidRPr="00F53504">
        <w:rPr>
          <w:lang w:eastAsia="en-AU"/>
        </w:rPr>
        <w:t xml:space="preserve">Monetary support for job seekers to relocate </w:t>
      </w:r>
      <w:r w:rsidR="009742B1">
        <w:rPr>
          <w:lang w:eastAsia="en-AU"/>
        </w:rPr>
        <w:t xml:space="preserve">for a job </w:t>
      </w:r>
      <w:r w:rsidRPr="00F53504">
        <w:rPr>
          <w:lang w:eastAsia="en-AU"/>
        </w:rPr>
        <w:t xml:space="preserve">can come from two sources: </w:t>
      </w:r>
    </w:p>
    <w:p w14:paraId="42DF4D6A" w14:textId="092E0E89" w:rsidR="009145B2" w:rsidRPr="00F53504" w:rsidRDefault="009145B2" w:rsidP="000C7851">
      <w:pPr>
        <w:pStyle w:val="ListBullet"/>
        <w:rPr>
          <w:lang w:eastAsia="en-AU"/>
        </w:rPr>
      </w:pPr>
      <w:r w:rsidRPr="00F53504">
        <w:t>RATTUAJ</w:t>
      </w:r>
      <w:r w:rsidRPr="00F53504">
        <w:rPr>
          <w:lang w:eastAsia="en-AU"/>
        </w:rPr>
        <w:t xml:space="preserve"> program</w:t>
      </w:r>
      <w:r w:rsidR="002D0E6E">
        <w:rPr>
          <w:lang w:eastAsia="en-AU"/>
        </w:rPr>
        <w:t>me</w:t>
      </w:r>
      <w:r w:rsidRPr="00F53504">
        <w:rPr>
          <w:lang w:eastAsia="en-AU"/>
        </w:rPr>
        <w:t xml:space="preserve"> and</w:t>
      </w:r>
    </w:p>
    <w:p w14:paraId="0BA9BD4B" w14:textId="0E282F58" w:rsidR="009145B2" w:rsidRPr="00F53504" w:rsidRDefault="009145B2" w:rsidP="000C7851">
      <w:pPr>
        <w:pStyle w:val="ListBullet"/>
        <w:rPr>
          <w:lang w:eastAsia="en-AU"/>
        </w:rPr>
      </w:pPr>
      <w:r w:rsidRPr="00F53504">
        <w:rPr>
          <w:lang w:eastAsia="en-AU"/>
        </w:rPr>
        <w:t>Employment Pathway Fund (EPF) under JSA or the Employ</w:t>
      </w:r>
      <w:r w:rsidR="006B21E2">
        <w:rPr>
          <w:lang w:eastAsia="en-AU"/>
        </w:rPr>
        <w:t>ment Fund (EF) under jobactive.</w:t>
      </w:r>
    </w:p>
    <w:p w14:paraId="09CF9B4D" w14:textId="1112F087" w:rsidR="009145B2" w:rsidRPr="00F53504" w:rsidRDefault="009145B2" w:rsidP="009145B2">
      <w:pPr>
        <w:rPr>
          <w:lang w:eastAsia="en-AU"/>
        </w:rPr>
      </w:pPr>
      <w:r w:rsidRPr="00F53504">
        <w:rPr>
          <w:lang w:eastAsia="en-AU"/>
        </w:rPr>
        <w:t xml:space="preserve">Claims under </w:t>
      </w:r>
      <w:r w:rsidR="0041378D" w:rsidRPr="00F53504">
        <w:rPr>
          <w:lang w:eastAsia="en-AU"/>
        </w:rPr>
        <w:t>RATTUAJ</w:t>
      </w:r>
      <w:r w:rsidRPr="00F53504">
        <w:rPr>
          <w:lang w:eastAsia="en-AU"/>
        </w:rPr>
        <w:t xml:space="preserve"> </w:t>
      </w:r>
      <w:proofErr w:type="gramStart"/>
      <w:r w:rsidRPr="00F53504">
        <w:rPr>
          <w:lang w:eastAsia="en-AU"/>
        </w:rPr>
        <w:t>are identified</w:t>
      </w:r>
      <w:proofErr w:type="gramEnd"/>
      <w:r w:rsidRPr="00F53504">
        <w:rPr>
          <w:lang w:eastAsia="en-AU"/>
        </w:rPr>
        <w:t xml:space="preserve"> in the administrative data. However, there is no definitive connection between EPF/EF usage and Relocation Agreements. To estimate the amount of EPF/EF used to support job seekers with approved Relocation Agreements involves making some assumptions.</w:t>
      </w:r>
    </w:p>
    <w:p w14:paraId="7C857D29" w14:textId="77777777" w:rsidR="009145B2" w:rsidRPr="00F53504" w:rsidRDefault="009145B2" w:rsidP="009145B2">
      <w:pPr>
        <w:rPr>
          <w:lang w:eastAsia="en-AU"/>
        </w:rPr>
      </w:pPr>
      <w:r w:rsidRPr="00F53504">
        <w:rPr>
          <w:lang w:eastAsia="en-AU"/>
        </w:rPr>
        <w:t>A number of items described in the EPF guidelines, such as furniture storage, travel cost to new location, fares, temporary rental assistance, bond assistance and goods transport and removalist costs, were assumed to be directly associated with the costs of relocation. Table A.</w:t>
      </w:r>
      <w:r w:rsidR="0073757A">
        <w:rPr>
          <w:lang w:eastAsia="en-AU"/>
        </w:rPr>
        <w:t>4</w:t>
      </w:r>
      <w:r w:rsidRPr="00F53504">
        <w:rPr>
          <w:lang w:eastAsia="en-AU"/>
        </w:rPr>
        <w:t xml:space="preserve"> lists the items from the EPF and EF that </w:t>
      </w:r>
      <w:proofErr w:type="gramStart"/>
      <w:r w:rsidRPr="00F53504">
        <w:rPr>
          <w:lang w:eastAsia="en-AU"/>
        </w:rPr>
        <w:t>may be related</w:t>
      </w:r>
      <w:proofErr w:type="gramEnd"/>
      <w:r w:rsidRPr="00F53504">
        <w:rPr>
          <w:lang w:eastAsia="en-AU"/>
        </w:rPr>
        <w:t xml:space="preserve"> to Relocation Agreements. </w:t>
      </w:r>
    </w:p>
    <w:p w14:paraId="281F83D5" w14:textId="063A65C5" w:rsidR="009145B2" w:rsidRDefault="009145B2" w:rsidP="009145B2">
      <w:pPr>
        <w:rPr>
          <w:lang w:eastAsia="en-AU"/>
        </w:rPr>
      </w:pPr>
      <w:r w:rsidRPr="00F53504">
        <w:rPr>
          <w:lang w:eastAsia="en-AU"/>
        </w:rPr>
        <w:t xml:space="preserve">EPF/EF items claimed for relocation included in the analysis </w:t>
      </w:r>
      <w:proofErr w:type="gramStart"/>
      <w:r w:rsidRPr="00F53504">
        <w:rPr>
          <w:lang w:eastAsia="en-AU"/>
        </w:rPr>
        <w:t>are confined</w:t>
      </w:r>
      <w:proofErr w:type="gramEnd"/>
      <w:r w:rsidRPr="00F53504">
        <w:rPr>
          <w:lang w:eastAsia="en-AU"/>
        </w:rPr>
        <w:t xml:space="preserve"> to those that occurred within three months of the Relocation Agreement start date. </w:t>
      </w:r>
    </w:p>
    <w:p w14:paraId="095EDC1C" w14:textId="3CE83861" w:rsidR="0014793C" w:rsidRPr="00F53504" w:rsidRDefault="0014793C" w:rsidP="009145B2">
      <w:pPr>
        <w:rPr>
          <w:lang w:eastAsia="en-AU"/>
        </w:rPr>
      </w:pPr>
      <w:r>
        <w:t xml:space="preserve">It is not possible to capture providers’ financial support to job seekers </w:t>
      </w:r>
      <w:r w:rsidRPr="00F53504">
        <w:t>in the Department’s administrative data</w:t>
      </w:r>
      <w:r>
        <w:t xml:space="preserve"> where they did not </w:t>
      </w:r>
      <w:r w:rsidRPr="00F53504">
        <w:t xml:space="preserve">make use of RATTUAJ at </w:t>
      </w:r>
      <w:proofErr w:type="gramStart"/>
      <w:r w:rsidRPr="00F53504">
        <w:t>all,</w:t>
      </w:r>
      <w:proofErr w:type="gramEnd"/>
      <w:r w:rsidRPr="00F53504">
        <w:t xml:space="preserve"> and instead to provide financial assistance using EPF or EF without entering into a relocation agreement.</w:t>
      </w:r>
      <w:r>
        <w:t xml:space="preserve"> This is because </w:t>
      </w:r>
      <w:r w:rsidRPr="00F53504">
        <w:t>EPF</w:t>
      </w:r>
      <w:r>
        <w:t xml:space="preserve"> data </w:t>
      </w:r>
      <w:r w:rsidRPr="00F53504">
        <w:t>did not allow differentiation between a job seeker moving a short distance and one moving more than 90 minutes away</w:t>
      </w:r>
      <w:r>
        <w:t xml:space="preserve"> while </w:t>
      </w:r>
      <w:r w:rsidRPr="00F53504">
        <w:t>EF has no specific relocation expense codes.</w:t>
      </w:r>
    </w:p>
    <w:p w14:paraId="5C11589F" w14:textId="77777777" w:rsidR="009145B2" w:rsidRPr="00F53504" w:rsidRDefault="009145B2" w:rsidP="009145B2">
      <w:pPr>
        <w:pStyle w:val="Caption"/>
        <w:rPr>
          <w:noProof/>
        </w:rPr>
      </w:pPr>
      <w:r w:rsidRPr="00F53504">
        <w:t>Table A.</w:t>
      </w:r>
      <w:r w:rsidR="005129E7">
        <w:t>4</w:t>
      </w:r>
      <w:r w:rsidRPr="00F53504">
        <w:rPr>
          <w:noProof/>
        </w:rPr>
        <w:t>: Grouping of Employment Pathway Fund/Employment Fund into relocation expense category</w:t>
      </w:r>
    </w:p>
    <w:tbl>
      <w:tblPr>
        <w:tblStyle w:val="DEEWRTable"/>
        <w:tblW w:w="5000" w:type="pct"/>
        <w:tblLook w:val="0420" w:firstRow="1" w:lastRow="0" w:firstColumn="0" w:lastColumn="0" w:noHBand="0" w:noVBand="1"/>
      </w:tblPr>
      <w:tblGrid>
        <w:gridCol w:w="2760"/>
        <w:gridCol w:w="3111"/>
        <w:gridCol w:w="3155"/>
      </w:tblGrid>
      <w:tr w:rsidR="009145B2" w:rsidRPr="00F53504" w14:paraId="1D5EC122" w14:textId="77777777" w:rsidTr="00F61905">
        <w:trPr>
          <w:cnfStyle w:val="100000000000" w:firstRow="1" w:lastRow="0" w:firstColumn="0" w:lastColumn="0" w:oddVBand="0" w:evenVBand="0" w:oddHBand="0" w:evenHBand="0" w:firstRowFirstColumn="0" w:firstRowLastColumn="0" w:lastRowFirstColumn="0" w:lastRowLastColumn="0"/>
        </w:trPr>
        <w:tc>
          <w:tcPr>
            <w:tcW w:w="2802" w:type="dxa"/>
            <w:tcBorders>
              <w:bottom w:val="nil"/>
            </w:tcBorders>
            <w:shd w:val="clear" w:color="auto" w:fill="1E3D6B"/>
            <w:vAlign w:val="bottom"/>
          </w:tcPr>
          <w:p w14:paraId="2081A83A" w14:textId="77777777" w:rsidR="009145B2" w:rsidRPr="00F53504" w:rsidRDefault="00F61905" w:rsidP="00851613">
            <w:pPr>
              <w:pStyle w:val="Tableheadingleftcolumn"/>
              <w:rPr>
                <w:b/>
              </w:rPr>
            </w:pPr>
            <w:r w:rsidRPr="00F53504">
              <w:rPr>
                <w:b/>
              </w:rPr>
              <w:t>EPF/EF</w:t>
            </w:r>
            <w:r w:rsidR="009145B2" w:rsidRPr="00F53504">
              <w:rPr>
                <w:b/>
              </w:rPr>
              <w:t xml:space="preserve"> expense category</w:t>
            </w:r>
          </w:p>
        </w:tc>
        <w:tc>
          <w:tcPr>
            <w:tcW w:w="3165" w:type="dxa"/>
            <w:tcBorders>
              <w:bottom w:val="nil"/>
            </w:tcBorders>
            <w:shd w:val="clear" w:color="auto" w:fill="1E3D6B"/>
            <w:vAlign w:val="bottom"/>
          </w:tcPr>
          <w:p w14:paraId="291F7218" w14:textId="77777777" w:rsidR="009145B2" w:rsidRPr="00F53504" w:rsidRDefault="009145B2" w:rsidP="00851613">
            <w:pPr>
              <w:pStyle w:val="Tableheadingleftcolumn"/>
              <w:rPr>
                <w:b/>
              </w:rPr>
            </w:pPr>
            <w:r w:rsidRPr="00F53504">
              <w:rPr>
                <w:b/>
              </w:rPr>
              <w:t xml:space="preserve">JSA </w:t>
            </w:r>
          </w:p>
          <w:p w14:paraId="3668BEF6" w14:textId="77777777" w:rsidR="009145B2" w:rsidRPr="00F53504" w:rsidRDefault="009145B2" w:rsidP="00851613">
            <w:pPr>
              <w:pStyle w:val="Tableheadingleftcolumn"/>
              <w:rPr>
                <w:b/>
              </w:rPr>
            </w:pPr>
            <w:r w:rsidRPr="00F53504">
              <w:rPr>
                <w:b/>
              </w:rPr>
              <w:t xml:space="preserve">Employment Pathway Fund </w:t>
            </w:r>
          </w:p>
          <w:p w14:paraId="6B72BEB4" w14:textId="77777777" w:rsidR="009145B2" w:rsidRPr="00F53504" w:rsidRDefault="009145B2" w:rsidP="00851613">
            <w:pPr>
              <w:pStyle w:val="Tableheadingleftcolumn"/>
              <w:rPr>
                <w:b/>
              </w:rPr>
            </w:pPr>
            <w:r w:rsidRPr="00F53504">
              <w:rPr>
                <w:b/>
              </w:rPr>
              <w:t>Description of item included</w:t>
            </w:r>
          </w:p>
        </w:tc>
        <w:tc>
          <w:tcPr>
            <w:tcW w:w="3213" w:type="dxa"/>
            <w:tcBorders>
              <w:bottom w:val="nil"/>
            </w:tcBorders>
            <w:shd w:val="clear" w:color="auto" w:fill="1E3D6B"/>
            <w:vAlign w:val="bottom"/>
          </w:tcPr>
          <w:p w14:paraId="2C0AE957" w14:textId="26CD2C52" w:rsidR="009145B2" w:rsidRPr="00F53504" w:rsidRDefault="006B21E2" w:rsidP="00851613">
            <w:pPr>
              <w:pStyle w:val="Tableheadingleftcolumn"/>
              <w:rPr>
                <w:b/>
              </w:rPr>
            </w:pPr>
            <w:r>
              <w:rPr>
                <w:b/>
              </w:rPr>
              <w:t>j</w:t>
            </w:r>
            <w:r w:rsidR="009145B2" w:rsidRPr="00F53504">
              <w:rPr>
                <w:b/>
              </w:rPr>
              <w:t>obactive</w:t>
            </w:r>
          </w:p>
          <w:p w14:paraId="39A68273" w14:textId="77777777" w:rsidR="009145B2" w:rsidRPr="00F53504" w:rsidRDefault="009145B2" w:rsidP="00851613">
            <w:pPr>
              <w:pStyle w:val="Tableheadingleftcolumn"/>
              <w:rPr>
                <w:b/>
              </w:rPr>
            </w:pPr>
            <w:r w:rsidRPr="00F53504">
              <w:rPr>
                <w:b/>
              </w:rPr>
              <w:t>Employment Fund</w:t>
            </w:r>
          </w:p>
          <w:p w14:paraId="43E7596F" w14:textId="77777777" w:rsidR="009145B2" w:rsidRPr="00F53504" w:rsidRDefault="009145B2" w:rsidP="00851613">
            <w:pPr>
              <w:pStyle w:val="Tableheadingleftcolumn"/>
              <w:rPr>
                <w:b/>
              </w:rPr>
            </w:pPr>
            <w:r w:rsidRPr="00F53504">
              <w:rPr>
                <w:b/>
              </w:rPr>
              <w:t>Description of item included</w:t>
            </w:r>
          </w:p>
        </w:tc>
      </w:tr>
      <w:tr w:rsidR="009145B2" w:rsidRPr="00F53504" w14:paraId="60B0EF05" w14:textId="77777777" w:rsidTr="00F61905">
        <w:trPr>
          <w:trHeight w:val="283"/>
        </w:trPr>
        <w:tc>
          <w:tcPr>
            <w:tcW w:w="2802" w:type="dxa"/>
            <w:tcBorders>
              <w:top w:val="nil"/>
              <w:bottom w:val="nil"/>
            </w:tcBorders>
            <w:shd w:val="clear" w:color="auto" w:fill="auto"/>
          </w:tcPr>
          <w:p w14:paraId="5723E59B" w14:textId="77777777" w:rsidR="009145B2" w:rsidRPr="00F53504" w:rsidRDefault="009145B2" w:rsidP="00851613">
            <w:pPr>
              <w:pStyle w:val="Tablecontentleftcolumn"/>
            </w:pPr>
            <w:r w:rsidRPr="00F53504">
              <w:t>Accommodation</w:t>
            </w:r>
          </w:p>
        </w:tc>
        <w:tc>
          <w:tcPr>
            <w:tcW w:w="3165" w:type="dxa"/>
            <w:tcBorders>
              <w:top w:val="nil"/>
              <w:bottom w:val="nil"/>
            </w:tcBorders>
            <w:shd w:val="clear" w:color="auto" w:fill="auto"/>
          </w:tcPr>
          <w:p w14:paraId="172C4440" w14:textId="77777777" w:rsidR="009145B2" w:rsidRPr="00F53504" w:rsidRDefault="009145B2" w:rsidP="00851613">
            <w:pPr>
              <w:pStyle w:val="Tablecontentleftcolumn"/>
            </w:pPr>
            <w:r w:rsidRPr="00F53504">
              <w:t>Short term accommodation assistance</w:t>
            </w:r>
          </w:p>
        </w:tc>
        <w:tc>
          <w:tcPr>
            <w:tcW w:w="3213" w:type="dxa"/>
            <w:tcBorders>
              <w:top w:val="nil"/>
              <w:bottom w:val="nil"/>
            </w:tcBorders>
            <w:shd w:val="clear" w:color="auto" w:fill="auto"/>
          </w:tcPr>
          <w:p w14:paraId="18431608" w14:textId="77777777" w:rsidR="009145B2" w:rsidRPr="00F53504" w:rsidRDefault="009145B2" w:rsidP="00851613">
            <w:pPr>
              <w:pStyle w:val="Tablecontentleftcolumn"/>
            </w:pPr>
            <w:r w:rsidRPr="00F53504">
              <w:t>Not available</w:t>
            </w:r>
          </w:p>
        </w:tc>
      </w:tr>
      <w:tr w:rsidR="009145B2" w:rsidRPr="00F53504" w14:paraId="36CE3457" w14:textId="77777777" w:rsidTr="00F61905">
        <w:trPr>
          <w:trHeight w:val="283"/>
        </w:trPr>
        <w:tc>
          <w:tcPr>
            <w:tcW w:w="2802" w:type="dxa"/>
            <w:tcBorders>
              <w:top w:val="nil"/>
              <w:bottom w:val="nil"/>
            </w:tcBorders>
            <w:shd w:val="clear" w:color="auto" w:fill="F2F2F2" w:themeFill="background1" w:themeFillShade="F2"/>
          </w:tcPr>
          <w:p w14:paraId="7ECE82E8" w14:textId="77777777" w:rsidR="009145B2" w:rsidRPr="00F53504" w:rsidRDefault="009145B2" w:rsidP="00851613">
            <w:pPr>
              <w:pStyle w:val="Tablecontentleftcolumn"/>
            </w:pPr>
            <w:r w:rsidRPr="00F53504">
              <w:t>Employment</w:t>
            </w:r>
          </w:p>
        </w:tc>
        <w:tc>
          <w:tcPr>
            <w:tcW w:w="3165" w:type="dxa"/>
            <w:tcBorders>
              <w:top w:val="nil"/>
              <w:bottom w:val="nil"/>
            </w:tcBorders>
            <w:shd w:val="clear" w:color="auto" w:fill="F2F2F2" w:themeFill="background1" w:themeFillShade="F2"/>
          </w:tcPr>
          <w:p w14:paraId="5380F44B" w14:textId="77777777" w:rsidR="009145B2" w:rsidRPr="00F53504" w:rsidRDefault="009145B2" w:rsidP="00851613">
            <w:pPr>
              <w:pStyle w:val="Tablecontentleftcolumn"/>
            </w:pPr>
            <w:r w:rsidRPr="00F53504">
              <w:t>Clothing and presentation</w:t>
            </w:r>
          </w:p>
          <w:p w14:paraId="1528BE63" w14:textId="77777777" w:rsidR="009145B2" w:rsidRPr="00F53504" w:rsidRDefault="009145B2" w:rsidP="00851613">
            <w:pPr>
              <w:pStyle w:val="Tablecontentleftcolumn"/>
            </w:pPr>
            <w:r w:rsidRPr="00F53504">
              <w:t>Pre-employment check &amp; work related documents and tools</w:t>
            </w:r>
          </w:p>
          <w:p w14:paraId="571C86F9" w14:textId="77777777" w:rsidR="009145B2" w:rsidRPr="00F53504" w:rsidRDefault="009145B2" w:rsidP="00851613">
            <w:pPr>
              <w:pStyle w:val="Tablecontentleftcolumn"/>
            </w:pPr>
            <w:r w:rsidRPr="00F53504">
              <w:t>Computers, mobile phones and equipment</w:t>
            </w:r>
          </w:p>
        </w:tc>
        <w:tc>
          <w:tcPr>
            <w:tcW w:w="3213" w:type="dxa"/>
            <w:tcBorders>
              <w:top w:val="nil"/>
              <w:bottom w:val="nil"/>
            </w:tcBorders>
            <w:shd w:val="clear" w:color="auto" w:fill="F2F2F2" w:themeFill="background1" w:themeFillShade="F2"/>
          </w:tcPr>
          <w:p w14:paraId="7C72E255" w14:textId="77777777" w:rsidR="009145B2" w:rsidRPr="00F53504" w:rsidRDefault="009145B2" w:rsidP="00851613">
            <w:pPr>
              <w:pStyle w:val="Tablecontentleftcolumn"/>
            </w:pPr>
            <w:r w:rsidRPr="00F53504">
              <w:t>Clothing and presentation</w:t>
            </w:r>
          </w:p>
          <w:p w14:paraId="5E61DBF3" w14:textId="77777777" w:rsidR="009145B2" w:rsidRPr="00F53504" w:rsidRDefault="009145B2" w:rsidP="00851613">
            <w:pPr>
              <w:pStyle w:val="Tablecontentleftcolumn"/>
            </w:pPr>
            <w:r w:rsidRPr="00F53504">
              <w:t>Food, phone and petrol cards/vouchers</w:t>
            </w:r>
          </w:p>
          <w:p w14:paraId="6B3FE9E4" w14:textId="77777777" w:rsidR="009145B2" w:rsidRPr="00F53504" w:rsidRDefault="009145B2" w:rsidP="00851613">
            <w:pPr>
              <w:pStyle w:val="Tablecontentleftcolumn"/>
            </w:pPr>
            <w:r w:rsidRPr="00F53504">
              <w:t>Work related items</w:t>
            </w:r>
          </w:p>
          <w:p w14:paraId="0DFCD042" w14:textId="77777777" w:rsidR="009145B2" w:rsidRPr="00F53504" w:rsidRDefault="009145B2" w:rsidP="00851613">
            <w:pPr>
              <w:pStyle w:val="Tablecontentleftcolumn"/>
            </w:pPr>
            <w:r w:rsidRPr="00F53504">
              <w:t>Work related licencing</w:t>
            </w:r>
          </w:p>
        </w:tc>
      </w:tr>
      <w:tr w:rsidR="009145B2" w:rsidRPr="00F53504" w14:paraId="27383D24" w14:textId="77777777" w:rsidTr="00F61905">
        <w:trPr>
          <w:trHeight w:val="283"/>
        </w:trPr>
        <w:tc>
          <w:tcPr>
            <w:tcW w:w="2802" w:type="dxa"/>
            <w:tcBorders>
              <w:bottom w:val="nil"/>
            </w:tcBorders>
            <w:shd w:val="clear" w:color="auto" w:fill="auto"/>
          </w:tcPr>
          <w:p w14:paraId="1FBAC892" w14:textId="77777777" w:rsidR="009145B2" w:rsidRPr="00F53504" w:rsidRDefault="009145B2" w:rsidP="00851613">
            <w:pPr>
              <w:pStyle w:val="Tablecontentleftcolumn"/>
            </w:pPr>
            <w:r w:rsidRPr="00F53504">
              <w:t>Removalist</w:t>
            </w:r>
          </w:p>
        </w:tc>
        <w:tc>
          <w:tcPr>
            <w:tcW w:w="3165" w:type="dxa"/>
            <w:tcBorders>
              <w:bottom w:val="nil"/>
            </w:tcBorders>
            <w:shd w:val="clear" w:color="auto" w:fill="auto"/>
          </w:tcPr>
          <w:p w14:paraId="5BAD5025" w14:textId="77777777" w:rsidR="009145B2" w:rsidRPr="00F53504" w:rsidRDefault="009145B2" w:rsidP="00851613">
            <w:pPr>
              <w:pStyle w:val="Tablecontentleftcolumn"/>
            </w:pPr>
            <w:r w:rsidRPr="00F53504">
              <w:t>Furniture storage</w:t>
            </w:r>
          </w:p>
          <w:p w14:paraId="22E883BE" w14:textId="77777777" w:rsidR="009145B2" w:rsidRPr="00F53504" w:rsidRDefault="009145B2" w:rsidP="00851613">
            <w:pPr>
              <w:pStyle w:val="Tablecontentleftcolumn"/>
            </w:pPr>
            <w:r w:rsidRPr="00F53504">
              <w:t>Good transport</w:t>
            </w:r>
          </w:p>
          <w:p w14:paraId="4D12E3DE" w14:textId="77777777" w:rsidR="009145B2" w:rsidRPr="00F53504" w:rsidRDefault="009145B2" w:rsidP="00851613">
            <w:pPr>
              <w:pStyle w:val="Tablecontentleftcolumn"/>
            </w:pPr>
            <w:r w:rsidRPr="00F53504">
              <w:t>Transport purchases</w:t>
            </w:r>
          </w:p>
        </w:tc>
        <w:tc>
          <w:tcPr>
            <w:tcW w:w="3213" w:type="dxa"/>
            <w:tcBorders>
              <w:bottom w:val="nil"/>
            </w:tcBorders>
            <w:shd w:val="clear" w:color="auto" w:fill="auto"/>
          </w:tcPr>
          <w:p w14:paraId="68BC9F4D" w14:textId="77777777" w:rsidR="009145B2" w:rsidRPr="00F53504" w:rsidRDefault="009145B2" w:rsidP="00851613">
            <w:pPr>
              <w:pStyle w:val="Tablecontentleftcolumn"/>
            </w:pPr>
            <w:r w:rsidRPr="00F53504">
              <w:t>Not available</w:t>
            </w:r>
          </w:p>
        </w:tc>
      </w:tr>
      <w:tr w:rsidR="009145B2" w:rsidRPr="00F53504" w14:paraId="6148456D" w14:textId="77777777" w:rsidTr="00F61905">
        <w:trPr>
          <w:trHeight w:val="283"/>
        </w:trPr>
        <w:tc>
          <w:tcPr>
            <w:tcW w:w="2802" w:type="dxa"/>
            <w:shd w:val="clear" w:color="auto" w:fill="F2F2F2" w:themeFill="background1" w:themeFillShade="F2"/>
          </w:tcPr>
          <w:p w14:paraId="338E64B2" w14:textId="77777777" w:rsidR="009145B2" w:rsidRPr="00F53504" w:rsidRDefault="009145B2" w:rsidP="00851613">
            <w:pPr>
              <w:pStyle w:val="Tablecontentleftcolumn"/>
            </w:pPr>
            <w:r w:rsidRPr="00F53504">
              <w:t>Travel</w:t>
            </w:r>
          </w:p>
        </w:tc>
        <w:tc>
          <w:tcPr>
            <w:tcW w:w="3165" w:type="dxa"/>
            <w:shd w:val="clear" w:color="auto" w:fill="F2F2F2" w:themeFill="background1" w:themeFillShade="F2"/>
          </w:tcPr>
          <w:p w14:paraId="78B9D99A" w14:textId="77777777" w:rsidR="009145B2" w:rsidRPr="00F53504" w:rsidRDefault="009145B2" w:rsidP="00851613">
            <w:pPr>
              <w:pStyle w:val="Tablecontentleftcolumn"/>
            </w:pPr>
            <w:r w:rsidRPr="00F53504">
              <w:t>Travel cost to new location</w:t>
            </w:r>
          </w:p>
          <w:p w14:paraId="0CDDDA17" w14:textId="77777777" w:rsidR="009145B2" w:rsidRPr="00F53504" w:rsidRDefault="009145B2" w:rsidP="00851613">
            <w:pPr>
              <w:pStyle w:val="Tablecontentleftcolumn"/>
            </w:pPr>
            <w:r w:rsidRPr="00F53504">
              <w:t>Fares and petrol</w:t>
            </w:r>
          </w:p>
        </w:tc>
        <w:tc>
          <w:tcPr>
            <w:tcW w:w="3213" w:type="dxa"/>
            <w:shd w:val="clear" w:color="auto" w:fill="F2F2F2" w:themeFill="background1" w:themeFillShade="F2"/>
          </w:tcPr>
          <w:p w14:paraId="3604629F" w14:textId="77777777" w:rsidR="009145B2" w:rsidRPr="00F53504" w:rsidRDefault="009145B2" w:rsidP="00851613">
            <w:pPr>
              <w:pStyle w:val="Tablecontentleftcolumn"/>
            </w:pPr>
            <w:r w:rsidRPr="00F53504">
              <w:t>Job seeker transport</w:t>
            </w:r>
          </w:p>
        </w:tc>
      </w:tr>
      <w:tr w:rsidR="00F61905" w:rsidRPr="00F53504" w14:paraId="112D53BA" w14:textId="77777777" w:rsidTr="00F61905">
        <w:trPr>
          <w:trHeight w:val="283"/>
        </w:trPr>
        <w:tc>
          <w:tcPr>
            <w:tcW w:w="2802" w:type="dxa"/>
            <w:tcBorders>
              <w:bottom w:val="nil"/>
            </w:tcBorders>
            <w:shd w:val="clear" w:color="auto" w:fill="F2F2F2" w:themeFill="background1" w:themeFillShade="F2"/>
          </w:tcPr>
          <w:p w14:paraId="2C9C545E" w14:textId="77777777" w:rsidR="00F61905" w:rsidRPr="00F53504" w:rsidRDefault="00F61905" w:rsidP="00851613">
            <w:pPr>
              <w:pStyle w:val="Tablecontentleftcolumn"/>
            </w:pPr>
            <w:r w:rsidRPr="00F53504">
              <w:t>Relocation assistance</w:t>
            </w:r>
          </w:p>
        </w:tc>
        <w:tc>
          <w:tcPr>
            <w:tcW w:w="3165" w:type="dxa"/>
            <w:tcBorders>
              <w:bottom w:val="nil"/>
            </w:tcBorders>
            <w:shd w:val="clear" w:color="auto" w:fill="F2F2F2" w:themeFill="background1" w:themeFillShade="F2"/>
          </w:tcPr>
          <w:p w14:paraId="045D77F6" w14:textId="77777777" w:rsidR="00F61905" w:rsidRPr="00F53504" w:rsidRDefault="00F61905" w:rsidP="00851613">
            <w:pPr>
              <w:pStyle w:val="Tablecontentleftcolumn"/>
            </w:pPr>
            <w:r w:rsidRPr="00F53504">
              <w:t>Not available</w:t>
            </w:r>
          </w:p>
        </w:tc>
        <w:tc>
          <w:tcPr>
            <w:tcW w:w="3213" w:type="dxa"/>
            <w:tcBorders>
              <w:bottom w:val="nil"/>
            </w:tcBorders>
            <w:shd w:val="clear" w:color="auto" w:fill="F2F2F2" w:themeFill="background1" w:themeFillShade="F2"/>
          </w:tcPr>
          <w:p w14:paraId="10CFDBBB" w14:textId="77777777" w:rsidR="00F61905" w:rsidRPr="00F53504" w:rsidRDefault="00F61905" w:rsidP="00851613">
            <w:pPr>
              <w:pStyle w:val="Tablecontentleftcolumn"/>
            </w:pPr>
            <w:r w:rsidRPr="00F53504">
              <w:t xml:space="preserve">For job seekers who are not eligible to receive support under </w:t>
            </w:r>
            <w:r w:rsidR="0041378D" w:rsidRPr="00F53504">
              <w:t>RATTUAJ</w:t>
            </w:r>
          </w:p>
        </w:tc>
      </w:tr>
    </w:tbl>
    <w:p w14:paraId="12F1C24B" w14:textId="77777777" w:rsidR="00F61905" w:rsidRPr="00F53504" w:rsidRDefault="00F61905" w:rsidP="009145B2">
      <w:pPr>
        <w:pStyle w:val="Caption"/>
      </w:pPr>
      <w:r w:rsidRPr="00F53504">
        <w:br w:type="page"/>
      </w:r>
    </w:p>
    <w:p w14:paraId="5FB761CE" w14:textId="77777777" w:rsidR="009145B2" w:rsidRPr="00F53504" w:rsidRDefault="009145B2" w:rsidP="009145B2">
      <w:pPr>
        <w:pStyle w:val="Caption"/>
        <w:rPr>
          <w:noProof/>
        </w:rPr>
      </w:pPr>
      <w:r w:rsidRPr="00F53504">
        <w:lastRenderedPageBreak/>
        <w:t>Table A.</w:t>
      </w:r>
      <w:r w:rsidR="005129E7">
        <w:t>5</w:t>
      </w:r>
      <w:r w:rsidRPr="00F53504">
        <w:rPr>
          <w:noProof/>
        </w:rPr>
        <w:t>: Number of Relocation Agreements by source of financial support and relocation status</w:t>
      </w:r>
    </w:p>
    <w:tbl>
      <w:tblPr>
        <w:tblStyle w:val="DEEWRTable"/>
        <w:tblW w:w="5000" w:type="pct"/>
        <w:tblLook w:val="0420" w:firstRow="1" w:lastRow="0" w:firstColumn="0" w:lastColumn="0" w:noHBand="0" w:noVBand="1"/>
      </w:tblPr>
      <w:tblGrid>
        <w:gridCol w:w="2834"/>
        <w:gridCol w:w="1871"/>
        <w:gridCol w:w="1877"/>
        <w:gridCol w:w="1393"/>
        <w:gridCol w:w="1051"/>
      </w:tblGrid>
      <w:tr w:rsidR="009145B2" w:rsidRPr="00F53504" w14:paraId="32EA71EF" w14:textId="77777777" w:rsidTr="00851613">
        <w:trPr>
          <w:cnfStyle w:val="100000000000" w:firstRow="1" w:lastRow="0" w:firstColumn="0" w:lastColumn="0" w:oddVBand="0" w:evenVBand="0" w:oddHBand="0" w:evenHBand="0" w:firstRowFirstColumn="0" w:firstRowLastColumn="0" w:lastRowFirstColumn="0" w:lastRowLastColumn="0"/>
        </w:trPr>
        <w:tc>
          <w:tcPr>
            <w:tcW w:w="2943" w:type="dxa"/>
            <w:tcBorders>
              <w:bottom w:val="nil"/>
            </w:tcBorders>
            <w:shd w:val="clear" w:color="auto" w:fill="1E3D6B"/>
            <w:vAlign w:val="bottom"/>
          </w:tcPr>
          <w:p w14:paraId="192FFC45" w14:textId="77777777" w:rsidR="009145B2" w:rsidRPr="00F53504" w:rsidRDefault="009145B2" w:rsidP="00851613">
            <w:pPr>
              <w:pStyle w:val="Tableheadingleftcolumn"/>
              <w:rPr>
                <w:b/>
              </w:rPr>
            </w:pPr>
            <w:r w:rsidRPr="00F53504">
              <w:rPr>
                <w:b/>
              </w:rPr>
              <w:t>Source of financial support</w:t>
            </w:r>
          </w:p>
        </w:tc>
        <w:tc>
          <w:tcPr>
            <w:tcW w:w="1914" w:type="dxa"/>
            <w:tcBorders>
              <w:bottom w:val="nil"/>
            </w:tcBorders>
            <w:shd w:val="clear" w:color="auto" w:fill="1E3D6B"/>
            <w:vAlign w:val="bottom"/>
          </w:tcPr>
          <w:p w14:paraId="60EDB423" w14:textId="77777777" w:rsidR="009145B2" w:rsidRPr="00F53504" w:rsidRDefault="009145B2" w:rsidP="00851613">
            <w:pPr>
              <w:pStyle w:val="Tableheadingrightcolumn"/>
              <w:ind w:left="-108"/>
              <w:rPr>
                <w:b/>
              </w:rPr>
            </w:pPr>
            <w:r w:rsidRPr="00F53504">
              <w:rPr>
                <w:b/>
              </w:rPr>
              <w:t>Relocated and achieved an employment outcome</w:t>
            </w:r>
            <w:r w:rsidRPr="00F53504">
              <w:rPr>
                <w:b/>
              </w:rPr>
              <w:br/>
              <w:t>(number)</w:t>
            </w:r>
          </w:p>
        </w:tc>
        <w:tc>
          <w:tcPr>
            <w:tcW w:w="1914" w:type="dxa"/>
            <w:tcBorders>
              <w:bottom w:val="nil"/>
            </w:tcBorders>
            <w:shd w:val="clear" w:color="auto" w:fill="1E3D6B"/>
            <w:vAlign w:val="bottom"/>
          </w:tcPr>
          <w:p w14:paraId="1A249116" w14:textId="77777777" w:rsidR="009145B2" w:rsidRPr="00F53504" w:rsidRDefault="009145B2" w:rsidP="00851613">
            <w:pPr>
              <w:pStyle w:val="Tableheadingrightcolumn"/>
              <w:rPr>
                <w:b/>
              </w:rPr>
            </w:pPr>
            <w:r w:rsidRPr="00F53504">
              <w:rPr>
                <w:b/>
              </w:rPr>
              <w:t>Relocated and did not achieve an employment outcome</w:t>
            </w:r>
            <w:r w:rsidRPr="00F53504">
              <w:rPr>
                <w:b/>
              </w:rPr>
              <w:br/>
              <w:t>(number)</w:t>
            </w:r>
          </w:p>
        </w:tc>
        <w:tc>
          <w:tcPr>
            <w:tcW w:w="1417" w:type="dxa"/>
            <w:tcBorders>
              <w:bottom w:val="nil"/>
            </w:tcBorders>
            <w:shd w:val="clear" w:color="auto" w:fill="1E3D6B"/>
            <w:vAlign w:val="bottom"/>
          </w:tcPr>
          <w:p w14:paraId="07DEC1D4" w14:textId="77777777" w:rsidR="009145B2" w:rsidRPr="00F53504" w:rsidRDefault="009145B2" w:rsidP="00851613">
            <w:pPr>
              <w:pStyle w:val="Tableheadingrightcolumn"/>
              <w:rPr>
                <w:b/>
              </w:rPr>
            </w:pPr>
            <w:r w:rsidRPr="00F53504">
              <w:rPr>
                <w:b/>
              </w:rPr>
              <w:t>Not relocated</w:t>
            </w:r>
            <w:r w:rsidRPr="00F53504">
              <w:rPr>
                <w:b/>
              </w:rPr>
              <w:br/>
              <w:t>(number)</w:t>
            </w:r>
          </w:p>
        </w:tc>
        <w:tc>
          <w:tcPr>
            <w:tcW w:w="1054" w:type="dxa"/>
            <w:tcBorders>
              <w:bottom w:val="nil"/>
            </w:tcBorders>
            <w:shd w:val="clear" w:color="auto" w:fill="1E3D6B"/>
            <w:vAlign w:val="bottom"/>
          </w:tcPr>
          <w:p w14:paraId="07BE8469" w14:textId="77777777" w:rsidR="009145B2" w:rsidRPr="00F53504" w:rsidRDefault="009145B2" w:rsidP="00851613">
            <w:pPr>
              <w:pStyle w:val="Tableheadingrightcolumn"/>
              <w:rPr>
                <w:b/>
              </w:rPr>
            </w:pPr>
            <w:r w:rsidRPr="00F53504">
              <w:rPr>
                <w:b/>
              </w:rPr>
              <w:t>Total</w:t>
            </w:r>
            <w:r w:rsidRPr="00F53504">
              <w:rPr>
                <w:b/>
              </w:rPr>
              <w:br/>
              <w:t>(number)</w:t>
            </w:r>
          </w:p>
        </w:tc>
      </w:tr>
      <w:tr w:rsidR="009145B2" w:rsidRPr="00F53504" w14:paraId="5FC41004" w14:textId="77777777" w:rsidTr="00851613">
        <w:trPr>
          <w:trHeight w:val="283"/>
        </w:trPr>
        <w:tc>
          <w:tcPr>
            <w:tcW w:w="2943" w:type="dxa"/>
            <w:tcBorders>
              <w:top w:val="nil"/>
            </w:tcBorders>
            <w:vAlign w:val="bottom"/>
          </w:tcPr>
          <w:p w14:paraId="6721A3BB" w14:textId="77777777" w:rsidR="009145B2" w:rsidRPr="00F53504" w:rsidRDefault="009145B2" w:rsidP="00851613">
            <w:pPr>
              <w:pStyle w:val="Tablecontentleftcolumn"/>
            </w:pPr>
            <w:r w:rsidRPr="00F53504">
              <w:t>RATTUAJ funding only</w:t>
            </w:r>
          </w:p>
        </w:tc>
        <w:tc>
          <w:tcPr>
            <w:tcW w:w="1914" w:type="dxa"/>
            <w:tcBorders>
              <w:top w:val="nil"/>
            </w:tcBorders>
            <w:vAlign w:val="bottom"/>
          </w:tcPr>
          <w:p w14:paraId="109328D5" w14:textId="77777777" w:rsidR="009145B2" w:rsidRPr="00F53504" w:rsidRDefault="009145B2" w:rsidP="00851613">
            <w:pPr>
              <w:pStyle w:val="Tablecontentrightcolumn"/>
            </w:pPr>
            <w:r w:rsidRPr="00F53504">
              <w:t>209</w:t>
            </w:r>
          </w:p>
        </w:tc>
        <w:tc>
          <w:tcPr>
            <w:tcW w:w="1914" w:type="dxa"/>
            <w:tcBorders>
              <w:top w:val="nil"/>
            </w:tcBorders>
            <w:vAlign w:val="bottom"/>
          </w:tcPr>
          <w:p w14:paraId="78923C6E" w14:textId="77777777" w:rsidR="009145B2" w:rsidRPr="00F53504" w:rsidRDefault="009145B2" w:rsidP="00851613">
            <w:pPr>
              <w:pStyle w:val="Tablecontentrightcolumn"/>
            </w:pPr>
            <w:r w:rsidRPr="00F53504">
              <w:t>62</w:t>
            </w:r>
          </w:p>
        </w:tc>
        <w:tc>
          <w:tcPr>
            <w:tcW w:w="1417" w:type="dxa"/>
            <w:tcBorders>
              <w:top w:val="nil"/>
            </w:tcBorders>
            <w:vAlign w:val="bottom"/>
          </w:tcPr>
          <w:p w14:paraId="1D254BFD" w14:textId="77777777" w:rsidR="009145B2" w:rsidRPr="00F53504" w:rsidRDefault="009145B2" w:rsidP="00851613">
            <w:pPr>
              <w:pStyle w:val="Tablecontentrightcolumn"/>
            </w:pPr>
            <w:r w:rsidRPr="00F53504">
              <w:t>6</w:t>
            </w:r>
          </w:p>
        </w:tc>
        <w:tc>
          <w:tcPr>
            <w:tcW w:w="1054" w:type="dxa"/>
            <w:tcBorders>
              <w:top w:val="nil"/>
            </w:tcBorders>
            <w:vAlign w:val="bottom"/>
          </w:tcPr>
          <w:p w14:paraId="3AE0DE7C" w14:textId="77777777" w:rsidR="009145B2" w:rsidRPr="00F53504" w:rsidRDefault="009145B2" w:rsidP="00851613">
            <w:pPr>
              <w:pStyle w:val="Tablecontentrightcolumn"/>
            </w:pPr>
            <w:r w:rsidRPr="00F53504">
              <w:t>277</w:t>
            </w:r>
          </w:p>
        </w:tc>
      </w:tr>
      <w:tr w:rsidR="009145B2" w:rsidRPr="00F53504" w14:paraId="549BB85F" w14:textId="77777777" w:rsidTr="00851613">
        <w:trPr>
          <w:trHeight w:val="283"/>
        </w:trPr>
        <w:tc>
          <w:tcPr>
            <w:tcW w:w="2943" w:type="dxa"/>
            <w:shd w:val="clear" w:color="auto" w:fill="F2F2F2" w:themeFill="background1" w:themeFillShade="F2"/>
            <w:vAlign w:val="bottom"/>
          </w:tcPr>
          <w:p w14:paraId="7FA7428A" w14:textId="77777777" w:rsidR="009145B2" w:rsidRPr="00F53504" w:rsidRDefault="009145B2" w:rsidP="00851613">
            <w:pPr>
              <w:pStyle w:val="Tablecontentleftcolumn"/>
            </w:pPr>
            <w:r w:rsidRPr="00F53504">
              <w:t>EPF/EF relocation support only</w:t>
            </w:r>
            <w:r w:rsidRPr="00F53504">
              <w:rPr>
                <w:vertAlign w:val="superscript"/>
              </w:rPr>
              <w:t>(a)</w:t>
            </w:r>
          </w:p>
        </w:tc>
        <w:tc>
          <w:tcPr>
            <w:tcW w:w="1914" w:type="dxa"/>
            <w:shd w:val="clear" w:color="auto" w:fill="F2F2F2" w:themeFill="background1" w:themeFillShade="F2"/>
            <w:vAlign w:val="bottom"/>
          </w:tcPr>
          <w:p w14:paraId="4EB0A736" w14:textId="77777777" w:rsidR="009145B2" w:rsidRPr="00F53504" w:rsidRDefault="009145B2" w:rsidP="00851613">
            <w:pPr>
              <w:pStyle w:val="Tablecontentrightcolumn"/>
            </w:pPr>
            <w:r w:rsidRPr="00F53504">
              <w:t>70</w:t>
            </w:r>
          </w:p>
        </w:tc>
        <w:tc>
          <w:tcPr>
            <w:tcW w:w="1914" w:type="dxa"/>
            <w:shd w:val="clear" w:color="auto" w:fill="F2F2F2" w:themeFill="background1" w:themeFillShade="F2"/>
            <w:vAlign w:val="bottom"/>
          </w:tcPr>
          <w:p w14:paraId="6A0B9EDA" w14:textId="77777777" w:rsidR="009145B2" w:rsidRPr="00F53504" w:rsidRDefault="009145B2" w:rsidP="00851613">
            <w:pPr>
              <w:pStyle w:val="Tablecontentrightcolumn"/>
            </w:pPr>
            <w:r w:rsidRPr="00F53504">
              <w:t>24</w:t>
            </w:r>
          </w:p>
        </w:tc>
        <w:tc>
          <w:tcPr>
            <w:tcW w:w="1417" w:type="dxa"/>
            <w:shd w:val="clear" w:color="auto" w:fill="F2F2F2" w:themeFill="background1" w:themeFillShade="F2"/>
            <w:vAlign w:val="bottom"/>
          </w:tcPr>
          <w:p w14:paraId="5ADA0209" w14:textId="77777777" w:rsidR="009145B2" w:rsidRPr="00F53504" w:rsidRDefault="009145B2" w:rsidP="00851613">
            <w:pPr>
              <w:pStyle w:val="Tablecontentrightcolumn"/>
            </w:pPr>
            <w:r w:rsidRPr="00F53504">
              <w:t>12</w:t>
            </w:r>
          </w:p>
        </w:tc>
        <w:tc>
          <w:tcPr>
            <w:tcW w:w="1054" w:type="dxa"/>
            <w:shd w:val="clear" w:color="auto" w:fill="F2F2F2" w:themeFill="background1" w:themeFillShade="F2"/>
            <w:vAlign w:val="bottom"/>
          </w:tcPr>
          <w:p w14:paraId="788D023C" w14:textId="77777777" w:rsidR="009145B2" w:rsidRPr="00F53504" w:rsidRDefault="009145B2" w:rsidP="00851613">
            <w:pPr>
              <w:pStyle w:val="Tablecontentrightcolumn"/>
            </w:pPr>
            <w:r w:rsidRPr="00F53504">
              <w:t>106</w:t>
            </w:r>
          </w:p>
        </w:tc>
      </w:tr>
      <w:tr w:rsidR="009145B2" w:rsidRPr="00F53504" w14:paraId="7A88617F" w14:textId="77777777" w:rsidTr="00851613">
        <w:trPr>
          <w:trHeight w:val="283"/>
        </w:trPr>
        <w:tc>
          <w:tcPr>
            <w:tcW w:w="2943" w:type="dxa"/>
            <w:vAlign w:val="bottom"/>
          </w:tcPr>
          <w:p w14:paraId="74FD0906" w14:textId="77777777" w:rsidR="009145B2" w:rsidRPr="00F53504" w:rsidRDefault="009145B2" w:rsidP="00851613">
            <w:pPr>
              <w:pStyle w:val="Tablecontentleftcolumn"/>
            </w:pPr>
            <w:r w:rsidRPr="00F53504">
              <w:t>Both RATTUAJ and EPF/EF</w:t>
            </w:r>
            <w:r w:rsidRPr="00F53504">
              <w:rPr>
                <w:vertAlign w:val="superscript"/>
              </w:rPr>
              <w:t>(a)</w:t>
            </w:r>
          </w:p>
        </w:tc>
        <w:tc>
          <w:tcPr>
            <w:tcW w:w="1914" w:type="dxa"/>
            <w:vAlign w:val="bottom"/>
          </w:tcPr>
          <w:p w14:paraId="2A501654" w14:textId="77777777" w:rsidR="009145B2" w:rsidRPr="00F53504" w:rsidRDefault="009145B2" w:rsidP="00851613">
            <w:pPr>
              <w:pStyle w:val="Tablecontentrightcolumn"/>
            </w:pPr>
            <w:r w:rsidRPr="00F53504">
              <w:t>137</w:t>
            </w:r>
          </w:p>
        </w:tc>
        <w:tc>
          <w:tcPr>
            <w:tcW w:w="1914" w:type="dxa"/>
            <w:vAlign w:val="bottom"/>
          </w:tcPr>
          <w:p w14:paraId="5D7564C3" w14:textId="77777777" w:rsidR="009145B2" w:rsidRPr="00F53504" w:rsidRDefault="009145B2" w:rsidP="00851613">
            <w:pPr>
              <w:pStyle w:val="Tablecontentrightcolumn"/>
            </w:pPr>
            <w:r w:rsidRPr="00F53504">
              <w:t>67</w:t>
            </w:r>
          </w:p>
        </w:tc>
        <w:tc>
          <w:tcPr>
            <w:tcW w:w="1417" w:type="dxa"/>
            <w:vAlign w:val="bottom"/>
          </w:tcPr>
          <w:p w14:paraId="7BA77B48" w14:textId="77777777" w:rsidR="009145B2" w:rsidRPr="00F53504" w:rsidRDefault="009145B2" w:rsidP="00851613">
            <w:pPr>
              <w:pStyle w:val="Tablecontentrightcolumn"/>
            </w:pPr>
            <w:r w:rsidRPr="00F53504">
              <w:t>4</w:t>
            </w:r>
          </w:p>
        </w:tc>
        <w:tc>
          <w:tcPr>
            <w:tcW w:w="1054" w:type="dxa"/>
            <w:vAlign w:val="bottom"/>
          </w:tcPr>
          <w:p w14:paraId="63316F51" w14:textId="77777777" w:rsidR="009145B2" w:rsidRPr="00F53504" w:rsidRDefault="009145B2" w:rsidP="00851613">
            <w:pPr>
              <w:pStyle w:val="Tablecontentrightcolumn"/>
            </w:pPr>
            <w:r w:rsidRPr="00F53504">
              <w:t>208</w:t>
            </w:r>
          </w:p>
        </w:tc>
      </w:tr>
      <w:tr w:rsidR="009145B2" w:rsidRPr="00F53504" w14:paraId="38DF9632" w14:textId="77777777" w:rsidTr="00851613">
        <w:trPr>
          <w:trHeight w:val="283"/>
        </w:trPr>
        <w:tc>
          <w:tcPr>
            <w:tcW w:w="2943" w:type="dxa"/>
            <w:tcBorders>
              <w:bottom w:val="nil"/>
            </w:tcBorders>
            <w:shd w:val="clear" w:color="auto" w:fill="F2F2F2" w:themeFill="background1" w:themeFillShade="F2"/>
            <w:vAlign w:val="bottom"/>
          </w:tcPr>
          <w:p w14:paraId="5D1134A1" w14:textId="77777777" w:rsidR="009145B2" w:rsidRPr="00F53504" w:rsidRDefault="009145B2" w:rsidP="00851613">
            <w:pPr>
              <w:pStyle w:val="Tablecontentleftcolumn"/>
            </w:pPr>
            <w:r w:rsidRPr="00F53504">
              <w:t>None</w:t>
            </w:r>
            <w:r w:rsidRPr="00F53504">
              <w:rPr>
                <w:vertAlign w:val="superscript"/>
              </w:rPr>
              <w:t>(b)</w:t>
            </w:r>
          </w:p>
        </w:tc>
        <w:tc>
          <w:tcPr>
            <w:tcW w:w="1914" w:type="dxa"/>
            <w:tcBorders>
              <w:bottom w:val="nil"/>
            </w:tcBorders>
            <w:shd w:val="clear" w:color="auto" w:fill="F2F2F2" w:themeFill="background1" w:themeFillShade="F2"/>
            <w:vAlign w:val="bottom"/>
          </w:tcPr>
          <w:p w14:paraId="781CE91D" w14:textId="77777777" w:rsidR="009145B2" w:rsidRPr="00F53504" w:rsidRDefault="009145B2" w:rsidP="00851613">
            <w:pPr>
              <w:pStyle w:val="Tablecontentrightcolumn"/>
            </w:pPr>
            <w:r w:rsidRPr="00F53504">
              <w:t>31</w:t>
            </w:r>
          </w:p>
        </w:tc>
        <w:tc>
          <w:tcPr>
            <w:tcW w:w="1914" w:type="dxa"/>
            <w:tcBorders>
              <w:bottom w:val="nil"/>
            </w:tcBorders>
            <w:shd w:val="clear" w:color="auto" w:fill="F2F2F2" w:themeFill="background1" w:themeFillShade="F2"/>
            <w:vAlign w:val="bottom"/>
          </w:tcPr>
          <w:p w14:paraId="0827FB91" w14:textId="77777777" w:rsidR="009145B2" w:rsidRPr="00F53504" w:rsidRDefault="009145B2" w:rsidP="00851613">
            <w:pPr>
              <w:pStyle w:val="Tablecontentrightcolumn"/>
            </w:pPr>
            <w:r w:rsidRPr="00F53504">
              <w:t>22</w:t>
            </w:r>
          </w:p>
        </w:tc>
        <w:tc>
          <w:tcPr>
            <w:tcW w:w="1417" w:type="dxa"/>
            <w:tcBorders>
              <w:bottom w:val="nil"/>
            </w:tcBorders>
            <w:shd w:val="clear" w:color="auto" w:fill="F2F2F2" w:themeFill="background1" w:themeFillShade="F2"/>
            <w:vAlign w:val="bottom"/>
          </w:tcPr>
          <w:p w14:paraId="00EAB13D" w14:textId="77777777" w:rsidR="009145B2" w:rsidRPr="00F53504" w:rsidRDefault="009145B2" w:rsidP="00851613">
            <w:pPr>
              <w:pStyle w:val="Tablecontentrightcolumn"/>
            </w:pPr>
            <w:r w:rsidRPr="00F53504">
              <w:t>6</w:t>
            </w:r>
          </w:p>
        </w:tc>
        <w:tc>
          <w:tcPr>
            <w:tcW w:w="1054" w:type="dxa"/>
            <w:tcBorders>
              <w:bottom w:val="nil"/>
            </w:tcBorders>
            <w:shd w:val="clear" w:color="auto" w:fill="F2F2F2" w:themeFill="background1" w:themeFillShade="F2"/>
            <w:vAlign w:val="bottom"/>
          </w:tcPr>
          <w:p w14:paraId="469E102E" w14:textId="77777777" w:rsidR="009145B2" w:rsidRPr="00F53504" w:rsidRDefault="009145B2" w:rsidP="00851613">
            <w:pPr>
              <w:pStyle w:val="Tablecontentrightcolumn"/>
            </w:pPr>
            <w:r w:rsidRPr="00F53504">
              <w:t>59</w:t>
            </w:r>
          </w:p>
        </w:tc>
      </w:tr>
      <w:tr w:rsidR="009145B2" w:rsidRPr="00F53504" w14:paraId="1823D046" w14:textId="77777777" w:rsidTr="00851613">
        <w:trPr>
          <w:trHeight w:val="283"/>
        </w:trPr>
        <w:tc>
          <w:tcPr>
            <w:tcW w:w="2943" w:type="dxa"/>
            <w:tcBorders>
              <w:top w:val="nil"/>
              <w:bottom w:val="nil"/>
            </w:tcBorders>
            <w:shd w:val="clear" w:color="auto" w:fill="8EAEDE"/>
            <w:vAlign w:val="bottom"/>
          </w:tcPr>
          <w:p w14:paraId="7491C72A" w14:textId="77777777" w:rsidR="009145B2" w:rsidRPr="00F53504" w:rsidRDefault="009145B2" w:rsidP="00851613">
            <w:pPr>
              <w:pStyle w:val="Tablecontentleftcolumn"/>
            </w:pPr>
            <w:r w:rsidRPr="00F53504">
              <w:t>Total</w:t>
            </w:r>
          </w:p>
        </w:tc>
        <w:tc>
          <w:tcPr>
            <w:tcW w:w="1914" w:type="dxa"/>
            <w:tcBorders>
              <w:top w:val="nil"/>
              <w:bottom w:val="nil"/>
            </w:tcBorders>
            <w:shd w:val="clear" w:color="auto" w:fill="8EAEDE"/>
            <w:vAlign w:val="bottom"/>
          </w:tcPr>
          <w:p w14:paraId="17928FA5" w14:textId="77777777" w:rsidR="009145B2" w:rsidRPr="00F53504" w:rsidRDefault="009145B2" w:rsidP="00851613">
            <w:pPr>
              <w:pStyle w:val="Tablecontentrightcolumn"/>
            </w:pPr>
            <w:r w:rsidRPr="00F53504">
              <w:t>447</w:t>
            </w:r>
          </w:p>
        </w:tc>
        <w:tc>
          <w:tcPr>
            <w:tcW w:w="1914" w:type="dxa"/>
            <w:tcBorders>
              <w:top w:val="nil"/>
              <w:bottom w:val="nil"/>
            </w:tcBorders>
            <w:shd w:val="clear" w:color="auto" w:fill="8EAEDE"/>
            <w:vAlign w:val="bottom"/>
          </w:tcPr>
          <w:p w14:paraId="6C9D6A4E" w14:textId="77777777" w:rsidR="009145B2" w:rsidRPr="00F53504" w:rsidRDefault="009145B2" w:rsidP="00851613">
            <w:pPr>
              <w:pStyle w:val="Tablecontentrightcolumn"/>
            </w:pPr>
            <w:r w:rsidRPr="00F53504">
              <w:t>175</w:t>
            </w:r>
          </w:p>
        </w:tc>
        <w:tc>
          <w:tcPr>
            <w:tcW w:w="1417" w:type="dxa"/>
            <w:tcBorders>
              <w:top w:val="nil"/>
              <w:bottom w:val="nil"/>
            </w:tcBorders>
            <w:shd w:val="clear" w:color="auto" w:fill="8EAEDE"/>
            <w:vAlign w:val="bottom"/>
          </w:tcPr>
          <w:p w14:paraId="6E042978" w14:textId="77777777" w:rsidR="009145B2" w:rsidRPr="00F53504" w:rsidRDefault="009145B2" w:rsidP="00851613">
            <w:pPr>
              <w:pStyle w:val="Tablecontentrightcolumn"/>
            </w:pPr>
            <w:r w:rsidRPr="00F53504">
              <w:t>28</w:t>
            </w:r>
          </w:p>
        </w:tc>
        <w:tc>
          <w:tcPr>
            <w:tcW w:w="1054" w:type="dxa"/>
            <w:tcBorders>
              <w:top w:val="nil"/>
              <w:bottom w:val="nil"/>
            </w:tcBorders>
            <w:shd w:val="clear" w:color="auto" w:fill="8EAEDE"/>
            <w:vAlign w:val="bottom"/>
          </w:tcPr>
          <w:p w14:paraId="30B7D99B" w14:textId="77777777" w:rsidR="009145B2" w:rsidRPr="00F53504" w:rsidRDefault="009145B2" w:rsidP="00851613">
            <w:pPr>
              <w:pStyle w:val="Tablecontentrightcolumn"/>
            </w:pPr>
            <w:r w:rsidRPr="00F53504">
              <w:t>650</w:t>
            </w:r>
          </w:p>
        </w:tc>
      </w:tr>
    </w:tbl>
    <w:p w14:paraId="30F9D36A" w14:textId="77777777" w:rsidR="009145B2" w:rsidRPr="00F53504" w:rsidRDefault="009145B2" w:rsidP="009145B2">
      <w:pPr>
        <w:pStyle w:val="Source"/>
      </w:pPr>
      <w:r w:rsidRPr="00F53504">
        <w:t xml:space="preserve">(a) For the items that </w:t>
      </w:r>
      <w:proofErr w:type="gramStart"/>
      <w:r w:rsidRPr="00F53504">
        <w:t>are listed</w:t>
      </w:r>
      <w:proofErr w:type="gramEnd"/>
      <w:r w:rsidRPr="00F53504">
        <w:t xml:space="preserve"> in Table A.</w:t>
      </w:r>
      <w:r w:rsidR="00245FFC">
        <w:t>4</w:t>
      </w:r>
      <w:r w:rsidRPr="00F53504">
        <w:t xml:space="preserve"> </w:t>
      </w:r>
      <w:r w:rsidR="00FC2410" w:rsidRPr="00F53504">
        <w:t>and</w:t>
      </w:r>
      <w:r w:rsidRPr="00F53504">
        <w:t xml:space="preserve"> that occurred within three months of the Relocation Agreement start date.</w:t>
      </w:r>
    </w:p>
    <w:p w14:paraId="7B305602" w14:textId="7AB1A08D" w:rsidR="009145B2" w:rsidRDefault="009145B2" w:rsidP="009145B2">
      <w:pPr>
        <w:pStyle w:val="Source"/>
      </w:pPr>
      <w:r w:rsidRPr="00F53504">
        <w:t>(b) Agreements for which providers had not claimed any expenses relating to relocation from either source as at 31 March 2016.</w:t>
      </w:r>
    </w:p>
    <w:p w14:paraId="0B692FA2" w14:textId="09783731" w:rsidR="00C22835" w:rsidRPr="00C22835" w:rsidRDefault="00C22835" w:rsidP="00C22835">
      <w:pPr>
        <w:pStyle w:val="Source"/>
      </w:pPr>
      <w:proofErr w:type="gramStart"/>
      <w:r w:rsidRPr="00C22835">
        <w:rPr>
          <w:b/>
        </w:rPr>
        <w:t>Note</w:t>
      </w:r>
      <w:r w:rsidRPr="00C22835">
        <w:t>:</w:t>
      </w:r>
      <w:proofErr w:type="gramEnd"/>
      <w:r>
        <w:t xml:space="preserve"> Even though an approved relocation agreement is in place there does not have to be expenditure associated with that agreement</w:t>
      </w:r>
      <w:r w:rsidRPr="00C22835">
        <w:t>.</w:t>
      </w:r>
      <w:r>
        <w:t xml:space="preserve"> For example, a RATTUAJ participant may choose not to seek reimbursement for legitimate expenses.</w:t>
      </w:r>
      <w:r w:rsidR="00C62791">
        <w:t xml:space="preserve"> Outcomes are determined as at 31 March 2016.</w:t>
      </w:r>
    </w:p>
    <w:p w14:paraId="08607607" w14:textId="77777777" w:rsidR="009145B2" w:rsidRPr="00F53504" w:rsidRDefault="009145B2" w:rsidP="009145B2">
      <w:pPr>
        <w:pStyle w:val="Source"/>
      </w:pPr>
      <w:r w:rsidRPr="00F53504">
        <w:rPr>
          <w:b/>
        </w:rPr>
        <w:t>Source:</w:t>
      </w:r>
      <w:r w:rsidRPr="00F53504">
        <w:t xml:space="preserve"> EBIW data</w:t>
      </w:r>
    </w:p>
    <w:p w14:paraId="779CA236" w14:textId="77777777" w:rsidR="009145B2" w:rsidRPr="00F53504" w:rsidRDefault="009145B2" w:rsidP="009145B2">
      <w:pPr>
        <w:pStyle w:val="Caption"/>
        <w:rPr>
          <w:noProof/>
        </w:rPr>
      </w:pPr>
      <w:r w:rsidRPr="00F53504">
        <w:t>Table A.</w:t>
      </w:r>
      <w:r w:rsidR="005129E7">
        <w:t>6</w:t>
      </w:r>
      <w:r w:rsidRPr="00F53504">
        <w:rPr>
          <w:noProof/>
        </w:rPr>
        <w:t xml:space="preserve">: Expenditure under </w:t>
      </w:r>
      <w:r w:rsidR="0041378D" w:rsidRPr="00F53504">
        <w:rPr>
          <w:noProof/>
        </w:rPr>
        <w:t>RATTUAJ</w:t>
      </w:r>
      <w:r w:rsidRPr="00F53504">
        <w:rPr>
          <w:noProof/>
        </w:rPr>
        <w:t xml:space="preserve"> by relocation status of the program participant</w:t>
      </w:r>
    </w:p>
    <w:tbl>
      <w:tblPr>
        <w:tblStyle w:val="DEEWRTable"/>
        <w:tblW w:w="5000" w:type="pct"/>
        <w:tblLayout w:type="fixed"/>
        <w:tblLook w:val="0420" w:firstRow="1" w:lastRow="0" w:firstColumn="0" w:lastColumn="0" w:noHBand="0" w:noVBand="1"/>
      </w:tblPr>
      <w:tblGrid>
        <w:gridCol w:w="1624"/>
        <w:gridCol w:w="1381"/>
        <w:gridCol w:w="695"/>
        <w:gridCol w:w="1381"/>
        <w:gridCol w:w="695"/>
        <w:gridCol w:w="969"/>
        <w:gridCol w:w="695"/>
        <w:gridCol w:w="969"/>
        <w:gridCol w:w="617"/>
      </w:tblGrid>
      <w:tr w:rsidR="009145B2" w:rsidRPr="00F53504" w14:paraId="00ABAC74" w14:textId="77777777" w:rsidTr="00851613">
        <w:trPr>
          <w:cnfStyle w:val="100000000000" w:firstRow="1" w:lastRow="0" w:firstColumn="0" w:lastColumn="0" w:oddVBand="0" w:evenVBand="0" w:oddHBand="0" w:evenHBand="0" w:firstRowFirstColumn="0" w:firstRowLastColumn="0" w:lastRowFirstColumn="0" w:lastRowLastColumn="0"/>
        </w:trPr>
        <w:tc>
          <w:tcPr>
            <w:tcW w:w="1668" w:type="dxa"/>
            <w:tcBorders>
              <w:bottom w:val="nil"/>
            </w:tcBorders>
            <w:shd w:val="clear" w:color="auto" w:fill="1E3D6B"/>
            <w:vAlign w:val="bottom"/>
          </w:tcPr>
          <w:p w14:paraId="4F07F03F" w14:textId="77777777" w:rsidR="009145B2" w:rsidRPr="00F53504" w:rsidRDefault="009145B2" w:rsidP="00851613">
            <w:pPr>
              <w:pStyle w:val="Tableheadingleftcolumn"/>
              <w:rPr>
                <w:b/>
              </w:rPr>
            </w:pPr>
            <w:r w:rsidRPr="00F53504">
              <w:rPr>
                <w:b/>
              </w:rPr>
              <w:t>Relocation cost component</w:t>
            </w:r>
          </w:p>
        </w:tc>
        <w:tc>
          <w:tcPr>
            <w:tcW w:w="1417" w:type="dxa"/>
            <w:tcBorders>
              <w:bottom w:val="nil"/>
            </w:tcBorders>
            <w:shd w:val="clear" w:color="auto" w:fill="1E3D6B"/>
            <w:vAlign w:val="bottom"/>
          </w:tcPr>
          <w:p w14:paraId="7E9879D3" w14:textId="77777777" w:rsidR="009145B2" w:rsidRPr="00F53504" w:rsidRDefault="009145B2" w:rsidP="00851613">
            <w:pPr>
              <w:pStyle w:val="Tableheadingrightcolumn"/>
              <w:rPr>
                <w:b/>
                <w:vertAlign w:val="superscript"/>
              </w:rPr>
            </w:pPr>
            <w:r w:rsidRPr="00F53504">
              <w:rPr>
                <w:b/>
              </w:rPr>
              <w:t>Relocated and achieved an employment outcome and made a claim</w:t>
            </w:r>
            <w:r w:rsidRPr="00F53504">
              <w:rPr>
                <w:b/>
              </w:rPr>
              <w:br/>
              <w:t>N = 346</w:t>
            </w:r>
          </w:p>
          <w:p w14:paraId="3A8684CB" w14:textId="77777777" w:rsidR="009145B2" w:rsidRPr="00F53504" w:rsidRDefault="009145B2" w:rsidP="00851613">
            <w:pPr>
              <w:pStyle w:val="Tableheadingrightcolumn"/>
              <w:rPr>
                <w:b/>
              </w:rPr>
            </w:pPr>
            <w:r w:rsidRPr="00F53504">
              <w:rPr>
                <w:b/>
              </w:rPr>
              <w:t>$</w:t>
            </w:r>
          </w:p>
        </w:tc>
        <w:tc>
          <w:tcPr>
            <w:tcW w:w="709" w:type="dxa"/>
            <w:tcBorders>
              <w:bottom w:val="nil"/>
            </w:tcBorders>
            <w:shd w:val="clear" w:color="auto" w:fill="1E3D6B"/>
            <w:vAlign w:val="bottom"/>
          </w:tcPr>
          <w:p w14:paraId="55A14460" w14:textId="77777777" w:rsidR="009145B2" w:rsidRPr="00F53504" w:rsidRDefault="009145B2" w:rsidP="00851613">
            <w:pPr>
              <w:pStyle w:val="Tableheadingrightcolumn"/>
              <w:rPr>
                <w:b/>
              </w:rPr>
            </w:pPr>
            <w:r w:rsidRPr="00F53504">
              <w:rPr>
                <w:b/>
              </w:rPr>
              <w:t>Per cent</w:t>
            </w:r>
          </w:p>
        </w:tc>
        <w:tc>
          <w:tcPr>
            <w:tcW w:w="1417" w:type="dxa"/>
            <w:tcBorders>
              <w:bottom w:val="nil"/>
            </w:tcBorders>
            <w:shd w:val="clear" w:color="auto" w:fill="1E3D6B"/>
            <w:vAlign w:val="bottom"/>
          </w:tcPr>
          <w:p w14:paraId="26C8EE8B" w14:textId="77777777" w:rsidR="009145B2" w:rsidRPr="00F53504" w:rsidRDefault="009145B2" w:rsidP="00851613">
            <w:pPr>
              <w:pStyle w:val="Tableheadingrightcolumn"/>
              <w:rPr>
                <w:b/>
              </w:rPr>
            </w:pPr>
            <w:r w:rsidRPr="00F53504">
              <w:rPr>
                <w:b/>
              </w:rPr>
              <w:t>Relocated and did not achieve an employment outcome and made a claim</w:t>
            </w:r>
            <w:r w:rsidRPr="00F53504">
              <w:rPr>
                <w:b/>
              </w:rPr>
              <w:br/>
              <w:t>N = 129</w:t>
            </w:r>
          </w:p>
          <w:p w14:paraId="057411E8" w14:textId="77777777" w:rsidR="009145B2" w:rsidRPr="00F53504" w:rsidRDefault="009145B2" w:rsidP="00851613">
            <w:pPr>
              <w:pStyle w:val="Tableheadingrightcolumn"/>
              <w:rPr>
                <w:b/>
              </w:rPr>
            </w:pPr>
            <w:r w:rsidRPr="00F53504">
              <w:rPr>
                <w:b/>
              </w:rPr>
              <w:t>$</w:t>
            </w:r>
          </w:p>
        </w:tc>
        <w:tc>
          <w:tcPr>
            <w:tcW w:w="709" w:type="dxa"/>
            <w:tcBorders>
              <w:bottom w:val="nil"/>
            </w:tcBorders>
            <w:shd w:val="clear" w:color="auto" w:fill="1E3D6B"/>
            <w:vAlign w:val="bottom"/>
          </w:tcPr>
          <w:p w14:paraId="50DFA8BA" w14:textId="77777777" w:rsidR="009145B2" w:rsidRPr="00F53504" w:rsidRDefault="009145B2" w:rsidP="00851613">
            <w:pPr>
              <w:pStyle w:val="Tableheadingrightcolumn"/>
              <w:rPr>
                <w:b/>
              </w:rPr>
            </w:pPr>
            <w:r w:rsidRPr="00F53504">
              <w:rPr>
                <w:b/>
              </w:rPr>
              <w:t>Per cent</w:t>
            </w:r>
          </w:p>
        </w:tc>
        <w:tc>
          <w:tcPr>
            <w:tcW w:w="992" w:type="dxa"/>
            <w:tcBorders>
              <w:bottom w:val="nil"/>
            </w:tcBorders>
            <w:shd w:val="clear" w:color="auto" w:fill="1E3D6B"/>
            <w:vAlign w:val="bottom"/>
          </w:tcPr>
          <w:p w14:paraId="2F58D14C" w14:textId="77777777" w:rsidR="009145B2" w:rsidRPr="00F53504" w:rsidRDefault="009145B2" w:rsidP="00851613">
            <w:pPr>
              <w:pStyle w:val="Tableheadingrightcolumn"/>
              <w:ind w:left="-108"/>
              <w:rPr>
                <w:b/>
                <w:vertAlign w:val="superscript"/>
              </w:rPr>
            </w:pPr>
            <w:r w:rsidRPr="00F53504">
              <w:rPr>
                <w:b/>
              </w:rPr>
              <w:t>Not relocated and made a claim</w:t>
            </w:r>
            <w:r w:rsidRPr="00F53504">
              <w:rPr>
                <w:b/>
              </w:rPr>
              <w:br/>
              <w:t>N = 10</w:t>
            </w:r>
          </w:p>
          <w:p w14:paraId="7D620F65" w14:textId="77777777" w:rsidR="009145B2" w:rsidRPr="00F53504" w:rsidRDefault="009145B2" w:rsidP="00851613">
            <w:pPr>
              <w:pStyle w:val="Tableheadingrightcolumn"/>
              <w:rPr>
                <w:b/>
              </w:rPr>
            </w:pPr>
            <w:r w:rsidRPr="00F53504">
              <w:rPr>
                <w:b/>
              </w:rPr>
              <w:t>$</w:t>
            </w:r>
          </w:p>
        </w:tc>
        <w:tc>
          <w:tcPr>
            <w:tcW w:w="709" w:type="dxa"/>
            <w:tcBorders>
              <w:bottom w:val="nil"/>
            </w:tcBorders>
            <w:shd w:val="clear" w:color="auto" w:fill="1E3D6B"/>
            <w:vAlign w:val="bottom"/>
          </w:tcPr>
          <w:p w14:paraId="35F59E23" w14:textId="77777777" w:rsidR="009145B2" w:rsidRPr="00F53504" w:rsidRDefault="009145B2" w:rsidP="00851613">
            <w:pPr>
              <w:pStyle w:val="Tableheadingrightcolumn"/>
              <w:ind w:left="-108"/>
              <w:rPr>
                <w:b/>
              </w:rPr>
            </w:pPr>
            <w:r w:rsidRPr="00F53504">
              <w:rPr>
                <w:b/>
              </w:rPr>
              <w:t>Per cent</w:t>
            </w:r>
          </w:p>
        </w:tc>
        <w:tc>
          <w:tcPr>
            <w:tcW w:w="992" w:type="dxa"/>
            <w:tcBorders>
              <w:bottom w:val="nil"/>
            </w:tcBorders>
            <w:shd w:val="clear" w:color="auto" w:fill="1E3D6B"/>
            <w:vAlign w:val="bottom"/>
          </w:tcPr>
          <w:p w14:paraId="2AC075B7" w14:textId="77777777" w:rsidR="009145B2" w:rsidRPr="00F53504" w:rsidRDefault="009145B2" w:rsidP="00851613">
            <w:pPr>
              <w:pStyle w:val="Tableheadingrightcolumn"/>
              <w:ind w:left="-108"/>
              <w:rPr>
                <w:b/>
              </w:rPr>
            </w:pPr>
            <w:r w:rsidRPr="00F53504">
              <w:rPr>
                <w:b/>
              </w:rPr>
              <w:t>Total</w:t>
            </w:r>
            <w:r w:rsidRPr="00F53504">
              <w:rPr>
                <w:b/>
              </w:rPr>
              <w:br/>
              <w:t>N = 485</w:t>
            </w:r>
          </w:p>
          <w:p w14:paraId="3470AE85" w14:textId="77777777" w:rsidR="009145B2" w:rsidRPr="00F53504" w:rsidRDefault="009145B2" w:rsidP="00851613">
            <w:pPr>
              <w:pStyle w:val="Tableheadingrightcolumn"/>
              <w:ind w:left="-108"/>
              <w:rPr>
                <w:b/>
              </w:rPr>
            </w:pPr>
            <w:r w:rsidRPr="00F53504">
              <w:rPr>
                <w:b/>
              </w:rPr>
              <w:t>$</w:t>
            </w:r>
          </w:p>
        </w:tc>
        <w:tc>
          <w:tcPr>
            <w:tcW w:w="629" w:type="dxa"/>
            <w:tcBorders>
              <w:bottom w:val="nil"/>
            </w:tcBorders>
            <w:shd w:val="clear" w:color="auto" w:fill="1E3D6B"/>
            <w:vAlign w:val="bottom"/>
          </w:tcPr>
          <w:p w14:paraId="61E3F144" w14:textId="77777777" w:rsidR="009145B2" w:rsidRPr="00F53504" w:rsidRDefault="009145B2" w:rsidP="00851613">
            <w:pPr>
              <w:pStyle w:val="Tableheadingrightcolumn"/>
              <w:rPr>
                <w:b/>
              </w:rPr>
            </w:pPr>
            <w:r w:rsidRPr="00F53504">
              <w:rPr>
                <w:b/>
              </w:rPr>
              <w:t>Per cent</w:t>
            </w:r>
          </w:p>
        </w:tc>
      </w:tr>
      <w:tr w:rsidR="009145B2" w:rsidRPr="00F53504" w14:paraId="435BFA26" w14:textId="77777777" w:rsidTr="00851613">
        <w:trPr>
          <w:trHeight w:val="283"/>
        </w:trPr>
        <w:tc>
          <w:tcPr>
            <w:tcW w:w="1668" w:type="dxa"/>
            <w:tcBorders>
              <w:top w:val="nil"/>
              <w:bottom w:val="nil"/>
            </w:tcBorders>
            <w:vAlign w:val="bottom"/>
          </w:tcPr>
          <w:p w14:paraId="55037D16" w14:textId="77777777" w:rsidR="009145B2" w:rsidRPr="00F53504" w:rsidRDefault="009145B2" w:rsidP="00851613">
            <w:pPr>
              <w:pStyle w:val="Tablecontentleftcolumn"/>
            </w:pPr>
            <w:r w:rsidRPr="00F53504">
              <w:t>Accommodation</w:t>
            </w:r>
          </w:p>
        </w:tc>
        <w:tc>
          <w:tcPr>
            <w:tcW w:w="1417" w:type="dxa"/>
            <w:tcBorders>
              <w:top w:val="nil"/>
              <w:bottom w:val="nil"/>
            </w:tcBorders>
            <w:vAlign w:val="bottom"/>
          </w:tcPr>
          <w:p w14:paraId="01E28F83" w14:textId="77777777" w:rsidR="009145B2" w:rsidRPr="00F53504" w:rsidRDefault="009145B2" w:rsidP="00851613">
            <w:pPr>
              <w:pStyle w:val="Tablecontentrightcolumn"/>
            </w:pPr>
            <w:r w:rsidRPr="00F53504">
              <w:t>447,310</w:t>
            </w:r>
          </w:p>
        </w:tc>
        <w:tc>
          <w:tcPr>
            <w:tcW w:w="709" w:type="dxa"/>
            <w:tcBorders>
              <w:top w:val="nil"/>
              <w:bottom w:val="nil"/>
            </w:tcBorders>
            <w:vAlign w:val="bottom"/>
          </w:tcPr>
          <w:p w14:paraId="6BA83D59" w14:textId="77777777" w:rsidR="009145B2" w:rsidRPr="00F53504" w:rsidRDefault="009145B2" w:rsidP="00851613">
            <w:pPr>
              <w:pStyle w:val="Tablecontentrightcolumn"/>
            </w:pPr>
            <w:r w:rsidRPr="00F53504">
              <w:t>43.1</w:t>
            </w:r>
          </w:p>
        </w:tc>
        <w:tc>
          <w:tcPr>
            <w:tcW w:w="1417" w:type="dxa"/>
            <w:tcBorders>
              <w:top w:val="nil"/>
              <w:bottom w:val="nil"/>
            </w:tcBorders>
            <w:vAlign w:val="bottom"/>
          </w:tcPr>
          <w:p w14:paraId="30467858" w14:textId="77777777" w:rsidR="009145B2" w:rsidRPr="00F53504" w:rsidRDefault="009145B2" w:rsidP="00851613">
            <w:pPr>
              <w:pStyle w:val="Tablecontentrightcolumn"/>
            </w:pPr>
            <w:r w:rsidRPr="00F53504">
              <w:t>149,615</w:t>
            </w:r>
          </w:p>
        </w:tc>
        <w:tc>
          <w:tcPr>
            <w:tcW w:w="709" w:type="dxa"/>
            <w:tcBorders>
              <w:top w:val="nil"/>
              <w:bottom w:val="nil"/>
            </w:tcBorders>
            <w:vAlign w:val="bottom"/>
          </w:tcPr>
          <w:p w14:paraId="1A839FDD" w14:textId="77777777" w:rsidR="009145B2" w:rsidRPr="00F53504" w:rsidRDefault="009145B2" w:rsidP="00851613">
            <w:pPr>
              <w:pStyle w:val="Tablecontentrightcolumn"/>
            </w:pPr>
            <w:r w:rsidRPr="00F53504">
              <w:t>43.8</w:t>
            </w:r>
          </w:p>
        </w:tc>
        <w:tc>
          <w:tcPr>
            <w:tcW w:w="992" w:type="dxa"/>
            <w:tcBorders>
              <w:top w:val="nil"/>
              <w:bottom w:val="nil"/>
            </w:tcBorders>
            <w:vAlign w:val="bottom"/>
          </w:tcPr>
          <w:p w14:paraId="4698973C" w14:textId="77777777" w:rsidR="009145B2" w:rsidRPr="00F53504" w:rsidRDefault="009145B2" w:rsidP="00851613">
            <w:pPr>
              <w:pStyle w:val="Tablecontentrightcolumn"/>
            </w:pPr>
            <w:r w:rsidRPr="00F53504">
              <w:t>5,863</w:t>
            </w:r>
          </w:p>
        </w:tc>
        <w:tc>
          <w:tcPr>
            <w:tcW w:w="709" w:type="dxa"/>
            <w:tcBorders>
              <w:top w:val="nil"/>
              <w:bottom w:val="nil"/>
            </w:tcBorders>
            <w:vAlign w:val="bottom"/>
          </w:tcPr>
          <w:p w14:paraId="66EEAA3E" w14:textId="77777777" w:rsidR="009145B2" w:rsidRPr="00F53504" w:rsidRDefault="009145B2" w:rsidP="00851613">
            <w:pPr>
              <w:pStyle w:val="Tablecontentrightcolumn"/>
              <w:ind w:left="-108"/>
            </w:pPr>
            <w:r w:rsidRPr="00F53504">
              <w:t>20.1</w:t>
            </w:r>
          </w:p>
        </w:tc>
        <w:tc>
          <w:tcPr>
            <w:tcW w:w="992" w:type="dxa"/>
            <w:tcBorders>
              <w:top w:val="nil"/>
              <w:bottom w:val="nil"/>
            </w:tcBorders>
            <w:vAlign w:val="bottom"/>
          </w:tcPr>
          <w:p w14:paraId="6D05F75E" w14:textId="77777777" w:rsidR="009145B2" w:rsidRPr="00F53504" w:rsidRDefault="009145B2" w:rsidP="00851613">
            <w:pPr>
              <w:pStyle w:val="Tablecontentrightcolumn"/>
              <w:ind w:left="-108"/>
            </w:pPr>
            <w:r w:rsidRPr="00F53504">
              <w:t>602,788</w:t>
            </w:r>
          </w:p>
        </w:tc>
        <w:tc>
          <w:tcPr>
            <w:tcW w:w="629" w:type="dxa"/>
            <w:tcBorders>
              <w:top w:val="nil"/>
              <w:bottom w:val="nil"/>
            </w:tcBorders>
            <w:vAlign w:val="bottom"/>
          </w:tcPr>
          <w:p w14:paraId="18EFD21A" w14:textId="77777777" w:rsidR="009145B2" w:rsidRPr="00F53504" w:rsidRDefault="009145B2" w:rsidP="00851613">
            <w:pPr>
              <w:pStyle w:val="Tablecontentrightcolumn"/>
            </w:pPr>
            <w:r w:rsidRPr="00F53504">
              <w:t>42.8</w:t>
            </w:r>
          </w:p>
        </w:tc>
      </w:tr>
      <w:tr w:rsidR="009145B2" w:rsidRPr="00F53504" w14:paraId="5F93ED51" w14:textId="77777777" w:rsidTr="00851613">
        <w:trPr>
          <w:trHeight w:val="283"/>
        </w:trPr>
        <w:tc>
          <w:tcPr>
            <w:tcW w:w="1668" w:type="dxa"/>
            <w:tcBorders>
              <w:bottom w:val="nil"/>
            </w:tcBorders>
            <w:shd w:val="clear" w:color="auto" w:fill="F2F2F2" w:themeFill="background1" w:themeFillShade="F2"/>
            <w:vAlign w:val="bottom"/>
          </w:tcPr>
          <w:p w14:paraId="3A986151" w14:textId="77777777" w:rsidR="009145B2" w:rsidRPr="00F53504" w:rsidRDefault="009145B2" w:rsidP="00851613">
            <w:pPr>
              <w:pStyle w:val="Tablecontentleftcolumn"/>
            </w:pPr>
            <w:r w:rsidRPr="00F53504">
              <w:t>Disturbance costs</w:t>
            </w:r>
            <w:r w:rsidRPr="00F53504">
              <w:rPr>
                <w:vertAlign w:val="superscript"/>
              </w:rPr>
              <w:t>(a)</w:t>
            </w:r>
          </w:p>
        </w:tc>
        <w:tc>
          <w:tcPr>
            <w:tcW w:w="1417" w:type="dxa"/>
            <w:tcBorders>
              <w:bottom w:val="nil"/>
            </w:tcBorders>
            <w:shd w:val="clear" w:color="auto" w:fill="F2F2F2" w:themeFill="background1" w:themeFillShade="F2"/>
            <w:vAlign w:val="bottom"/>
          </w:tcPr>
          <w:p w14:paraId="02DA2E48" w14:textId="77777777" w:rsidR="009145B2" w:rsidRPr="00F53504" w:rsidRDefault="009145B2" w:rsidP="00851613">
            <w:pPr>
              <w:pStyle w:val="Tablecontentrightcolumn"/>
            </w:pPr>
            <w:r w:rsidRPr="00F53504">
              <w:t>70,350</w:t>
            </w:r>
          </w:p>
        </w:tc>
        <w:tc>
          <w:tcPr>
            <w:tcW w:w="709" w:type="dxa"/>
            <w:tcBorders>
              <w:bottom w:val="nil"/>
            </w:tcBorders>
            <w:shd w:val="clear" w:color="auto" w:fill="F2F2F2" w:themeFill="background1" w:themeFillShade="F2"/>
            <w:vAlign w:val="bottom"/>
          </w:tcPr>
          <w:p w14:paraId="072E2912" w14:textId="77777777" w:rsidR="009145B2" w:rsidRPr="00F53504" w:rsidRDefault="009145B2" w:rsidP="00851613">
            <w:pPr>
              <w:pStyle w:val="Tablecontentrightcolumn"/>
            </w:pPr>
            <w:r w:rsidRPr="00F53504">
              <w:t>6.8</w:t>
            </w:r>
          </w:p>
        </w:tc>
        <w:tc>
          <w:tcPr>
            <w:tcW w:w="1417" w:type="dxa"/>
            <w:tcBorders>
              <w:bottom w:val="nil"/>
            </w:tcBorders>
            <w:shd w:val="clear" w:color="auto" w:fill="F2F2F2" w:themeFill="background1" w:themeFillShade="F2"/>
            <w:vAlign w:val="bottom"/>
          </w:tcPr>
          <w:p w14:paraId="10EA51C4" w14:textId="77777777" w:rsidR="009145B2" w:rsidRPr="00F53504" w:rsidRDefault="009145B2" w:rsidP="00851613">
            <w:pPr>
              <w:pStyle w:val="Tablecontentrightcolumn"/>
            </w:pPr>
            <w:r w:rsidRPr="00F53504">
              <w:t>24,673</w:t>
            </w:r>
          </w:p>
        </w:tc>
        <w:tc>
          <w:tcPr>
            <w:tcW w:w="709" w:type="dxa"/>
            <w:tcBorders>
              <w:bottom w:val="nil"/>
            </w:tcBorders>
            <w:shd w:val="clear" w:color="auto" w:fill="F2F2F2" w:themeFill="background1" w:themeFillShade="F2"/>
            <w:vAlign w:val="bottom"/>
          </w:tcPr>
          <w:p w14:paraId="084F757C" w14:textId="77777777" w:rsidR="009145B2" w:rsidRPr="00F53504" w:rsidRDefault="009145B2" w:rsidP="00851613">
            <w:pPr>
              <w:pStyle w:val="Tablecontentrightcolumn"/>
            </w:pPr>
            <w:r w:rsidRPr="00F53504">
              <w:t>7.2</w:t>
            </w:r>
          </w:p>
        </w:tc>
        <w:tc>
          <w:tcPr>
            <w:tcW w:w="992" w:type="dxa"/>
            <w:tcBorders>
              <w:bottom w:val="nil"/>
            </w:tcBorders>
            <w:shd w:val="clear" w:color="auto" w:fill="F2F2F2" w:themeFill="background1" w:themeFillShade="F2"/>
            <w:vAlign w:val="bottom"/>
          </w:tcPr>
          <w:p w14:paraId="6B5ABD7F" w14:textId="77777777" w:rsidR="009145B2" w:rsidRPr="00F53504" w:rsidRDefault="009145B2" w:rsidP="00851613">
            <w:pPr>
              <w:pStyle w:val="Tablecontentrightcolumn"/>
            </w:pPr>
            <w:r w:rsidRPr="00F53504">
              <w:t>666</w:t>
            </w:r>
          </w:p>
        </w:tc>
        <w:tc>
          <w:tcPr>
            <w:tcW w:w="709" w:type="dxa"/>
            <w:tcBorders>
              <w:bottom w:val="nil"/>
            </w:tcBorders>
            <w:shd w:val="clear" w:color="auto" w:fill="F2F2F2" w:themeFill="background1" w:themeFillShade="F2"/>
            <w:vAlign w:val="bottom"/>
          </w:tcPr>
          <w:p w14:paraId="1324901D" w14:textId="77777777" w:rsidR="009145B2" w:rsidRPr="00F53504" w:rsidRDefault="009145B2" w:rsidP="00851613">
            <w:pPr>
              <w:pStyle w:val="Tablecontentrightcolumn"/>
              <w:ind w:left="-108"/>
            </w:pPr>
            <w:r w:rsidRPr="00F53504">
              <w:t>2.3</w:t>
            </w:r>
          </w:p>
        </w:tc>
        <w:tc>
          <w:tcPr>
            <w:tcW w:w="992" w:type="dxa"/>
            <w:tcBorders>
              <w:bottom w:val="nil"/>
            </w:tcBorders>
            <w:shd w:val="clear" w:color="auto" w:fill="F2F2F2" w:themeFill="background1" w:themeFillShade="F2"/>
            <w:vAlign w:val="bottom"/>
          </w:tcPr>
          <w:p w14:paraId="7CB951AB" w14:textId="77777777" w:rsidR="009145B2" w:rsidRPr="00F53504" w:rsidRDefault="009145B2" w:rsidP="00851613">
            <w:pPr>
              <w:pStyle w:val="Tablecontentrightcolumn"/>
              <w:ind w:left="-108"/>
            </w:pPr>
            <w:r w:rsidRPr="00F53504">
              <w:t>95,689</w:t>
            </w:r>
          </w:p>
        </w:tc>
        <w:tc>
          <w:tcPr>
            <w:tcW w:w="629" w:type="dxa"/>
            <w:tcBorders>
              <w:bottom w:val="nil"/>
            </w:tcBorders>
            <w:shd w:val="clear" w:color="auto" w:fill="F2F2F2" w:themeFill="background1" w:themeFillShade="F2"/>
            <w:vAlign w:val="bottom"/>
          </w:tcPr>
          <w:p w14:paraId="6C7F029B" w14:textId="77777777" w:rsidR="009145B2" w:rsidRPr="00F53504" w:rsidRDefault="009145B2" w:rsidP="00851613">
            <w:pPr>
              <w:pStyle w:val="Tablecontentrightcolumn"/>
            </w:pPr>
            <w:r w:rsidRPr="00F53504">
              <w:t>6.8</w:t>
            </w:r>
          </w:p>
        </w:tc>
      </w:tr>
      <w:tr w:rsidR="009145B2" w:rsidRPr="00F53504" w14:paraId="44CD5974" w14:textId="77777777" w:rsidTr="00851613">
        <w:trPr>
          <w:trHeight w:val="283"/>
        </w:trPr>
        <w:tc>
          <w:tcPr>
            <w:tcW w:w="1668" w:type="dxa"/>
            <w:tcBorders>
              <w:bottom w:val="nil"/>
            </w:tcBorders>
            <w:vAlign w:val="bottom"/>
          </w:tcPr>
          <w:p w14:paraId="490423C0" w14:textId="77777777" w:rsidR="009145B2" w:rsidRPr="00F53504" w:rsidRDefault="009145B2" w:rsidP="00851613">
            <w:pPr>
              <w:pStyle w:val="Tablecontentleftcolumn"/>
            </w:pPr>
            <w:r w:rsidRPr="00F53504">
              <w:t>Employment</w:t>
            </w:r>
          </w:p>
        </w:tc>
        <w:tc>
          <w:tcPr>
            <w:tcW w:w="1417" w:type="dxa"/>
            <w:tcBorders>
              <w:bottom w:val="nil"/>
            </w:tcBorders>
            <w:vAlign w:val="bottom"/>
          </w:tcPr>
          <w:p w14:paraId="3EDC6919" w14:textId="77777777" w:rsidR="009145B2" w:rsidRPr="00F53504" w:rsidRDefault="009145B2" w:rsidP="00851613">
            <w:pPr>
              <w:pStyle w:val="Tablecontentrightcolumn"/>
            </w:pPr>
            <w:r w:rsidRPr="00F53504">
              <w:t>23,882</w:t>
            </w:r>
          </w:p>
        </w:tc>
        <w:tc>
          <w:tcPr>
            <w:tcW w:w="709" w:type="dxa"/>
            <w:tcBorders>
              <w:bottom w:val="nil"/>
            </w:tcBorders>
            <w:vAlign w:val="bottom"/>
          </w:tcPr>
          <w:p w14:paraId="28B8B096" w14:textId="77777777" w:rsidR="009145B2" w:rsidRPr="00F53504" w:rsidRDefault="009145B2" w:rsidP="00851613">
            <w:pPr>
              <w:pStyle w:val="Tablecontentrightcolumn"/>
            </w:pPr>
            <w:r w:rsidRPr="00F53504">
              <w:t>2.3</w:t>
            </w:r>
          </w:p>
        </w:tc>
        <w:tc>
          <w:tcPr>
            <w:tcW w:w="1417" w:type="dxa"/>
            <w:tcBorders>
              <w:bottom w:val="nil"/>
            </w:tcBorders>
            <w:vAlign w:val="bottom"/>
          </w:tcPr>
          <w:p w14:paraId="505B2F6D" w14:textId="77777777" w:rsidR="009145B2" w:rsidRPr="00F53504" w:rsidRDefault="009145B2" w:rsidP="00851613">
            <w:pPr>
              <w:pStyle w:val="Tablecontentrightcolumn"/>
            </w:pPr>
            <w:r w:rsidRPr="00F53504">
              <w:t>8,014</w:t>
            </w:r>
          </w:p>
        </w:tc>
        <w:tc>
          <w:tcPr>
            <w:tcW w:w="709" w:type="dxa"/>
            <w:tcBorders>
              <w:bottom w:val="nil"/>
            </w:tcBorders>
            <w:vAlign w:val="bottom"/>
          </w:tcPr>
          <w:p w14:paraId="553746A2" w14:textId="77777777" w:rsidR="009145B2" w:rsidRPr="00F53504" w:rsidRDefault="009145B2" w:rsidP="00851613">
            <w:pPr>
              <w:pStyle w:val="Tablecontentrightcolumn"/>
            </w:pPr>
            <w:r w:rsidRPr="00F53504">
              <w:t>2.3</w:t>
            </w:r>
          </w:p>
        </w:tc>
        <w:tc>
          <w:tcPr>
            <w:tcW w:w="992" w:type="dxa"/>
            <w:tcBorders>
              <w:bottom w:val="nil"/>
            </w:tcBorders>
            <w:vAlign w:val="bottom"/>
          </w:tcPr>
          <w:p w14:paraId="449D8D1E" w14:textId="77777777" w:rsidR="009145B2" w:rsidRPr="00F53504" w:rsidRDefault="009145B2" w:rsidP="00851613">
            <w:pPr>
              <w:pStyle w:val="Tablecontentrightcolumn"/>
            </w:pPr>
            <w:r w:rsidRPr="00F53504">
              <w:t>584</w:t>
            </w:r>
          </w:p>
        </w:tc>
        <w:tc>
          <w:tcPr>
            <w:tcW w:w="709" w:type="dxa"/>
            <w:tcBorders>
              <w:bottom w:val="nil"/>
            </w:tcBorders>
            <w:vAlign w:val="bottom"/>
          </w:tcPr>
          <w:p w14:paraId="6B3B90B0" w14:textId="77777777" w:rsidR="009145B2" w:rsidRPr="00F53504" w:rsidRDefault="009145B2" w:rsidP="00851613">
            <w:pPr>
              <w:pStyle w:val="Tablecontentrightcolumn"/>
              <w:ind w:left="-108"/>
            </w:pPr>
            <w:r w:rsidRPr="00F53504">
              <w:t>2.0</w:t>
            </w:r>
          </w:p>
        </w:tc>
        <w:tc>
          <w:tcPr>
            <w:tcW w:w="992" w:type="dxa"/>
            <w:tcBorders>
              <w:bottom w:val="nil"/>
            </w:tcBorders>
            <w:vAlign w:val="bottom"/>
          </w:tcPr>
          <w:p w14:paraId="672A9324" w14:textId="77777777" w:rsidR="009145B2" w:rsidRPr="00F53504" w:rsidRDefault="009145B2" w:rsidP="00851613">
            <w:pPr>
              <w:pStyle w:val="Tablecontentrightcolumn"/>
              <w:ind w:left="-108"/>
            </w:pPr>
            <w:r w:rsidRPr="00F53504">
              <w:t>32,480</w:t>
            </w:r>
          </w:p>
        </w:tc>
        <w:tc>
          <w:tcPr>
            <w:tcW w:w="629" w:type="dxa"/>
            <w:tcBorders>
              <w:bottom w:val="nil"/>
            </w:tcBorders>
            <w:vAlign w:val="bottom"/>
          </w:tcPr>
          <w:p w14:paraId="675BB8CC" w14:textId="77777777" w:rsidR="009145B2" w:rsidRPr="00F53504" w:rsidRDefault="009145B2" w:rsidP="00851613">
            <w:pPr>
              <w:pStyle w:val="Tablecontentrightcolumn"/>
            </w:pPr>
            <w:r w:rsidRPr="00F53504">
              <w:t>2.3</w:t>
            </w:r>
          </w:p>
        </w:tc>
      </w:tr>
      <w:tr w:rsidR="009145B2" w:rsidRPr="00F53504" w14:paraId="67415B6B" w14:textId="77777777" w:rsidTr="00851613">
        <w:trPr>
          <w:trHeight w:val="283"/>
        </w:trPr>
        <w:tc>
          <w:tcPr>
            <w:tcW w:w="1668" w:type="dxa"/>
            <w:tcBorders>
              <w:bottom w:val="nil"/>
            </w:tcBorders>
            <w:shd w:val="clear" w:color="auto" w:fill="F2F2F2" w:themeFill="background1" w:themeFillShade="F2"/>
            <w:vAlign w:val="bottom"/>
          </w:tcPr>
          <w:p w14:paraId="14ED8DD6" w14:textId="77777777" w:rsidR="009145B2" w:rsidRPr="00F53504" w:rsidRDefault="009145B2" w:rsidP="00851613">
            <w:pPr>
              <w:pStyle w:val="Tablecontentleftcolumn"/>
            </w:pPr>
            <w:r w:rsidRPr="00F53504">
              <w:t>Removalist</w:t>
            </w:r>
          </w:p>
        </w:tc>
        <w:tc>
          <w:tcPr>
            <w:tcW w:w="1417" w:type="dxa"/>
            <w:tcBorders>
              <w:bottom w:val="nil"/>
            </w:tcBorders>
            <w:shd w:val="clear" w:color="auto" w:fill="F2F2F2" w:themeFill="background1" w:themeFillShade="F2"/>
            <w:vAlign w:val="bottom"/>
          </w:tcPr>
          <w:p w14:paraId="78670449" w14:textId="77777777" w:rsidR="009145B2" w:rsidRPr="00F53504" w:rsidRDefault="009145B2" w:rsidP="00851613">
            <w:pPr>
              <w:pStyle w:val="Tablecontentrightcolumn"/>
            </w:pPr>
            <w:r w:rsidRPr="00F53504">
              <w:t>332,447</w:t>
            </w:r>
          </w:p>
        </w:tc>
        <w:tc>
          <w:tcPr>
            <w:tcW w:w="709" w:type="dxa"/>
            <w:tcBorders>
              <w:bottom w:val="nil"/>
            </w:tcBorders>
            <w:shd w:val="clear" w:color="auto" w:fill="F2F2F2" w:themeFill="background1" w:themeFillShade="F2"/>
            <w:vAlign w:val="bottom"/>
          </w:tcPr>
          <w:p w14:paraId="231C518B" w14:textId="77777777" w:rsidR="009145B2" w:rsidRPr="00F53504" w:rsidRDefault="009145B2" w:rsidP="00851613">
            <w:pPr>
              <w:pStyle w:val="Tablecontentrightcolumn"/>
            </w:pPr>
            <w:r w:rsidRPr="00F53504">
              <w:t>32.1</w:t>
            </w:r>
          </w:p>
        </w:tc>
        <w:tc>
          <w:tcPr>
            <w:tcW w:w="1417" w:type="dxa"/>
            <w:tcBorders>
              <w:bottom w:val="nil"/>
            </w:tcBorders>
            <w:shd w:val="clear" w:color="auto" w:fill="F2F2F2" w:themeFill="background1" w:themeFillShade="F2"/>
            <w:vAlign w:val="bottom"/>
          </w:tcPr>
          <w:p w14:paraId="10710010" w14:textId="77777777" w:rsidR="009145B2" w:rsidRPr="00F53504" w:rsidRDefault="009145B2" w:rsidP="00851613">
            <w:pPr>
              <w:pStyle w:val="Tablecontentrightcolumn"/>
            </w:pPr>
            <w:r w:rsidRPr="00F53504">
              <w:t>98,293</w:t>
            </w:r>
          </w:p>
        </w:tc>
        <w:tc>
          <w:tcPr>
            <w:tcW w:w="709" w:type="dxa"/>
            <w:tcBorders>
              <w:bottom w:val="nil"/>
            </w:tcBorders>
            <w:shd w:val="clear" w:color="auto" w:fill="F2F2F2" w:themeFill="background1" w:themeFillShade="F2"/>
            <w:vAlign w:val="bottom"/>
          </w:tcPr>
          <w:p w14:paraId="5A1C32FD" w14:textId="77777777" w:rsidR="009145B2" w:rsidRPr="00F53504" w:rsidRDefault="009145B2" w:rsidP="00851613">
            <w:pPr>
              <w:pStyle w:val="Tablecontentrightcolumn"/>
            </w:pPr>
            <w:r w:rsidRPr="00F53504">
              <w:t>28.7</w:t>
            </w:r>
          </w:p>
        </w:tc>
        <w:tc>
          <w:tcPr>
            <w:tcW w:w="992" w:type="dxa"/>
            <w:tcBorders>
              <w:bottom w:val="nil"/>
            </w:tcBorders>
            <w:shd w:val="clear" w:color="auto" w:fill="F2F2F2" w:themeFill="background1" w:themeFillShade="F2"/>
            <w:vAlign w:val="bottom"/>
          </w:tcPr>
          <w:p w14:paraId="06DCF133" w14:textId="77777777" w:rsidR="009145B2" w:rsidRPr="00F53504" w:rsidRDefault="009145B2" w:rsidP="00851613">
            <w:pPr>
              <w:pStyle w:val="Tablecontentrightcolumn"/>
            </w:pPr>
            <w:r w:rsidRPr="00F53504">
              <w:t>19,479</w:t>
            </w:r>
          </w:p>
        </w:tc>
        <w:tc>
          <w:tcPr>
            <w:tcW w:w="709" w:type="dxa"/>
            <w:tcBorders>
              <w:bottom w:val="nil"/>
            </w:tcBorders>
            <w:shd w:val="clear" w:color="auto" w:fill="F2F2F2" w:themeFill="background1" w:themeFillShade="F2"/>
            <w:vAlign w:val="bottom"/>
          </w:tcPr>
          <w:p w14:paraId="651DEA79" w14:textId="77777777" w:rsidR="009145B2" w:rsidRPr="00F53504" w:rsidRDefault="009145B2" w:rsidP="00851613">
            <w:pPr>
              <w:pStyle w:val="Tablecontentrightcolumn"/>
              <w:ind w:left="-108"/>
            </w:pPr>
            <w:r w:rsidRPr="00F53504">
              <w:t>66.7</w:t>
            </w:r>
          </w:p>
        </w:tc>
        <w:tc>
          <w:tcPr>
            <w:tcW w:w="992" w:type="dxa"/>
            <w:tcBorders>
              <w:bottom w:val="nil"/>
            </w:tcBorders>
            <w:shd w:val="clear" w:color="auto" w:fill="F2F2F2" w:themeFill="background1" w:themeFillShade="F2"/>
            <w:vAlign w:val="bottom"/>
          </w:tcPr>
          <w:p w14:paraId="47B8FF98" w14:textId="77777777" w:rsidR="009145B2" w:rsidRPr="00F53504" w:rsidRDefault="009145B2" w:rsidP="00851613">
            <w:pPr>
              <w:pStyle w:val="Tablecontentrightcolumn"/>
              <w:ind w:left="-108"/>
            </w:pPr>
            <w:r w:rsidRPr="00F53504">
              <w:t>450,219</w:t>
            </w:r>
          </w:p>
        </w:tc>
        <w:tc>
          <w:tcPr>
            <w:tcW w:w="629" w:type="dxa"/>
            <w:tcBorders>
              <w:bottom w:val="nil"/>
            </w:tcBorders>
            <w:shd w:val="clear" w:color="auto" w:fill="F2F2F2" w:themeFill="background1" w:themeFillShade="F2"/>
            <w:vAlign w:val="bottom"/>
          </w:tcPr>
          <w:p w14:paraId="1F3249AE" w14:textId="77777777" w:rsidR="009145B2" w:rsidRPr="00F53504" w:rsidRDefault="009145B2" w:rsidP="00851613">
            <w:pPr>
              <w:pStyle w:val="Tablecontentrightcolumn"/>
            </w:pPr>
            <w:r w:rsidRPr="00F53504">
              <w:t>32.0</w:t>
            </w:r>
          </w:p>
        </w:tc>
      </w:tr>
      <w:tr w:rsidR="009145B2" w:rsidRPr="00F53504" w14:paraId="2099E8A4" w14:textId="77777777" w:rsidTr="00851613">
        <w:trPr>
          <w:trHeight w:val="283"/>
        </w:trPr>
        <w:tc>
          <w:tcPr>
            <w:tcW w:w="1668" w:type="dxa"/>
            <w:tcBorders>
              <w:bottom w:val="nil"/>
            </w:tcBorders>
            <w:vAlign w:val="bottom"/>
          </w:tcPr>
          <w:p w14:paraId="515D1573" w14:textId="77777777" w:rsidR="009145B2" w:rsidRPr="00F53504" w:rsidRDefault="009145B2" w:rsidP="00851613">
            <w:pPr>
              <w:pStyle w:val="Tablecontentleftcolumn"/>
            </w:pPr>
            <w:r w:rsidRPr="00F53504">
              <w:t>Travel</w:t>
            </w:r>
          </w:p>
        </w:tc>
        <w:tc>
          <w:tcPr>
            <w:tcW w:w="1417" w:type="dxa"/>
            <w:tcBorders>
              <w:bottom w:val="nil"/>
            </w:tcBorders>
            <w:vAlign w:val="bottom"/>
          </w:tcPr>
          <w:p w14:paraId="7B0CC719" w14:textId="77777777" w:rsidR="009145B2" w:rsidRPr="00F53504" w:rsidRDefault="009145B2" w:rsidP="00851613">
            <w:pPr>
              <w:pStyle w:val="Tablecontentrightcolumn"/>
            </w:pPr>
            <w:r w:rsidRPr="00F53504">
              <w:t>119,688</w:t>
            </w:r>
          </w:p>
        </w:tc>
        <w:tc>
          <w:tcPr>
            <w:tcW w:w="709" w:type="dxa"/>
            <w:tcBorders>
              <w:bottom w:val="nil"/>
            </w:tcBorders>
            <w:vAlign w:val="bottom"/>
          </w:tcPr>
          <w:p w14:paraId="343F009F" w14:textId="77777777" w:rsidR="009145B2" w:rsidRPr="00F53504" w:rsidRDefault="009145B2" w:rsidP="00851613">
            <w:pPr>
              <w:pStyle w:val="Tablecontentrightcolumn"/>
            </w:pPr>
            <w:r w:rsidRPr="00F53504">
              <w:t>11.5</w:t>
            </w:r>
          </w:p>
        </w:tc>
        <w:tc>
          <w:tcPr>
            <w:tcW w:w="1417" w:type="dxa"/>
            <w:tcBorders>
              <w:bottom w:val="nil"/>
            </w:tcBorders>
            <w:vAlign w:val="bottom"/>
          </w:tcPr>
          <w:p w14:paraId="70079506" w14:textId="77777777" w:rsidR="009145B2" w:rsidRPr="00F53504" w:rsidRDefault="009145B2" w:rsidP="00851613">
            <w:pPr>
              <w:pStyle w:val="Tablecontentrightcolumn"/>
            </w:pPr>
            <w:r w:rsidRPr="00F53504">
              <w:t>50,330</w:t>
            </w:r>
          </w:p>
        </w:tc>
        <w:tc>
          <w:tcPr>
            <w:tcW w:w="709" w:type="dxa"/>
            <w:tcBorders>
              <w:bottom w:val="nil"/>
            </w:tcBorders>
            <w:vAlign w:val="bottom"/>
          </w:tcPr>
          <w:p w14:paraId="6DECE909" w14:textId="77777777" w:rsidR="009145B2" w:rsidRPr="00F53504" w:rsidRDefault="009145B2" w:rsidP="00851613">
            <w:pPr>
              <w:pStyle w:val="Tablecontentrightcolumn"/>
            </w:pPr>
            <w:r w:rsidRPr="00F53504">
              <w:t>14.7</w:t>
            </w:r>
          </w:p>
        </w:tc>
        <w:tc>
          <w:tcPr>
            <w:tcW w:w="992" w:type="dxa"/>
            <w:tcBorders>
              <w:bottom w:val="nil"/>
            </w:tcBorders>
            <w:vAlign w:val="bottom"/>
          </w:tcPr>
          <w:p w14:paraId="34B4E0CD" w14:textId="77777777" w:rsidR="009145B2" w:rsidRPr="00F53504" w:rsidRDefault="009145B2" w:rsidP="00851613">
            <w:pPr>
              <w:pStyle w:val="Tablecontentrightcolumn"/>
            </w:pPr>
            <w:r w:rsidRPr="00F53504">
              <w:t>2,629</w:t>
            </w:r>
          </w:p>
        </w:tc>
        <w:tc>
          <w:tcPr>
            <w:tcW w:w="709" w:type="dxa"/>
            <w:tcBorders>
              <w:bottom w:val="nil"/>
            </w:tcBorders>
            <w:vAlign w:val="bottom"/>
          </w:tcPr>
          <w:p w14:paraId="1A20ECEB" w14:textId="77777777" w:rsidR="009145B2" w:rsidRPr="00F53504" w:rsidRDefault="009145B2" w:rsidP="00851613">
            <w:pPr>
              <w:pStyle w:val="Tablecontentrightcolumn"/>
              <w:ind w:left="-108"/>
            </w:pPr>
            <w:r w:rsidRPr="00F53504">
              <w:t>9.0</w:t>
            </w:r>
          </w:p>
        </w:tc>
        <w:tc>
          <w:tcPr>
            <w:tcW w:w="992" w:type="dxa"/>
            <w:tcBorders>
              <w:bottom w:val="nil"/>
            </w:tcBorders>
            <w:vAlign w:val="bottom"/>
          </w:tcPr>
          <w:p w14:paraId="7C2DC20B" w14:textId="77777777" w:rsidR="009145B2" w:rsidRPr="00F53504" w:rsidRDefault="009145B2" w:rsidP="00851613">
            <w:pPr>
              <w:pStyle w:val="Tablecontentrightcolumn"/>
              <w:ind w:left="-108"/>
            </w:pPr>
            <w:r w:rsidRPr="00F53504">
              <w:t>172,647</w:t>
            </w:r>
          </w:p>
        </w:tc>
        <w:tc>
          <w:tcPr>
            <w:tcW w:w="629" w:type="dxa"/>
            <w:tcBorders>
              <w:bottom w:val="nil"/>
            </w:tcBorders>
            <w:vAlign w:val="bottom"/>
          </w:tcPr>
          <w:p w14:paraId="027A1590" w14:textId="77777777" w:rsidR="009145B2" w:rsidRPr="00F53504" w:rsidRDefault="009145B2" w:rsidP="00851613">
            <w:pPr>
              <w:pStyle w:val="Tablecontentrightcolumn"/>
            </w:pPr>
            <w:r w:rsidRPr="00F53504">
              <w:t>12.3</w:t>
            </w:r>
          </w:p>
        </w:tc>
      </w:tr>
      <w:tr w:rsidR="009145B2" w:rsidRPr="00F53504" w14:paraId="61451184" w14:textId="77777777" w:rsidTr="00851613">
        <w:trPr>
          <w:trHeight w:val="283"/>
        </w:trPr>
        <w:tc>
          <w:tcPr>
            <w:tcW w:w="1668" w:type="dxa"/>
            <w:tcBorders>
              <w:top w:val="nil"/>
              <w:bottom w:val="nil"/>
            </w:tcBorders>
            <w:shd w:val="clear" w:color="auto" w:fill="F2F2F2" w:themeFill="background1" w:themeFillShade="F2"/>
            <w:vAlign w:val="bottom"/>
          </w:tcPr>
          <w:p w14:paraId="4B7E9F51" w14:textId="77777777" w:rsidR="009145B2" w:rsidRPr="00F53504" w:rsidRDefault="009145B2" w:rsidP="00851613">
            <w:pPr>
              <w:pStyle w:val="Tablecontentleftcolumn"/>
            </w:pPr>
            <w:r w:rsidRPr="00F53504">
              <w:t>Bond</w:t>
            </w:r>
            <w:r w:rsidRPr="00F53504">
              <w:rPr>
                <w:vertAlign w:val="superscript"/>
              </w:rPr>
              <w:t>(b)</w:t>
            </w:r>
          </w:p>
        </w:tc>
        <w:tc>
          <w:tcPr>
            <w:tcW w:w="1417" w:type="dxa"/>
            <w:tcBorders>
              <w:top w:val="nil"/>
              <w:bottom w:val="nil"/>
            </w:tcBorders>
            <w:shd w:val="clear" w:color="auto" w:fill="F2F2F2" w:themeFill="background1" w:themeFillShade="F2"/>
            <w:vAlign w:val="bottom"/>
          </w:tcPr>
          <w:p w14:paraId="53B2B8B2" w14:textId="77777777" w:rsidR="009145B2" w:rsidRPr="00F53504" w:rsidRDefault="009145B2" w:rsidP="00851613">
            <w:pPr>
              <w:pStyle w:val="Tablecontentrightcolumn"/>
            </w:pPr>
            <w:r w:rsidRPr="00F53504">
              <w:t>43,545</w:t>
            </w:r>
          </w:p>
        </w:tc>
        <w:tc>
          <w:tcPr>
            <w:tcW w:w="709" w:type="dxa"/>
            <w:tcBorders>
              <w:top w:val="nil"/>
              <w:bottom w:val="nil"/>
            </w:tcBorders>
            <w:shd w:val="clear" w:color="auto" w:fill="F2F2F2" w:themeFill="background1" w:themeFillShade="F2"/>
            <w:vAlign w:val="bottom"/>
          </w:tcPr>
          <w:p w14:paraId="0A646F71" w14:textId="77777777" w:rsidR="009145B2" w:rsidRPr="00F53504" w:rsidRDefault="009145B2" w:rsidP="00851613">
            <w:pPr>
              <w:pStyle w:val="Tablecontentrightcolumn"/>
            </w:pPr>
            <w:r w:rsidRPr="00F53504">
              <w:t>4.2</w:t>
            </w:r>
          </w:p>
        </w:tc>
        <w:tc>
          <w:tcPr>
            <w:tcW w:w="1417" w:type="dxa"/>
            <w:tcBorders>
              <w:top w:val="nil"/>
              <w:bottom w:val="nil"/>
            </w:tcBorders>
            <w:shd w:val="clear" w:color="auto" w:fill="F2F2F2" w:themeFill="background1" w:themeFillShade="F2"/>
            <w:vAlign w:val="bottom"/>
          </w:tcPr>
          <w:p w14:paraId="4A13EF4F" w14:textId="77777777" w:rsidR="009145B2" w:rsidRPr="00F53504" w:rsidRDefault="009145B2" w:rsidP="00851613">
            <w:pPr>
              <w:pStyle w:val="Tablecontentrightcolumn"/>
            </w:pPr>
            <w:r w:rsidRPr="00F53504">
              <w:t>10,967</w:t>
            </w:r>
          </w:p>
        </w:tc>
        <w:tc>
          <w:tcPr>
            <w:tcW w:w="709" w:type="dxa"/>
            <w:tcBorders>
              <w:top w:val="nil"/>
              <w:bottom w:val="nil"/>
            </w:tcBorders>
            <w:shd w:val="clear" w:color="auto" w:fill="F2F2F2" w:themeFill="background1" w:themeFillShade="F2"/>
            <w:vAlign w:val="bottom"/>
          </w:tcPr>
          <w:p w14:paraId="79D07872" w14:textId="77777777" w:rsidR="009145B2" w:rsidRPr="00F53504" w:rsidRDefault="009145B2" w:rsidP="00851613">
            <w:pPr>
              <w:pStyle w:val="Tablecontentrightcolumn"/>
            </w:pPr>
            <w:r w:rsidRPr="00F53504">
              <w:t>3.2</w:t>
            </w:r>
          </w:p>
        </w:tc>
        <w:tc>
          <w:tcPr>
            <w:tcW w:w="992" w:type="dxa"/>
            <w:tcBorders>
              <w:top w:val="nil"/>
              <w:bottom w:val="nil"/>
            </w:tcBorders>
            <w:shd w:val="clear" w:color="auto" w:fill="F2F2F2" w:themeFill="background1" w:themeFillShade="F2"/>
            <w:vAlign w:val="bottom"/>
          </w:tcPr>
          <w:p w14:paraId="4DA9A9F2" w14:textId="77777777" w:rsidR="009145B2" w:rsidRPr="00F53504" w:rsidRDefault="009145B2" w:rsidP="00851613">
            <w:pPr>
              <w:pStyle w:val="Tablecontentrightcolumn"/>
            </w:pPr>
            <w:r w:rsidRPr="00F53504">
              <w:t>—</w:t>
            </w:r>
          </w:p>
        </w:tc>
        <w:tc>
          <w:tcPr>
            <w:tcW w:w="709" w:type="dxa"/>
            <w:tcBorders>
              <w:top w:val="nil"/>
              <w:bottom w:val="nil"/>
            </w:tcBorders>
            <w:shd w:val="clear" w:color="auto" w:fill="F2F2F2" w:themeFill="background1" w:themeFillShade="F2"/>
            <w:vAlign w:val="bottom"/>
          </w:tcPr>
          <w:p w14:paraId="00E97E90" w14:textId="77777777" w:rsidR="009145B2" w:rsidRPr="00F53504" w:rsidRDefault="009145B2" w:rsidP="00851613">
            <w:pPr>
              <w:pStyle w:val="Tablecontentrightcolumn"/>
              <w:ind w:left="-108"/>
            </w:pPr>
            <w:r w:rsidRPr="00F53504">
              <w:t>—</w:t>
            </w:r>
          </w:p>
        </w:tc>
        <w:tc>
          <w:tcPr>
            <w:tcW w:w="992" w:type="dxa"/>
            <w:tcBorders>
              <w:top w:val="nil"/>
              <w:bottom w:val="nil"/>
            </w:tcBorders>
            <w:shd w:val="clear" w:color="auto" w:fill="F2F2F2" w:themeFill="background1" w:themeFillShade="F2"/>
            <w:vAlign w:val="bottom"/>
          </w:tcPr>
          <w:p w14:paraId="18A8FF08" w14:textId="77777777" w:rsidR="009145B2" w:rsidRPr="00F53504" w:rsidRDefault="009145B2" w:rsidP="00851613">
            <w:pPr>
              <w:pStyle w:val="Tablecontentrightcolumn"/>
              <w:ind w:left="-108"/>
            </w:pPr>
            <w:r w:rsidRPr="00F53504">
              <w:t>54,512</w:t>
            </w:r>
          </w:p>
        </w:tc>
        <w:tc>
          <w:tcPr>
            <w:tcW w:w="629" w:type="dxa"/>
            <w:tcBorders>
              <w:top w:val="nil"/>
              <w:bottom w:val="nil"/>
            </w:tcBorders>
            <w:shd w:val="clear" w:color="auto" w:fill="F2F2F2" w:themeFill="background1" w:themeFillShade="F2"/>
            <w:vAlign w:val="bottom"/>
          </w:tcPr>
          <w:p w14:paraId="264C8989" w14:textId="77777777" w:rsidR="009145B2" w:rsidRPr="00F53504" w:rsidRDefault="009145B2" w:rsidP="00851613">
            <w:pPr>
              <w:pStyle w:val="Tablecontentrightcolumn"/>
            </w:pPr>
            <w:r w:rsidRPr="00F53504">
              <w:t>3.9</w:t>
            </w:r>
          </w:p>
        </w:tc>
      </w:tr>
      <w:tr w:rsidR="009145B2" w:rsidRPr="00F53504" w14:paraId="477E487E" w14:textId="77777777" w:rsidTr="00851613">
        <w:trPr>
          <w:trHeight w:val="283"/>
        </w:trPr>
        <w:tc>
          <w:tcPr>
            <w:tcW w:w="1668" w:type="dxa"/>
            <w:tcBorders>
              <w:top w:val="nil"/>
              <w:bottom w:val="nil"/>
            </w:tcBorders>
            <w:shd w:val="clear" w:color="auto" w:fill="8EAEDE"/>
            <w:vAlign w:val="bottom"/>
          </w:tcPr>
          <w:p w14:paraId="31BDD4C0" w14:textId="77777777" w:rsidR="009145B2" w:rsidRPr="00F53504" w:rsidRDefault="009145B2" w:rsidP="00851613">
            <w:pPr>
              <w:pStyle w:val="Tablecontentleftcolumn"/>
            </w:pPr>
            <w:r w:rsidRPr="00F53504">
              <w:t>Total</w:t>
            </w:r>
          </w:p>
        </w:tc>
        <w:tc>
          <w:tcPr>
            <w:tcW w:w="1417" w:type="dxa"/>
            <w:tcBorders>
              <w:top w:val="nil"/>
              <w:bottom w:val="nil"/>
            </w:tcBorders>
            <w:shd w:val="clear" w:color="auto" w:fill="8EAEDE"/>
            <w:vAlign w:val="bottom"/>
          </w:tcPr>
          <w:p w14:paraId="5A97992C" w14:textId="77777777" w:rsidR="009145B2" w:rsidRPr="00F53504" w:rsidRDefault="009145B2" w:rsidP="00851613">
            <w:pPr>
              <w:pStyle w:val="Tablecontentrightcolumn"/>
            </w:pPr>
            <w:r w:rsidRPr="00F53504">
              <w:t>1,037,222</w:t>
            </w:r>
          </w:p>
        </w:tc>
        <w:tc>
          <w:tcPr>
            <w:tcW w:w="709" w:type="dxa"/>
            <w:tcBorders>
              <w:top w:val="nil"/>
              <w:bottom w:val="nil"/>
            </w:tcBorders>
            <w:shd w:val="clear" w:color="auto" w:fill="8EAEDE"/>
            <w:vAlign w:val="bottom"/>
          </w:tcPr>
          <w:p w14:paraId="04DC1B82" w14:textId="77777777" w:rsidR="009145B2" w:rsidRPr="00F53504" w:rsidRDefault="009145B2" w:rsidP="00851613">
            <w:pPr>
              <w:pStyle w:val="Tablecontentrightcolumn"/>
            </w:pPr>
            <w:r w:rsidRPr="00F53504">
              <w:t>100.0</w:t>
            </w:r>
          </w:p>
        </w:tc>
        <w:tc>
          <w:tcPr>
            <w:tcW w:w="1417" w:type="dxa"/>
            <w:tcBorders>
              <w:top w:val="nil"/>
              <w:bottom w:val="nil"/>
            </w:tcBorders>
            <w:shd w:val="clear" w:color="auto" w:fill="8EAEDE"/>
            <w:vAlign w:val="bottom"/>
          </w:tcPr>
          <w:p w14:paraId="0B17FAA2" w14:textId="77777777" w:rsidR="009145B2" w:rsidRPr="00F53504" w:rsidRDefault="009145B2" w:rsidP="00851613">
            <w:pPr>
              <w:pStyle w:val="Tablecontentrightcolumn"/>
            </w:pPr>
            <w:r w:rsidRPr="00F53504">
              <w:t>341,892</w:t>
            </w:r>
          </w:p>
        </w:tc>
        <w:tc>
          <w:tcPr>
            <w:tcW w:w="709" w:type="dxa"/>
            <w:tcBorders>
              <w:top w:val="nil"/>
              <w:bottom w:val="nil"/>
            </w:tcBorders>
            <w:shd w:val="clear" w:color="auto" w:fill="8EAEDE"/>
            <w:vAlign w:val="bottom"/>
          </w:tcPr>
          <w:p w14:paraId="31F6D95E" w14:textId="77777777" w:rsidR="009145B2" w:rsidRPr="00F53504" w:rsidRDefault="009145B2" w:rsidP="00851613">
            <w:pPr>
              <w:pStyle w:val="Tablecontentrightcolumn"/>
            </w:pPr>
            <w:r w:rsidRPr="00F53504">
              <w:t>100.0</w:t>
            </w:r>
          </w:p>
        </w:tc>
        <w:tc>
          <w:tcPr>
            <w:tcW w:w="992" w:type="dxa"/>
            <w:tcBorders>
              <w:top w:val="nil"/>
              <w:bottom w:val="nil"/>
            </w:tcBorders>
            <w:shd w:val="clear" w:color="auto" w:fill="8EAEDE"/>
            <w:vAlign w:val="bottom"/>
          </w:tcPr>
          <w:p w14:paraId="65FDADAF" w14:textId="77777777" w:rsidR="009145B2" w:rsidRPr="00F53504" w:rsidRDefault="009145B2" w:rsidP="00851613">
            <w:pPr>
              <w:pStyle w:val="Tablecontentrightcolumn"/>
            </w:pPr>
            <w:r w:rsidRPr="00F53504">
              <w:t>29,221</w:t>
            </w:r>
          </w:p>
        </w:tc>
        <w:tc>
          <w:tcPr>
            <w:tcW w:w="709" w:type="dxa"/>
            <w:tcBorders>
              <w:top w:val="nil"/>
              <w:bottom w:val="nil"/>
            </w:tcBorders>
            <w:shd w:val="clear" w:color="auto" w:fill="8EAEDE"/>
            <w:vAlign w:val="bottom"/>
          </w:tcPr>
          <w:p w14:paraId="4FFCF7CD" w14:textId="77777777" w:rsidR="009145B2" w:rsidRPr="00F53504" w:rsidRDefault="009145B2" w:rsidP="00851613">
            <w:pPr>
              <w:pStyle w:val="Tablecontentrightcolumn"/>
              <w:ind w:left="-108"/>
            </w:pPr>
            <w:r w:rsidRPr="00F53504">
              <w:t>100.0</w:t>
            </w:r>
          </w:p>
        </w:tc>
        <w:tc>
          <w:tcPr>
            <w:tcW w:w="992" w:type="dxa"/>
            <w:tcBorders>
              <w:top w:val="nil"/>
              <w:bottom w:val="nil"/>
            </w:tcBorders>
            <w:shd w:val="clear" w:color="auto" w:fill="8EAEDE"/>
            <w:vAlign w:val="bottom"/>
          </w:tcPr>
          <w:p w14:paraId="36BB5C86" w14:textId="77777777" w:rsidR="009145B2" w:rsidRPr="00F53504" w:rsidRDefault="009145B2" w:rsidP="00851613">
            <w:pPr>
              <w:pStyle w:val="Tablecontentrightcolumn"/>
              <w:ind w:left="-108"/>
            </w:pPr>
            <w:r w:rsidRPr="00F53504">
              <w:t>1,408,335</w:t>
            </w:r>
          </w:p>
        </w:tc>
        <w:tc>
          <w:tcPr>
            <w:tcW w:w="629" w:type="dxa"/>
            <w:tcBorders>
              <w:top w:val="nil"/>
              <w:bottom w:val="nil"/>
            </w:tcBorders>
            <w:shd w:val="clear" w:color="auto" w:fill="8EAEDE"/>
            <w:vAlign w:val="bottom"/>
          </w:tcPr>
          <w:p w14:paraId="4CD94D7B" w14:textId="77777777" w:rsidR="009145B2" w:rsidRPr="00F53504" w:rsidRDefault="009145B2" w:rsidP="00851613">
            <w:pPr>
              <w:pStyle w:val="Tablecontentrightcolumn"/>
              <w:ind w:left="-108"/>
            </w:pPr>
            <w:r w:rsidRPr="00F53504">
              <w:t>100.0</w:t>
            </w:r>
          </w:p>
        </w:tc>
      </w:tr>
    </w:tbl>
    <w:p w14:paraId="52AFD753" w14:textId="77777777" w:rsidR="009145B2" w:rsidRPr="00F53504" w:rsidRDefault="009145B2" w:rsidP="009145B2">
      <w:pPr>
        <w:pStyle w:val="Source"/>
      </w:pPr>
      <w:r w:rsidRPr="00F53504">
        <w:t>(a) Examples of Disturbance costs include Gardening fees, Cleaning fees, School uniforms or Utility connection and exit costs.</w:t>
      </w:r>
    </w:p>
    <w:p w14:paraId="3EE464EB" w14:textId="77777777" w:rsidR="009145B2" w:rsidRPr="00F53504" w:rsidRDefault="009145B2" w:rsidP="009145B2">
      <w:pPr>
        <w:pStyle w:val="Source"/>
      </w:pPr>
      <w:r w:rsidRPr="00F53504">
        <w:t>(b) A ‘Bond’ item code is only available under jobactive.</w:t>
      </w:r>
    </w:p>
    <w:p w14:paraId="6F3DBB55" w14:textId="28DDD858" w:rsidR="00CC4D2D" w:rsidRPr="00C22835" w:rsidRDefault="00CC4D2D" w:rsidP="00CC4D2D">
      <w:pPr>
        <w:pStyle w:val="Source"/>
      </w:pPr>
      <w:r w:rsidRPr="00C22835">
        <w:rPr>
          <w:b/>
        </w:rPr>
        <w:t>Note</w:t>
      </w:r>
      <w:r w:rsidRPr="00C22835">
        <w:t>:</w:t>
      </w:r>
      <w:r>
        <w:t xml:space="preserve"> </w:t>
      </w:r>
      <w:r w:rsidR="004804E4">
        <w:t>Table A.4 provides more detail on what is included in each relocation cost component</w:t>
      </w:r>
      <w:r w:rsidR="004804E4" w:rsidRPr="00F53504">
        <w:t>.</w:t>
      </w:r>
      <w:r w:rsidR="004804E4">
        <w:t xml:space="preserve"> </w:t>
      </w:r>
      <w:r>
        <w:t>RATTUAJ participants that did not relocate may have incurred expenses in preparation for a move.</w:t>
      </w:r>
      <w:r w:rsidR="00C62791">
        <w:t xml:space="preserve"> Outcomes are determined as at 31 March 2016.</w:t>
      </w:r>
    </w:p>
    <w:p w14:paraId="36F2F46A" w14:textId="77777777" w:rsidR="009145B2" w:rsidRPr="00F53504" w:rsidRDefault="009145B2" w:rsidP="009145B2">
      <w:pPr>
        <w:pStyle w:val="Source"/>
      </w:pPr>
      <w:r w:rsidRPr="00F53504">
        <w:rPr>
          <w:b/>
        </w:rPr>
        <w:t>Source:</w:t>
      </w:r>
      <w:r w:rsidRPr="00F53504">
        <w:t xml:space="preserve"> EBIW data.</w:t>
      </w:r>
    </w:p>
    <w:p w14:paraId="2197545C" w14:textId="77777777" w:rsidR="00F61905" w:rsidRPr="00F53504" w:rsidRDefault="00F61905">
      <w:pPr>
        <w:spacing w:before="0" w:after="200"/>
        <w:rPr>
          <w:b/>
          <w:bCs/>
          <w:szCs w:val="18"/>
        </w:rPr>
      </w:pPr>
      <w:r w:rsidRPr="00F53504">
        <w:br w:type="page"/>
      </w:r>
    </w:p>
    <w:p w14:paraId="458C1CB2" w14:textId="77777777" w:rsidR="009145B2" w:rsidRPr="00F53504" w:rsidRDefault="009145B2" w:rsidP="009145B2">
      <w:pPr>
        <w:pStyle w:val="Caption"/>
        <w:rPr>
          <w:noProof/>
        </w:rPr>
      </w:pPr>
      <w:r w:rsidRPr="00F53504">
        <w:lastRenderedPageBreak/>
        <w:t>Table A.</w:t>
      </w:r>
      <w:r w:rsidR="005129E7">
        <w:t>7</w:t>
      </w:r>
      <w:r w:rsidRPr="00F53504">
        <w:rPr>
          <w:noProof/>
        </w:rPr>
        <w:t xml:space="preserve">: Average cost per claimant under </w:t>
      </w:r>
      <w:r w:rsidR="0041378D" w:rsidRPr="00F53504">
        <w:rPr>
          <w:noProof/>
        </w:rPr>
        <w:t>RATTUAJ</w:t>
      </w:r>
      <w:r w:rsidRPr="00F53504">
        <w:rPr>
          <w:noProof/>
        </w:rPr>
        <w:t xml:space="preserve"> by relocation status of the program participant</w:t>
      </w:r>
    </w:p>
    <w:tbl>
      <w:tblPr>
        <w:tblStyle w:val="DEEWRTable"/>
        <w:tblW w:w="5000" w:type="pct"/>
        <w:tblLook w:val="0420" w:firstRow="1" w:lastRow="0" w:firstColumn="0" w:lastColumn="0" w:noHBand="0" w:noVBand="1"/>
      </w:tblPr>
      <w:tblGrid>
        <w:gridCol w:w="2970"/>
        <w:gridCol w:w="1536"/>
        <w:gridCol w:w="1537"/>
        <w:gridCol w:w="1502"/>
        <w:gridCol w:w="1481"/>
      </w:tblGrid>
      <w:tr w:rsidR="009145B2" w:rsidRPr="00F53504" w14:paraId="55CA7816" w14:textId="77777777" w:rsidTr="00851613">
        <w:trPr>
          <w:cnfStyle w:val="100000000000" w:firstRow="1" w:lastRow="0" w:firstColumn="0" w:lastColumn="0" w:oddVBand="0" w:evenVBand="0" w:oddHBand="0" w:evenHBand="0" w:firstRowFirstColumn="0" w:firstRowLastColumn="0" w:lastRowFirstColumn="0" w:lastRowLastColumn="0"/>
        </w:trPr>
        <w:tc>
          <w:tcPr>
            <w:tcW w:w="3069" w:type="dxa"/>
            <w:tcBorders>
              <w:bottom w:val="nil"/>
            </w:tcBorders>
            <w:shd w:val="clear" w:color="auto" w:fill="1E3D6B"/>
            <w:vAlign w:val="bottom"/>
          </w:tcPr>
          <w:p w14:paraId="2B35B940" w14:textId="77777777" w:rsidR="009145B2" w:rsidRPr="00F53504" w:rsidRDefault="009145B2" w:rsidP="00851613">
            <w:pPr>
              <w:pStyle w:val="Tableheadingleftcolumn"/>
              <w:rPr>
                <w:b/>
              </w:rPr>
            </w:pPr>
            <w:r w:rsidRPr="00F53504">
              <w:rPr>
                <w:b/>
              </w:rPr>
              <w:t>Relocation cost component</w:t>
            </w:r>
          </w:p>
        </w:tc>
        <w:tc>
          <w:tcPr>
            <w:tcW w:w="1554" w:type="dxa"/>
            <w:tcBorders>
              <w:bottom w:val="nil"/>
            </w:tcBorders>
            <w:shd w:val="clear" w:color="auto" w:fill="1E3D6B"/>
            <w:vAlign w:val="bottom"/>
          </w:tcPr>
          <w:p w14:paraId="471084E5" w14:textId="77777777" w:rsidR="009145B2" w:rsidRPr="00F53504" w:rsidRDefault="009145B2" w:rsidP="00851613">
            <w:pPr>
              <w:pStyle w:val="Tableheadingrightcolumn"/>
              <w:rPr>
                <w:b/>
              </w:rPr>
            </w:pPr>
            <w:r w:rsidRPr="00F53504">
              <w:rPr>
                <w:b/>
              </w:rPr>
              <w:t>Relocated and achieved an employment outcome and made a claim</w:t>
            </w:r>
            <w:r w:rsidRPr="00F53504">
              <w:rPr>
                <w:b/>
              </w:rPr>
              <w:br/>
              <w:t>$/job seeker</w:t>
            </w:r>
          </w:p>
        </w:tc>
        <w:tc>
          <w:tcPr>
            <w:tcW w:w="1555" w:type="dxa"/>
            <w:tcBorders>
              <w:bottom w:val="nil"/>
            </w:tcBorders>
            <w:shd w:val="clear" w:color="auto" w:fill="1E3D6B"/>
            <w:vAlign w:val="bottom"/>
          </w:tcPr>
          <w:p w14:paraId="5FC72B51" w14:textId="77777777" w:rsidR="009145B2" w:rsidRPr="00F53504" w:rsidRDefault="009145B2" w:rsidP="00851613">
            <w:pPr>
              <w:pStyle w:val="Tableheadingrightcolumn"/>
              <w:rPr>
                <w:b/>
              </w:rPr>
            </w:pPr>
            <w:r w:rsidRPr="00F53504">
              <w:rPr>
                <w:b/>
              </w:rPr>
              <w:t>Relocated and did not achieve an employment outcome and made a claim $/job seeker</w:t>
            </w:r>
          </w:p>
        </w:tc>
        <w:tc>
          <w:tcPr>
            <w:tcW w:w="1537" w:type="dxa"/>
            <w:tcBorders>
              <w:bottom w:val="nil"/>
            </w:tcBorders>
            <w:shd w:val="clear" w:color="auto" w:fill="1E3D6B"/>
            <w:vAlign w:val="bottom"/>
          </w:tcPr>
          <w:p w14:paraId="76D5B25E" w14:textId="77777777" w:rsidR="009145B2" w:rsidRPr="00F53504" w:rsidRDefault="009145B2" w:rsidP="00851613">
            <w:pPr>
              <w:pStyle w:val="Tableheadingrightcolumn"/>
              <w:rPr>
                <w:b/>
              </w:rPr>
            </w:pPr>
            <w:r w:rsidRPr="00F53504">
              <w:rPr>
                <w:b/>
              </w:rPr>
              <w:t xml:space="preserve">Not relocated and made a claim </w:t>
            </w:r>
            <w:r w:rsidRPr="00F53504">
              <w:rPr>
                <w:b/>
              </w:rPr>
              <w:br/>
              <w:t>$/job seeker</w:t>
            </w:r>
          </w:p>
        </w:tc>
        <w:tc>
          <w:tcPr>
            <w:tcW w:w="1527" w:type="dxa"/>
            <w:tcBorders>
              <w:bottom w:val="nil"/>
            </w:tcBorders>
            <w:shd w:val="clear" w:color="auto" w:fill="1E3D6B"/>
            <w:vAlign w:val="bottom"/>
          </w:tcPr>
          <w:p w14:paraId="7F28A838" w14:textId="77777777" w:rsidR="009145B2" w:rsidRPr="00F53504" w:rsidRDefault="009145B2" w:rsidP="00851613">
            <w:pPr>
              <w:pStyle w:val="Tableheadingrightcolumn"/>
              <w:rPr>
                <w:b/>
              </w:rPr>
            </w:pPr>
            <w:r w:rsidRPr="00F53504">
              <w:rPr>
                <w:b/>
              </w:rPr>
              <w:t>Total</w:t>
            </w:r>
            <w:r w:rsidRPr="00F53504">
              <w:rPr>
                <w:b/>
              </w:rPr>
              <w:br/>
              <w:t>$/job seeker</w:t>
            </w:r>
          </w:p>
        </w:tc>
      </w:tr>
      <w:tr w:rsidR="009145B2" w:rsidRPr="00F53504" w14:paraId="4C673C9C" w14:textId="77777777" w:rsidTr="00851613">
        <w:trPr>
          <w:trHeight w:val="283"/>
        </w:trPr>
        <w:tc>
          <w:tcPr>
            <w:tcW w:w="3069" w:type="dxa"/>
            <w:tcBorders>
              <w:top w:val="nil"/>
              <w:bottom w:val="nil"/>
            </w:tcBorders>
            <w:vAlign w:val="bottom"/>
          </w:tcPr>
          <w:p w14:paraId="536DB4B0" w14:textId="77777777" w:rsidR="009145B2" w:rsidRPr="00F53504" w:rsidRDefault="009145B2" w:rsidP="00851613">
            <w:pPr>
              <w:pStyle w:val="Tablecontentleftcolumn"/>
            </w:pPr>
            <w:r w:rsidRPr="00F53504">
              <w:t>Accommodation</w:t>
            </w:r>
          </w:p>
        </w:tc>
        <w:tc>
          <w:tcPr>
            <w:tcW w:w="1554" w:type="dxa"/>
            <w:tcBorders>
              <w:top w:val="nil"/>
              <w:bottom w:val="nil"/>
            </w:tcBorders>
            <w:vAlign w:val="bottom"/>
          </w:tcPr>
          <w:p w14:paraId="32B9B5D4" w14:textId="77777777" w:rsidR="009145B2" w:rsidRPr="00F53504" w:rsidRDefault="009145B2" w:rsidP="00851613">
            <w:pPr>
              <w:pStyle w:val="Tablecontentrightcolumn"/>
            </w:pPr>
            <w:r w:rsidRPr="00F53504">
              <w:t>1,292.8</w:t>
            </w:r>
          </w:p>
        </w:tc>
        <w:tc>
          <w:tcPr>
            <w:tcW w:w="1555" w:type="dxa"/>
            <w:tcBorders>
              <w:top w:val="nil"/>
              <w:bottom w:val="nil"/>
            </w:tcBorders>
            <w:vAlign w:val="bottom"/>
          </w:tcPr>
          <w:p w14:paraId="19816374" w14:textId="77777777" w:rsidR="009145B2" w:rsidRPr="00F53504" w:rsidRDefault="009145B2" w:rsidP="00851613">
            <w:pPr>
              <w:pStyle w:val="Tablecontentrightcolumn"/>
            </w:pPr>
            <w:r w:rsidRPr="00F53504">
              <w:t>1,159.8</w:t>
            </w:r>
          </w:p>
        </w:tc>
        <w:tc>
          <w:tcPr>
            <w:tcW w:w="1537" w:type="dxa"/>
            <w:tcBorders>
              <w:top w:val="nil"/>
              <w:bottom w:val="nil"/>
            </w:tcBorders>
            <w:vAlign w:val="bottom"/>
          </w:tcPr>
          <w:p w14:paraId="13D12007" w14:textId="77777777" w:rsidR="009145B2" w:rsidRPr="00F53504" w:rsidRDefault="009145B2" w:rsidP="00851613">
            <w:pPr>
              <w:pStyle w:val="Tablecontentrightcolumn"/>
            </w:pPr>
            <w:r w:rsidRPr="00F53504">
              <w:t>586.3</w:t>
            </w:r>
          </w:p>
        </w:tc>
        <w:tc>
          <w:tcPr>
            <w:tcW w:w="1527" w:type="dxa"/>
            <w:tcBorders>
              <w:top w:val="nil"/>
              <w:bottom w:val="nil"/>
            </w:tcBorders>
            <w:vAlign w:val="bottom"/>
          </w:tcPr>
          <w:p w14:paraId="58C65993" w14:textId="77777777" w:rsidR="009145B2" w:rsidRPr="00F53504" w:rsidRDefault="009145B2" w:rsidP="00851613">
            <w:pPr>
              <w:pStyle w:val="Tablecontentrightcolumn"/>
            </w:pPr>
            <w:r w:rsidRPr="00F53504">
              <w:t>1,242.9</w:t>
            </w:r>
          </w:p>
        </w:tc>
      </w:tr>
      <w:tr w:rsidR="009145B2" w:rsidRPr="00F53504" w14:paraId="72138180" w14:textId="77777777" w:rsidTr="00851613">
        <w:trPr>
          <w:trHeight w:val="283"/>
        </w:trPr>
        <w:tc>
          <w:tcPr>
            <w:tcW w:w="3069" w:type="dxa"/>
            <w:tcBorders>
              <w:bottom w:val="nil"/>
            </w:tcBorders>
            <w:shd w:val="clear" w:color="auto" w:fill="F2F2F2" w:themeFill="background1" w:themeFillShade="F2"/>
            <w:vAlign w:val="bottom"/>
          </w:tcPr>
          <w:p w14:paraId="2F8D0F34" w14:textId="77777777" w:rsidR="009145B2" w:rsidRPr="00F53504" w:rsidRDefault="009145B2" w:rsidP="00851613">
            <w:pPr>
              <w:pStyle w:val="Tablecontentleftcolumn"/>
            </w:pPr>
            <w:r w:rsidRPr="00F53504">
              <w:t>Disturbance costs</w:t>
            </w:r>
            <w:r w:rsidRPr="00F53504">
              <w:rPr>
                <w:vertAlign w:val="superscript"/>
              </w:rPr>
              <w:t>(a)</w:t>
            </w:r>
          </w:p>
        </w:tc>
        <w:tc>
          <w:tcPr>
            <w:tcW w:w="1554" w:type="dxa"/>
            <w:tcBorders>
              <w:bottom w:val="nil"/>
            </w:tcBorders>
            <w:shd w:val="clear" w:color="auto" w:fill="F2F2F2" w:themeFill="background1" w:themeFillShade="F2"/>
            <w:vAlign w:val="bottom"/>
          </w:tcPr>
          <w:p w14:paraId="518D1242" w14:textId="77777777" w:rsidR="009145B2" w:rsidRPr="00F53504" w:rsidRDefault="009145B2" w:rsidP="00851613">
            <w:pPr>
              <w:pStyle w:val="Tablecontentrightcolumn"/>
            </w:pPr>
            <w:r w:rsidRPr="00F53504">
              <w:t>203.3</w:t>
            </w:r>
          </w:p>
        </w:tc>
        <w:tc>
          <w:tcPr>
            <w:tcW w:w="1555" w:type="dxa"/>
            <w:tcBorders>
              <w:bottom w:val="nil"/>
            </w:tcBorders>
            <w:shd w:val="clear" w:color="auto" w:fill="F2F2F2" w:themeFill="background1" w:themeFillShade="F2"/>
            <w:vAlign w:val="bottom"/>
          </w:tcPr>
          <w:p w14:paraId="2C025C0C" w14:textId="77777777" w:rsidR="009145B2" w:rsidRPr="00F53504" w:rsidRDefault="009145B2" w:rsidP="00851613">
            <w:pPr>
              <w:pStyle w:val="Tablecontentrightcolumn"/>
            </w:pPr>
            <w:r w:rsidRPr="00F53504">
              <w:t>191.3</w:t>
            </w:r>
          </w:p>
        </w:tc>
        <w:tc>
          <w:tcPr>
            <w:tcW w:w="1537" w:type="dxa"/>
            <w:tcBorders>
              <w:bottom w:val="nil"/>
            </w:tcBorders>
            <w:shd w:val="clear" w:color="auto" w:fill="F2F2F2" w:themeFill="background1" w:themeFillShade="F2"/>
            <w:vAlign w:val="bottom"/>
          </w:tcPr>
          <w:p w14:paraId="71920BAD" w14:textId="77777777" w:rsidR="009145B2" w:rsidRPr="00F53504" w:rsidRDefault="009145B2" w:rsidP="00851613">
            <w:pPr>
              <w:pStyle w:val="Tablecontentrightcolumn"/>
            </w:pPr>
            <w:r w:rsidRPr="00F53504">
              <w:t>66.6</w:t>
            </w:r>
          </w:p>
        </w:tc>
        <w:tc>
          <w:tcPr>
            <w:tcW w:w="1527" w:type="dxa"/>
            <w:tcBorders>
              <w:bottom w:val="nil"/>
            </w:tcBorders>
            <w:shd w:val="clear" w:color="auto" w:fill="F2F2F2" w:themeFill="background1" w:themeFillShade="F2"/>
            <w:vAlign w:val="bottom"/>
          </w:tcPr>
          <w:p w14:paraId="0AD6EB74" w14:textId="77777777" w:rsidR="009145B2" w:rsidRPr="00F53504" w:rsidRDefault="009145B2" w:rsidP="00851613">
            <w:pPr>
              <w:pStyle w:val="Tablecontentrightcolumn"/>
            </w:pPr>
            <w:r w:rsidRPr="00F53504">
              <w:t>197.3</w:t>
            </w:r>
          </w:p>
        </w:tc>
      </w:tr>
      <w:tr w:rsidR="009145B2" w:rsidRPr="00F53504" w14:paraId="4D555A93" w14:textId="77777777" w:rsidTr="00851613">
        <w:trPr>
          <w:trHeight w:val="283"/>
        </w:trPr>
        <w:tc>
          <w:tcPr>
            <w:tcW w:w="3069" w:type="dxa"/>
            <w:tcBorders>
              <w:bottom w:val="nil"/>
            </w:tcBorders>
            <w:vAlign w:val="bottom"/>
          </w:tcPr>
          <w:p w14:paraId="715C0CD3" w14:textId="77777777" w:rsidR="009145B2" w:rsidRPr="00F53504" w:rsidRDefault="009145B2" w:rsidP="00851613">
            <w:pPr>
              <w:pStyle w:val="Tablecontentleftcolumn"/>
            </w:pPr>
            <w:r w:rsidRPr="00F53504">
              <w:t>Employment</w:t>
            </w:r>
          </w:p>
        </w:tc>
        <w:tc>
          <w:tcPr>
            <w:tcW w:w="1554" w:type="dxa"/>
            <w:tcBorders>
              <w:bottom w:val="nil"/>
            </w:tcBorders>
            <w:vAlign w:val="bottom"/>
          </w:tcPr>
          <w:p w14:paraId="7364E845" w14:textId="77777777" w:rsidR="009145B2" w:rsidRPr="00F53504" w:rsidRDefault="009145B2" w:rsidP="00851613">
            <w:pPr>
              <w:pStyle w:val="Tablecontentrightcolumn"/>
            </w:pPr>
            <w:r w:rsidRPr="00F53504">
              <w:t>69.0</w:t>
            </w:r>
          </w:p>
        </w:tc>
        <w:tc>
          <w:tcPr>
            <w:tcW w:w="1555" w:type="dxa"/>
            <w:tcBorders>
              <w:bottom w:val="nil"/>
            </w:tcBorders>
            <w:vAlign w:val="bottom"/>
          </w:tcPr>
          <w:p w14:paraId="012F9562" w14:textId="77777777" w:rsidR="009145B2" w:rsidRPr="00F53504" w:rsidRDefault="009145B2" w:rsidP="00851613">
            <w:pPr>
              <w:pStyle w:val="Tablecontentrightcolumn"/>
            </w:pPr>
            <w:r w:rsidRPr="00F53504">
              <w:t>62.1</w:t>
            </w:r>
          </w:p>
        </w:tc>
        <w:tc>
          <w:tcPr>
            <w:tcW w:w="1537" w:type="dxa"/>
            <w:tcBorders>
              <w:bottom w:val="nil"/>
            </w:tcBorders>
            <w:vAlign w:val="bottom"/>
          </w:tcPr>
          <w:p w14:paraId="19827CE3" w14:textId="77777777" w:rsidR="009145B2" w:rsidRPr="00F53504" w:rsidRDefault="009145B2" w:rsidP="00851613">
            <w:pPr>
              <w:pStyle w:val="Tablecontentrightcolumn"/>
            </w:pPr>
            <w:r w:rsidRPr="00F53504">
              <w:t>58.4</w:t>
            </w:r>
          </w:p>
        </w:tc>
        <w:tc>
          <w:tcPr>
            <w:tcW w:w="1527" w:type="dxa"/>
            <w:tcBorders>
              <w:bottom w:val="nil"/>
            </w:tcBorders>
            <w:vAlign w:val="bottom"/>
          </w:tcPr>
          <w:p w14:paraId="3DFDD15B" w14:textId="77777777" w:rsidR="009145B2" w:rsidRPr="00F53504" w:rsidRDefault="009145B2" w:rsidP="00851613">
            <w:pPr>
              <w:pStyle w:val="Tablecontentrightcolumn"/>
            </w:pPr>
            <w:r w:rsidRPr="00F53504">
              <w:t>67.0</w:t>
            </w:r>
          </w:p>
        </w:tc>
      </w:tr>
      <w:tr w:rsidR="009145B2" w:rsidRPr="00F53504" w14:paraId="3DD5C172" w14:textId="77777777" w:rsidTr="00851613">
        <w:trPr>
          <w:trHeight w:val="283"/>
        </w:trPr>
        <w:tc>
          <w:tcPr>
            <w:tcW w:w="3069" w:type="dxa"/>
            <w:tcBorders>
              <w:bottom w:val="nil"/>
            </w:tcBorders>
            <w:shd w:val="clear" w:color="auto" w:fill="F2F2F2" w:themeFill="background1" w:themeFillShade="F2"/>
            <w:vAlign w:val="bottom"/>
          </w:tcPr>
          <w:p w14:paraId="5E8098B6" w14:textId="77777777" w:rsidR="009145B2" w:rsidRPr="00F53504" w:rsidRDefault="009145B2" w:rsidP="00851613">
            <w:pPr>
              <w:pStyle w:val="Tablecontentleftcolumn"/>
            </w:pPr>
            <w:r w:rsidRPr="00F53504">
              <w:t>Removalist</w:t>
            </w:r>
          </w:p>
        </w:tc>
        <w:tc>
          <w:tcPr>
            <w:tcW w:w="1554" w:type="dxa"/>
            <w:tcBorders>
              <w:bottom w:val="nil"/>
            </w:tcBorders>
            <w:shd w:val="clear" w:color="auto" w:fill="F2F2F2" w:themeFill="background1" w:themeFillShade="F2"/>
            <w:vAlign w:val="bottom"/>
          </w:tcPr>
          <w:p w14:paraId="066F59C2" w14:textId="77777777" w:rsidR="009145B2" w:rsidRPr="00F53504" w:rsidRDefault="009145B2" w:rsidP="00851613">
            <w:pPr>
              <w:pStyle w:val="Tablecontentrightcolumn"/>
            </w:pPr>
            <w:r w:rsidRPr="00F53504">
              <w:t>960.8</w:t>
            </w:r>
          </w:p>
        </w:tc>
        <w:tc>
          <w:tcPr>
            <w:tcW w:w="1555" w:type="dxa"/>
            <w:tcBorders>
              <w:bottom w:val="nil"/>
            </w:tcBorders>
            <w:shd w:val="clear" w:color="auto" w:fill="F2F2F2" w:themeFill="background1" w:themeFillShade="F2"/>
            <w:vAlign w:val="bottom"/>
          </w:tcPr>
          <w:p w14:paraId="78D32092" w14:textId="77777777" w:rsidR="009145B2" w:rsidRPr="00F53504" w:rsidRDefault="009145B2" w:rsidP="00851613">
            <w:pPr>
              <w:pStyle w:val="Tablecontentrightcolumn"/>
            </w:pPr>
            <w:r w:rsidRPr="00F53504">
              <w:t>762.0</w:t>
            </w:r>
          </w:p>
        </w:tc>
        <w:tc>
          <w:tcPr>
            <w:tcW w:w="1537" w:type="dxa"/>
            <w:tcBorders>
              <w:bottom w:val="nil"/>
            </w:tcBorders>
            <w:shd w:val="clear" w:color="auto" w:fill="F2F2F2" w:themeFill="background1" w:themeFillShade="F2"/>
            <w:vAlign w:val="bottom"/>
          </w:tcPr>
          <w:p w14:paraId="56956A9D" w14:textId="77777777" w:rsidR="009145B2" w:rsidRPr="00F53504" w:rsidRDefault="009145B2" w:rsidP="00851613">
            <w:pPr>
              <w:pStyle w:val="Tablecontentrightcolumn"/>
            </w:pPr>
            <w:r w:rsidRPr="00F53504">
              <w:t>1,947.9</w:t>
            </w:r>
          </w:p>
        </w:tc>
        <w:tc>
          <w:tcPr>
            <w:tcW w:w="1527" w:type="dxa"/>
            <w:tcBorders>
              <w:bottom w:val="nil"/>
            </w:tcBorders>
            <w:shd w:val="clear" w:color="auto" w:fill="F2F2F2" w:themeFill="background1" w:themeFillShade="F2"/>
            <w:vAlign w:val="bottom"/>
          </w:tcPr>
          <w:p w14:paraId="3D27E054" w14:textId="77777777" w:rsidR="009145B2" w:rsidRPr="00F53504" w:rsidRDefault="009145B2" w:rsidP="00851613">
            <w:pPr>
              <w:pStyle w:val="Tablecontentrightcolumn"/>
            </w:pPr>
            <w:r w:rsidRPr="00F53504">
              <w:t>928.3</w:t>
            </w:r>
          </w:p>
        </w:tc>
      </w:tr>
      <w:tr w:rsidR="009145B2" w:rsidRPr="00F53504" w14:paraId="0523F266" w14:textId="77777777" w:rsidTr="00851613">
        <w:trPr>
          <w:trHeight w:val="283"/>
        </w:trPr>
        <w:tc>
          <w:tcPr>
            <w:tcW w:w="3069" w:type="dxa"/>
            <w:tcBorders>
              <w:bottom w:val="nil"/>
            </w:tcBorders>
            <w:vAlign w:val="bottom"/>
          </w:tcPr>
          <w:p w14:paraId="4C6AFE77" w14:textId="77777777" w:rsidR="009145B2" w:rsidRPr="00F53504" w:rsidRDefault="009145B2" w:rsidP="00851613">
            <w:pPr>
              <w:pStyle w:val="Tablecontentleftcolumn"/>
            </w:pPr>
            <w:r w:rsidRPr="00F53504">
              <w:t>Travel</w:t>
            </w:r>
          </w:p>
        </w:tc>
        <w:tc>
          <w:tcPr>
            <w:tcW w:w="1554" w:type="dxa"/>
            <w:tcBorders>
              <w:bottom w:val="nil"/>
            </w:tcBorders>
            <w:vAlign w:val="bottom"/>
          </w:tcPr>
          <w:p w14:paraId="3FB10315" w14:textId="77777777" w:rsidR="009145B2" w:rsidRPr="00F53504" w:rsidRDefault="009145B2" w:rsidP="00851613">
            <w:pPr>
              <w:pStyle w:val="Tablecontentrightcolumn"/>
            </w:pPr>
            <w:r w:rsidRPr="00F53504">
              <w:t>345.9</w:t>
            </w:r>
          </w:p>
        </w:tc>
        <w:tc>
          <w:tcPr>
            <w:tcW w:w="1555" w:type="dxa"/>
            <w:tcBorders>
              <w:bottom w:val="nil"/>
            </w:tcBorders>
            <w:vAlign w:val="bottom"/>
          </w:tcPr>
          <w:p w14:paraId="04D00D08" w14:textId="77777777" w:rsidR="009145B2" w:rsidRPr="00F53504" w:rsidRDefault="009145B2" w:rsidP="00851613">
            <w:pPr>
              <w:pStyle w:val="Tablecontentrightcolumn"/>
            </w:pPr>
            <w:r w:rsidRPr="00F53504">
              <w:t>390.2</w:t>
            </w:r>
          </w:p>
        </w:tc>
        <w:tc>
          <w:tcPr>
            <w:tcW w:w="1537" w:type="dxa"/>
            <w:tcBorders>
              <w:bottom w:val="nil"/>
            </w:tcBorders>
            <w:vAlign w:val="bottom"/>
          </w:tcPr>
          <w:p w14:paraId="3C909B90" w14:textId="77777777" w:rsidR="009145B2" w:rsidRPr="00F53504" w:rsidRDefault="009145B2" w:rsidP="00851613">
            <w:pPr>
              <w:pStyle w:val="Tablecontentrightcolumn"/>
            </w:pPr>
            <w:r w:rsidRPr="00F53504">
              <w:t>262.9</w:t>
            </w:r>
          </w:p>
        </w:tc>
        <w:tc>
          <w:tcPr>
            <w:tcW w:w="1527" w:type="dxa"/>
            <w:tcBorders>
              <w:bottom w:val="nil"/>
            </w:tcBorders>
            <w:vAlign w:val="bottom"/>
          </w:tcPr>
          <w:p w14:paraId="12ACAADF" w14:textId="77777777" w:rsidR="009145B2" w:rsidRPr="00F53504" w:rsidRDefault="009145B2" w:rsidP="00851613">
            <w:pPr>
              <w:pStyle w:val="Tablecontentrightcolumn"/>
            </w:pPr>
            <w:r w:rsidRPr="00F53504">
              <w:t>356.0</w:t>
            </w:r>
          </w:p>
        </w:tc>
      </w:tr>
      <w:tr w:rsidR="009145B2" w:rsidRPr="00F53504" w14:paraId="780FA92E" w14:textId="77777777" w:rsidTr="00851613">
        <w:trPr>
          <w:trHeight w:val="283"/>
        </w:trPr>
        <w:tc>
          <w:tcPr>
            <w:tcW w:w="3069" w:type="dxa"/>
            <w:tcBorders>
              <w:top w:val="nil"/>
              <w:bottom w:val="nil"/>
            </w:tcBorders>
            <w:shd w:val="clear" w:color="auto" w:fill="F2F2F2" w:themeFill="background1" w:themeFillShade="F2"/>
            <w:vAlign w:val="bottom"/>
          </w:tcPr>
          <w:p w14:paraId="4F16EE2C" w14:textId="77777777" w:rsidR="009145B2" w:rsidRPr="00F53504" w:rsidRDefault="009145B2" w:rsidP="00851613">
            <w:pPr>
              <w:pStyle w:val="Tablecontentleftcolumn"/>
            </w:pPr>
            <w:r w:rsidRPr="00F53504">
              <w:t>Bond</w:t>
            </w:r>
            <w:r w:rsidRPr="00F53504">
              <w:rPr>
                <w:vertAlign w:val="superscript"/>
              </w:rPr>
              <w:t>(b)</w:t>
            </w:r>
          </w:p>
        </w:tc>
        <w:tc>
          <w:tcPr>
            <w:tcW w:w="1554" w:type="dxa"/>
            <w:tcBorders>
              <w:top w:val="nil"/>
              <w:bottom w:val="nil"/>
            </w:tcBorders>
            <w:shd w:val="clear" w:color="auto" w:fill="F2F2F2" w:themeFill="background1" w:themeFillShade="F2"/>
            <w:vAlign w:val="bottom"/>
          </w:tcPr>
          <w:p w14:paraId="3DBBF3E3" w14:textId="77777777" w:rsidR="009145B2" w:rsidRPr="00F53504" w:rsidRDefault="009145B2" w:rsidP="00851613">
            <w:pPr>
              <w:pStyle w:val="Tablecontentrightcolumn"/>
            </w:pPr>
            <w:r w:rsidRPr="00F53504">
              <w:t>125.9</w:t>
            </w:r>
          </w:p>
        </w:tc>
        <w:tc>
          <w:tcPr>
            <w:tcW w:w="1555" w:type="dxa"/>
            <w:tcBorders>
              <w:top w:val="nil"/>
              <w:bottom w:val="nil"/>
            </w:tcBorders>
            <w:shd w:val="clear" w:color="auto" w:fill="F2F2F2" w:themeFill="background1" w:themeFillShade="F2"/>
            <w:vAlign w:val="bottom"/>
          </w:tcPr>
          <w:p w14:paraId="6E882680" w14:textId="77777777" w:rsidR="009145B2" w:rsidRPr="00F53504" w:rsidRDefault="009145B2" w:rsidP="00851613">
            <w:pPr>
              <w:pStyle w:val="Tablecontentrightcolumn"/>
            </w:pPr>
            <w:r w:rsidRPr="00F53504">
              <w:t>85.0</w:t>
            </w:r>
          </w:p>
        </w:tc>
        <w:tc>
          <w:tcPr>
            <w:tcW w:w="1537" w:type="dxa"/>
            <w:tcBorders>
              <w:top w:val="nil"/>
              <w:bottom w:val="nil"/>
            </w:tcBorders>
            <w:shd w:val="clear" w:color="auto" w:fill="F2F2F2" w:themeFill="background1" w:themeFillShade="F2"/>
            <w:vAlign w:val="bottom"/>
          </w:tcPr>
          <w:p w14:paraId="7839F0EF" w14:textId="77777777" w:rsidR="009145B2" w:rsidRPr="00F53504" w:rsidRDefault="009145B2" w:rsidP="00851613">
            <w:pPr>
              <w:pStyle w:val="Tablecontentrightcolumn"/>
            </w:pPr>
            <w:r w:rsidRPr="00F53504">
              <w:t>—</w:t>
            </w:r>
          </w:p>
        </w:tc>
        <w:tc>
          <w:tcPr>
            <w:tcW w:w="1527" w:type="dxa"/>
            <w:tcBorders>
              <w:top w:val="nil"/>
              <w:bottom w:val="nil"/>
            </w:tcBorders>
            <w:shd w:val="clear" w:color="auto" w:fill="F2F2F2" w:themeFill="background1" w:themeFillShade="F2"/>
            <w:vAlign w:val="bottom"/>
          </w:tcPr>
          <w:p w14:paraId="61DD0B84" w14:textId="77777777" w:rsidR="009145B2" w:rsidRPr="00F53504" w:rsidRDefault="009145B2" w:rsidP="00851613">
            <w:pPr>
              <w:pStyle w:val="Tablecontentrightcolumn"/>
            </w:pPr>
            <w:r w:rsidRPr="00F53504">
              <w:t>112.4</w:t>
            </w:r>
          </w:p>
        </w:tc>
      </w:tr>
      <w:tr w:rsidR="009145B2" w:rsidRPr="00F53504" w14:paraId="4BCB6C1B" w14:textId="77777777" w:rsidTr="00851613">
        <w:trPr>
          <w:trHeight w:val="283"/>
        </w:trPr>
        <w:tc>
          <w:tcPr>
            <w:tcW w:w="3069" w:type="dxa"/>
            <w:tcBorders>
              <w:top w:val="nil"/>
              <w:bottom w:val="nil"/>
            </w:tcBorders>
            <w:shd w:val="clear" w:color="auto" w:fill="8EAEDE"/>
            <w:vAlign w:val="bottom"/>
          </w:tcPr>
          <w:p w14:paraId="0BDA4EF0" w14:textId="77777777" w:rsidR="009145B2" w:rsidRPr="00F53504" w:rsidRDefault="009145B2" w:rsidP="00851613">
            <w:pPr>
              <w:pStyle w:val="Tablecontentleftcolumn"/>
            </w:pPr>
            <w:r w:rsidRPr="00F53504">
              <w:t>Total</w:t>
            </w:r>
          </w:p>
        </w:tc>
        <w:tc>
          <w:tcPr>
            <w:tcW w:w="1554" w:type="dxa"/>
            <w:tcBorders>
              <w:top w:val="nil"/>
              <w:bottom w:val="nil"/>
            </w:tcBorders>
            <w:shd w:val="clear" w:color="auto" w:fill="8EAEDE"/>
            <w:vAlign w:val="bottom"/>
          </w:tcPr>
          <w:p w14:paraId="5112FF2A" w14:textId="77777777" w:rsidR="009145B2" w:rsidRPr="00F53504" w:rsidRDefault="009145B2" w:rsidP="00851613">
            <w:pPr>
              <w:pStyle w:val="Tablecontentrightcolumn"/>
            </w:pPr>
            <w:r w:rsidRPr="00F53504">
              <w:t>2,997.8</w:t>
            </w:r>
          </w:p>
        </w:tc>
        <w:tc>
          <w:tcPr>
            <w:tcW w:w="1555" w:type="dxa"/>
            <w:tcBorders>
              <w:top w:val="nil"/>
              <w:bottom w:val="nil"/>
            </w:tcBorders>
            <w:shd w:val="clear" w:color="auto" w:fill="8EAEDE"/>
            <w:vAlign w:val="bottom"/>
          </w:tcPr>
          <w:p w14:paraId="60D3CE04" w14:textId="77777777" w:rsidR="009145B2" w:rsidRPr="00F53504" w:rsidRDefault="009145B2" w:rsidP="00851613">
            <w:pPr>
              <w:pStyle w:val="Tablecontentrightcolumn"/>
            </w:pPr>
            <w:r w:rsidRPr="00F53504">
              <w:t>2,650.3</w:t>
            </w:r>
          </w:p>
        </w:tc>
        <w:tc>
          <w:tcPr>
            <w:tcW w:w="1537" w:type="dxa"/>
            <w:tcBorders>
              <w:top w:val="nil"/>
              <w:bottom w:val="nil"/>
            </w:tcBorders>
            <w:shd w:val="clear" w:color="auto" w:fill="8EAEDE"/>
            <w:vAlign w:val="bottom"/>
          </w:tcPr>
          <w:p w14:paraId="38934E8A" w14:textId="77777777" w:rsidR="009145B2" w:rsidRPr="00F53504" w:rsidRDefault="009145B2" w:rsidP="00851613">
            <w:pPr>
              <w:pStyle w:val="Tablecontentrightcolumn"/>
            </w:pPr>
            <w:r w:rsidRPr="00F53504">
              <w:t>2,922.1</w:t>
            </w:r>
          </w:p>
        </w:tc>
        <w:tc>
          <w:tcPr>
            <w:tcW w:w="1527" w:type="dxa"/>
            <w:tcBorders>
              <w:top w:val="nil"/>
              <w:bottom w:val="nil"/>
            </w:tcBorders>
            <w:shd w:val="clear" w:color="auto" w:fill="8EAEDE"/>
            <w:vAlign w:val="bottom"/>
          </w:tcPr>
          <w:p w14:paraId="0638CADE" w14:textId="77777777" w:rsidR="009145B2" w:rsidRPr="00F53504" w:rsidRDefault="009145B2" w:rsidP="00851613">
            <w:pPr>
              <w:pStyle w:val="Tablecontentrightcolumn"/>
            </w:pPr>
            <w:r w:rsidRPr="00F53504">
              <w:t>2,903.8</w:t>
            </w:r>
          </w:p>
        </w:tc>
      </w:tr>
    </w:tbl>
    <w:p w14:paraId="55FF3042" w14:textId="77777777" w:rsidR="009145B2" w:rsidRPr="00F53504" w:rsidRDefault="009145B2" w:rsidP="009145B2">
      <w:pPr>
        <w:pStyle w:val="Source"/>
      </w:pPr>
      <w:r w:rsidRPr="00F53504">
        <w:t>(a) Examples of Disturbance costs include gardening fees, cleaning fees, school uniforms and utility connection and exit costs.</w:t>
      </w:r>
    </w:p>
    <w:p w14:paraId="39EB35C2" w14:textId="02F221F4" w:rsidR="009145B2" w:rsidRDefault="009145B2" w:rsidP="009145B2">
      <w:pPr>
        <w:pStyle w:val="Source"/>
      </w:pPr>
      <w:r w:rsidRPr="00F53504">
        <w:t>(b) A ‘Bond’ item code is only available under jobactive.</w:t>
      </w:r>
    </w:p>
    <w:p w14:paraId="5844BF49" w14:textId="4BB1F69D" w:rsidR="00007C3B" w:rsidRPr="00C22835" w:rsidRDefault="00007C3B" w:rsidP="00007C3B">
      <w:pPr>
        <w:pStyle w:val="Source"/>
      </w:pPr>
      <w:r w:rsidRPr="00C22835">
        <w:rPr>
          <w:b/>
        </w:rPr>
        <w:t>Note</w:t>
      </w:r>
      <w:r w:rsidRPr="00C22835">
        <w:t>:</w:t>
      </w:r>
      <w:r>
        <w:t xml:space="preserve"> RATTUAJ participants that did not relocate may have incurred expenses in preparation for a move.</w:t>
      </w:r>
      <w:r w:rsidR="00C62791">
        <w:t xml:space="preserve"> Outcomes are determined as at 31 March 2016.</w:t>
      </w:r>
    </w:p>
    <w:p w14:paraId="0F7A2EE4" w14:textId="77777777" w:rsidR="009145B2" w:rsidRPr="00F53504" w:rsidRDefault="009145B2" w:rsidP="009145B2">
      <w:pPr>
        <w:pStyle w:val="Source"/>
      </w:pPr>
      <w:r w:rsidRPr="00F53504">
        <w:rPr>
          <w:b/>
        </w:rPr>
        <w:t>Source:</w:t>
      </w:r>
      <w:r w:rsidRPr="00F53504">
        <w:t xml:space="preserve"> EBIW data.</w:t>
      </w:r>
    </w:p>
    <w:p w14:paraId="5D65AB61" w14:textId="77777777" w:rsidR="009145B2" w:rsidRPr="00F53504" w:rsidRDefault="009145B2" w:rsidP="009145B2">
      <w:pPr>
        <w:pStyle w:val="Caption"/>
        <w:rPr>
          <w:noProof/>
        </w:rPr>
      </w:pPr>
      <w:r w:rsidRPr="00F53504">
        <w:t>Table A.</w:t>
      </w:r>
      <w:r w:rsidR="005129E7">
        <w:t>8</w:t>
      </w:r>
      <w:r w:rsidRPr="00F53504">
        <w:rPr>
          <w:noProof/>
        </w:rPr>
        <w:t xml:space="preserve">: Expenditure under </w:t>
      </w:r>
      <w:r w:rsidR="0041378D" w:rsidRPr="00F53504">
        <w:rPr>
          <w:noProof/>
        </w:rPr>
        <w:t>RATTUAJ</w:t>
      </w:r>
      <w:r w:rsidRPr="00F53504">
        <w:rPr>
          <w:noProof/>
        </w:rPr>
        <w:t xml:space="preserve"> by relocation status of the program participant – JSA </w:t>
      </w:r>
    </w:p>
    <w:tbl>
      <w:tblPr>
        <w:tblStyle w:val="DEEWRTable"/>
        <w:tblW w:w="5000" w:type="pct"/>
        <w:tblLook w:val="0420" w:firstRow="1" w:lastRow="0" w:firstColumn="0" w:lastColumn="0" w:noHBand="0" w:noVBand="1"/>
      </w:tblPr>
      <w:tblGrid>
        <w:gridCol w:w="3024"/>
        <w:gridCol w:w="1500"/>
        <w:gridCol w:w="1502"/>
        <w:gridCol w:w="1500"/>
        <w:gridCol w:w="1500"/>
      </w:tblGrid>
      <w:tr w:rsidR="009145B2" w:rsidRPr="00F53504" w14:paraId="202D8BBC" w14:textId="77777777" w:rsidTr="00851613">
        <w:trPr>
          <w:cnfStyle w:val="100000000000" w:firstRow="1" w:lastRow="0" w:firstColumn="0" w:lastColumn="0" w:oddVBand="0" w:evenVBand="0" w:oddHBand="0" w:evenHBand="0" w:firstRowFirstColumn="0" w:firstRowLastColumn="0" w:lastRowFirstColumn="0" w:lastRowLastColumn="0"/>
        </w:trPr>
        <w:tc>
          <w:tcPr>
            <w:tcW w:w="1675" w:type="pct"/>
            <w:tcBorders>
              <w:bottom w:val="nil"/>
            </w:tcBorders>
            <w:shd w:val="clear" w:color="auto" w:fill="1E3D6B"/>
            <w:vAlign w:val="bottom"/>
          </w:tcPr>
          <w:p w14:paraId="206C9E2D" w14:textId="77777777" w:rsidR="009145B2" w:rsidRPr="00F53504" w:rsidRDefault="009145B2" w:rsidP="00851613">
            <w:pPr>
              <w:pStyle w:val="Tableheadingleftcolumn"/>
              <w:rPr>
                <w:b/>
              </w:rPr>
            </w:pPr>
            <w:r w:rsidRPr="00F53504">
              <w:rPr>
                <w:b/>
              </w:rPr>
              <w:t>Relocation cost component</w:t>
            </w:r>
          </w:p>
        </w:tc>
        <w:tc>
          <w:tcPr>
            <w:tcW w:w="831" w:type="pct"/>
            <w:tcBorders>
              <w:bottom w:val="nil"/>
            </w:tcBorders>
            <w:shd w:val="clear" w:color="auto" w:fill="1E3D6B"/>
            <w:vAlign w:val="bottom"/>
          </w:tcPr>
          <w:p w14:paraId="01FCFA72" w14:textId="77777777" w:rsidR="009145B2" w:rsidRPr="00F53504" w:rsidRDefault="009145B2" w:rsidP="00851613">
            <w:pPr>
              <w:pStyle w:val="Tableheadingrightcolumn"/>
              <w:rPr>
                <w:b/>
              </w:rPr>
            </w:pPr>
            <w:r w:rsidRPr="00F53504">
              <w:rPr>
                <w:b/>
              </w:rPr>
              <w:t>Relocated and achieved an employment outcome and made a claim</w:t>
            </w:r>
            <w:r w:rsidRPr="00F53504">
              <w:rPr>
                <w:b/>
              </w:rPr>
              <w:br/>
              <w:t>N = 197</w:t>
            </w:r>
            <w:r w:rsidRPr="00F53504">
              <w:rPr>
                <w:b/>
              </w:rPr>
              <w:br/>
              <w:t>$</w:t>
            </w:r>
          </w:p>
        </w:tc>
        <w:tc>
          <w:tcPr>
            <w:tcW w:w="832" w:type="pct"/>
            <w:tcBorders>
              <w:bottom w:val="nil"/>
            </w:tcBorders>
            <w:shd w:val="clear" w:color="auto" w:fill="1E3D6B"/>
            <w:vAlign w:val="bottom"/>
          </w:tcPr>
          <w:p w14:paraId="61208F93" w14:textId="77777777" w:rsidR="009145B2" w:rsidRPr="00F53504" w:rsidRDefault="009145B2" w:rsidP="00851613">
            <w:pPr>
              <w:pStyle w:val="Tableheadingrightcolumn"/>
              <w:rPr>
                <w:b/>
              </w:rPr>
            </w:pPr>
            <w:r w:rsidRPr="00F53504">
              <w:rPr>
                <w:b/>
              </w:rPr>
              <w:t>Relocated and did not achieve an employment outcome and made a claim</w:t>
            </w:r>
            <w:r w:rsidRPr="00F53504">
              <w:rPr>
                <w:b/>
              </w:rPr>
              <w:br/>
              <w:t>N = 95</w:t>
            </w:r>
            <w:r w:rsidRPr="00F53504">
              <w:rPr>
                <w:b/>
              </w:rPr>
              <w:br/>
              <w:t>$</w:t>
            </w:r>
          </w:p>
        </w:tc>
        <w:tc>
          <w:tcPr>
            <w:tcW w:w="831" w:type="pct"/>
            <w:tcBorders>
              <w:bottom w:val="nil"/>
            </w:tcBorders>
            <w:shd w:val="clear" w:color="auto" w:fill="1E3D6B"/>
            <w:vAlign w:val="bottom"/>
          </w:tcPr>
          <w:p w14:paraId="3930E208" w14:textId="77777777" w:rsidR="009145B2" w:rsidRPr="00F53504" w:rsidRDefault="009145B2" w:rsidP="00851613">
            <w:pPr>
              <w:pStyle w:val="Tableheadingrightcolumn"/>
              <w:rPr>
                <w:b/>
              </w:rPr>
            </w:pPr>
            <w:r w:rsidRPr="00F53504">
              <w:rPr>
                <w:b/>
              </w:rPr>
              <w:t>Not relocated and made a claim</w:t>
            </w:r>
            <w:r w:rsidRPr="00F53504">
              <w:rPr>
                <w:b/>
              </w:rPr>
              <w:br/>
              <w:t>N = 7</w:t>
            </w:r>
            <w:r w:rsidRPr="00F53504">
              <w:rPr>
                <w:b/>
              </w:rPr>
              <w:br/>
              <w:t>$</w:t>
            </w:r>
          </w:p>
        </w:tc>
        <w:tc>
          <w:tcPr>
            <w:tcW w:w="831" w:type="pct"/>
            <w:tcBorders>
              <w:bottom w:val="nil"/>
            </w:tcBorders>
            <w:shd w:val="clear" w:color="auto" w:fill="1E3D6B"/>
            <w:vAlign w:val="bottom"/>
          </w:tcPr>
          <w:p w14:paraId="235C1F68" w14:textId="77777777" w:rsidR="009145B2" w:rsidRPr="00F53504" w:rsidRDefault="009145B2" w:rsidP="00851613">
            <w:pPr>
              <w:pStyle w:val="Tableheadingrightcolumn"/>
              <w:rPr>
                <w:b/>
              </w:rPr>
            </w:pPr>
            <w:r w:rsidRPr="00F53504">
              <w:rPr>
                <w:b/>
              </w:rPr>
              <w:t>Total</w:t>
            </w:r>
            <w:r w:rsidRPr="00F53504">
              <w:rPr>
                <w:b/>
              </w:rPr>
              <w:br/>
              <w:t>N = 299</w:t>
            </w:r>
            <w:r w:rsidRPr="00F53504">
              <w:rPr>
                <w:b/>
              </w:rPr>
              <w:br/>
              <w:t>$</w:t>
            </w:r>
          </w:p>
        </w:tc>
      </w:tr>
      <w:tr w:rsidR="009145B2" w:rsidRPr="00F53504" w14:paraId="6AF4199B" w14:textId="77777777" w:rsidTr="00851613">
        <w:trPr>
          <w:trHeight w:val="283"/>
        </w:trPr>
        <w:tc>
          <w:tcPr>
            <w:tcW w:w="1675" w:type="pct"/>
            <w:tcBorders>
              <w:top w:val="nil"/>
              <w:bottom w:val="nil"/>
            </w:tcBorders>
            <w:vAlign w:val="bottom"/>
          </w:tcPr>
          <w:p w14:paraId="0E56728F" w14:textId="77777777" w:rsidR="009145B2" w:rsidRPr="00F53504" w:rsidRDefault="009145B2" w:rsidP="00851613">
            <w:pPr>
              <w:pStyle w:val="Tablecontentleftcolumn"/>
            </w:pPr>
            <w:r w:rsidRPr="00F53504">
              <w:t>Accommodation</w:t>
            </w:r>
          </w:p>
        </w:tc>
        <w:tc>
          <w:tcPr>
            <w:tcW w:w="831" w:type="pct"/>
            <w:tcBorders>
              <w:top w:val="nil"/>
              <w:bottom w:val="nil"/>
            </w:tcBorders>
            <w:vAlign w:val="bottom"/>
          </w:tcPr>
          <w:p w14:paraId="25758176" w14:textId="77777777" w:rsidR="009145B2" w:rsidRPr="00F53504" w:rsidRDefault="009145B2" w:rsidP="00851613">
            <w:pPr>
              <w:pStyle w:val="Tablecontentrightcolumn"/>
            </w:pPr>
            <w:r w:rsidRPr="00F53504">
              <w:t>311,993</w:t>
            </w:r>
          </w:p>
        </w:tc>
        <w:tc>
          <w:tcPr>
            <w:tcW w:w="832" w:type="pct"/>
            <w:tcBorders>
              <w:top w:val="nil"/>
              <w:bottom w:val="nil"/>
            </w:tcBorders>
            <w:vAlign w:val="bottom"/>
          </w:tcPr>
          <w:p w14:paraId="27F45779" w14:textId="77777777" w:rsidR="009145B2" w:rsidRPr="00F53504" w:rsidRDefault="009145B2" w:rsidP="00851613">
            <w:pPr>
              <w:pStyle w:val="Tablecontentrightcolumn"/>
            </w:pPr>
            <w:r w:rsidRPr="00F53504">
              <w:t>125,735</w:t>
            </w:r>
          </w:p>
        </w:tc>
        <w:tc>
          <w:tcPr>
            <w:tcW w:w="831" w:type="pct"/>
            <w:tcBorders>
              <w:top w:val="nil"/>
              <w:bottom w:val="nil"/>
            </w:tcBorders>
            <w:vAlign w:val="bottom"/>
          </w:tcPr>
          <w:p w14:paraId="63CC7AFF" w14:textId="77777777" w:rsidR="009145B2" w:rsidRPr="00F53504" w:rsidRDefault="009145B2" w:rsidP="00851613">
            <w:pPr>
              <w:pStyle w:val="Tablecontentrightcolumn"/>
            </w:pPr>
            <w:r w:rsidRPr="00F53504">
              <w:t>4,681</w:t>
            </w:r>
          </w:p>
        </w:tc>
        <w:tc>
          <w:tcPr>
            <w:tcW w:w="831" w:type="pct"/>
            <w:tcBorders>
              <w:top w:val="nil"/>
              <w:bottom w:val="nil"/>
            </w:tcBorders>
            <w:vAlign w:val="bottom"/>
          </w:tcPr>
          <w:p w14:paraId="369771C3" w14:textId="77777777" w:rsidR="009145B2" w:rsidRPr="00F53504" w:rsidRDefault="009145B2" w:rsidP="00851613">
            <w:pPr>
              <w:pStyle w:val="Tablecontentrightcolumn"/>
            </w:pPr>
            <w:r w:rsidRPr="00F53504">
              <w:t>442,409</w:t>
            </w:r>
          </w:p>
        </w:tc>
      </w:tr>
      <w:tr w:rsidR="009145B2" w:rsidRPr="00F53504" w14:paraId="29DD8B19" w14:textId="77777777" w:rsidTr="00851613">
        <w:trPr>
          <w:trHeight w:val="283"/>
        </w:trPr>
        <w:tc>
          <w:tcPr>
            <w:tcW w:w="1675" w:type="pct"/>
            <w:tcBorders>
              <w:bottom w:val="nil"/>
            </w:tcBorders>
            <w:shd w:val="clear" w:color="auto" w:fill="F2F2F2" w:themeFill="background1" w:themeFillShade="F2"/>
            <w:vAlign w:val="bottom"/>
          </w:tcPr>
          <w:p w14:paraId="3187525C" w14:textId="77777777" w:rsidR="009145B2" w:rsidRPr="00F53504" w:rsidRDefault="009145B2" w:rsidP="00851613">
            <w:pPr>
              <w:pStyle w:val="Tablecontentleftcolumn"/>
            </w:pPr>
            <w:r w:rsidRPr="00F53504">
              <w:t>Disturbance costs</w:t>
            </w:r>
            <w:r w:rsidRPr="00F53504">
              <w:rPr>
                <w:vertAlign w:val="superscript"/>
              </w:rPr>
              <w:t>(a)</w:t>
            </w:r>
          </w:p>
        </w:tc>
        <w:tc>
          <w:tcPr>
            <w:tcW w:w="831" w:type="pct"/>
            <w:tcBorders>
              <w:bottom w:val="nil"/>
            </w:tcBorders>
            <w:shd w:val="clear" w:color="auto" w:fill="F2F2F2" w:themeFill="background1" w:themeFillShade="F2"/>
            <w:vAlign w:val="bottom"/>
          </w:tcPr>
          <w:p w14:paraId="2F6F616C" w14:textId="77777777" w:rsidR="009145B2" w:rsidRPr="00F53504" w:rsidRDefault="009145B2" w:rsidP="00851613">
            <w:pPr>
              <w:pStyle w:val="Tablecontentrightcolumn"/>
            </w:pPr>
            <w:r w:rsidRPr="00F53504">
              <w:t>42,599</w:t>
            </w:r>
          </w:p>
        </w:tc>
        <w:tc>
          <w:tcPr>
            <w:tcW w:w="832" w:type="pct"/>
            <w:tcBorders>
              <w:bottom w:val="nil"/>
            </w:tcBorders>
            <w:shd w:val="clear" w:color="auto" w:fill="F2F2F2" w:themeFill="background1" w:themeFillShade="F2"/>
            <w:vAlign w:val="bottom"/>
          </w:tcPr>
          <w:p w14:paraId="5EF94972" w14:textId="77777777" w:rsidR="009145B2" w:rsidRPr="00F53504" w:rsidRDefault="009145B2" w:rsidP="00851613">
            <w:pPr>
              <w:pStyle w:val="Tablecontentrightcolumn"/>
            </w:pPr>
            <w:r w:rsidRPr="00F53504">
              <w:t>17,414</w:t>
            </w:r>
          </w:p>
        </w:tc>
        <w:tc>
          <w:tcPr>
            <w:tcW w:w="831" w:type="pct"/>
            <w:tcBorders>
              <w:bottom w:val="nil"/>
            </w:tcBorders>
            <w:shd w:val="clear" w:color="auto" w:fill="F2F2F2" w:themeFill="background1" w:themeFillShade="F2"/>
            <w:vAlign w:val="bottom"/>
          </w:tcPr>
          <w:p w14:paraId="1C8372C2" w14:textId="77777777" w:rsidR="009145B2" w:rsidRPr="00F53504" w:rsidRDefault="009145B2" w:rsidP="00851613">
            <w:pPr>
              <w:pStyle w:val="Tablecontentrightcolumn"/>
            </w:pPr>
            <w:r w:rsidRPr="00F53504">
              <w:t>376</w:t>
            </w:r>
          </w:p>
        </w:tc>
        <w:tc>
          <w:tcPr>
            <w:tcW w:w="831" w:type="pct"/>
            <w:tcBorders>
              <w:bottom w:val="nil"/>
            </w:tcBorders>
            <w:shd w:val="clear" w:color="auto" w:fill="F2F2F2" w:themeFill="background1" w:themeFillShade="F2"/>
            <w:vAlign w:val="bottom"/>
          </w:tcPr>
          <w:p w14:paraId="79D635DE" w14:textId="77777777" w:rsidR="009145B2" w:rsidRPr="00F53504" w:rsidRDefault="009145B2" w:rsidP="00851613">
            <w:pPr>
              <w:pStyle w:val="Tablecontentrightcolumn"/>
            </w:pPr>
            <w:r w:rsidRPr="00F53504">
              <w:t>60,389</w:t>
            </w:r>
          </w:p>
        </w:tc>
      </w:tr>
      <w:tr w:rsidR="009145B2" w:rsidRPr="00F53504" w14:paraId="718B0840" w14:textId="77777777" w:rsidTr="00851613">
        <w:trPr>
          <w:trHeight w:val="283"/>
        </w:trPr>
        <w:tc>
          <w:tcPr>
            <w:tcW w:w="1675" w:type="pct"/>
            <w:tcBorders>
              <w:bottom w:val="nil"/>
            </w:tcBorders>
            <w:vAlign w:val="bottom"/>
          </w:tcPr>
          <w:p w14:paraId="332E04E4" w14:textId="77777777" w:rsidR="009145B2" w:rsidRPr="00F53504" w:rsidRDefault="009145B2" w:rsidP="00851613">
            <w:pPr>
              <w:pStyle w:val="Tablecontentleftcolumn"/>
            </w:pPr>
            <w:r w:rsidRPr="00F53504">
              <w:t>Employment</w:t>
            </w:r>
          </w:p>
        </w:tc>
        <w:tc>
          <w:tcPr>
            <w:tcW w:w="831" w:type="pct"/>
            <w:tcBorders>
              <w:bottom w:val="nil"/>
            </w:tcBorders>
            <w:vAlign w:val="bottom"/>
          </w:tcPr>
          <w:p w14:paraId="077E6B42" w14:textId="77777777" w:rsidR="009145B2" w:rsidRPr="00F53504" w:rsidRDefault="009145B2" w:rsidP="00851613">
            <w:pPr>
              <w:pStyle w:val="Tablecontentrightcolumn"/>
            </w:pPr>
            <w:r w:rsidRPr="00F53504">
              <w:t>13,717</w:t>
            </w:r>
          </w:p>
        </w:tc>
        <w:tc>
          <w:tcPr>
            <w:tcW w:w="832" w:type="pct"/>
            <w:tcBorders>
              <w:bottom w:val="nil"/>
            </w:tcBorders>
            <w:vAlign w:val="bottom"/>
          </w:tcPr>
          <w:p w14:paraId="17E580F2" w14:textId="77777777" w:rsidR="009145B2" w:rsidRPr="00F53504" w:rsidRDefault="009145B2" w:rsidP="00851613">
            <w:pPr>
              <w:pStyle w:val="Tablecontentrightcolumn"/>
            </w:pPr>
            <w:r w:rsidRPr="00F53504">
              <w:t>6,735</w:t>
            </w:r>
          </w:p>
        </w:tc>
        <w:tc>
          <w:tcPr>
            <w:tcW w:w="831" w:type="pct"/>
            <w:tcBorders>
              <w:bottom w:val="nil"/>
            </w:tcBorders>
            <w:vAlign w:val="bottom"/>
          </w:tcPr>
          <w:p w14:paraId="5A907FB5" w14:textId="77777777" w:rsidR="009145B2" w:rsidRPr="00F53504" w:rsidRDefault="009145B2" w:rsidP="00851613">
            <w:pPr>
              <w:pStyle w:val="Tablecontentrightcolumn"/>
            </w:pPr>
            <w:r w:rsidRPr="00F53504">
              <w:t>584</w:t>
            </w:r>
          </w:p>
        </w:tc>
        <w:tc>
          <w:tcPr>
            <w:tcW w:w="831" w:type="pct"/>
            <w:tcBorders>
              <w:bottom w:val="nil"/>
            </w:tcBorders>
            <w:vAlign w:val="bottom"/>
          </w:tcPr>
          <w:p w14:paraId="74801AA4" w14:textId="77777777" w:rsidR="009145B2" w:rsidRPr="00F53504" w:rsidRDefault="009145B2" w:rsidP="00851613">
            <w:pPr>
              <w:pStyle w:val="Tablecontentrightcolumn"/>
            </w:pPr>
            <w:r w:rsidRPr="00F53504">
              <w:t>21,036</w:t>
            </w:r>
          </w:p>
        </w:tc>
      </w:tr>
      <w:tr w:rsidR="009145B2" w:rsidRPr="00F53504" w14:paraId="7F9B0571" w14:textId="77777777" w:rsidTr="00851613">
        <w:trPr>
          <w:trHeight w:val="283"/>
        </w:trPr>
        <w:tc>
          <w:tcPr>
            <w:tcW w:w="1675" w:type="pct"/>
            <w:tcBorders>
              <w:bottom w:val="nil"/>
            </w:tcBorders>
            <w:shd w:val="clear" w:color="auto" w:fill="F2F2F2" w:themeFill="background1" w:themeFillShade="F2"/>
            <w:vAlign w:val="bottom"/>
          </w:tcPr>
          <w:p w14:paraId="7DC8770F" w14:textId="77777777" w:rsidR="009145B2" w:rsidRPr="00F53504" w:rsidRDefault="009145B2" w:rsidP="00851613">
            <w:pPr>
              <w:pStyle w:val="Tablecontentleftcolumn"/>
            </w:pPr>
            <w:r w:rsidRPr="00F53504">
              <w:t>Removalist</w:t>
            </w:r>
          </w:p>
        </w:tc>
        <w:tc>
          <w:tcPr>
            <w:tcW w:w="831" w:type="pct"/>
            <w:tcBorders>
              <w:bottom w:val="nil"/>
            </w:tcBorders>
            <w:shd w:val="clear" w:color="auto" w:fill="F2F2F2" w:themeFill="background1" w:themeFillShade="F2"/>
            <w:vAlign w:val="bottom"/>
          </w:tcPr>
          <w:p w14:paraId="0E8C6560" w14:textId="77777777" w:rsidR="009145B2" w:rsidRPr="00F53504" w:rsidRDefault="009145B2" w:rsidP="00851613">
            <w:pPr>
              <w:pStyle w:val="Tablecontentrightcolumn"/>
            </w:pPr>
            <w:r w:rsidRPr="00F53504">
              <w:t>197,921</w:t>
            </w:r>
          </w:p>
        </w:tc>
        <w:tc>
          <w:tcPr>
            <w:tcW w:w="832" w:type="pct"/>
            <w:tcBorders>
              <w:bottom w:val="nil"/>
            </w:tcBorders>
            <w:shd w:val="clear" w:color="auto" w:fill="F2F2F2" w:themeFill="background1" w:themeFillShade="F2"/>
            <w:vAlign w:val="bottom"/>
          </w:tcPr>
          <w:p w14:paraId="3B19CF25" w14:textId="77777777" w:rsidR="009145B2" w:rsidRPr="00F53504" w:rsidRDefault="009145B2" w:rsidP="00851613">
            <w:pPr>
              <w:pStyle w:val="Tablecontentrightcolumn"/>
            </w:pPr>
            <w:r w:rsidRPr="00F53504">
              <w:t>76,713</w:t>
            </w:r>
          </w:p>
        </w:tc>
        <w:tc>
          <w:tcPr>
            <w:tcW w:w="831" w:type="pct"/>
            <w:tcBorders>
              <w:bottom w:val="nil"/>
            </w:tcBorders>
            <w:shd w:val="clear" w:color="auto" w:fill="F2F2F2" w:themeFill="background1" w:themeFillShade="F2"/>
            <w:vAlign w:val="bottom"/>
          </w:tcPr>
          <w:p w14:paraId="682C8BEA" w14:textId="77777777" w:rsidR="009145B2" w:rsidRPr="00F53504" w:rsidRDefault="009145B2" w:rsidP="00851613">
            <w:pPr>
              <w:pStyle w:val="Tablecontentrightcolumn"/>
            </w:pPr>
            <w:r w:rsidRPr="00F53504">
              <w:t>16,405</w:t>
            </w:r>
          </w:p>
        </w:tc>
        <w:tc>
          <w:tcPr>
            <w:tcW w:w="831" w:type="pct"/>
            <w:tcBorders>
              <w:bottom w:val="nil"/>
            </w:tcBorders>
            <w:shd w:val="clear" w:color="auto" w:fill="F2F2F2" w:themeFill="background1" w:themeFillShade="F2"/>
            <w:vAlign w:val="bottom"/>
          </w:tcPr>
          <w:p w14:paraId="1000892C" w14:textId="77777777" w:rsidR="009145B2" w:rsidRPr="00F53504" w:rsidRDefault="009145B2" w:rsidP="00851613">
            <w:pPr>
              <w:pStyle w:val="Tablecontentrightcolumn"/>
            </w:pPr>
            <w:r w:rsidRPr="00F53504">
              <w:t>291,039</w:t>
            </w:r>
          </w:p>
        </w:tc>
      </w:tr>
      <w:tr w:rsidR="009145B2" w:rsidRPr="00F53504" w14:paraId="11A854A4" w14:textId="77777777" w:rsidTr="00851613">
        <w:trPr>
          <w:trHeight w:val="283"/>
        </w:trPr>
        <w:tc>
          <w:tcPr>
            <w:tcW w:w="1675" w:type="pct"/>
            <w:tcBorders>
              <w:bottom w:val="nil"/>
            </w:tcBorders>
            <w:vAlign w:val="bottom"/>
          </w:tcPr>
          <w:p w14:paraId="792CC38C" w14:textId="77777777" w:rsidR="009145B2" w:rsidRPr="00F53504" w:rsidRDefault="009145B2" w:rsidP="00851613">
            <w:pPr>
              <w:pStyle w:val="Tablecontentleftcolumn"/>
            </w:pPr>
            <w:r w:rsidRPr="00F53504">
              <w:t>Travel</w:t>
            </w:r>
          </w:p>
        </w:tc>
        <w:tc>
          <w:tcPr>
            <w:tcW w:w="831" w:type="pct"/>
            <w:tcBorders>
              <w:bottom w:val="nil"/>
            </w:tcBorders>
            <w:vAlign w:val="bottom"/>
          </w:tcPr>
          <w:p w14:paraId="4556C9AB" w14:textId="77777777" w:rsidR="009145B2" w:rsidRPr="00F53504" w:rsidRDefault="009145B2" w:rsidP="00851613">
            <w:pPr>
              <w:pStyle w:val="Tablecontentrightcolumn"/>
            </w:pPr>
            <w:r w:rsidRPr="00F53504">
              <w:t>64,482</w:t>
            </w:r>
          </w:p>
        </w:tc>
        <w:tc>
          <w:tcPr>
            <w:tcW w:w="832" w:type="pct"/>
            <w:tcBorders>
              <w:bottom w:val="nil"/>
            </w:tcBorders>
            <w:vAlign w:val="bottom"/>
          </w:tcPr>
          <w:p w14:paraId="2D83900C" w14:textId="77777777" w:rsidR="009145B2" w:rsidRPr="00F53504" w:rsidRDefault="009145B2" w:rsidP="00851613">
            <w:pPr>
              <w:pStyle w:val="Tablecontentrightcolumn"/>
            </w:pPr>
            <w:r w:rsidRPr="00F53504">
              <w:t>37,579</w:t>
            </w:r>
          </w:p>
        </w:tc>
        <w:tc>
          <w:tcPr>
            <w:tcW w:w="831" w:type="pct"/>
            <w:tcBorders>
              <w:bottom w:val="nil"/>
            </w:tcBorders>
            <w:vAlign w:val="bottom"/>
          </w:tcPr>
          <w:p w14:paraId="2B39D78E" w14:textId="77777777" w:rsidR="009145B2" w:rsidRPr="00F53504" w:rsidRDefault="009145B2" w:rsidP="00851613">
            <w:pPr>
              <w:pStyle w:val="Tablecontentrightcolumn"/>
            </w:pPr>
            <w:r w:rsidRPr="00F53504">
              <w:t>2,225</w:t>
            </w:r>
          </w:p>
        </w:tc>
        <w:tc>
          <w:tcPr>
            <w:tcW w:w="831" w:type="pct"/>
            <w:tcBorders>
              <w:bottom w:val="nil"/>
            </w:tcBorders>
            <w:vAlign w:val="bottom"/>
          </w:tcPr>
          <w:p w14:paraId="650F2917" w14:textId="77777777" w:rsidR="009145B2" w:rsidRPr="00F53504" w:rsidRDefault="009145B2" w:rsidP="00851613">
            <w:pPr>
              <w:pStyle w:val="Tablecontentrightcolumn"/>
            </w:pPr>
            <w:r w:rsidRPr="00F53504">
              <w:t>104,286</w:t>
            </w:r>
          </w:p>
        </w:tc>
      </w:tr>
      <w:tr w:rsidR="009145B2" w:rsidRPr="00F53504" w14:paraId="1BFA7B9F" w14:textId="77777777" w:rsidTr="00851613">
        <w:trPr>
          <w:trHeight w:val="283"/>
        </w:trPr>
        <w:tc>
          <w:tcPr>
            <w:tcW w:w="1675" w:type="pct"/>
            <w:tcBorders>
              <w:top w:val="nil"/>
              <w:bottom w:val="nil"/>
            </w:tcBorders>
            <w:shd w:val="clear" w:color="auto" w:fill="8EAEDE"/>
            <w:vAlign w:val="bottom"/>
          </w:tcPr>
          <w:p w14:paraId="01C3BFAB" w14:textId="77777777" w:rsidR="009145B2" w:rsidRPr="00F53504" w:rsidRDefault="009145B2" w:rsidP="00851613">
            <w:pPr>
              <w:pStyle w:val="Tablecontentleftcolumn"/>
            </w:pPr>
            <w:r w:rsidRPr="00F53504">
              <w:t>Total</w:t>
            </w:r>
          </w:p>
        </w:tc>
        <w:tc>
          <w:tcPr>
            <w:tcW w:w="831" w:type="pct"/>
            <w:tcBorders>
              <w:top w:val="nil"/>
              <w:bottom w:val="nil"/>
            </w:tcBorders>
            <w:shd w:val="clear" w:color="auto" w:fill="8EAEDE"/>
            <w:vAlign w:val="bottom"/>
          </w:tcPr>
          <w:p w14:paraId="4D9CBD6A" w14:textId="77777777" w:rsidR="009145B2" w:rsidRPr="00F53504" w:rsidRDefault="009145B2" w:rsidP="00851613">
            <w:pPr>
              <w:pStyle w:val="Tablecontentrightcolumn"/>
            </w:pPr>
            <w:r w:rsidRPr="00F53504">
              <w:t>630,712</w:t>
            </w:r>
          </w:p>
        </w:tc>
        <w:tc>
          <w:tcPr>
            <w:tcW w:w="832" w:type="pct"/>
            <w:tcBorders>
              <w:top w:val="nil"/>
              <w:bottom w:val="nil"/>
            </w:tcBorders>
            <w:shd w:val="clear" w:color="auto" w:fill="8EAEDE"/>
            <w:vAlign w:val="bottom"/>
          </w:tcPr>
          <w:p w14:paraId="111B717E" w14:textId="77777777" w:rsidR="009145B2" w:rsidRPr="00F53504" w:rsidRDefault="009145B2" w:rsidP="00851613">
            <w:pPr>
              <w:pStyle w:val="Tablecontentrightcolumn"/>
            </w:pPr>
            <w:r w:rsidRPr="00F53504">
              <w:t>264,176</w:t>
            </w:r>
          </w:p>
        </w:tc>
        <w:tc>
          <w:tcPr>
            <w:tcW w:w="831" w:type="pct"/>
            <w:tcBorders>
              <w:top w:val="nil"/>
              <w:bottom w:val="nil"/>
            </w:tcBorders>
            <w:shd w:val="clear" w:color="auto" w:fill="8EAEDE"/>
            <w:vAlign w:val="bottom"/>
          </w:tcPr>
          <w:p w14:paraId="64DD9B0E" w14:textId="77777777" w:rsidR="009145B2" w:rsidRPr="00F53504" w:rsidRDefault="009145B2" w:rsidP="00851613">
            <w:pPr>
              <w:pStyle w:val="Tablecontentrightcolumn"/>
            </w:pPr>
            <w:r w:rsidRPr="00F53504">
              <w:t>24,271</w:t>
            </w:r>
          </w:p>
        </w:tc>
        <w:tc>
          <w:tcPr>
            <w:tcW w:w="831" w:type="pct"/>
            <w:tcBorders>
              <w:top w:val="nil"/>
              <w:bottom w:val="nil"/>
            </w:tcBorders>
            <w:shd w:val="clear" w:color="auto" w:fill="8EAEDE"/>
            <w:vAlign w:val="bottom"/>
          </w:tcPr>
          <w:p w14:paraId="24924F57" w14:textId="77777777" w:rsidR="009145B2" w:rsidRPr="00F53504" w:rsidRDefault="009145B2" w:rsidP="00851613">
            <w:pPr>
              <w:pStyle w:val="Tablecontentrightcolumn"/>
            </w:pPr>
            <w:r w:rsidRPr="00F53504">
              <w:t>919,159</w:t>
            </w:r>
          </w:p>
        </w:tc>
      </w:tr>
    </w:tbl>
    <w:p w14:paraId="73655362" w14:textId="7533CA6F" w:rsidR="009145B2" w:rsidRDefault="009145B2" w:rsidP="009145B2">
      <w:pPr>
        <w:pStyle w:val="Source"/>
      </w:pPr>
      <w:r w:rsidRPr="00F53504">
        <w:t>(a) Examples of Disturbance costs include gardening fees, cleaning fees, school uniforms and utility connection and exit costs.</w:t>
      </w:r>
    </w:p>
    <w:p w14:paraId="5EE9E85A" w14:textId="6EAC9121" w:rsidR="00007C3B" w:rsidRPr="00007C3B" w:rsidRDefault="00007C3B" w:rsidP="00007C3B">
      <w:pPr>
        <w:pStyle w:val="Source"/>
      </w:pPr>
      <w:r w:rsidRPr="00007C3B">
        <w:rPr>
          <w:b/>
        </w:rPr>
        <w:t xml:space="preserve">Note: </w:t>
      </w:r>
      <w:r w:rsidRPr="00007C3B">
        <w:t>RATTUAJ participants that did not relocate may have inc</w:t>
      </w:r>
      <w:r>
        <w:t>urred expenses in preparation for</w:t>
      </w:r>
      <w:r w:rsidRPr="00007C3B">
        <w:t xml:space="preserve"> a move.</w:t>
      </w:r>
      <w:r w:rsidR="00C62791">
        <w:t xml:space="preserve"> Outcomes are determined as at 31 March 2016.</w:t>
      </w:r>
    </w:p>
    <w:p w14:paraId="113CC187" w14:textId="77777777" w:rsidR="009145B2" w:rsidRPr="00F53504" w:rsidRDefault="009145B2" w:rsidP="009145B2">
      <w:pPr>
        <w:pStyle w:val="Source"/>
      </w:pPr>
      <w:r w:rsidRPr="00F53504">
        <w:rPr>
          <w:b/>
        </w:rPr>
        <w:t>Source:</w:t>
      </w:r>
      <w:r w:rsidRPr="00F53504">
        <w:t xml:space="preserve"> EBIW data.</w:t>
      </w:r>
    </w:p>
    <w:p w14:paraId="62D9134F" w14:textId="77777777" w:rsidR="00BD0737" w:rsidRPr="00F53504" w:rsidRDefault="00BD0737" w:rsidP="009145B2">
      <w:pPr>
        <w:pStyle w:val="Caption"/>
      </w:pPr>
      <w:r w:rsidRPr="00F53504">
        <w:br w:type="page"/>
      </w:r>
    </w:p>
    <w:p w14:paraId="3CC6B18A" w14:textId="77777777" w:rsidR="009145B2" w:rsidRPr="00F53504" w:rsidRDefault="009145B2" w:rsidP="009145B2">
      <w:pPr>
        <w:pStyle w:val="Caption"/>
        <w:rPr>
          <w:noProof/>
        </w:rPr>
      </w:pPr>
      <w:r w:rsidRPr="00F53504">
        <w:lastRenderedPageBreak/>
        <w:t xml:space="preserve">Table </w:t>
      </w:r>
      <w:r w:rsidR="00122B47" w:rsidRPr="00F53504">
        <w:t>A.</w:t>
      </w:r>
      <w:r w:rsidR="005129E7">
        <w:t>9</w:t>
      </w:r>
      <w:r w:rsidRPr="00F53504">
        <w:rPr>
          <w:noProof/>
        </w:rPr>
        <w:t xml:space="preserve">: Expenditure under </w:t>
      </w:r>
      <w:r w:rsidR="0041378D" w:rsidRPr="00F53504">
        <w:rPr>
          <w:noProof/>
        </w:rPr>
        <w:t>RATTUAJ</w:t>
      </w:r>
      <w:r w:rsidRPr="00F53504">
        <w:rPr>
          <w:noProof/>
        </w:rPr>
        <w:t xml:space="preserve"> by relocation status of the program participant – jobactive</w:t>
      </w:r>
    </w:p>
    <w:tbl>
      <w:tblPr>
        <w:tblStyle w:val="DEEWRTable"/>
        <w:tblW w:w="5000" w:type="pct"/>
        <w:tblLook w:val="0420" w:firstRow="1" w:lastRow="0" w:firstColumn="0" w:lastColumn="0" w:noHBand="0" w:noVBand="1"/>
      </w:tblPr>
      <w:tblGrid>
        <w:gridCol w:w="3024"/>
        <w:gridCol w:w="1500"/>
        <w:gridCol w:w="1502"/>
        <w:gridCol w:w="1500"/>
        <w:gridCol w:w="1500"/>
      </w:tblGrid>
      <w:tr w:rsidR="009145B2" w:rsidRPr="00F53504" w14:paraId="7E2A6A51" w14:textId="77777777" w:rsidTr="00851613">
        <w:trPr>
          <w:cnfStyle w:val="100000000000" w:firstRow="1" w:lastRow="0" w:firstColumn="0" w:lastColumn="0" w:oddVBand="0" w:evenVBand="0" w:oddHBand="0" w:evenHBand="0" w:firstRowFirstColumn="0" w:firstRowLastColumn="0" w:lastRowFirstColumn="0" w:lastRowLastColumn="0"/>
        </w:trPr>
        <w:tc>
          <w:tcPr>
            <w:tcW w:w="1675" w:type="pct"/>
            <w:tcBorders>
              <w:bottom w:val="nil"/>
            </w:tcBorders>
            <w:shd w:val="clear" w:color="auto" w:fill="1E3D6B"/>
            <w:vAlign w:val="bottom"/>
          </w:tcPr>
          <w:p w14:paraId="2D95CDEE" w14:textId="77777777" w:rsidR="009145B2" w:rsidRPr="00F53504" w:rsidRDefault="009145B2" w:rsidP="00851613">
            <w:pPr>
              <w:pStyle w:val="Tableheadingleftcolumn"/>
              <w:rPr>
                <w:b/>
              </w:rPr>
            </w:pPr>
            <w:r w:rsidRPr="00F53504">
              <w:rPr>
                <w:b/>
              </w:rPr>
              <w:t>Relocation cost component</w:t>
            </w:r>
          </w:p>
        </w:tc>
        <w:tc>
          <w:tcPr>
            <w:tcW w:w="831" w:type="pct"/>
            <w:tcBorders>
              <w:bottom w:val="nil"/>
            </w:tcBorders>
            <w:shd w:val="clear" w:color="auto" w:fill="1E3D6B"/>
            <w:vAlign w:val="bottom"/>
          </w:tcPr>
          <w:p w14:paraId="6709F249" w14:textId="77777777" w:rsidR="009145B2" w:rsidRPr="00F53504" w:rsidRDefault="009145B2" w:rsidP="00851613">
            <w:pPr>
              <w:pStyle w:val="Tableheadingrightcolumn"/>
              <w:rPr>
                <w:b/>
              </w:rPr>
            </w:pPr>
            <w:r w:rsidRPr="00F53504">
              <w:rPr>
                <w:b/>
              </w:rPr>
              <w:t>Relocated and achieved an employment outcome and made a claim</w:t>
            </w:r>
            <w:r w:rsidRPr="00F53504">
              <w:rPr>
                <w:b/>
              </w:rPr>
              <w:br/>
              <w:t>N = 149</w:t>
            </w:r>
            <w:r w:rsidRPr="00F53504">
              <w:rPr>
                <w:b/>
              </w:rPr>
              <w:br/>
              <w:t>$</w:t>
            </w:r>
          </w:p>
        </w:tc>
        <w:tc>
          <w:tcPr>
            <w:tcW w:w="832" w:type="pct"/>
            <w:tcBorders>
              <w:bottom w:val="nil"/>
            </w:tcBorders>
            <w:shd w:val="clear" w:color="auto" w:fill="1E3D6B"/>
            <w:vAlign w:val="bottom"/>
          </w:tcPr>
          <w:p w14:paraId="03A0B7A9" w14:textId="77777777" w:rsidR="009145B2" w:rsidRPr="00F53504" w:rsidRDefault="009145B2" w:rsidP="00851613">
            <w:pPr>
              <w:pStyle w:val="Tableheadingrightcolumn"/>
              <w:rPr>
                <w:b/>
              </w:rPr>
            </w:pPr>
            <w:r w:rsidRPr="00F53504">
              <w:rPr>
                <w:b/>
              </w:rPr>
              <w:t>Relocated and did not achieve an employment outcome and made a claim</w:t>
            </w:r>
            <w:r w:rsidRPr="00F53504">
              <w:rPr>
                <w:b/>
              </w:rPr>
              <w:br/>
              <w:t>N = 34</w:t>
            </w:r>
            <w:r w:rsidRPr="00F53504">
              <w:rPr>
                <w:b/>
              </w:rPr>
              <w:br/>
              <w:t>$</w:t>
            </w:r>
          </w:p>
        </w:tc>
        <w:tc>
          <w:tcPr>
            <w:tcW w:w="831" w:type="pct"/>
            <w:tcBorders>
              <w:bottom w:val="nil"/>
            </w:tcBorders>
            <w:shd w:val="clear" w:color="auto" w:fill="1E3D6B"/>
            <w:vAlign w:val="bottom"/>
          </w:tcPr>
          <w:p w14:paraId="47B27967" w14:textId="77777777" w:rsidR="009145B2" w:rsidRPr="00F53504" w:rsidRDefault="009145B2" w:rsidP="00851613">
            <w:pPr>
              <w:pStyle w:val="Tableheadingrightcolumn"/>
              <w:rPr>
                <w:b/>
              </w:rPr>
            </w:pPr>
            <w:r w:rsidRPr="00F53504">
              <w:rPr>
                <w:b/>
              </w:rPr>
              <w:t>Not relocated and made a claim</w:t>
            </w:r>
            <w:r w:rsidRPr="00F53504">
              <w:rPr>
                <w:b/>
              </w:rPr>
              <w:br/>
              <w:t>N = 3</w:t>
            </w:r>
            <w:r w:rsidRPr="00F53504">
              <w:rPr>
                <w:b/>
              </w:rPr>
              <w:br/>
              <w:t>$</w:t>
            </w:r>
          </w:p>
        </w:tc>
        <w:tc>
          <w:tcPr>
            <w:tcW w:w="831" w:type="pct"/>
            <w:tcBorders>
              <w:bottom w:val="nil"/>
            </w:tcBorders>
            <w:shd w:val="clear" w:color="auto" w:fill="1E3D6B"/>
            <w:vAlign w:val="bottom"/>
          </w:tcPr>
          <w:p w14:paraId="24E8484D" w14:textId="77777777" w:rsidR="009145B2" w:rsidRPr="00F53504" w:rsidRDefault="009145B2" w:rsidP="00851613">
            <w:pPr>
              <w:pStyle w:val="Tableheadingrightcolumn"/>
              <w:rPr>
                <w:b/>
              </w:rPr>
            </w:pPr>
            <w:r w:rsidRPr="00F53504">
              <w:rPr>
                <w:b/>
              </w:rPr>
              <w:t>Total</w:t>
            </w:r>
            <w:r w:rsidRPr="00F53504">
              <w:rPr>
                <w:b/>
              </w:rPr>
              <w:br/>
              <w:t>N = 186</w:t>
            </w:r>
            <w:r w:rsidRPr="00F53504">
              <w:rPr>
                <w:b/>
              </w:rPr>
              <w:br/>
              <w:t>$</w:t>
            </w:r>
          </w:p>
        </w:tc>
      </w:tr>
      <w:tr w:rsidR="009145B2" w:rsidRPr="00F53504" w14:paraId="100901E3" w14:textId="77777777" w:rsidTr="00851613">
        <w:trPr>
          <w:trHeight w:val="283"/>
        </w:trPr>
        <w:tc>
          <w:tcPr>
            <w:tcW w:w="1675" w:type="pct"/>
            <w:tcBorders>
              <w:top w:val="nil"/>
              <w:bottom w:val="nil"/>
            </w:tcBorders>
            <w:vAlign w:val="bottom"/>
          </w:tcPr>
          <w:p w14:paraId="3C3D960B" w14:textId="77777777" w:rsidR="009145B2" w:rsidRPr="00F53504" w:rsidRDefault="009145B2" w:rsidP="00851613">
            <w:pPr>
              <w:pStyle w:val="Tablecontentleftcolumn"/>
            </w:pPr>
            <w:r w:rsidRPr="00F53504">
              <w:t>Accommodation</w:t>
            </w:r>
          </w:p>
        </w:tc>
        <w:tc>
          <w:tcPr>
            <w:tcW w:w="831" w:type="pct"/>
            <w:tcBorders>
              <w:top w:val="nil"/>
              <w:bottom w:val="nil"/>
            </w:tcBorders>
            <w:vAlign w:val="bottom"/>
          </w:tcPr>
          <w:p w14:paraId="21B1FE23" w14:textId="77777777" w:rsidR="009145B2" w:rsidRPr="00F53504" w:rsidRDefault="009145B2" w:rsidP="00851613">
            <w:pPr>
              <w:pStyle w:val="Tablecontentrightcolumn"/>
            </w:pPr>
            <w:r w:rsidRPr="00F53504">
              <w:t>135,317</w:t>
            </w:r>
          </w:p>
        </w:tc>
        <w:tc>
          <w:tcPr>
            <w:tcW w:w="832" w:type="pct"/>
            <w:tcBorders>
              <w:top w:val="nil"/>
              <w:bottom w:val="nil"/>
            </w:tcBorders>
            <w:vAlign w:val="bottom"/>
          </w:tcPr>
          <w:p w14:paraId="446F4BE6" w14:textId="77777777" w:rsidR="009145B2" w:rsidRPr="00F53504" w:rsidRDefault="009145B2" w:rsidP="00851613">
            <w:pPr>
              <w:pStyle w:val="Tablecontentrightcolumn"/>
            </w:pPr>
            <w:r w:rsidRPr="00F53504">
              <w:t>23,880</w:t>
            </w:r>
          </w:p>
        </w:tc>
        <w:tc>
          <w:tcPr>
            <w:tcW w:w="831" w:type="pct"/>
            <w:tcBorders>
              <w:top w:val="nil"/>
              <w:bottom w:val="nil"/>
            </w:tcBorders>
            <w:vAlign w:val="bottom"/>
          </w:tcPr>
          <w:p w14:paraId="7CBF7F75" w14:textId="77777777" w:rsidR="009145B2" w:rsidRPr="00F53504" w:rsidRDefault="009145B2" w:rsidP="00851613">
            <w:pPr>
              <w:pStyle w:val="Tablecontentrightcolumn"/>
            </w:pPr>
            <w:r w:rsidRPr="00F53504">
              <w:t>1,182</w:t>
            </w:r>
          </w:p>
        </w:tc>
        <w:tc>
          <w:tcPr>
            <w:tcW w:w="831" w:type="pct"/>
            <w:tcBorders>
              <w:top w:val="nil"/>
              <w:bottom w:val="nil"/>
            </w:tcBorders>
            <w:vAlign w:val="bottom"/>
          </w:tcPr>
          <w:p w14:paraId="5989A197" w14:textId="77777777" w:rsidR="009145B2" w:rsidRPr="00F53504" w:rsidRDefault="009145B2" w:rsidP="00851613">
            <w:pPr>
              <w:pStyle w:val="Tablecontentrightcolumn"/>
            </w:pPr>
            <w:r w:rsidRPr="00F53504">
              <w:t>160,379</w:t>
            </w:r>
          </w:p>
        </w:tc>
      </w:tr>
      <w:tr w:rsidR="009145B2" w:rsidRPr="00F53504" w14:paraId="7073EDA2" w14:textId="77777777" w:rsidTr="00851613">
        <w:trPr>
          <w:trHeight w:val="283"/>
        </w:trPr>
        <w:tc>
          <w:tcPr>
            <w:tcW w:w="1675" w:type="pct"/>
            <w:tcBorders>
              <w:bottom w:val="nil"/>
            </w:tcBorders>
            <w:shd w:val="clear" w:color="auto" w:fill="F2F2F2" w:themeFill="background1" w:themeFillShade="F2"/>
            <w:vAlign w:val="bottom"/>
          </w:tcPr>
          <w:p w14:paraId="449A27BF" w14:textId="77777777" w:rsidR="009145B2" w:rsidRPr="00F53504" w:rsidRDefault="009145B2" w:rsidP="00851613">
            <w:pPr>
              <w:pStyle w:val="Tablecontentleftcolumn"/>
            </w:pPr>
            <w:r w:rsidRPr="00F53504">
              <w:t>Disturbance costs</w:t>
            </w:r>
            <w:r w:rsidRPr="00F53504">
              <w:rPr>
                <w:vertAlign w:val="superscript"/>
              </w:rPr>
              <w:t>(a)</w:t>
            </w:r>
          </w:p>
        </w:tc>
        <w:tc>
          <w:tcPr>
            <w:tcW w:w="831" w:type="pct"/>
            <w:tcBorders>
              <w:bottom w:val="nil"/>
            </w:tcBorders>
            <w:shd w:val="clear" w:color="auto" w:fill="F2F2F2" w:themeFill="background1" w:themeFillShade="F2"/>
            <w:vAlign w:val="bottom"/>
          </w:tcPr>
          <w:p w14:paraId="68F3B2C2" w14:textId="77777777" w:rsidR="009145B2" w:rsidRPr="00F53504" w:rsidRDefault="009145B2" w:rsidP="00851613">
            <w:pPr>
              <w:pStyle w:val="Tablecontentrightcolumn"/>
            </w:pPr>
            <w:r w:rsidRPr="00F53504">
              <w:t>27,751</w:t>
            </w:r>
          </w:p>
        </w:tc>
        <w:tc>
          <w:tcPr>
            <w:tcW w:w="832" w:type="pct"/>
            <w:tcBorders>
              <w:bottom w:val="nil"/>
            </w:tcBorders>
            <w:shd w:val="clear" w:color="auto" w:fill="F2F2F2" w:themeFill="background1" w:themeFillShade="F2"/>
            <w:vAlign w:val="bottom"/>
          </w:tcPr>
          <w:p w14:paraId="681DBDA7" w14:textId="77777777" w:rsidR="009145B2" w:rsidRPr="00F53504" w:rsidRDefault="009145B2" w:rsidP="00851613">
            <w:pPr>
              <w:pStyle w:val="Tablecontentrightcolumn"/>
            </w:pPr>
            <w:r w:rsidRPr="00F53504">
              <w:t>7,259</w:t>
            </w:r>
          </w:p>
        </w:tc>
        <w:tc>
          <w:tcPr>
            <w:tcW w:w="831" w:type="pct"/>
            <w:tcBorders>
              <w:bottom w:val="nil"/>
            </w:tcBorders>
            <w:shd w:val="clear" w:color="auto" w:fill="F2F2F2" w:themeFill="background1" w:themeFillShade="F2"/>
            <w:vAlign w:val="bottom"/>
          </w:tcPr>
          <w:p w14:paraId="58018F33" w14:textId="77777777" w:rsidR="009145B2" w:rsidRPr="00F53504" w:rsidRDefault="009145B2" w:rsidP="00851613">
            <w:pPr>
              <w:pStyle w:val="Tablecontentrightcolumn"/>
            </w:pPr>
            <w:r w:rsidRPr="00F53504">
              <w:t>290</w:t>
            </w:r>
          </w:p>
        </w:tc>
        <w:tc>
          <w:tcPr>
            <w:tcW w:w="831" w:type="pct"/>
            <w:tcBorders>
              <w:bottom w:val="nil"/>
            </w:tcBorders>
            <w:shd w:val="clear" w:color="auto" w:fill="F2F2F2" w:themeFill="background1" w:themeFillShade="F2"/>
            <w:vAlign w:val="bottom"/>
          </w:tcPr>
          <w:p w14:paraId="4EDF8812" w14:textId="77777777" w:rsidR="009145B2" w:rsidRPr="00F53504" w:rsidRDefault="009145B2" w:rsidP="00851613">
            <w:pPr>
              <w:pStyle w:val="Tablecontentrightcolumn"/>
            </w:pPr>
            <w:r w:rsidRPr="00F53504">
              <w:t>35,300</w:t>
            </w:r>
          </w:p>
        </w:tc>
      </w:tr>
      <w:tr w:rsidR="009145B2" w:rsidRPr="00F53504" w14:paraId="5AD107B0" w14:textId="77777777" w:rsidTr="00851613">
        <w:trPr>
          <w:trHeight w:val="283"/>
        </w:trPr>
        <w:tc>
          <w:tcPr>
            <w:tcW w:w="1675" w:type="pct"/>
            <w:tcBorders>
              <w:bottom w:val="nil"/>
            </w:tcBorders>
            <w:vAlign w:val="bottom"/>
          </w:tcPr>
          <w:p w14:paraId="2A704A8D" w14:textId="77777777" w:rsidR="009145B2" w:rsidRPr="00F53504" w:rsidRDefault="009145B2" w:rsidP="00851613">
            <w:pPr>
              <w:pStyle w:val="Tablecontentleftcolumn"/>
            </w:pPr>
            <w:r w:rsidRPr="00F53504">
              <w:t>Employment</w:t>
            </w:r>
          </w:p>
        </w:tc>
        <w:tc>
          <w:tcPr>
            <w:tcW w:w="831" w:type="pct"/>
            <w:tcBorders>
              <w:bottom w:val="nil"/>
            </w:tcBorders>
            <w:vAlign w:val="bottom"/>
          </w:tcPr>
          <w:p w14:paraId="30E8CFE0" w14:textId="77777777" w:rsidR="009145B2" w:rsidRPr="00F53504" w:rsidRDefault="009145B2" w:rsidP="00851613">
            <w:pPr>
              <w:pStyle w:val="Tablecontentrightcolumn"/>
            </w:pPr>
            <w:r w:rsidRPr="00F53504">
              <w:t>10,165</w:t>
            </w:r>
          </w:p>
        </w:tc>
        <w:tc>
          <w:tcPr>
            <w:tcW w:w="832" w:type="pct"/>
            <w:tcBorders>
              <w:bottom w:val="nil"/>
            </w:tcBorders>
            <w:vAlign w:val="bottom"/>
          </w:tcPr>
          <w:p w14:paraId="6E7B973E" w14:textId="77777777" w:rsidR="009145B2" w:rsidRPr="00F53504" w:rsidRDefault="009145B2" w:rsidP="00851613">
            <w:pPr>
              <w:pStyle w:val="Tablecontentrightcolumn"/>
            </w:pPr>
            <w:r w:rsidRPr="00F53504">
              <w:t>1,279</w:t>
            </w:r>
          </w:p>
        </w:tc>
        <w:tc>
          <w:tcPr>
            <w:tcW w:w="831" w:type="pct"/>
            <w:tcBorders>
              <w:bottom w:val="nil"/>
            </w:tcBorders>
            <w:vAlign w:val="bottom"/>
          </w:tcPr>
          <w:p w14:paraId="166621AF" w14:textId="77777777" w:rsidR="009145B2" w:rsidRPr="00F53504" w:rsidRDefault="009145B2" w:rsidP="00851613">
            <w:pPr>
              <w:pStyle w:val="Tablecontentrightcolumn"/>
            </w:pPr>
            <w:r w:rsidRPr="00F53504">
              <w:t>—</w:t>
            </w:r>
          </w:p>
        </w:tc>
        <w:tc>
          <w:tcPr>
            <w:tcW w:w="831" w:type="pct"/>
            <w:tcBorders>
              <w:bottom w:val="nil"/>
            </w:tcBorders>
            <w:vAlign w:val="bottom"/>
          </w:tcPr>
          <w:p w14:paraId="6726E94C" w14:textId="77777777" w:rsidR="009145B2" w:rsidRPr="00F53504" w:rsidRDefault="009145B2" w:rsidP="00851613">
            <w:pPr>
              <w:pStyle w:val="Tablecontentrightcolumn"/>
            </w:pPr>
            <w:r w:rsidRPr="00F53504">
              <w:t>11,444</w:t>
            </w:r>
          </w:p>
        </w:tc>
      </w:tr>
      <w:tr w:rsidR="009145B2" w:rsidRPr="00F53504" w14:paraId="7F3EA250" w14:textId="77777777" w:rsidTr="00851613">
        <w:trPr>
          <w:trHeight w:val="283"/>
        </w:trPr>
        <w:tc>
          <w:tcPr>
            <w:tcW w:w="1675" w:type="pct"/>
            <w:tcBorders>
              <w:bottom w:val="nil"/>
            </w:tcBorders>
            <w:shd w:val="clear" w:color="auto" w:fill="F2F2F2" w:themeFill="background1" w:themeFillShade="F2"/>
            <w:vAlign w:val="bottom"/>
          </w:tcPr>
          <w:p w14:paraId="2020C72D" w14:textId="77777777" w:rsidR="009145B2" w:rsidRPr="00F53504" w:rsidRDefault="009145B2" w:rsidP="00851613">
            <w:pPr>
              <w:pStyle w:val="Tablecontentleftcolumn"/>
            </w:pPr>
            <w:r w:rsidRPr="00F53504">
              <w:t>Removalist</w:t>
            </w:r>
          </w:p>
        </w:tc>
        <w:tc>
          <w:tcPr>
            <w:tcW w:w="831" w:type="pct"/>
            <w:tcBorders>
              <w:bottom w:val="nil"/>
            </w:tcBorders>
            <w:shd w:val="clear" w:color="auto" w:fill="F2F2F2" w:themeFill="background1" w:themeFillShade="F2"/>
            <w:vAlign w:val="bottom"/>
          </w:tcPr>
          <w:p w14:paraId="2485D3D4" w14:textId="77777777" w:rsidR="009145B2" w:rsidRPr="00F53504" w:rsidRDefault="009145B2" w:rsidP="00851613">
            <w:pPr>
              <w:pStyle w:val="Tablecontentrightcolumn"/>
            </w:pPr>
            <w:r w:rsidRPr="00F53504">
              <w:t>134,526</w:t>
            </w:r>
          </w:p>
        </w:tc>
        <w:tc>
          <w:tcPr>
            <w:tcW w:w="832" w:type="pct"/>
            <w:tcBorders>
              <w:bottom w:val="nil"/>
            </w:tcBorders>
            <w:shd w:val="clear" w:color="auto" w:fill="F2F2F2" w:themeFill="background1" w:themeFillShade="F2"/>
            <w:vAlign w:val="bottom"/>
          </w:tcPr>
          <w:p w14:paraId="3D1C349F" w14:textId="77777777" w:rsidR="009145B2" w:rsidRPr="00F53504" w:rsidRDefault="009145B2" w:rsidP="00851613">
            <w:pPr>
              <w:pStyle w:val="Tablecontentrightcolumn"/>
            </w:pPr>
            <w:r w:rsidRPr="00F53504">
              <w:t>21,580</w:t>
            </w:r>
          </w:p>
        </w:tc>
        <w:tc>
          <w:tcPr>
            <w:tcW w:w="831" w:type="pct"/>
            <w:tcBorders>
              <w:bottom w:val="nil"/>
            </w:tcBorders>
            <w:shd w:val="clear" w:color="auto" w:fill="F2F2F2" w:themeFill="background1" w:themeFillShade="F2"/>
            <w:vAlign w:val="bottom"/>
          </w:tcPr>
          <w:p w14:paraId="7E1B91F9" w14:textId="77777777" w:rsidR="009145B2" w:rsidRPr="00F53504" w:rsidRDefault="009145B2" w:rsidP="00851613">
            <w:pPr>
              <w:pStyle w:val="Tablecontentrightcolumn"/>
            </w:pPr>
            <w:r w:rsidRPr="00F53504">
              <w:t>3,074</w:t>
            </w:r>
          </w:p>
        </w:tc>
        <w:tc>
          <w:tcPr>
            <w:tcW w:w="831" w:type="pct"/>
            <w:tcBorders>
              <w:bottom w:val="nil"/>
            </w:tcBorders>
            <w:shd w:val="clear" w:color="auto" w:fill="F2F2F2" w:themeFill="background1" w:themeFillShade="F2"/>
            <w:vAlign w:val="bottom"/>
          </w:tcPr>
          <w:p w14:paraId="02BBF1F9" w14:textId="77777777" w:rsidR="009145B2" w:rsidRPr="00F53504" w:rsidRDefault="009145B2" w:rsidP="00851613">
            <w:pPr>
              <w:pStyle w:val="Tablecontentrightcolumn"/>
            </w:pPr>
            <w:r w:rsidRPr="00F53504">
              <w:t>159,180</w:t>
            </w:r>
          </w:p>
        </w:tc>
      </w:tr>
      <w:tr w:rsidR="009145B2" w:rsidRPr="00F53504" w14:paraId="332DA112" w14:textId="77777777" w:rsidTr="00851613">
        <w:trPr>
          <w:trHeight w:val="283"/>
        </w:trPr>
        <w:tc>
          <w:tcPr>
            <w:tcW w:w="1675" w:type="pct"/>
            <w:tcBorders>
              <w:bottom w:val="nil"/>
            </w:tcBorders>
            <w:vAlign w:val="bottom"/>
          </w:tcPr>
          <w:p w14:paraId="20E5D47F" w14:textId="77777777" w:rsidR="009145B2" w:rsidRPr="00F53504" w:rsidRDefault="009145B2" w:rsidP="00851613">
            <w:pPr>
              <w:pStyle w:val="Tablecontentleftcolumn"/>
            </w:pPr>
            <w:r w:rsidRPr="00F53504">
              <w:t>Travel</w:t>
            </w:r>
          </w:p>
        </w:tc>
        <w:tc>
          <w:tcPr>
            <w:tcW w:w="831" w:type="pct"/>
            <w:tcBorders>
              <w:bottom w:val="nil"/>
            </w:tcBorders>
            <w:vAlign w:val="bottom"/>
          </w:tcPr>
          <w:p w14:paraId="2C15D93D" w14:textId="77777777" w:rsidR="009145B2" w:rsidRPr="00F53504" w:rsidRDefault="009145B2" w:rsidP="00851613">
            <w:pPr>
              <w:pStyle w:val="Tablecontentrightcolumn"/>
            </w:pPr>
            <w:r w:rsidRPr="00F53504">
              <w:t>55,206</w:t>
            </w:r>
          </w:p>
        </w:tc>
        <w:tc>
          <w:tcPr>
            <w:tcW w:w="832" w:type="pct"/>
            <w:tcBorders>
              <w:bottom w:val="nil"/>
            </w:tcBorders>
            <w:vAlign w:val="bottom"/>
          </w:tcPr>
          <w:p w14:paraId="5D3BCF7A" w14:textId="77777777" w:rsidR="009145B2" w:rsidRPr="00F53504" w:rsidRDefault="009145B2" w:rsidP="00851613">
            <w:pPr>
              <w:pStyle w:val="Tablecontentrightcolumn"/>
            </w:pPr>
            <w:r w:rsidRPr="00F53504">
              <w:t>12,751</w:t>
            </w:r>
          </w:p>
        </w:tc>
        <w:tc>
          <w:tcPr>
            <w:tcW w:w="831" w:type="pct"/>
            <w:tcBorders>
              <w:bottom w:val="nil"/>
            </w:tcBorders>
            <w:vAlign w:val="bottom"/>
          </w:tcPr>
          <w:p w14:paraId="5A935EC0" w14:textId="77777777" w:rsidR="009145B2" w:rsidRPr="00F53504" w:rsidRDefault="009145B2" w:rsidP="00851613">
            <w:pPr>
              <w:pStyle w:val="Tablecontentrightcolumn"/>
            </w:pPr>
            <w:r w:rsidRPr="00F53504">
              <w:t>404</w:t>
            </w:r>
          </w:p>
        </w:tc>
        <w:tc>
          <w:tcPr>
            <w:tcW w:w="831" w:type="pct"/>
            <w:tcBorders>
              <w:bottom w:val="nil"/>
            </w:tcBorders>
            <w:vAlign w:val="bottom"/>
          </w:tcPr>
          <w:p w14:paraId="62A6C703" w14:textId="77777777" w:rsidR="009145B2" w:rsidRPr="00F53504" w:rsidRDefault="009145B2" w:rsidP="00851613">
            <w:pPr>
              <w:pStyle w:val="Tablecontentrightcolumn"/>
            </w:pPr>
            <w:r w:rsidRPr="00F53504">
              <w:t>68,361</w:t>
            </w:r>
          </w:p>
        </w:tc>
      </w:tr>
      <w:tr w:rsidR="009145B2" w:rsidRPr="00F53504" w14:paraId="788E2188" w14:textId="77777777" w:rsidTr="00851613">
        <w:trPr>
          <w:trHeight w:val="283"/>
        </w:trPr>
        <w:tc>
          <w:tcPr>
            <w:tcW w:w="1675" w:type="pct"/>
            <w:tcBorders>
              <w:top w:val="nil"/>
              <w:bottom w:val="nil"/>
            </w:tcBorders>
            <w:shd w:val="clear" w:color="auto" w:fill="F2F2F2" w:themeFill="background1" w:themeFillShade="F2"/>
            <w:vAlign w:val="bottom"/>
          </w:tcPr>
          <w:p w14:paraId="7889075A" w14:textId="77777777" w:rsidR="009145B2" w:rsidRPr="00F53504" w:rsidRDefault="009145B2" w:rsidP="00851613">
            <w:pPr>
              <w:pStyle w:val="Tablecontentleftcolumn"/>
            </w:pPr>
            <w:r w:rsidRPr="00F53504">
              <w:t>Bond</w:t>
            </w:r>
            <w:r w:rsidRPr="00F53504">
              <w:rPr>
                <w:vertAlign w:val="superscript"/>
              </w:rPr>
              <w:t>(b)</w:t>
            </w:r>
          </w:p>
        </w:tc>
        <w:tc>
          <w:tcPr>
            <w:tcW w:w="831" w:type="pct"/>
            <w:tcBorders>
              <w:top w:val="nil"/>
              <w:bottom w:val="nil"/>
            </w:tcBorders>
            <w:shd w:val="clear" w:color="auto" w:fill="F2F2F2" w:themeFill="background1" w:themeFillShade="F2"/>
            <w:vAlign w:val="bottom"/>
          </w:tcPr>
          <w:p w14:paraId="3BEC0367" w14:textId="77777777" w:rsidR="009145B2" w:rsidRPr="00F53504" w:rsidRDefault="009145B2" w:rsidP="00851613">
            <w:pPr>
              <w:pStyle w:val="Tablecontentrightcolumn"/>
            </w:pPr>
            <w:r w:rsidRPr="00F53504">
              <w:t>43,545</w:t>
            </w:r>
          </w:p>
        </w:tc>
        <w:tc>
          <w:tcPr>
            <w:tcW w:w="832" w:type="pct"/>
            <w:tcBorders>
              <w:top w:val="nil"/>
              <w:bottom w:val="nil"/>
            </w:tcBorders>
            <w:shd w:val="clear" w:color="auto" w:fill="F2F2F2" w:themeFill="background1" w:themeFillShade="F2"/>
            <w:vAlign w:val="bottom"/>
          </w:tcPr>
          <w:p w14:paraId="684B5C0F" w14:textId="77777777" w:rsidR="009145B2" w:rsidRPr="00F53504" w:rsidRDefault="009145B2" w:rsidP="00851613">
            <w:pPr>
              <w:pStyle w:val="Tablecontentrightcolumn"/>
            </w:pPr>
            <w:r w:rsidRPr="00F53504">
              <w:t>10,967</w:t>
            </w:r>
          </w:p>
        </w:tc>
        <w:tc>
          <w:tcPr>
            <w:tcW w:w="831" w:type="pct"/>
            <w:tcBorders>
              <w:top w:val="nil"/>
              <w:bottom w:val="nil"/>
            </w:tcBorders>
            <w:shd w:val="clear" w:color="auto" w:fill="F2F2F2" w:themeFill="background1" w:themeFillShade="F2"/>
            <w:vAlign w:val="bottom"/>
          </w:tcPr>
          <w:p w14:paraId="2E179CE4" w14:textId="77777777" w:rsidR="009145B2" w:rsidRPr="00F53504" w:rsidRDefault="009145B2" w:rsidP="00851613">
            <w:pPr>
              <w:pStyle w:val="Tablecontentrightcolumn"/>
            </w:pPr>
            <w:r w:rsidRPr="00F53504">
              <w:t>—</w:t>
            </w:r>
          </w:p>
        </w:tc>
        <w:tc>
          <w:tcPr>
            <w:tcW w:w="831" w:type="pct"/>
            <w:tcBorders>
              <w:top w:val="nil"/>
              <w:bottom w:val="nil"/>
            </w:tcBorders>
            <w:shd w:val="clear" w:color="auto" w:fill="F2F2F2" w:themeFill="background1" w:themeFillShade="F2"/>
            <w:vAlign w:val="bottom"/>
          </w:tcPr>
          <w:p w14:paraId="5AEAB0D1" w14:textId="77777777" w:rsidR="009145B2" w:rsidRPr="00F53504" w:rsidRDefault="009145B2" w:rsidP="00851613">
            <w:pPr>
              <w:pStyle w:val="Tablecontentrightcolumn"/>
            </w:pPr>
            <w:r w:rsidRPr="00F53504">
              <w:t>54,512</w:t>
            </w:r>
          </w:p>
        </w:tc>
      </w:tr>
      <w:tr w:rsidR="009145B2" w:rsidRPr="00F53504" w14:paraId="1441F1DB" w14:textId="77777777" w:rsidTr="00851613">
        <w:trPr>
          <w:trHeight w:val="283"/>
        </w:trPr>
        <w:tc>
          <w:tcPr>
            <w:tcW w:w="1675" w:type="pct"/>
            <w:tcBorders>
              <w:top w:val="nil"/>
              <w:bottom w:val="nil"/>
            </w:tcBorders>
            <w:shd w:val="clear" w:color="auto" w:fill="8EAEDE"/>
            <w:vAlign w:val="bottom"/>
          </w:tcPr>
          <w:p w14:paraId="7FA955EA" w14:textId="77777777" w:rsidR="009145B2" w:rsidRPr="00F53504" w:rsidRDefault="009145B2" w:rsidP="00851613">
            <w:pPr>
              <w:pStyle w:val="Tablecontentleftcolumn"/>
            </w:pPr>
            <w:r w:rsidRPr="00F53504">
              <w:t>Total</w:t>
            </w:r>
          </w:p>
        </w:tc>
        <w:tc>
          <w:tcPr>
            <w:tcW w:w="831" w:type="pct"/>
            <w:tcBorders>
              <w:top w:val="nil"/>
              <w:bottom w:val="nil"/>
            </w:tcBorders>
            <w:shd w:val="clear" w:color="auto" w:fill="8EAEDE"/>
            <w:vAlign w:val="bottom"/>
          </w:tcPr>
          <w:p w14:paraId="1E51E76C" w14:textId="77777777" w:rsidR="009145B2" w:rsidRPr="00F53504" w:rsidRDefault="009145B2" w:rsidP="00851613">
            <w:pPr>
              <w:pStyle w:val="Tablecontentrightcolumn"/>
            </w:pPr>
            <w:r w:rsidRPr="00F53504">
              <w:t>406,510</w:t>
            </w:r>
          </w:p>
        </w:tc>
        <w:tc>
          <w:tcPr>
            <w:tcW w:w="832" w:type="pct"/>
            <w:tcBorders>
              <w:top w:val="nil"/>
              <w:bottom w:val="nil"/>
            </w:tcBorders>
            <w:shd w:val="clear" w:color="auto" w:fill="8EAEDE"/>
            <w:vAlign w:val="bottom"/>
          </w:tcPr>
          <w:p w14:paraId="4727E5FD" w14:textId="77777777" w:rsidR="009145B2" w:rsidRPr="00F53504" w:rsidRDefault="009145B2" w:rsidP="00851613">
            <w:pPr>
              <w:pStyle w:val="Tablecontentrightcolumn"/>
            </w:pPr>
            <w:r w:rsidRPr="00F53504">
              <w:t>77,716</w:t>
            </w:r>
          </w:p>
        </w:tc>
        <w:tc>
          <w:tcPr>
            <w:tcW w:w="831" w:type="pct"/>
            <w:tcBorders>
              <w:top w:val="nil"/>
              <w:bottom w:val="nil"/>
            </w:tcBorders>
            <w:shd w:val="clear" w:color="auto" w:fill="8EAEDE"/>
            <w:vAlign w:val="bottom"/>
          </w:tcPr>
          <w:p w14:paraId="60AEE6E3" w14:textId="77777777" w:rsidR="009145B2" w:rsidRPr="00F53504" w:rsidRDefault="009145B2" w:rsidP="00851613">
            <w:pPr>
              <w:pStyle w:val="Tablecontentrightcolumn"/>
            </w:pPr>
            <w:r w:rsidRPr="00F53504">
              <w:t>4,950</w:t>
            </w:r>
          </w:p>
        </w:tc>
        <w:tc>
          <w:tcPr>
            <w:tcW w:w="831" w:type="pct"/>
            <w:tcBorders>
              <w:top w:val="nil"/>
              <w:bottom w:val="nil"/>
            </w:tcBorders>
            <w:shd w:val="clear" w:color="auto" w:fill="8EAEDE"/>
            <w:vAlign w:val="bottom"/>
          </w:tcPr>
          <w:p w14:paraId="30DC7359" w14:textId="77777777" w:rsidR="009145B2" w:rsidRPr="00F53504" w:rsidRDefault="009145B2" w:rsidP="00851613">
            <w:pPr>
              <w:pStyle w:val="Tablecontentrightcolumn"/>
            </w:pPr>
            <w:r w:rsidRPr="00F53504">
              <w:t>489,176</w:t>
            </w:r>
          </w:p>
        </w:tc>
      </w:tr>
    </w:tbl>
    <w:p w14:paraId="40E80DD7" w14:textId="77777777" w:rsidR="009145B2" w:rsidRPr="00F53504" w:rsidRDefault="009145B2" w:rsidP="009145B2">
      <w:pPr>
        <w:pStyle w:val="Source"/>
      </w:pPr>
      <w:r w:rsidRPr="00F53504">
        <w:t>(a) Examples of Disturbance costs include gardening fees, cleaning fees, school uniforms and utility connection and exit costs.</w:t>
      </w:r>
    </w:p>
    <w:p w14:paraId="2167BC30" w14:textId="77777777" w:rsidR="009145B2" w:rsidRPr="00F53504" w:rsidRDefault="009145B2" w:rsidP="009145B2">
      <w:pPr>
        <w:pStyle w:val="Source"/>
      </w:pPr>
      <w:r w:rsidRPr="00F53504">
        <w:t>(b) A ‘Bond’ item code is only available under jobactive.</w:t>
      </w:r>
    </w:p>
    <w:p w14:paraId="1EA15DCE" w14:textId="556E6067" w:rsidR="000305C1" w:rsidRPr="00007C3B" w:rsidRDefault="000305C1" w:rsidP="000305C1">
      <w:pPr>
        <w:pStyle w:val="Source"/>
      </w:pPr>
      <w:r w:rsidRPr="00007C3B">
        <w:rPr>
          <w:b/>
        </w:rPr>
        <w:t xml:space="preserve">Note: </w:t>
      </w:r>
      <w:r w:rsidRPr="00007C3B">
        <w:t>RATTUAJ participants that did not relocate may have inc</w:t>
      </w:r>
      <w:r>
        <w:t>urred expenses in preparation for</w:t>
      </w:r>
      <w:r w:rsidRPr="00007C3B">
        <w:t xml:space="preserve"> a move.</w:t>
      </w:r>
      <w:r w:rsidR="00C62791">
        <w:t xml:space="preserve"> Outcomes are determined as at 31 March 2016.</w:t>
      </w:r>
    </w:p>
    <w:p w14:paraId="23AB3111" w14:textId="50EEBDD4" w:rsidR="009145B2" w:rsidRPr="00F53504" w:rsidRDefault="009145B2" w:rsidP="009145B2">
      <w:pPr>
        <w:pStyle w:val="Source"/>
      </w:pPr>
      <w:r w:rsidRPr="00F53504">
        <w:rPr>
          <w:b/>
        </w:rPr>
        <w:t>Source:</w:t>
      </w:r>
      <w:r w:rsidRPr="00F53504">
        <w:t xml:space="preserve"> EBIW data.</w:t>
      </w:r>
    </w:p>
    <w:p w14:paraId="7986126B" w14:textId="77777777" w:rsidR="009145B2" w:rsidRPr="00F53504" w:rsidRDefault="009145B2" w:rsidP="009145B2">
      <w:pPr>
        <w:pStyle w:val="Caption"/>
      </w:pPr>
      <w:r w:rsidRPr="00F53504">
        <w:t xml:space="preserve">Table </w:t>
      </w:r>
      <w:r w:rsidR="00122B47" w:rsidRPr="00F53504">
        <w:t>A.1</w:t>
      </w:r>
      <w:r w:rsidR="005129E7">
        <w:t>0</w:t>
      </w:r>
      <w:r w:rsidRPr="00F53504">
        <w:t>: Estimated Employment Pathway Fund (JSA) expenditure for relocation expenses by relocation status of the program participant</w:t>
      </w:r>
    </w:p>
    <w:tbl>
      <w:tblPr>
        <w:tblStyle w:val="DEEWRTable"/>
        <w:tblW w:w="5000" w:type="pct"/>
        <w:tblLook w:val="0420" w:firstRow="1" w:lastRow="0" w:firstColumn="0" w:lastColumn="0" w:noHBand="0" w:noVBand="1"/>
      </w:tblPr>
      <w:tblGrid>
        <w:gridCol w:w="2967"/>
        <w:gridCol w:w="1537"/>
        <w:gridCol w:w="1538"/>
        <w:gridCol w:w="1503"/>
        <w:gridCol w:w="1481"/>
      </w:tblGrid>
      <w:tr w:rsidR="009145B2" w:rsidRPr="00F53504" w14:paraId="26D397D1" w14:textId="77777777" w:rsidTr="00851613">
        <w:trPr>
          <w:cnfStyle w:val="100000000000" w:firstRow="1" w:lastRow="0" w:firstColumn="0" w:lastColumn="0" w:oddVBand="0" w:evenVBand="0" w:oddHBand="0" w:evenHBand="0" w:firstRowFirstColumn="0" w:firstRowLastColumn="0" w:lastRowFirstColumn="0" w:lastRowLastColumn="0"/>
        </w:trPr>
        <w:tc>
          <w:tcPr>
            <w:tcW w:w="3069" w:type="dxa"/>
            <w:tcBorders>
              <w:bottom w:val="nil"/>
            </w:tcBorders>
            <w:shd w:val="clear" w:color="auto" w:fill="1E3D6B"/>
            <w:vAlign w:val="bottom"/>
          </w:tcPr>
          <w:p w14:paraId="277D8A62" w14:textId="77777777" w:rsidR="009145B2" w:rsidRPr="00F53504" w:rsidRDefault="009145B2" w:rsidP="00851613">
            <w:pPr>
              <w:pStyle w:val="Tableheadingleftcolumn"/>
              <w:rPr>
                <w:b/>
              </w:rPr>
            </w:pPr>
            <w:r w:rsidRPr="00F53504">
              <w:rPr>
                <w:b/>
              </w:rPr>
              <w:t>Relocation cost component</w:t>
            </w:r>
          </w:p>
        </w:tc>
        <w:tc>
          <w:tcPr>
            <w:tcW w:w="1555" w:type="dxa"/>
            <w:tcBorders>
              <w:bottom w:val="nil"/>
            </w:tcBorders>
            <w:shd w:val="clear" w:color="auto" w:fill="1E3D6B"/>
            <w:vAlign w:val="bottom"/>
          </w:tcPr>
          <w:p w14:paraId="1632A0A7" w14:textId="77777777" w:rsidR="009145B2" w:rsidRPr="00F53504" w:rsidRDefault="009145B2" w:rsidP="00851613">
            <w:pPr>
              <w:pStyle w:val="Tableheadingrightcolumn"/>
              <w:rPr>
                <w:b/>
              </w:rPr>
            </w:pPr>
            <w:r w:rsidRPr="00F53504">
              <w:rPr>
                <w:b/>
              </w:rPr>
              <w:t>Relocated and achieved an employment outcome and made a claim</w:t>
            </w:r>
            <w:r w:rsidRPr="00F53504">
              <w:rPr>
                <w:b/>
              </w:rPr>
              <w:br/>
              <w:t>N = 207</w:t>
            </w:r>
            <w:r w:rsidRPr="00F53504">
              <w:rPr>
                <w:b/>
                <w:vertAlign w:val="superscript"/>
              </w:rPr>
              <w:br/>
            </w:r>
            <w:r w:rsidRPr="00F53504">
              <w:rPr>
                <w:b/>
              </w:rPr>
              <w:t>$</w:t>
            </w:r>
          </w:p>
        </w:tc>
        <w:tc>
          <w:tcPr>
            <w:tcW w:w="1556" w:type="dxa"/>
            <w:tcBorders>
              <w:bottom w:val="nil"/>
            </w:tcBorders>
            <w:shd w:val="clear" w:color="auto" w:fill="1E3D6B"/>
            <w:vAlign w:val="bottom"/>
          </w:tcPr>
          <w:p w14:paraId="2F49F259" w14:textId="77777777" w:rsidR="009145B2" w:rsidRPr="00F53504" w:rsidRDefault="009145B2" w:rsidP="00851613">
            <w:pPr>
              <w:pStyle w:val="Tableheadingrightcolumn"/>
              <w:rPr>
                <w:b/>
              </w:rPr>
            </w:pPr>
            <w:r w:rsidRPr="00F53504">
              <w:rPr>
                <w:b/>
              </w:rPr>
              <w:t>Relocated and did not achieve an employment outcome and made a claim</w:t>
            </w:r>
            <w:r w:rsidRPr="00F53504">
              <w:rPr>
                <w:b/>
              </w:rPr>
              <w:br/>
              <w:t>N = 91</w:t>
            </w:r>
            <w:r w:rsidRPr="00F53504">
              <w:rPr>
                <w:b/>
                <w:vertAlign w:val="superscript"/>
              </w:rPr>
              <w:br/>
            </w:r>
            <w:r w:rsidRPr="00F53504">
              <w:rPr>
                <w:b/>
              </w:rPr>
              <w:t>$</w:t>
            </w:r>
          </w:p>
        </w:tc>
        <w:tc>
          <w:tcPr>
            <w:tcW w:w="1538" w:type="dxa"/>
            <w:tcBorders>
              <w:bottom w:val="nil"/>
            </w:tcBorders>
            <w:shd w:val="clear" w:color="auto" w:fill="1E3D6B"/>
            <w:vAlign w:val="bottom"/>
          </w:tcPr>
          <w:p w14:paraId="42E30557" w14:textId="77777777" w:rsidR="009145B2" w:rsidRPr="00F53504" w:rsidRDefault="009145B2" w:rsidP="00851613">
            <w:pPr>
              <w:pStyle w:val="Tableheadingrightcolumn"/>
              <w:rPr>
                <w:b/>
              </w:rPr>
            </w:pPr>
            <w:r w:rsidRPr="00F53504">
              <w:rPr>
                <w:b/>
              </w:rPr>
              <w:t>Not relocated and made a claim</w:t>
            </w:r>
            <w:r w:rsidRPr="00F53504">
              <w:rPr>
                <w:b/>
              </w:rPr>
              <w:br/>
              <w:t>N = 16</w:t>
            </w:r>
            <w:r w:rsidRPr="00F53504">
              <w:rPr>
                <w:b/>
                <w:vertAlign w:val="superscript"/>
              </w:rPr>
              <w:br/>
            </w:r>
            <w:r w:rsidRPr="00F53504">
              <w:rPr>
                <w:b/>
              </w:rPr>
              <w:t>$</w:t>
            </w:r>
          </w:p>
        </w:tc>
        <w:tc>
          <w:tcPr>
            <w:tcW w:w="1524" w:type="dxa"/>
            <w:tcBorders>
              <w:bottom w:val="nil"/>
            </w:tcBorders>
            <w:shd w:val="clear" w:color="auto" w:fill="1E3D6B"/>
            <w:vAlign w:val="bottom"/>
          </w:tcPr>
          <w:p w14:paraId="1A50BF9D" w14:textId="77777777" w:rsidR="009145B2" w:rsidRPr="00F53504" w:rsidRDefault="009145B2" w:rsidP="00851613">
            <w:pPr>
              <w:pStyle w:val="Tableheadingrightcolumn"/>
              <w:rPr>
                <w:b/>
              </w:rPr>
            </w:pPr>
            <w:r w:rsidRPr="00F53504">
              <w:rPr>
                <w:b/>
              </w:rPr>
              <w:t>Total</w:t>
            </w:r>
            <w:r w:rsidRPr="00F53504">
              <w:rPr>
                <w:b/>
              </w:rPr>
              <w:br/>
              <w:t>N = 314</w:t>
            </w:r>
            <w:r w:rsidRPr="00F53504">
              <w:rPr>
                <w:b/>
              </w:rPr>
              <w:br/>
              <w:t>$</w:t>
            </w:r>
          </w:p>
        </w:tc>
      </w:tr>
      <w:tr w:rsidR="009145B2" w:rsidRPr="00F53504" w14:paraId="155DCE4D" w14:textId="77777777" w:rsidTr="00851613">
        <w:trPr>
          <w:trHeight w:val="283"/>
        </w:trPr>
        <w:tc>
          <w:tcPr>
            <w:tcW w:w="3069" w:type="dxa"/>
            <w:vAlign w:val="bottom"/>
          </w:tcPr>
          <w:p w14:paraId="1E740618" w14:textId="77777777" w:rsidR="009145B2" w:rsidRPr="00F53504" w:rsidRDefault="009145B2" w:rsidP="00851613">
            <w:pPr>
              <w:pStyle w:val="Tablecontentleftcolumn"/>
            </w:pPr>
            <w:r w:rsidRPr="00F53504">
              <w:t>Accommodation</w:t>
            </w:r>
          </w:p>
        </w:tc>
        <w:tc>
          <w:tcPr>
            <w:tcW w:w="1555" w:type="dxa"/>
            <w:vAlign w:val="bottom"/>
          </w:tcPr>
          <w:p w14:paraId="641A8009" w14:textId="77777777" w:rsidR="009145B2" w:rsidRPr="00F53504" w:rsidRDefault="009145B2" w:rsidP="00851613">
            <w:pPr>
              <w:pStyle w:val="Tablecontentrightcolumn"/>
            </w:pPr>
            <w:r w:rsidRPr="00F53504">
              <w:t>53,565</w:t>
            </w:r>
          </w:p>
        </w:tc>
        <w:tc>
          <w:tcPr>
            <w:tcW w:w="1556" w:type="dxa"/>
            <w:vAlign w:val="bottom"/>
          </w:tcPr>
          <w:p w14:paraId="67AED7BF" w14:textId="77777777" w:rsidR="009145B2" w:rsidRPr="00F53504" w:rsidRDefault="009145B2" w:rsidP="00851613">
            <w:pPr>
              <w:pStyle w:val="Tablecontentrightcolumn"/>
            </w:pPr>
            <w:r w:rsidRPr="00F53504">
              <w:t>21,398</w:t>
            </w:r>
          </w:p>
        </w:tc>
        <w:tc>
          <w:tcPr>
            <w:tcW w:w="1538" w:type="dxa"/>
            <w:vAlign w:val="bottom"/>
          </w:tcPr>
          <w:p w14:paraId="3997AB9B" w14:textId="77777777" w:rsidR="009145B2" w:rsidRPr="00F53504" w:rsidRDefault="009145B2" w:rsidP="00851613">
            <w:pPr>
              <w:pStyle w:val="Tablecontentrightcolumn"/>
            </w:pPr>
            <w:r w:rsidRPr="00F53504">
              <w:t>1,520</w:t>
            </w:r>
          </w:p>
        </w:tc>
        <w:tc>
          <w:tcPr>
            <w:tcW w:w="1524" w:type="dxa"/>
            <w:vAlign w:val="bottom"/>
          </w:tcPr>
          <w:p w14:paraId="0A9F1E65" w14:textId="77777777" w:rsidR="009145B2" w:rsidRPr="00F53504" w:rsidRDefault="009145B2" w:rsidP="00851613">
            <w:pPr>
              <w:pStyle w:val="Tablecontentrightcolumn"/>
            </w:pPr>
            <w:r w:rsidRPr="00F53504">
              <w:t>76,483</w:t>
            </w:r>
          </w:p>
        </w:tc>
      </w:tr>
      <w:tr w:rsidR="009145B2" w:rsidRPr="00F53504" w14:paraId="4AD1FDD3" w14:textId="77777777" w:rsidTr="00851613">
        <w:trPr>
          <w:trHeight w:val="283"/>
        </w:trPr>
        <w:tc>
          <w:tcPr>
            <w:tcW w:w="3069" w:type="dxa"/>
            <w:shd w:val="clear" w:color="auto" w:fill="F2F2F2" w:themeFill="background1" w:themeFillShade="F2"/>
            <w:vAlign w:val="bottom"/>
          </w:tcPr>
          <w:p w14:paraId="4AC02FFF" w14:textId="77777777" w:rsidR="009145B2" w:rsidRPr="00F53504" w:rsidRDefault="009145B2" w:rsidP="00851613">
            <w:pPr>
              <w:pStyle w:val="Tablecontentleftcolumn"/>
            </w:pPr>
            <w:r w:rsidRPr="00F53504">
              <w:t>Employment</w:t>
            </w:r>
          </w:p>
        </w:tc>
        <w:tc>
          <w:tcPr>
            <w:tcW w:w="1555" w:type="dxa"/>
            <w:shd w:val="clear" w:color="auto" w:fill="F2F2F2" w:themeFill="background1" w:themeFillShade="F2"/>
            <w:vAlign w:val="bottom"/>
          </w:tcPr>
          <w:p w14:paraId="49FE232D" w14:textId="77777777" w:rsidR="009145B2" w:rsidRPr="00F53504" w:rsidRDefault="009145B2" w:rsidP="00851613">
            <w:pPr>
              <w:pStyle w:val="Tablecontentrightcolumn"/>
            </w:pPr>
            <w:r w:rsidRPr="00F53504">
              <w:t>23,412</w:t>
            </w:r>
          </w:p>
        </w:tc>
        <w:tc>
          <w:tcPr>
            <w:tcW w:w="1556" w:type="dxa"/>
            <w:shd w:val="clear" w:color="auto" w:fill="F2F2F2" w:themeFill="background1" w:themeFillShade="F2"/>
            <w:vAlign w:val="bottom"/>
          </w:tcPr>
          <w:p w14:paraId="35985183" w14:textId="77777777" w:rsidR="009145B2" w:rsidRPr="00F53504" w:rsidRDefault="009145B2" w:rsidP="00851613">
            <w:pPr>
              <w:pStyle w:val="Tablecontentrightcolumn"/>
            </w:pPr>
            <w:r w:rsidRPr="00F53504">
              <w:t>17,811</w:t>
            </w:r>
          </w:p>
        </w:tc>
        <w:tc>
          <w:tcPr>
            <w:tcW w:w="1538" w:type="dxa"/>
            <w:shd w:val="clear" w:color="auto" w:fill="F2F2F2" w:themeFill="background1" w:themeFillShade="F2"/>
            <w:vAlign w:val="bottom"/>
          </w:tcPr>
          <w:p w14:paraId="2F7BD21A" w14:textId="77777777" w:rsidR="009145B2" w:rsidRPr="00F53504" w:rsidRDefault="009145B2" w:rsidP="00851613">
            <w:pPr>
              <w:pStyle w:val="Tablecontentrightcolumn"/>
            </w:pPr>
            <w:r w:rsidRPr="00F53504">
              <w:t>1,226</w:t>
            </w:r>
          </w:p>
        </w:tc>
        <w:tc>
          <w:tcPr>
            <w:tcW w:w="1524" w:type="dxa"/>
            <w:shd w:val="clear" w:color="auto" w:fill="F2F2F2" w:themeFill="background1" w:themeFillShade="F2"/>
            <w:vAlign w:val="bottom"/>
          </w:tcPr>
          <w:p w14:paraId="3C37FC2C" w14:textId="77777777" w:rsidR="009145B2" w:rsidRPr="00F53504" w:rsidRDefault="009145B2" w:rsidP="00851613">
            <w:pPr>
              <w:pStyle w:val="Tablecontentrightcolumn"/>
            </w:pPr>
            <w:r w:rsidRPr="00F53504">
              <w:t>42,449</w:t>
            </w:r>
          </w:p>
        </w:tc>
      </w:tr>
      <w:tr w:rsidR="009145B2" w:rsidRPr="00F53504" w14:paraId="1E7B920E" w14:textId="77777777" w:rsidTr="00851613">
        <w:trPr>
          <w:trHeight w:val="283"/>
        </w:trPr>
        <w:tc>
          <w:tcPr>
            <w:tcW w:w="3069" w:type="dxa"/>
            <w:tcBorders>
              <w:bottom w:val="nil"/>
            </w:tcBorders>
            <w:vAlign w:val="bottom"/>
          </w:tcPr>
          <w:p w14:paraId="75035952" w14:textId="77777777" w:rsidR="009145B2" w:rsidRPr="00F53504" w:rsidRDefault="009145B2" w:rsidP="00851613">
            <w:pPr>
              <w:pStyle w:val="Tablecontentleftcolumn"/>
            </w:pPr>
            <w:r w:rsidRPr="00F53504">
              <w:t>Removalist</w:t>
            </w:r>
          </w:p>
        </w:tc>
        <w:tc>
          <w:tcPr>
            <w:tcW w:w="1555" w:type="dxa"/>
            <w:tcBorders>
              <w:bottom w:val="nil"/>
            </w:tcBorders>
            <w:vAlign w:val="bottom"/>
          </w:tcPr>
          <w:p w14:paraId="1C869E8B" w14:textId="77777777" w:rsidR="009145B2" w:rsidRPr="00F53504" w:rsidRDefault="009145B2" w:rsidP="00851613">
            <w:pPr>
              <w:pStyle w:val="Tablecontentrightcolumn"/>
            </w:pPr>
            <w:r w:rsidRPr="00F53504">
              <w:t>32,180</w:t>
            </w:r>
          </w:p>
        </w:tc>
        <w:tc>
          <w:tcPr>
            <w:tcW w:w="1556" w:type="dxa"/>
            <w:tcBorders>
              <w:bottom w:val="nil"/>
            </w:tcBorders>
            <w:vAlign w:val="bottom"/>
          </w:tcPr>
          <w:p w14:paraId="737D08CB" w14:textId="77777777" w:rsidR="009145B2" w:rsidRPr="00F53504" w:rsidRDefault="009145B2" w:rsidP="00851613">
            <w:pPr>
              <w:pStyle w:val="Tablecontentrightcolumn"/>
            </w:pPr>
            <w:r w:rsidRPr="00F53504">
              <w:t>21,840</w:t>
            </w:r>
          </w:p>
        </w:tc>
        <w:tc>
          <w:tcPr>
            <w:tcW w:w="1538" w:type="dxa"/>
            <w:tcBorders>
              <w:bottom w:val="nil"/>
            </w:tcBorders>
            <w:vAlign w:val="bottom"/>
          </w:tcPr>
          <w:p w14:paraId="1EC74CD5" w14:textId="77777777" w:rsidR="009145B2" w:rsidRPr="00F53504" w:rsidRDefault="009145B2" w:rsidP="00851613">
            <w:pPr>
              <w:pStyle w:val="Tablecontentrightcolumn"/>
            </w:pPr>
            <w:r w:rsidRPr="00F53504">
              <w:t>6,463</w:t>
            </w:r>
          </w:p>
        </w:tc>
        <w:tc>
          <w:tcPr>
            <w:tcW w:w="1524" w:type="dxa"/>
            <w:tcBorders>
              <w:bottom w:val="nil"/>
            </w:tcBorders>
            <w:vAlign w:val="bottom"/>
          </w:tcPr>
          <w:p w14:paraId="5EDB4F3C" w14:textId="77777777" w:rsidR="009145B2" w:rsidRPr="00F53504" w:rsidRDefault="009145B2" w:rsidP="00851613">
            <w:pPr>
              <w:pStyle w:val="Tablecontentrightcolumn"/>
            </w:pPr>
            <w:r w:rsidRPr="00F53504">
              <w:t>60,483</w:t>
            </w:r>
          </w:p>
        </w:tc>
      </w:tr>
      <w:tr w:rsidR="009145B2" w:rsidRPr="00F53504" w14:paraId="0A3D5175" w14:textId="77777777" w:rsidTr="00851613">
        <w:trPr>
          <w:trHeight w:val="283"/>
        </w:trPr>
        <w:tc>
          <w:tcPr>
            <w:tcW w:w="3069" w:type="dxa"/>
            <w:shd w:val="clear" w:color="auto" w:fill="F2F2F2" w:themeFill="background1" w:themeFillShade="F2"/>
            <w:vAlign w:val="bottom"/>
          </w:tcPr>
          <w:p w14:paraId="059EF416" w14:textId="77777777" w:rsidR="009145B2" w:rsidRPr="00F53504" w:rsidRDefault="009145B2" w:rsidP="00851613">
            <w:pPr>
              <w:pStyle w:val="Tablecontentleftcolumn"/>
            </w:pPr>
            <w:r w:rsidRPr="00F53504">
              <w:t>Travel</w:t>
            </w:r>
          </w:p>
        </w:tc>
        <w:tc>
          <w:tcPr>
            <w:tcW w:w="1555" w:type="dxa"/>
            <w:shd w:val="clear" w:color="auto" w:fill="F2F2F2" w:themeFill="background1" w:themeFillShade="F2"/>
            <w:vAlign w:val="bottom"/>
          </w:tcPr>
          <w:p w14:paraId="3E06B108" w14:textId="77777777" w:rsidR="009145B2" w:rsidRPr="00F53504" w:rsidRDefault="009145B2" w:rsidP="00851613">
            <w:pPr>
              <w:pStyle w:val="Tablecontentrightcolumn"/>
            </w:pPr>
            <w:r w:rsidRPr="00F53504">
              <w:t>37,002</w:t>
            </w:r>
          </w:p>
        </w:tc>
        <w:tc>
          <w:tcPr>
            <w:tcW w:w="1556" w:type="dxa"/>
            <w:shd w:val="clear" w:color="auto" w:fill="F2F2F2" w:themeFill="background1" w:themeFillShade="F2"/>
            <w:vAlign w:val="bottom"/>
          </w:tcPr>
          <w:p w14:paraId="21C24CDC" w14:textId="77777777" w:rsidR="009145B2" w:rsidRPr="00F53504" w:rsidRDefault="009145B2" w:rsidP="00851613">
            <w:pPr>
              <w:pStyle w:val="Tablecontentrightcolumn"/>
            </w:pPr>
            <w:r w:rsidRPr="00F53504">
              <w:t>17,435</w:t>
            </w:r>
          </w:p>
        </w:tc>
        <w:tc>
          <w:tcPr>
            <w:tcW w:w="1538" w:type="dxa"/>
            <w:shd w:val="clear" w:color="auto" w:fill="F2F2F2" w:themeFill="background1" w:themeFillShade="F2"/>
            <w:vAlign w:val="bottom"/>
          </w:tcPr>
          <w:p w14:paraId="360B5C4E" w14:textId="77777777" w:rsidR="009145B2" w:rsidRPr="00F53504" w:rsidRDefault="009145B2" w:rsidP="00851613">
            <w:pPr>
              <w:pStyle w:val="Tablecontentrightcolumn"/>
            </w:pPr>
            <w:r w:rsidRPr="00F53504">
              <w:t>2,596</w:t>
            </w:r>
          </w:p>
        </w:tc>
        <w:tc>
          <w:tcPr>
            <w:tcW w:w="1524" w:type="dxa"/>
            <w:shd w:val="clear" w:color="auto" w:fill="F2F2F2" w:themeFill="background1" w:themeFillShade="F2"/>
            <w:vAlign w:val="bottom"/>
          </w:tcPr>
          <w:p w14:paraId="6CE0E1A4" w14:textId="77777777" w:rsidR="009145B2" w:rsidRPr="00F53504" w:rsidRDefault="009145B2" w:rsidP="00851613">
            <w:pPr>
              <w:pStyle w:val="Tablecontentrightcolumn"/>
            </w:pPr>
            <w:r w:rsidRPr="00F53504">
              <w:t>57,033</w:t>
            </w:r>
          </w:p>
        </w:tc>
      </w:tr>
      <w:tr w:rsidR="009145B2" w:rsidRPr="00F53504" w14:paraId="2FADE494" w14:textId="77777777" w:rsidTr="00851613">
        <w:trPr>
          <w:trHeight w:val="283"/>
        </w:trPr>
        <w:tc>
          <w:tcPr>
            <w:tcW w:w="3069" w:type="dxa"/>
            <w:tcBorders>
              <w:bottom w:val="nil"/>
            </w:tcBorders>
            <w:shd w:val="clear" w:color="auto" w:fill="8EAEDE"/>
            <w:vAlign w:val="bottom"/>
          </w:tcPr>
          <w:p w14:paraId="6D6AB929" w14:textId="77777777" w:rsidR="009145B2" w:rsidRPr="00F53504" w:rsidRDefault="009145B2" w:rsidP="00851613">
            <w:pPr>
              <w:pStyle w:val="Tablecontentleftcolumn"/>
            </w:pPr>
            <w:r w:rsidRPr="00F53504">
              <w:t>Total</w:t>
            </w:r>
          </w:p>
        </w:tc>
        <w:tc>
          <w:tcPr>
            <w:tcW w:w="1555" w:type="dxa"/>
            <w:tcBorders>
              <w:bottom w:val="nil"/>
            </w:tcBorders>
            <w:shd w:val="clear" w:color="auto" w:fill="8EAEDE"/>
            <w:vAlign w:val="bottom"/>
          </w:tcPr>
          <w:p w14:paraId="324E5AEC" w14:textId="77777777" w:rsidR="009145B2" w:rsidRPr="00F53504" w:rsidRDefault="009145B2" w:rsidP="00851613">
            <w:pPr>
              <w:pStyle w:val="Tablecontentrightcolumn"/>
            </w:pPr>
            <w:r w:rsidRPr="00F53504">
              <w:t>146,159</w:t>
            </w:r>
          </w:p>
        </w:tc>
        <w:tc>
          <w:tcPr>
            <w:tcW w:w="1556" w:type="dxa"/>
            <w:tcBorders>
              <w:bottom w:val="nil"/>
            </w:tcBorders>
            <w:shd w:val="clear" w:color="auto" w:fill="8EAEDE"/>
            <w:vAlign w:val="bottom"/>
          </w:tcPr>
          <w:p w14:paraId="0302E17C" w14:textId="77777777" w:rsidR="009145B2" w:rsidRPr="00F53504" w:rsidRDefault="009145B2" w:rsidP="00851613">
            <w:pPr>
              <w:pStyle w:val="Tablecontentrightcolumn"/>
            </w:pPr>
            <w:r w:rsidRPr="00F53504">
              <w:t>78,484</w:t>
            </w:r>
          </w:p>
        </w:tc>
        <w:tc>
          <w:tcPr>
            <w:tcW w:w="1538" w:type="dxa"/>
            <w:tcBorders>
              <w:bottom w:val="nil"/>
            </w:tcBorders>
            <w:shd w:val="clear" w:color="auto" w:fill="8EAEDE"/>
            <w:vAlign w:val="bottom"/>
          </w:tcPr>
          <w:p w14:paraId="20910C0B" w14:textId="77777777" w:rsidR="009145B2" w:rsidRPr="00F53504" w:rsidRDefault="009145B2" w:rsidP="00851613">
            <w:pPr>
              <w:pStyle w:val="Tablecontentrightcolumn"/>
            </w:pPr>
            <w:r w:rsidRPr="00F53504">
              <w:t>11,805</w:t>
            </w:r>
          </w:p>
        </w:tc>
        <w:tc>
          <w:tcPr>
            <w:tcW w:w="1524" w:type="dxa"/>
            <w:tcBorders>
              <w:bottom w:val="nil"/>
            </w:tcBorders>
            <w:shd w:val="clear" w:color="auto" w:fill="8EAEDE"/>
            <w:vAlign w:val="bottom"/>
          </w:tcPr>
          <w:p w14:paraId="7787CC19" w14:textId="77777777" w:rsidR="009145B2" w:rsidRPr="00F53504" w:rsidRDefault="009145B2" w:rsidP="00851613">
            <w:pPr>
              <w:pStyle w:val="Tablecontentrightcolumn"/>
            </w:pPr>
            <w:r w:rsidRPr="00F53504">
              <w:t>236,448</w:t>
            </w:r>
          </w:p>
        </w:tc>
      </w:tr>
    </w:tbl>
    <w:p w14:paraId="3D26C13B" w14:textId="77777777" w:rsidR="009145B2" w:rsidRPr="00F53504" w:rsidRDefault="009145B2" w:rsidP="009145B2">
      <w:pPr>
        <w:pStyle w:val="Source"/>
      </w:pPr>
      <w:r w:rsidRPr="00F53504">
        <w:rPr>
          <w:b/>
        </w:rPr>
        <w:t>Note:</w:t>
      </w:r>
      <w:r w:rsidRPr="00F53504">
        <w:t xml:space="preserve"> </w:t>
      </w:r>
      <w:r w:rsidRPr="00F53504">
        <w:rPr>
          <w:lang w:eastAsia="en-AU"/>
        </w:rPr>
        <w:t xml:space="preserve">EPF items claimed for relocation included in this table </w:t>
      </w:r>
      <w:proofErr w:type="gramStart"/>
      <w:r w:rsidRPr="00F53504">
        <w:rPr>
          <w:lang w:eastAsia="en-AU"/>
        </w:rPr>
        <w:t>are confined</w:t>
      </w:r>
      <w:proofErr w:type="gramEnd"/>
      <w:r w:rsidRPr="00F53504">
        <w:rPr>
          <w:lang w:eastAsia="en-AU"/>
        </w:rPr>
        <w:t xml:space="preserve"> to those that occurred within three months of the Relocation Agreement start date.</w:t>
      </w:r>
    </w:p>
    <w:p w14:paraId="77D4A0F5" w14:textId="4D7A7C56" w:rsidR="000305C1" w:rsidRPr="00007C3B" w:rsidRDefault="000305C1" w:rsidP="000305C1">
      <w:pPr>
        <w:pStyle w:val="Source"/>
      </w:pPr>
      <w:r w:rsidRPr="00007C3B">
        <w:rPr>
          <w:b/>
        </w:rPr>
        <w:t xml:space="preserve">Note: </w:t>
      </w:r>
      <w:r w:rsidRPr="00007C3B">
        <w:t>RATTUAJ participants that did not relocate may have inc</w:t>
      </w:r>
      <w:r>
        <w:t>urred expenses in preparation for</w:t>
      </w:r>
      <w:r w:rsidRPr="00007C3B">
        <w:t xml:space="preserve"> a move.</w:t>
      </w:r>
      <w:r w:rsidR="00C62791">
        <w:t xml:space="preserve"> Outcomes are determined as at 31 March 2016.</w:t>
      </w:r>
    </w:p>
    <w:p w14:paraId="12CFC882" w14:textId="21BBC0B4" w:rsidR="009145B2" w:rsidRPr="00F53504" w:rsidRDefault="009145B2" w:rsidP="009145B2">
      <w:pPr>
        <w:pStyle w:val="Source"/>
      </w:pPr>
      <w:r w:rsidRPr="00F53504">
        <w:rPr>
          <w:b/>
        </w:rPr>
        <w:t>Source:</w:t>
      </w:r>
      <w:r w:rsidRPr="00F53504">
        <w:t xml:space="preserve"> EBIW data.</w:t>
      </w:r>
    </w:p>
    <w:p w14:paraId="484BCF0F" w14:textId="77777777" w:rsidR="00F61905" w:rsidRPr="00F53504" w:rsidRDefault="00F61905">
      <w:pPr>
        <w:spacing w:before="0" w:after="200"/>
        <w:rPr>
          <w:b/>
          <w:bCs/>
          <w:szCs w:val="18"/>
        </w:rPr>
      </w:pPr>
      <w:r w:rsidRPr="00F53504">
        <w:br w:type="page"/>
      </w:r>
    </w:p>
    <w:p w14:paraId="1F535642" w14:textId="77777777" w:rsidR="009145B2" w:rsidRPr="00F53504" w:rsidRDefault="009145B2" w:rsidP="009145B2">
      <w:pPr>
        <w:pStyle w:val="Caption"/>
        <w:keepNext w:val="0"/>
        <w:rPr>
          <w:noProof/>
        </w:rPr>
      </w:pPr>
      <w:r w:rsidRPr="00F53504">
        <w:lastRenderedPageBreak/>
        <w:t xml:space="preserve">Table </w:t>
      </w:r>
      <w:r w:rsidR="00122B47" w:rsidRPr="00F53504">
        <w:t>A.1</w:t>
      </w:r>
      <w:r w:rsidR="005129E7">
        <w:t>1</w:t>
      </w:r>
      <w:r w:rsidRPr="00F53504">
        <w:rPr>
          <w:noProof/>
        </w:rPr>
        <w:t>: Estimated Employment Fund (jobactive) expenditure for relocation expenses by relocation status of the program participant</w:t>
      </w:r>
    </w:p>
    <w:tbl>
      <w:tblPr>
        <w:tblStyle w:val="DEEWRTable"/>
        <w:tblW w:w="5000" w:type="pct"/>
        <w:tblLook w:val="0420" w:firstRow="1" w:lastRow="0" w:firstColumn="0" w:lastColumn="0" w:noHBand="0" w:noVBand="1"/>
      </w:tblPr>
      <w:tblGrid>
        <w:gridCol w:w="2952"/>
        <w:gridCol w:w="1540"/>
        <w:gridCol w:w="1541"/>
        <w:gridCol w:w="1511"/>
        <w:gridCol w:w="1482"/>
      </w:tblGrid>
      <w:tr w:rsidR="009145B2" w:rsidRPr="00F53504" w14:paraId="752B7003" w14:textId="77777777" w:rsidTr="001F4178">
        <w:trPr>
          <w:cnfStyle w:val="100000000000" w:firstRow="1" w:lastRow="0" w:firstColumn="0" w:lastColumn="0" w:oddVBand="0" w:evenVBand="0" w:oddHBand="0" w:evenHBand="0" w:firstRowFirstColumn="0" w:firstRowLastColumn="0" w:lastRowFirstColumn="0" w:lastRowLastColumn="0"/>
        </w:trPr>
        <w:tc>
          <w:tcPr>
            <w:tcW w:w="2952" w:type="dxa"/>
            <w:tcBorders>
              <w:bottom w:val="nil"/>
            </w:tcBorders>
            <w:shd w:val="clear" w:color="auto" w:fill="1E3D6B"/>
            <w:vAlign w:val="bottom"/>
          </w:tcPr>
          <w:p w14:paraId="5B20D35A" w14:textId="77777777" w:rsidR="009145B2" w:rsidRPr="00F53504" w:rsidRDefault="009145B2" w:rsidP="00851613">
            <w:pPr>
              <w:pStyle w:val="Tableheadingleftcolumn"/>
              <w:rPr>
                <w:b/>
              </w:rPr>
            </w:pPr>
            <w:r w:rsidRPr="00F53504">
              <w:rPr>
                <w:b/>
              </w:rPr>
              <w:t>Relocation cost component</w:t>
            </w:r>
          </w:p>
        </w:tc>
        <w:tc>
          <w:tcPr>
            <w:tcW w:w="1540" w:type="dxa"/>
            <w:tcBorders>
              <w:bottom w:val="nil"/>
            </w:tcBorders>
            <w:shd w:val="clear" w:color="auto" w:fill="1E3D6B"/>
            <w:vAlign w:val="bottom"/>
          </w:tcPr>
          <w:p w14:paraId="15591870" w14:textId="77777777" w:rsidR="009145B2" w:rsidRPr="00F53504" w:rsidRDefault="009145B2" w:rsidP="00F61905">
            <w:pPr>
              <w:pStyle w:val="Tableheadingrightcolumn"/>
              <w:rPr>
                <w:b/>
              </w:rPr>
            </w:pPr>
            <w:r w:rsidRPr="00F53504">
              <w:rPr>
                <w:b/>
              </w:rPr>
              <w:t>Relocated and achieved an employment outcome and made a claim</w:t>
            </w:r>
            <w:r w:rsidRPr="00F53504">
              <w:rPr>
                <w:b/>
              </w:rPr>
              <w:br/>
              <w:t>N = 207</w:t>
            </w:r>
            <w:r w:rsidRPr="00F53504">
              <w:rPr>
                <w:b/>
                <w:vertAlign w:val="superscript"/>
              </w:rPr>
              <w:br/>
            </w:r>
            <w:r w:rsidRPr="00F53504">
              <w:rPr>
                <w:b/>
              </w:rPr>
              <w:t>$</w:t>
            </w:r>
          </w:p>
        </w:tc>
        <w:tc>
          <w:tcPr>
            <w:tcW w:w="1541" w:type="dxa"/>
            <w:tcBorders>
              <w:bottom w:val="nil"/>
            </w:tcBorders>
            <w:shd w:val="clear" w:color="auto" w:fill="1E3D6B"/>
            <w:vAlign w:val="bottom"/>
          </w:tcPr>
          <w:p w14:paraId="160B3404" w14:textId="77777777" w:rsidR="009145B2" w:rsidRPr="00F53504" w:rsidRDefault="009145B2" w:rsidP="00F61905">
            <w:pPr>
              <w:pStyle w:val="Tableheadingrightcolumn"/>
              <w:rPr>
                <w:b/>
              </w:rPr>
            </w:pPr>
            <w:r w:rsidRPr="00F53504">
              <w:rPr>
                <w:b/>
              </w:rPr>
              <w:t>Relocated and did not achieve an employment outcome and made a claim</w:t>
            </w:r>
            <w:r w:rsidRPr="00F53504">
              <w:rPr>
                <w:b/>
              </w:rPr>
              <w:br/>
              <w:t>N = 91</w:t>
            </w:r>
            <w:r w:rsidRPr="00F53504">
              <w:rPr>
                <w:b/>
                <w:vertAlign w:val="superscript"/>
              </w:rPr>
              <w:br/>
            </w:r>
            <w:r w:rsidRPr="00F53504">
              <w:rPr>
                <w:b/>
              </w:rPr>
              <w:t>$</w:t>
            </w:r>
          </w:p>
        </w:tc>
        <w:tc>
          <w:tcPr>
            <w:tcW w:w="1511" w:type="dxa"/>
            <w:tcBorders>
              <w:bottom w:val="nil"/>
            </w:tcBorders>
            <w:shd w:val="clear" w:color="auto" w:fill="1E3D6B"/>
            <w:vAlign w:val="bottom"/>
          </w:tcPr>
          <w:p w14:paraId="46D74130" w14:textId="77777777" w:rsidR="009145B2" w:rsidRPr="00F53504" w:rsidRDefault="009145B2" w:rsidP="00F61905">
            <w:pPr>
              <w:pStyle w:val="Tableheadingrightcolumn"/>
              <w:rPr>
                <w:b/>
              </w:rPr>
            </w:pPr>
            <w:r w:rsidRPr="00F53504">
              <w:rPr>
                <w:b/>
              </w:rPr>
              <w:t>Not relocated and made a claim</w:t>
            </w:r>
            <w:r w:rsidRPr="00F53504">
              <w:rPr>
                <w:b/>
              </w:rPr>
              <w:br/>
              <w:t>N = 16</w:t>
            </w:r>
            <w:r w:rsidRPr="00F53504">
              <w:rPr>
                <w:b/>
                <w:vertAlign w:val="superscript"/>
              </w:rPr>
              <w:br/>
            </w:r>
            <w:r w:rsidRPr="00F53504">
              <w:rPr>
                <w:b/>
              </w:rPr>
              <w:t>$</w:t>
            </w:r>
          </w:p>
        </w:tc>
        <w:tc>
          <w:tcPr>
            <w:tcW w:w="1482" w:type="dxa"/>
            <w:tcBorders>
              <w:bottom w:val="nil"/>
            </w:tcBorders>
            <w:shd w:val="clear" w:color="auto" w:fill="1E3D6B"/>
            <w:vAlign w:val="bottom"/>
          </w:tcPr>
          <w:p w14:paraId="4AECB012" w14:textId="77777777" w:rsidR="009145B2" w:rsidRPr="00F53504" w:rsidRDefault="009145B2" w:rsidP="00F61905">
            <w:pPr>
              <w:pStyle w:val="Tableheadingrightcolumn"/>
              <w:rPr>
                <w:b/>
              </w:rPr>
            </w:pPr>
            <w:r w:rsidRPr="00F53504">
              <w:rPr>
                <w:b/>
              </w:rPr>
              <w:t>Total</w:t>
            </w:r>
            <w:r w:rsidRPr="00F53504">
              <w:rPr>
                <w:b/>
              </w:rPr>
              <w:br/>
              <w:t>N = 314</w:t>
            </w:r>
            <w:r w:rsidRPr="00F53504">
              <w:rPr>
                <w:b/>
              </w:rPr>
              <w:br/>
              <w:t>$</w:t>
            </w:r>
          </w:p>
        </w:tc>
      </w:tr>
      <w:tr w:rsidR="009145B2" w:rsidRPr="00F53504" w14:paraId="0EC6FB9B" w14:textId="77777777" w:rsidTr="001F4178">
        <w:trPr>
          <w:trHeight w:val="283"/>
        </w:trPr>
        <w:tc>
          <w:tcPr>
            <w:tcW w:w="2952" w:type="dxa"/>
            <w:tcBorders>
              <w:top w:val="nil"/>
              <w:bottom w:val="nil"/>
            </w:tcBorders>
            <w:vAlign w:val="bottom"/>
          </w:tcPr>
          <w:p w14:paraId="1E751C40" w14:textId="77777777" w:rsidR="009145B2" w:rsidRPr="00F53504" w:rsidRDefault="009145B2" w:rsidP="00851613">
            <w:pPr>
              <w:pStyle w:val="Tablecontentleftcolumn"/>
            </w:pPr>
            <w:r w:rsidRPr="00F53504">
              <w:t>Employment</w:t>
            </w:r>
          </w:p>
        </w:tc>
        <w:tc>
          <w:tcPr>
            <w:tcW w:w="1540" w:type="dxa"/>
            <w:tcBorders>
              <w:top w:val="nil"/>
              <w:bottom w:val="nil"/>
            </w:tcBorders>
            <w:vAlign w:val="bottom"/>
          </w:tcPr>
          <w:p w14:paraId="0DC99227" w14:textId="77777777" w:rsidR="009145B2" w:rsidRPr="00F53504" w:rsidRDefault="009145B2" w:rsidP="00851613">
            <w:pPr>
              <w:pStyle w:val="Tablecontentrightcolumn"/>
            </w:pPr>
            <w:r w:rsidRPr="00F53504">
              <w:t>12,342</w:t>
            </w:r>
          </w:p>
        </w:tc>
        <w:tc>
          <w:tcPr>
            <w:tcW w:w="1541" w:type="dxa"/>
            <w:tcBorders>
              <w:top w:val="nil"/>
              <w:bottom w:val="nil"/>
            </w:tcBorders>
            <w:vAlign w:val="bottom"/>
          </w:tcPr>
          <w:p w14:paraId="08F89FEA" w14:textId="77777777" w:rsidR="009145B2" w:rsidRPr="00F53504" w:rsidRDefault="009145B2" w:rsidP="00851613">
            <w:pPr>
              <w:pStyle w:val="Tablecontentrightcolumn"/>
            </w:pPr>
            <w:r w:rsidRPr="00F53504">
              <w:t>1,864</w:t>
            </w:r>
          </w:p>
        </w:tc>
        <w:tc>
          <w:tcPr>
            <w:tcW w:w="1511" w:type="dxa"/>
            <w:tcBorders>
              <w:top w:val="nil"/>
              <w:bottom w:val="nil"/>
            </w:tcBorders>
            <w:vAlign w:val="bottom"/>
          </w:tcPr>
          <w:p w14:paraId="451B7AE5" w14:textId="77777777" w:rsidR="009145B2" w:rsidRPr="00F53504" w:rsidRDefault="009145B2" w:rsidP="00851613">
            <w:pPr>
              <w:pStyle w:val="Tablecontentrightcolumn"/>
            </w:pPr>
            <w:r w:rsidRPr="00F53504">
              <w:t>360</w:t>
            </w:r>
          </w:p>
        </w:tc>
        <w:tc>
          <w:tcPr>
            <w:tcW w:w="1482" w:type="dxa"/>
            <w:tcBorders>
              <w:top w:val="nil"/>
              <w:bottom w:val="nil"/>
            </w:tcBorders>
            <w:vAlign w:val="bottom"/>
          </w:tcPr>
          <w:p w14:paraId="4A468772" w14:textId="77777777" w:rsidR="009145B2" w:rsidRPr="00F53504" w:rsidRDefault="009145B2" w:rsidP="00851613">
            <w:pPr>
              <w:pStyle w:val="Tablecontentrightcolumn"/>
            </w:pPr>
            <w:r w:rsidRPr="00F53504">
              <w:t>14,566</w:t>
            </w:r>
          </w:p>
        </w:tc>
      </w:tr>
      <w:tr w:rsidR="009145B2" w:rsidRPr="00F53504" w14:paraId="7E41C7CE" w14:textId="77777777" w:rsidTr="001F4178">
        <w:trPr>
          <w:trHeight w:val="283"/>
        </w:trPr>
        <w:tc>
          <w:tcPr>
            <w:tcW w:w="2952" w:type="dxa"/>
            <w:tcBorders>
              <w:top w:val="nil"/>
              <w:bottom w:val="nil"/>
            </w:tcBorders>
            <w:shd w:val="clear" w:color="auto" w:fill="F2F2F2" w:themeFill="background1" w:themeFillShade="F2"/>
            <w:vAlign w:val="bottom"/>
          </w:tcPr>
          <w:p w14:paraId="02AF1EF6" w14:textId="77777777" w:rsidR="009145B2" w:rsidRPr="00F53504" w:rsidRDefault="009145B2" w:rsidP="00851613">
            <w:pPr>
              <w:pStyle w:val="Tablecontentleftcolumn"/>
            </w:pPr>
            <w:r w:rsidRPr="00F53504">
              <w:t>Travel</w:t>
            </w:r>
          </w:p>
        </w:tc>
        <w:tc>
          <w:tcPr>
            <w:tcW w:w="1540" w:type="dxa"/>
            <w:tcBorders>
              <w:top w:val="nil"/>
              <w:bottom w:val="nil"/>
            </w:tcBorders>
            <w:shd w:val="clear" w:color="auto" w:fill="F2F2F2" w:themeFill="background1" w:themeFillShade="F2"/>
            <w:vAlign w:val="bottom"/>
          </w:tcPr>
          <w:p w14:paraId="134378F2" w14:textId="77777777" w:rsidR="009145B2" w:rsidRPr="00F53504" w:rsidRDefault="009145B2" w:rsidP="00851613">
            <w:pPr>
              <w:pStyle w:val="Tablecontentrightcolumn"/>
            </w:pPr>
            <w:r w:rsidRPr="00F53504">
              <w:t>14,670</w:t>
            </w:r>
          </w:p>
        </w:tc>
        <w:tc>
          <w:tcPr>
            <w:tcW w:w="1541" w:type="dxa"/>
            <w:tcBorders>
              <w:top w:val="nil"/>
              <w:bottom w:val="nil"/>
            </w:tcBorders>
            <w:shd w:val="clear" w:color="auto" w:fill="F2F2F2" w:themeFill="background1" w:themeFillShade="F2"/>
            <w:vAlign w:val="bottom"/>
          </w:tcPr>
          <w:p w14:paraId="1E838A86" w14:textId="77777777" w:rsidR="009145B2" w:rsidRPr="00F53504" w:rsidRDefault="009145B2" w:rsidP="00851613">
            <w:pPr>
              <w:pStyle w:val="Tablecontentrightcolumn"/>
            </w:pPr>
            <w:r w:rsidRPr="00F53504">
              <w:t>2,150</w:t>
            </w:r>
          </w:p>
        </w:tc>
        <w:tc>
          <w:tcPr>
            <w:tcW w:w="1511" w:type="dxa"/>
            <w:tcBorders>
              <w:top w:val="nil"/>
              <w:bottom w:val="nil"/>
            </w:tcBorders>
            <w:shd w:val="clear" w:color="auto" w:fill="F2F2F2" w:themeFill="background1" w:themeFillShade="F2"/>
            <w:vAlign w:val="bottom"/>
          </w:tcPr>
          <w:p w14:paraId="37660069" w14:textId="77777777" w:rsidR="009145B2" w:rsidRPr="00F53504" w:rsidRDefault="009145B2" w:rsidP="00851613">
            <w:pPr>
              <w:pStyle w:val="Tablecontentrightcolumn"/>
            </w:pPr>
            <w:r w:rsidRPr="00F53504">
              <w:t>273</w:t>
            </w:r>
          </w:p>
        </w:tc>
        <w:tc>
          <w:tcPr>
            <w:tcW w:w="1482" w:type="dxa"/>
            <w:tcBorders>
              <w:top w:val="nil"/>
              <w:bottom w:val="nil"/>
            </w:tcBorders>
            <w:shd w:val="clear" w:color="auto" w:fill="F2F2F2" w:themeFill="background1" w:themeFillShade="F2"/>
            <w:vAlign w:val="bottom"/>
          </w:tcPr>
          <w:p w14:paraId="5F2A8BCB" w14:textId="77777777" w:rsidR="009145B2" w:rsidRPr="00F53504" w:rsidRDefault="009145B2" w:rsidP="00851613">
            <w:pPr>
              <w:pStyle w:val="Tablecontentrightcolumn"/>
            </w:pPr>
            <w:r w:rsidRPr="00F53504">
              <w:t>17,093</w:t>
            </w:r>
          </w:p>
        </w:tc>
      </w:tr>
      <w:tr w:rsidR="009145B2" w:rsidRPr="00F53504" w14:paraId="4D0438E7" w14:textId="77777777" w:rsidTr="001F4178">
        <w:trPr>
          <w:trHeight w:val="283"/>
        </w:trPr>
        <w:tc>
          <w:tcPr>
            <w:tcW w:w="2952" w:type="dxa"/>
            <w:tcBorders>
              <w:bottom w:val="nil"/>
            </w:tcBorders>
            <w:vAlign w:val="bottom"/>
          </w:tcPr>
          <w:p w14:paraId="3C9B1A9B" w14:textId="77777777" w:rsidR="009145B2" w:rsidRPr="00F53504" w:rsidRDefault="009145B2" w:rsidP="00851613">
            <w:pPr>
              <w:pStyle w:val="Tablecontentleftcolumn"/>
            </w:pPr>
            <w:r w:rsidRPr="00F53504">
              <w:t>Relocation Assistance</w:t>
            </w:r>
          </w:p>
        </w:tc>
        <w:tc>
          <w:tcPr>
            <w:tcW w:w="1540" w:type="dxa"/>
            <w:tcBorders>
              <w:bottom w:val="nil"/>
            </w:tcBorders>
            <w:vAlign w:val="bottom"/>
          </w:tcPr>
          <w:p w14:paraId="25586E06" w14:textId="77777777" w:rsidR="009145B2" w:rsidRPr="00F53504" w:rsidRDefault="009145B2" w:rsidP="00851613">
            <w:pPr>
              <w:pStyle w:val="Tablecontentrightcolumn"/>
            </w:pPr>
            <w:r w:rsidRPr="00F53504">
              <w:t>18,883</w:t>
            </w:r>
          </w:p>
        </w:tc>
        <w:tc>
          <w:tcPr>
            <w:tcW w:w="1541" w:type="dxa"/>
            <w:tcBorders>
              <w:bottom w:val="nil"/>
            </w:tcBorders>
            <w:vAlign w:val="bottom"/>
          </w:tcPr>
          <w:p w14:paraId="4C819B1E" w14:textId="77777777" w:rsidR="009145B2" w:rsidRPr="00F53504" w:rsidRDefault="009145B2" w:rsidP="00851613">
            <w:pPr>
              <w:pStyle w:val="Tablecontentrightcolumn"/>
            </w:pPr>
            <w:r w:rsidRPr="00F53504">
              <w:t>272</w:t>
            </w:r>
          </w:p>
        </w:tc>
        <w:tc>
          <w:tcPr>
            <w:tcW w:w="1511" w:type="dxa"/>
            <w:tcBorders>
              <w:bottom w:val="nil"/>
            </w:tcBorders>
            <w:vAlign w:val="bottom"/>
          </w:tcPr>
          <w:p w14:paraId="2328BDEB" w14:textId="77777777" w:rsidR="009145B2" w:rsidRPr="00F53504" w:rsidRDefault="009145B2" w:rsidP="00851613">
            <w:pPr>
              <w:pStyle w:val="Tablecontentrightcolumn"/>
            </w:pPr>
            <w:r w:rsidRPr="00F53504">
              <w:t>482</w:t>
            </w:r>
          </w:p>
        </w:tc>
        <w:tc>
          <w:tcPr>
            <w:tcW w:w="1482" w:type="dxa"/>
            <w:tcBorders>
              <w:bottom w:val="nil"/>
            </w:tcBorders>
            <w:vAlign w:val="bottom"/>
          </w:tcPr>
          <w:p w14:paraId="6D0AA90D" w14:textId="77777777" w:rsidR="009145B2" w:rsidRPr="00F53504" w:rsidRDefault="009145B2" w:rsidP="00851613">
            <w:pPr>
              <w:pStyle w:val="Tablecontentrightcolumn"/>
            </w:pPr>
            <w:r w:rsidRPr="00F53504">
              <w:t>19,637</w:t>
            </w:r>
          </w:p>
        </w:tc>
      </w:tr>
      <w:tr w:rsidR="001F4178" w:rsidRPr="00F53504" w14:paraId="6D4D4160" w14:textId="77777777" w:rsidTr="0083524C">
        <w:trPr>
          <w:trHeight w:val="283"/>
        </w:trPr>
        <w:tc>
          <w:tcPr>
            <w:tcW w:w="2952" w:type="dxa"/>
            <w:tcBorders>
              <w:bottom w:val="nil"/>
            </w:tcBorders>
            <w:shd w:val="clear" w:color="auto" w:fill="8EAEDE"/>
            <w:vAlign w:val="bottom"/>
          </w:tcPr>
          <w:p w14:paraId="6D46084C" w14:textId="6926AA84" w:rsidR="001F4178" w:rsidRPr="00F53504" w:rsidRDefault="001F4178" w:rsidP="00851613">
            <w:pPr>
              <w:pStyle w:val="Tablecontentleftcolumn"/>
            </w:pPr>
            <w:r w:rsidRPr="001F4178">
              <w:t>Total</w:t>
            </w:r>
          </w:p>
        </w:tc>
        <w:tc>
          <w:tcPr>
            <w:tcW w:w="1540" w:type="dxa"/>
            <w:tcBorders>
              <w:bottom w:val="nil"/>
            </w:tcBorders>
            <w:shd w:val="clear" w:color="auto" w:fill="8EAEDE"/>
            <w:vAlign w:val="bottom"/>
          </w:tcPr>
          <w:p w14:paraId="32B92EAA" w14:textId="4C93DDB1" w:rsidR="001F4178" w:rsidRPr="00F53504" w:rsidRDefault="001F4178" w:rsidP="00851613">
            <w:pPr>
              <w:pStyle w:val="Tablecontentrightcolumn"/>
            </w:pPr>
            <w:r>
              <w:t>45,895</w:t>
            </w:r>
          </w:p>
        </w:tc>
        <w:tc>
          <w:tcPr>
            <w:tcW w:w="1541" w:type="dxa"/>
            <w:tcBorders>
              <w:bottom w:val="nil"/>
            </w:tcBorders>
            <w:shd w:val="clear" w:color="auto" w:fill="8EAEDE"/>
            <w:vAlign w:val="bottom"/>
          </w:tcPr>
          <w:p w14:paraId="05400EB2" w14:textId="4023795F" w:rsidR="001F4178" w:rsidRPr="00F53504" w:rsidRDefault="001F4178" w:rsidP="00851613">
            <w:pPr>
              <w:pStyle w:val="Tablecontentrightcolumn"/>
            </w:pPr>
            <w:r>
              <w:t>4,286</w:t>
            </w:r>
          </w:p>
        </w:tc>
        <w:tc>
          <w:tcPr>
            <w:tcW w:w="1511" w:type="dxa"/>
            <w:tcBorders>
              <w:bottom w:val="nil"/>
            </w:tcBorders>
            <w:shd w:val="clear" w:color="auto" w:fill="8EAEDE"/>
            <w:vAlign w:val="bottom"/>
          </w:tcPr>
          <w:p w14:paraId="05807B77" w14:textId="2F53D1E9" w:rsidR="001F4178" w:rsidRPr="00F53504" w:rsidRDefault="001F4178" w:rsidP="00851613">
            <w:pPr>
              <w:pStyle w:val="Tablecontentrightcolumn"/>
            </w:pPr>
            <w:r w:rsidRPr="001F4178">
              <w:t>1,115</w:t>
            </w:r>
          </w:p>
        </w:tc>
        <w:tc>
          <w:tcPr>
            <w:tcW w:w="1482" w:type="dxa"/>
            <w:tcBorders>
              <w:bottom w:val="nil"/>
            </w:tcBorders>
            <w:shd w:val="clear" w:color="auto" w:fill="8EAEDE"/>
            <w:vAlign w:val="bottom"/>
          </w:tcPr>
          <w:p w14:paraId="2D0D2B92" w14:textId="719B407D" w:rsidR="001F4178" w:rsidRPr="00F53504" w:rsidRDefault="001F4178" w:rsidP="00851613">
            <w:pPr>
              <w:pStyle w:val="Tablecontentrightcolumn"/>
            </w:pPr>
            <w:r w:rsidRPr="001F4178">
              <w:t>51,296</w:t>
            </w:r>
          </w:p>
        </w:tc>
      </w:tr>
    </w:tbl>
    <w:p w14:paraId="05A8A0D7" w14:textId="4F9AC181" w:rsidR="009145B2" w:rsidRDefault="009145B2" w:rsidP="009145B2">
      <w:pPr>
        <w:pStyle w:val="Source"/>
        <w:rPr>
          <w:lang w:eastAsia="en-AU"/>
        </w:rPr>
      </w:pPr>
      <w:r w:rsidRPr="00F53504">
        <w:rPr>
          <w:b/>
        </w:rPr>
        <w:t>Note:</w:t>
      </w:r>
      <w:r w:rsidRPr="00F53504">
        <w:t xml:space="preserve"> </w:t>
      </w:r>
      <w:r w:rsidRPr="00F53504">
        <w:rPr>
          <w:lang w:eastAsia="en-AU"/>
        </w:rPr>
        <w:t xml:space="preserve">EF items claimed for relocation included in this table </w:t>
      </w:r>
      <w:proofErr w:type="gramStart"/>
      <w:r w:rsidRPr="00F53504">
        <w:rPr>
          <w:lang w:eastAsia="en-AU"/>
        </w:rPr>
        <w:t>are confined</w:t>
      </w:r>
      <w:proofErr w:type="gramEnd"/>
      <w:r w:rsidRPr="00F53504">
        <w:rPr>
          <w:lang w:eastAsia="en-AU"/>
        </w:rPr>
        <w:t xml:space="preserve"> to those that occurred within three months of the Relocation Agreement start date.</w:t>
      </w:r>
    </w:p>
    <w:p w14:paraId="1EA960D3" w14:textId="300880A8" w:rsidR="000305C1" w:rsidRPr="00007C3B" w:rsidRDefault="000305C1" w:rsidP="000305C1">
      <w:pPr>
        <w:pStyle w:val="Source"/>
      </w:pPr>
      <w:r w:rsidRPr="00007C3B">
        <w:rPr>
          <w:b/>
        </w:rPr>
        <w:t xml:space="preserve">Note: </w:t>
      </w:r>
      <w:r w:rsidRPr="00007C3B">
        <w:t>RATTUAJ participants that did not relocate may have inc</w:t>
      </w:r>
      <w:r>
        <w:t>urred expenses in preparation for</w:t>
      </w:r>
      <w:r w:rsidRPr="00007C3B">
        <w:t xml:space="preserve"> a move.</w:t>
      </w:r>
      <w:r w:rsidR="00C62791">
        <w:t xml:space="preserve"> Outcomes are determined as at 31 March 2016.</w:t>
      </w:r>
    </w:p>
    <w:p w14:paraId="312F152C" w14:textId="77777777" w:rsidR="00F61905" w:rsidRPr="00F53504" w:rsidRDefault="009145B2" w:rsidP="00F61905">
      <w:pPr>
        <w:pStyle w:val="Source"/>
      </w:pPr>
      <w:r w:rsidRPr="00F53504">
        <w:rPr>
          <w:b/>
        </w:rPr>
        <w:t>Source:</w:t>
      </w:r>
      <w:r w:rsidRPr="00F53504">
        <w:t xml:space="preserve"> EBIW data.</w:t>
      </w:r>
    </w:p>
    <w:p w14:paraId="764C143E" w14:textId="16E75A79" w:rsidR="00B51AB9" w:rsidRPr="00F53504" w:rsidRDefault="00B51AB9" w:rsidP="00F61905">
      <w:pPr>
        <w:pStyle w:val="Heading1nonumber"/>
      </w:pPr>
      <w:bookmarkStart w:id="115" w:name="_Toc512529336"/>
      <w:r w:rsidRPr="00F53504">
        <w:lastRenderedPageBreak/>
        <w:t>Appendix B –</w:t>
      </w:r>
      <w:r w:rsidR="00E43D40">
        <w:t xml:space="preserve"> D</w:t>
      </w:r>
      <w:r w:rsidRPr="00F53504">
        <w:t>ata sources</w:t>
      </w:r>
      <w:bookmarkEnd w:id="115"/>
    </w:p>
    <w:p w14:paraId="5FB197DE" w14:textId="0C7376C5" w:rsidR="00BD758A" w:rsidRPr="00F53504" w:rsidRDefault="005E625C" w:rsidP="00FA25F8">
      <w:r w:rsidRPr="00F53504">
        <w:t xml:space="preserve">The primary data source for this evaluation report was a qualitative survey of RATTUAJ </w:t>
      </w:r>
      <w:r w:rsidR="004F68D9" w:rsidRPr="00F53504">
        <w:t>program</w:t>
      </w:r>
      <w:r w:rsidR="002D0E6E">
        <w:t>me</w:t>
      </w:r>
      <w:r w:rsidRPr="00F53504">
        <w:t xml:space="preserve"> participants and </w:t>
      </w:r>
      <w:r w:rsidR="00B36A3A" w:rsidRPr="00F53504">
        <w:t>providers</w:t>
      </w:r>
      <w:r w:rsidRPr="00F53504">
        <w:t xml:space="preserve">. Information </w:t>
      </w:r>
      <w:proofErr w:type="gramStart"/>
      <w:r w:rsidRPr="00F53504">
        <w:t>has also been drawn</w:t>
      </w:r>
      <w:proofErr w:type="gramEnd"/>
      <w:r w:rsidRPr="00F53504">
        <w:t xml:space="preserve"> from other data sources, both qualitative</w:t>
      </w:r>
      <w:r w:rsidR="007A53DD" w:rsidRPr="00F53504">
        <w:t xml:space="preserve"> and</w:t>
      </w:r>
      <w:r w:rsidRPr="00F53504">
        <w:t xml:space="preserve"> quantitative. The </w:t>
      </w:r>
      <w:r w:rsidR="00BD758A" w:rsidRPr="00F53504">
        <w:t>methodologies</w:t>
      </w:r>
      <w:r w:rsidRPr="00F53504">
        <w:t xml:space="preserve"> of these data sources</w:t>
      </w:r>
      <w:r w:rsidR="00BD758A" w:rsidRPr="00F53504">
        <w:t xml:space="preserve"> </w:t>
      </w:r>
      <w:proofErr w:type="gramStart"/>
      <w:r w:rsidR="00BD758A" w:rsidRPr="00F53504">
        <w:t xml:space="preserve">are </w:t>
      </w:r>
      <w:r w:rsidRPr="00F53504">
        <w:t>detailed</w:t>
      </w:r>
      <w:proofErr w:type="gramEnd"/>
      <w:r w:rsidRPr="00F53504">
        <w:t xml:space="preserve"> </w:t>
      </w:r>
      <w:r w:rsidR="00BD758A" w:rsidRPr="00F53504">
        <w:t>below</w:t>
      </w:r>
      <w:r w:rsidR="00523959" w:rsidRPr="00F53504">
        <w:t>.</w:t>
      </w:r>
    </w:p>
    <w:p w14:paraId="3B1BF78A" w14:textId="3D80F1C8" w:rsidR="00BD758A" w:rsidRPr="00F53504" w:rsidRDefault="00BD758A" w:rsidP="006A157E">
      <w:pPr>
        <w:pStyle w:val="Heading2-nonumber"/>
      </w:pPr>
      <w:bookmarkStart w:id="116" w:name="_Toc484183016"/>
      <w:bookmarkStart w:id="117" w:name="_Toc484421898"/>
      <w:bookmarkStart w:id="118" w:name="_Toc483386703"/>
      <w:bookmarkStart w:id="119" w:name="_Toc512529337"/>
      <w:r w:rsidRPr="00F53504">
        <w:t xml:space="preserve">Qualitative </w:t>
      </w:r>
      <w:bookmarkEnd w:id="116"/>
      <w:bookmarkEnd w:id="117"/>
      <w:bookmarkEnd w:id="118"/>
      <w:r w:rsidR="00E43D40">
        <w:t>research</w:t>
      </w:r>
      <w:bookmarkEnd w:id="119"/>
    </w:p>
    <w:p w14:paraId="3AF44572" w14:textId="4A1F7286" w:rsidR="00BD758A" w:rsidRPr="00F53504" w:rsidRDefault="00FA25F8" w:rsidP="00BD758A">
      <w:r w:rsidRPr="00F53504">
        <w:t xml:space="preserve">Colmar </w:t>
      </w:r>
      <w:proofErr w:type="spellStart"/>
      <w:r w:rsidRPr="00F53504">
        <w:t>Brunton</w:t>
      </w:r>
      <w:proofErr w:type="spellEnd"/>
      <w:r w:rsidRPr="00F53504">
        <w:t xml:space="preserve"> </w:t>
      </w:r>
      <w:r w:rsidR="0055277F" w:rsidRPr="00F53504">
        <w:t>was</w:t>
      </w:r>
      <w:r w:rsidRPr="00F53504">
        <w:t xml:space="preserve"> engaged</w:t>
      </w:r>
      <w:r w:rsidR="00BD758A" w:rsidRPr="00F53504">
        <w:t xml:space="preserve"> to conduct</w:t>
      </w:r>
      <w:r w:rsidR="00BD758A" w:rsidRPr="00F53504">
        <w:rPr>
          <w:rFonts w:cstheme="minorHAnsi"/>
        </w:rPr>
        <w:t xml:space="preserve"> </w:t>
      </w:r>
      <w:r w:rsidRPr="00F53504">
        <w:rPr>
          <w:rFonts w:cstheme="minorHAnsi"/>
        </w:rPr>
        <w:t>in-depth interviews</w:t>
      </w:r>
      <w:r w:rsidR="00BD758A" w:rsidRPr="00F53504">
        <w:rPr>
          <w:rFonts w:cstheme="minorHAnsi"/>
        </w:rPr>
        <w:t xml:space="preserve"> with job seekers and </w:t>
      </w:r>
      <w:r w:rsidRPr="00F53504">
        <w:rPr>
          <w:rFonts w:cstheme="minorHAnsi"/>
        </w:rPr>
        <w:t xml:space="preserve">employment services </w:t>
      </w:r>
      <w:r w:rsidR="00BD758A" w:rsidRPr="00F53504">
        <w:rPr>
          <w:rFonts w:cstheme="minorHAnsi"/>
        </w:rPr>
        <w:t>providers in late 2015 and early 2016 to collect data on the experiences of job seekers and providers involved with the RATTUAJ</w:t>
      </w:r>
      <w:r w:rsidRPr="00F53504">
        <w:rPr>
          <w:rFonts w:cstheme="minorHAnsi"/>
        </w:rPr>
        <w:t xml:space="preserve"> </w:t>
      </w:r>
      <w:r w:rsidR="004F68D9" w:rsidRPr="00F53504">
        <w:rPr>
          <w:rFonts w:cstheme="minorHAnsi"/>
        </w:rPr>
        <w:t>program</w:t>
      </w:r>
      <w:r w:rsidR="002D0E6E">
        <w:rPr>
          <w:rFonts w:cstheme="minorHAnsi"/>
        </w:rPr>
        <w:t>me</w:t>
      </w:r>
      <w:r w:rsidR="00BD758A" w:rsidRPr="00F53504">
        <w:rPr>
          <w:rFonts w:cstheme="minorHAnsi"/>
        </w:rPr>
        <w:t xml:space="preserve">. </w:t>
      </w:r>
      <w:r w:rsidRPr="00F53504">
        <w:rPr>
          <w:rFonts w:cstheme="minorHAnsi"/>
        </w:rPr>
        <w:t>This</w:t>
      </w:r>
      <w:r w:rsidR="00BD758A" w:rsidRPr="00F53504">
        <w:rPr>
          <w:rFonts w:cstheme="minorHAnsi"/>
        </w:rPr>
        <w:t xml:space="preserve"> multi-stage qualitative study included:</w:t>
      </w:r>
    </w:p>
    <w:p w14:paraId="4818F7DC" w14:textId="77777777" w:rsidR="00BD758A" w:rsidRPr="00F53504" w:rsidRDefault="00BD758A" w:rsidP="00435DE3">
      <w:pPr>
        <w:pStyle w:val="ListBullet"/>
      </w:pPr>
      <w:r w:rsidRPr="00F53504">
        <w:t>50 initial</w:t>
      </w:r>
      <w:r w:rsidR="00907747" w:rsidRPr="00F53504">
        <w:t xml:space="preserve"> in-depth</w:t>
      </w:r>
      <w:r w:rsidRPr="00F53504">
        <w:t xml:space="preserve"> interviews with job seekers who had entered or were entering into a RATTUAJ Agreement through a provider</w:t>
      </w:r>
    </w:p>
    <w:p w14:paraId="00E99DC6" w14:textId="1AA86123" w:rsidR="00BD758A" w:rsidRPr="00F53504" w:rsidRDefault="00FA25F8" w:rsidP="00435DE3">
      <w:pPr>
        <w:pStyle w:val="ListBullet"/>
      </w:pPr>
      <w:r w:rsidRPr="00F53504">
        <w:t>t</w:t>
      </w:r>
      <w:r w:rsidR="00BD758A" w:rsidRPr="00F53504">
        <w:t xml:space="preserve">wo </w:t>
      </w:r>
      <w:r w:rsidR="009E57A7">
        <w:t xml:space="preserve">waves of </w:t>
      </w:r>
      <w:r w:rsidR="000A4ADD">
        <w:t>“</w:t>
      </w:r>
      <w:r w:rsidR="00BD758A" w:rsidRPr="00F53504">
        <w:t>online diaries</w:t>
      </w:r>
      <w:r w:rsidR="000A4ADD">
        <w:t>”</w:t>
      </w:r>
      <w:r w:rsidR="00946245">
        <w:t xml:space="preserve"> </w:t>
      </w:r>
      <w:r w:rsidR="00BD758A" w:rsidRPr="00F53504">
        <w:t>with job seekers</w:t>
      </w:r>
      <w:r w:rsidR="000A4ADD">
        <w:t xml:space="preserve"> – essentially brief check-ins to maintain contact</w:t>
      </w:r>
      <w:r w:rsidR="009E57A7">
        <w:t xml:space="preserve"> with respondents</w:t>
      </w:r>
    </w:p>
    <w:p w14:paraId="1D566928" w14:textId="77777777" w:rsidR="00FA25F8" w:rsidRPr="00F53504" w:rsidRDefault="00FA25F8" w:rsidP="00435DE3">
      <w:pPr>
        <w:pStyle w:val="ListBullet"/>
      </w:pPr>
      <w:r w:rsidRPr="00F53504">
        <w:t>f</w:t>
      </w:r>
      <w:r w:rsidR="00BD758A" w:rsidRPr="00F53504">
        <w:t>ollow-up</w:t>
      </w:r>
      <w:r w:rsidR="00907747" w:rsidRPr="00F53504">
        <w:t xml:space="preserve"> in-depth</w:t>
      </w:r>
      <w:r w:rsidR="00BD758A" w:rsidRPr="00F53504">
        <w:t xml:space="preserve"> interviews with 29 out of the 50 job seekers approximately three months after initial interview</w:t>
      </w:r>
    </w:p>
    <w:p w14:paraId="170CEE2A" w14:textId="77777777" w:rsidR="00BD758A" w:rsidRPr="00F53504" w:rsidRDefault="00BD758A" w:rsidP="00435DE3">
      <w:pPr>
        <w:pStyle w:val="ListBullet"/>
      </w:pPr>
      <w:r w:rsidRPr="00F53504">
        <w:t>10</w:t>
      </w:r>
      <w:r w:rsidR="00907747" w:rsidRPr="00F53504">
        <w:t xml:space="preserve"> in-depth</w:t>
      </w:r>
      <w:r w:rsidRPr="00F53504">
        <w:t xml:space="preserve"> interviews with </w:t>
      </w:r>
      <w:r w:rsidR="00FA25F8" w:rsidRPr="00F53504">
        <w:t xml:space="preserve">jobactive </w:t>
      </w:r>
      <w:r w:rsidRPr="00F53504">
        <w:t>providers</w:t>
      </w:r>
    </w:p>
    <w:p w14:paraId="66197CF0" w14:textId="72BB6A5C" w:rsidR="00BD758A" w:rsidRPr="00F53504" w:rsidRDefault="00FA25F8" w:rsidP="00435DE3">
      <w:pPr>
        <w:pStyle w:val="ListBullet"/>
      </w:pPr>
      <w:proofErr w:type="gramStart"/>
      <w:r w:rsidRPr="00F53504">
        <w:t>q</w:t>
      </w:r>
      <w:r w:rsidR="00BD758A" w:rsidRPr="00F53504">
        <w:t>ualitative</w:t>
      </w:r>
      <w:proofErr w:type="gramEnd"/>
      <w:r w:rsidR="00BD758A" w:rsidRPr="00F53504">
        <w:t xml:space="preserve"> </w:t>
      </w:r>
      <w:r w:rsidR="00547D5B">
        <w:t>data analysis.</w:t>
      </w:r>
    </w:p>
    <w:p w14:paraId="7ADAE3CE" w14:textId="07A1E0C2" w:rsidR="00BD758A" w:rsidRPr="00F53504" w:rsidRDefault="00BD758A" w:rsidP="00BD758A">
      <w:r w:rsidRPr="00F53504">
        <w:t xml:space="preserve">The Department provided Colmar </w:t>
      </w:r>
      <w:proofErr w:type="spellStart"/>
      <w:r w:rsidRPr="00F53504">
        <w:t>Brunton</w:t>
      </w:r>
      <w:proofErr w:type="spellEnd"/>
      <w:r w:rsidRPr="00F53504">
        <w:t xml:space="preserve"> with the contact details of all job seekers who participated in </w:t>
      </w:r>
      <w:r w:rsidR="0041378D" w:rsidRPr="00F53504">
        <w:t>RATTUAJ</w:t>
      </w:r>
      <w:r w:rsidRPr="00F53504">
        <w:t xml:space="preserve"> within </w:t>
      </w:r>
      <w:r w:rsidR="00FA25F8" w:rsidRPr="00F53504">
        <w:t>a</w:t>
      </w:r>
      <w:r w:rsidRPr="00F53504">
        <w:t xml:space="preserve"> defined timeframe. Job seekers were considered eligible for participation in the study if the Department recorded an application being lodged from 1</w:t>
      </w:r>
      <w:r w:rsidR="00547D5B">
        <w:t> </w:t>
      </w:r>
      <w:r w:rsidRPr="00F53504">
        <w:t>May</w:t>
      </w:r>
      <w:r w:rsidR="00547D5B">
        <w:t> </w:t>
      </w:r>
      <w:r w:rsidRPr="00F53504">
        <w:t>to</w:t>
      </w:r>
      <w:r w:rsidR="00547D5B">
        <w:t> </w:t>
      </w:r>
      <w:r w:rsidR="0000536A" w:rsidRPr="00F53504">
        <w:t>30</w:t>
      </w:r>
      <w:r w:rsidR="00547D5B">
        <w:t> </w:t>
      </w:r>
      <w:r w:rsidRPr="00F53504">
        <w:t xml:space="preserve">June 2015 under Job Services Australia </w:t>
      </w:r>
      <w:r w:rsidR="00D1654B" w:rsidRPr="00F53504">
        <w:t>and through to</w:t>
      </w:r>
      <w:r w:rsidRPr="00F53504">
        <w:t xml:space="preserve"> 6</w:t>
      </w:r>
      <w:r w:rsidR="00547D5B">
        <w:t> </w:t>
      </w:r>
      <w:r w:rsidRPr="00F53504">
        <w:t>October</w:t>
      </w:r>
      <w:r w:rsidR="00547D5B">
        <w:t> </w:t>
      </w:r>
      <w:r w:rsidRPr="00F53504">
        <w:t>2015</w:t>
      </w:r>
      <w:r w:rsidR="006A157E" w:rsidRPr="00F53504">
        <w:t xml:space="preserve"> under jobactive</w:t>
      </w:r>
      <w:r w:rsidRPr="00F53504">
        <w:t xml:space="preserve">. </w:t>
      </w:r>
    </w:p>
    <w:p w14:paraId="3A624B79" w14:textId="77777777" w:rsidR="00BD758A" w:rsidRPr="00F53504" w:rsidRDefault="00BD758A" w:rsidP="00BD758A">
      <w:r w:rsidRPr="00F53504">
        <w:t xml:space="preserve">Job seekers </w:t>
      </w:r>
      <w:proofErr w:type="gramStart"/>
      <w:r w:rsidRPr="00F53504">
        <w:t>were excluded</w:t>
      </w:r>
      <w:proofErr w:type="gramEnd"/>
      <w:r w:rsidRPr="00F53504">
        <w:t xml:space="preserve"> from the research if they:</w:t>
      </w:r>
    </w:p>
    <w:p w14:paraId="67F641B0" w14:textId="77777777" w:rsidR="00BD758A" w:rsidRPr="00F53504" w:rsidRDefault="00FA25F8" w:rsidP="00435DE3">
      <w:pPr>
        <w:pStyle w:val="ListBullet"/>
      </w:pPr>
      <w:r w:rsidRPr="00F53504">
        <w:t>i</w:t>
      </w:r>
      <w:r w:rsidR="00BD758A" w:rsidRPr="00F53504">
        <w:t>ndicated they did not wish to participate in the research</w:t>
      </w:r>
    </w:p>
    <w:p w14:paraId="6D42E9E1" w14:textId="77777777" w:rsidR="00BD758A" w:rsidRPr="00F53504" w:rsidRDefault="00FA25F8" w:rsidP="00435DE3">
      <w:pPr>
        <w:pStyle w:val="ListBullet"/>
      </w:pPr>
      <w:r w:rsidRPr="00F53504">
        <w:t>h</w:t>
      </w:r>
      <w:r w:rsidR="00BD758A" w:rsidRPr="00F53504">
        <w:t>ad recently been approach</w:t>
      </w:r>
      <w:r w:rsidRPr="00F53504">
        <w:t>ed</w:t>
      </w:r>
      <w:r w:rsidR="00BD758A" w:rsidRPr="00F53504">
        <w:t xml:space="preserve"> for other research or evaluation by the Department</w:t>
      </w:r>
    </w:p>
    <w:p w14:paraId="3B1360FD" w14:textId="77777777" w:rsidR="00BD758A" w:rsidRPr="00F53504" w:rsidRDefault="00FA25F8" w:rsidP="00435DE3">
      <w:pPr>
        <w:pStyle w:val="ListBullet"/>
      </w:pPr>
      <w:proofErr w:type="gramStart"/>
      <w:r w:rsidRPr="00F53504">
        <w:t>h</w:t>
      </w:r>
      <w:r w:rsidR="00BD758A" w:rsidRPr="00F53504">
        <w:t>ad</w:t>
      </w:r>
      <w:proofErr w:type="gramEnd"/>
      <w:r w:rsidR="00BD758A" w:rsidRPr="00F53504">
        <w:t xml:space="preserve"> been involved in an anti-social incident with a</w:t>
      </w:r>
      <w:r w:rsidRPr="00F53504">
        <w:t>n</w:t>
      </w:r>
      <w:r w:rsidR="00BD758A" w:rsidRPr="00F53504">
        <w:t xml:space="preserve"> </w:t>
      </w:r>
      <w:r w:rsidRPr="00F53504">
        <w:t>employment services provider</w:t>
      </w:r>
      <w:r w:rsidR="00BD758A" w:rsidRPr="00F53504">
        <w:t>.</w:t>
      </w:r>
    </w:p>
    <w:p w14:paraId="717C9450" w14:textId="77777777" w:rsidR="00122B47" w:rsidRPr="00F53504" w:rsidRDefault="00122B47" w:rsidP="00BD758A">
      <w:r w:rsidRPr="00F53504">
        <w:t xml:space="preserve">Colmar </w:t>
      </w:r>
      <w:proofErr w:type="spellStart"/>
      <w:r w:rsidRPr="00F53504">
        <w:t>Brunton</w:t>
      </w:r>
      <w:proofErr w:type="spellEnd"/>
      <w:r w:rsidRPr="00F53504">
        <w:t xml:space="preserve">, with Departmental approval, sent </w:t>
      </w:r>
      <w:proofErr w:type="gramStart"/>
      <w:r w:rsidRPr="00F53504">
        <w:t>a total of 129</w:t>
      </w:r>
      <w:proofErr w:type="gramEnd"/>
      <w:r w:rsidRPr="00F53504">
        <w:t xml:space="preserve"> primary approach letters and information sheets to these job seekers inviting them to participate in the research.</w:t>
      </w:r>
    </w:p>
    <w:p w14:paraId="5352A910" w14:textId="77777777" w:rsidR="00BD758A" w:rsidRPr="00F53504" w:rsidRDefault="00BD758A" w:rsidP="00BD758A">
      <w:r w:rsidRPr="00F53504">
        <w:t>Job seekers</w:t>
      </w:r>
      <w:r w:rsidR="0055277F" w:rsidRPr="00F53504">
        <w:t xml:space="preserve"> </w:t>
      </w:r>
      <w:proofErr w:type="gramStart"/>
      <w:r w:rsidR="0055277F" w:rsidRPr="00F53504">
        <w:t>were offered</w:t>
      </w:r>
      <w:proofErr w:type="gramEnd"/>
      <w:r w:rsidR="0055277F" w:rsidRPr="00F53504">
        <w:t xml:space="preserve"> payments in recognition of their costs and time to participate </w:t>
      </w:r>
      <w:r w:rsidRPr="00F53504">
        <w:t>in the research:</w:t>
      </w:r>
    </w:p>
    <w:p w14:paraId="252CA926" w14:textId="77777777" w:rsidR="00BD758A" w:rsidRPr="00F53504" w:rsidRDefault="00BD758A" w:rsidP="00435DE3">
      <w:pPr>
        <w:pStyle w:val="ListBullet"/>
      </w:pPr>
      <w:r w:rsidRPr="00F53504">
        <w:t>$50 after completing an initial interview</w:t>
      </w:r>
    </w:p>
    <w:p w14:paraId="3D61E495" w14:textId="77777777" w:rsidR="00BD758A" w:rsidRPr="00F53504" w:rsidRDefault="00BD758A" w:rsidP="00435DE3">
      <w:pPr>
        <w:pStyle w:val="ListBullet"/>
      </w:pPr>
      <w:r w:rsidRPr="00F53504">
        <w:t>$20 after completing both online diary components</w:t>
      </w:r>
    </w:p>
    <w:p w14:paraId="6F8AF06F" w14:textId="77777777" w:rsidR="00BD758A" w:rsidRPr="00F53504" w:rsidRDefault="00BD758A" w:rsidP="00435DE3">
      <w:pPr>
        <w:pStyle w:val="ListBullet"/>
      </w:pPr>
      <w:r w:rsidRPr="00F53504">
        <w:t>$80 after completing a secondary interview.</w:t>
      </w:r>
    </w:p>
    <w:p w14:paraId="4036B707" w14:textId="366E6E6C" w:rsidR="00BD758A" w:rsidRPr="00F53504" w:rsidRDefault="00BD758A" w:rsidP="00BD758A">
      <w:r w:rsidRPr="00F53504">
        <w:t xml:space="preserve">Colmar </w:t>
      </w:r>
      <w:proofErr w:type="spellStart"/>
      <w:r w:rsidRPr="00F53504">
        <w:t>Brunton</w:t>
      </w:r>
      <w:proofErr w:type="spellEnd"/>
      <w:r w:rsidRPr="00F53504">
        <w:t xml:space="preserve"> attempted to contact all job seekers</w:t>
      </w:r>
      <w:r w:rsidR="00523959" w:rsidRPr="00F53504">
        <w:t xml:space="preserve"> provided to them by the Department</w:t>
      </w:r>
      <w:r w:rsidRPr="00F53504">
        <w:t xml:space="preserve"> and arranged a time for a face-to-face or telephone interview for those who </w:t>
      </w:r>
      <w:r w:rsidR="009742B1">
        <w:t xml:space="preserve">were </w:t>
      </w:r>
      <w:r w:rsidRPr="00F53504">
        <w:t xml:space="preserve">willing to participate in the research. </w:t>
      </w:r>
      <w:r w:rsidR="007A4192" w:rsidRPr="00F53504">
        <w:t xml:space="preserve">For the initial interviews, </w:t>
      </w:r>
      <w:r w:rsidRPr="00F53504">
        <w:t xml:space="preserve">Colmar </w:t>
      </w:r>
      <w:proofErr w:type="spellStart"/>
      <w:r w:rsidRPr="00F53504">
        <w:t>Brunton</w:t>
      </w:r>
      <w:proofErr w:type="spellEnd"/>
      <w:r w:rsidRPr="00F53504">
        <w:t xml:space="preserve"> completed 21 face-to-face interviews and 29 telephone interviews. Out of the 50 job seekers interviewed:</w:t>
      </w:r>
    </w:p>
    <w:p w14:paraId="0E18662E" w14:textId="77777777" w:rsidR="00BD758A" w:rsidRPr="00F53504" w:rsidRDefault="00BD758A" w:rsidP="00435DE3">
      <w:pPr>
        <w:pStyle w:val="ListBullet"/>
      </w:pPr>
      <w:r w:rsidRPr="00F53504">
        <w:t>40 had already relocated</w:t>
      </w:r>
    </w:p>
    <w:p w14:paraId="5914B5FF" w14:textId="77777777" w:rsidR="00BD758A" w:rsidRPr="00F53504" w:rsidRDefault="007A4192" w:rsidP="00435DE3">
      <w:pPr>
        <w:pStyle w:val="ListBullet"/>
      </w:pPr>
      <w:r w:rsidRPr="00F53504">
        <w:lastRenderedPageBreak/>
        <w:t>f</w:t>
      </w:r>
      <w:r w:rsidR="00BD758A" w:rsidRPr="00F53504">
        <w:t>our were in the process of relocating</w:t>
      </w:r>
    </w:p>
    <w:p w14:paraId="0A96D5D3" w14:textId="77777777" w:rsidR="00BD758A" w:rsidRPr="00F53504" w:rsidRDefault="007A4192" w:rsidP="00435DE3">
      <w:pPr>
        <w:pStyle w:val="ListBullet"/>
      </w:pPr>
      <w:proofErr w:type="gramStart"/>
      <w:r w:rsidRPr="00F53504">
        <w:t>s</w:t>
      </w:r>
      <w:r w:rsidR="00BD758A" w:rsidRPr="00F53504">
        <w:t>ix</w:t>
      </w:r>
      <w:proofErr w:type="gramEnd"/>
      <w:r w:rsidR="00BD758A" w:rsidRPr="00F53504">
        <w:t xml:space="preserve"> did not complete relocation.</w:t>
      </w:r>
    </w:p>
    <w:p w14:paraId="5795BF7D" w14:textId="1DACB1FB" w:rsidR="00BD758A" w:rsidRPr="00F53504" w:rsidRDefault="00BD758A" w:rsidP="00BD758A">
      <w:r w:rsidRPr="00F53504">
        <w:t xml:space="preserve">Interviews </w:t>
      </w:r>
      <w:proofErr w:type="gramStart"/>
      <w:r w:rsidRPr="00F53504">
        <w:t>were conducted</w:t>
      </w:r>
      <w:r w:rsidR="006A157E" w:rsidRPr="00F53504">
        <w:t xml:space="preserve"> between 31 August and</w:t>
      </w:r>
      <w:r w:rsidR="009B20B6" w:rsidRPr="00F53504">
        <w:t xml:space="preserve"> </w:t>
      </w:r>
      <w:r w:rsidR="006A157E" w:rsidRPr="00F53504">
        <w:t>15 October 2015</w:t>
      </w:r>
      <w:r w:rsidRPr="00F53504">
        <w:t xml:space="preserve"> and lasted </w:t>
      </w:r>
      <w:r w:rsidR="009742B1">
        <w:t>about</w:t>
      </w:r>
      <w:r w:rsidR="009742B1" w:rsidRPr="00F53504">
        <w:t xml:space="preserve"> </w:t>
      </w:r>
      <w:r w:rsidRPr="00F53504">
        <w:t>one hour</w:t>
      </w:r>
      <w:proofErr w:type="gramEnd"/>
      <w:r w:rsidRPr="00F53504">
        <w:t xml:space="preserve">. </w:t>
      </w:r>
      <w:r w:rsidR="0055277F" w:rsidRPr="00F53504">
        <w:t xml:space="preserve">When permission </w:t>
      </w:r>
      <w:proofErr w:type="gramStart"/>
      <w:r w:rsidR="0055277F" w:rsidRPr="00F53504">
        <w:t>was granted</w:t>
      </w:r>
      <w:proofErr w:type="gramEnd"/>
      <w:r w:rsidR="0055277F" w:rsidRPr="00F53504">
        <w:t xml:space="preserve">, </w:t>
      </w:r>
      <w:r w:rsidRPr="00F53504">
        <w:t xml:space="preserve">Colmar </w:t>
      </w:r>
      <w:proofErr w:type="spellStart"/>
      <w:r w:rsidRPr="00F53504">
        <w:t>Brunton</w:t>
      </w:r>
      <w:proofErr w:type="spellEnd"/>
      <w:r w:rsidRPr="00F53504">
        <w:t xml:space="preserve"> recorded </w:t>
      </w:r>
      <w:r w:rsidR="0055277F" w:rsidRPr="00F53504">
        <w:t xml:space="preserve">the </w:t>
      </w:r>
      <w:r w:rsidRPr="00F53504">
        <w:t>interviews with job seekers and provided de-identified transcripts to the Department.</w:t>
      </w:r>
    </w:p>
    <w:p w14:paraId="26E01553" w14:textId="51596625" w:rsidR="007A4192" w:rsidRPr="00F53504" w:rsidRDefault="00BD758A" w:rsidP="00BD758A">
      <w:r w:rsidRPr="00F53504">
        <w:t xml:space="preserve">Colmar </w:t>
      </w:r>
      <w:proofErr w:type="spellStart"/>
      <w:r w:rsidRPr="00F53504">
        <w:t>Brunton</w:t>
      </w:r>
      <w:proofErr w:type="spellEnd"/>
      <w:r w:rsidRPr="00F53504">
        <w:t xml:space="preserve"> conducted two ‘online diary’ entries with job seekers at approximately one and two months after the initial interview. The online diar</w:t>
      </w:r>
      <w:r w:rsidR="009B20B6" w:rsidRPr="00F53504">
        <w:t xml:space="preserve">ies </w:t>
      </w:r>
      <w:proofErr w:type="gramStart"/>
      <w:r w:rsidRPr="00F53504">
        <w:t>were primarily used</w:t>
      </w:r>
      <w:proofErr w:type="gramEnd"/>
      <w:r w:rsidRPr="00F53504">
        <w:t xml:space="preserve"> as a tool to engage job seekers between the initial and </w:t>
      </w:r>
      <w:r w:rsidR="007A4192" w:rsidRPr="00F53504">
        <w:t>follow-up</w:t>
      </w:r>
      <w:r w:rsidRPr="00F53504">
        <w:t xml:space="preserve"> interviews and were not considered a source of </w:t>
      </w:r>
      <w:r w:rsidR="00F005C6" w:rsidRPr="00F53504">
        <w:t xml:space="preserve">primary </w:t>
      </w:r>
      <w:r w:rsidRPr="00F53504">
        <w:t>data collection. Eighteen job seekers completed the first diary and eight of the initial</w:t>
      </w:r>
      <w:r w:rsidR="00E418A0">
        <w:t xml:space="preserve"> 18 completed the second diary.</w:t>
      </w:r>
    </w:p>
    <w:p w14:paraId="7D9ECEBD" w14:textId="07E44AFC" w:rsidR="00BD758A" w:rsidRPr="00F53504" w:rsidRDefault="007A4192" w:rsidP="00BD758A">
      <w:r w:rsidRPr="00F53504">
        <w:t>The researchers conduct</w:t>
      </w:r>
      <w:r w:rsidR="00F005C6" w:rsidRPr="00F53504">
        <w:t>ed</w:t>
      </w:r>
      <w:r w:rsidRPr="00F53504">
        <w:t xml:space="preserve"> a</w:t>
      </w:r>
      <w:r w:rsidR="00BD758A" w:rsidRPr="00F53504">
        <w:t xml:space="preserve"> follow-up interview with 29 of the 50 job seekers who participated in the initial phase of the research. All follow-up interviews were </w:t>
      </w:r>
      <w:r w:rsidR="00F005C6" w:rsidRPr="00F53504">
        <w:t xml:space="preserve">by </w:t>
      </w:r>
      <w:r w:rsidR="00BD758A" w:rsidRPr="00F53504">
        <w:t xml:space="preserve">telephone and lasted </w:t>
      </w:r>
      <w:r w:rsidR="00F005C6" w:rsidRPr="00F53504">
        <w:t xml:space="preserve">between </w:t>
      </w:r>
      <w:r w:rsidR="00E418A0">
        <w:t>30 </w:t>
      </w:r>
      <w:r w:rsidR="00BD758A" w:rsidRPr="00F53504">
        <w:t>to</w:t>
      </w:r>
      <w:r w:rsidR="00E418A0">
        <w:t> </w:t>
      </w:r>
      <w:r w:rsidR="00BD758A" w:rsidRPr="00F53504">
        <w:t>60 minutes.</w:t>
      </w:r>
    </w:p>
    <w:p w14:paraId="506E34B3" w14:textId="116BDCD2" w:rsidR="00BD758A" w:rsidRPr="00F53504" w:rsidRDefault="007A4192" w:rsidP="00BD758A">
      <w:r w:rsidRPr="00F53504">
        <w:t xml:space="preserve">In addition to interviews with job seekers, </w:t>
      </w:r>
      <w:r w:rsidR="00BD758A" w:rsidRPr="00F53504">
        <w:t xml:space="preserve">Colmar </w:t>
      </w:r>
      <w:proofErr w:type="spellStart"/>
      <w:r w:rsidR="00BD758A" w:rsidRPr="00F53504">
        <w:t>Brunton</w:t>
      </w:r>
      <w:proofErr w:type="spellEnd"/>
      <w:r w:rsidR="00BD758A" w:rsidRPr="00F53504">
        <w:t xml:space="preserve"> conducted face-to-face interviews with 10 jobactive providers in October 2015. </w:t>
      </w:r>
      <w:r w:rsidR="009742B1">
        <w:t xml:space="preserve">Of the </w:t>
      </w:r>
      <w:r w:rsidR="00BD758A" w:rsidRPr="00F53504">
        <w:t>providers interviewed:</w:t>
      </w:r>
    </w:p>
    <w:p w14:paraId="2EE8A39A" w14:textId="4E66CEE9" w:rsidR="00BD758A" w:rsidRPr="00F53504" w:rsidRDefault="007A4192" w:rsidP="00435DE3">
      <w:pPr>
        <w:pStyle w:val="ListBullet"/>
      </w:pPr>
      <w:r w:rsidRPr="00F53504">
        <w:t>t</w:t>
      </w:r>
      <w:r w:rsidR="00BD758A" w:rsidRPr="00F53504">
        <w:t>wo had not placed a job seeker through RATTUAJ</w:t>
      </w:r>
    </w:p>
    <w:p w14:paraId="2DD905FE" w14:textId="7A790A0B" w:rsidR="00BD758A" w:rsidRPr="00F53504" w:rsidRDefault="007A4192" w:rsidP="00435DE3">
      <w:pPr>
        <w:pStyle w:val="ListBullet"/>
      </w:pPr>
      <w:r w:rsidRPr="00F53504">
        <w:t>f</w:t>
      </w:r>
      <w:r w:rsidR="00BD758A" w:rsidRPr="00F53504">
        <w:t>our had placed one job seeker through RATTUAJ</w:t>
      </w:r>
    </w:p>
    <w:p w14:paraId="79C799D7" w14:textId="4CDA1F44" w:rsidR="00BD758A" w:rsidRPr="00F53504" w:rsidRDefault="007A4192" w:rsidP="00435DE3">
      <w:pPr>
        <w:pStyle w:val="ListBullet"/>
      </w:pPr>
      <w:proofErr w:type="gramStart"/>
      <w:r w:rsidRPr="00F53504">
        <w:t>f</w:t>
      </w:r>
      <w:r w:rsidR="00BD758A" w:rsidRPr="00F53504">
        <w:t>our</w:t>
      </w:r>
      <w:proofErr w:type="gramEnd"/>
      <w:r w:rsidR="00BD758A" w:rsidRPr="00F53504">
        <w:t xml:space="preserve"> had placed multiple job seekers through RATTUAJ.</w:t>
      </w:r>
    </w:p>
    <w:p w14:paraId="7965D2A0" w14:textId="254FDA42" w:rsidR="0055277F" w:rsidRPr="00F53504" w:rsidRDefault="009742B1" w:rsidP="0055277F">
      <w:r>
        <w:t>W</w:t>
      </w:r>
      <w:r w:rsidR="0055277F" w:rsidRPr="00F53504">
        <w:t xml:space="preserve">hen permission was </w:t>
      </w:r>
      <w:proofErr w:type="gramStart"/>
      <w:r w:rsidR="0055277F" w:rsidRPr="00F53504">
        <w:t>granted</w:t>
      </w:r>
      <w:proofErr w:type="gramEnd"/>
      <w:r w:rsidR="0055277F" w:rsidRPr="00F53504">
        <w:t xml:space="preserve"> the provider interviews were recorded and de-identified transcripts were provided to the Department.</w:t>
      </w:r>
    </w:p>
    <w:p w14:paraId="524E3857" w14:textId="2AD7F4A5" w:rsidR="007A4192" w:rsidRPr="00F53504" w:rsidRDefault="007A4192" w:rsidP="006A157E">
      <w:pPr>
        <w:pStyle w:val="Heading2-nonumber"/>
      </w:pPr>
      <w:bookmarkStart w:id="120" w:name="_Toc483386704"/>
      <w:bookmarkStart w:id="121" w:name="_Toc484183017"/>
      <w:bookmarkStart w:id="122" w:name="_Toc484421899"/>
      <w:bookmarkStart w:id="123" w:name="_Toc512529338"/>
      <w:r w:rsidRPr="00F53504">
        <w:t xml:space="preserve">Department of </w:t>
      </w:r>
      <w:r w:rsidR="00722C96">
        <w:t>Jobs and Small Business</w:t>
      </w:r>
      <w:r w:rsidRPr="00F53504">
        <w:t xml:space="preserve"> administrative data</w:t>
      </w:r>
      <w:bookmarkEnd w:id="120"/>
      <w:bookmarkEnd w:id="121"/>
      <w:bookmarkEnd w:id="122"/>
      <w:bookmarkEnd w:id="123"/>
    </w:p>
    <w:p w14:paraId="1DD430F5" w14:textId="084D7E2C" w:rsidR="00BD758A" w:rsidRPr="00F53504" w:rsidRDefault="00BD758A" w:rsidP="00BD758A">
      <w:r w:rsidRPr="00F53504">
        <w:t>The administrative data</w:t>
      </w:r>
      <w:r w:rsidR="00A137FF" w:rsidRPr="00F53504">
        <w:t xml:space="preserve"> used in this report</w:t>
      </w:r>
      <w:r w:rsidRPr="00F53504">
        <w:t xml:space="preserve"> is from the Employment Business Intelligence Warehouse (EBIW). This database contains information on the use and recipients of employment services including the take up and use of RATTUAJ </w:t>
      </w:r>
      <w:r w:rsidR="004F68D9" w:rsidRPr="00F53504">
        <w:t>program</w:t>
      </w:r>
      <w:r w:rsidR="002D0E6E">
        <w:t>me</w:t>
      </w:r>
      <w:r w:rsidR="00E418A0">
        <w:t>.</w:t>
      </w:r>
    </w:p>
    <w:p w14:paraId="7066E830" w14:textId="77777777" w:rsidR="00A137FF" w:rsidRPr="00F53504" w:rsidRDefault="00A137FF" w:rsidP="00BD758A">
      <w:r w:rsidRPr="00F53504">
        <w:t>The database is a live system</w:t>
      </w:r>
      <w:r w:rsidR="00F005C6" w:rsidRPr="00F53504">
        <w:t xml:space="preserve">. This report used data </w:t>
      </w:r>
      <w:r w:rsidRPr="00F53504">
        <w:t>extract</w:t>
      </w:r>
      <w:r w:rsidR="00F005C6" w:rsidRPr="00F53504">
        <w:t xml:space="preserve">ed </w:t>
      </w:r>
      <w:r w:rsidRPr="00F53504">
        <w:t xml:space="preserve">on 31 March 2016. </w:t>
      </w:r>
      <w:r w:rsidR="006E13FA" w:rsidRPr="00F53504">
        <w:t xml:space="preserve">All relevant data relating to Relocation Agreements that </w:t>
      </w:r>
      <w:r w:rsidR="00F631BC" w:rsidRPr="00F53504">
        <w:t>had a start date</w:t>
      </w:r>
      <w:r w:rsidR="006E13FA" w:rsidRPr="00F53504">
        <w:t xml:space="preserve"> between 1 July 2014 and </w:t>
      </w:r>
      <w:r w:rsidR="00F631BC" w:rsidRPr="00F53504">
        <w:t>31</w:t>
      </w:r>
      <w:r w:rsidR="006E13FA" w:rsidRPr="00F53504">
        <w:t xml:space="preserve"> December 2015 as at 31 March 2016</w:t>
      </w:r>
      <w:r w:rsidR="00F005C6" w:rsidRPr="00F53504">
        <w:t xml:space="preserve"> </w:t>
      </w:r>
      <w:proofErr w:type="gramStart"/>
      <w:r w:rsidR="00F005C6" w:rsidRPr="00F53504">
        <w:t>were captured</w:t>
      </w:r>
      <w:proofErr w:type="gramEnd"/>
      <w:r w:rsidR="006E13FA" w:rsidRPr="00F53504">
        <w:t xml:space="preserve">. This allowed time for the outcome of most agreements to be </w:t>
      </w:r>
      <w:proofErr w:type="gramStart"/>
      <w:r w:rsidR="006E13FA" w:rsidRPr="00F53504">
        <w:t>known</w:t>
      </w:r>
      <w:proofErr w:type="gramEnd"/>
      <w:r w:rsidR="006E13FA" w:rsidRPr="00F53504">
        <w:t xml:space="preserve"> and entered into the system.</w:t>
      </w:r>
    </w:p>
    <w:p w14:paraId="36E67AB1" w14:textId="3F9CD9D8" w:rsidR="006E13FA" w:rsidRPr="00F53504" w:rsidRDefault="009C4E38" w:rsidP="009C4E38">
      <w:r>
        <w:t xml:space="preserve">An important caveat is that while the data used in this report was robustly quality assured, the preparation of the data, cleaning and checking, and </w:t>
      </w:r>
      <w:proofErr w:type="gramStart"/>
      <w:r>
        <w:t xml:space="preserve">analysis was </w:t>
      </w:r>
      <w:r w:rsidRPr="00F53504">
        <w:t>conducted in-house by the team drafting this evaluation report</w:t>
      </w:r>
      <w:proofErr w:type="gramEnd"/>
      <w:r>
        <w:t>. This means that the data may not be directly comparable with program performance statistics published in other sources</w:t>
      </w:r>
      <w:r w:rsidR="002E4675">
        <w:t>.</w:t>
      </w:r>
    </w:p>
    <w:p w14:paraId="42FD9884" w14:textId="4EEFA769" w:rsidR="007A4192" w:rsidRPr="00F53504" w:rsidRDefault="00E43442" w:rsidP="006A157E">
      <w:pPr>
        <w:pStyle w:val="Heading2-nonumber"/>
      </w:pPr>
      <w:bookmarkStart w:id="124" w:name="_Toc483386705"/>
      <w:bookmarkStart w:id="125" w:name="_Toc484183018"/>
      <w:bookmarkStart w:id="126" w:name="_Toc484421900"/>
      <w:bookmarkStart w:id="127" w:name="_Toc512529339"/>
      <w:r>
        <w:t>Surveys of e</w:t>
      </w:r>
      <w:r w:rsidR="007A4192" w:rsidRPr="00F53504">
        <w:t xml:space="preserve">mployment </w:t>
      </w:r>
      <w:r>
        <w:t>s</w:t>
      </w:r>
      <w:r w:rsidR="007A4192" w:rsidRPr="00F53504">
        <w:t xml:space="preserve">ervices </w:t>
      </w:r>
      <w:r>
        <w:t>p</w:t>
      </w:r>
      <w:r w:rsidR="007A4192" w:rsidRPr="00F53504">
        <w:t>roviders</w:t>
      </w:r>
      <w:bookmarkEnd w:id="124"/>
      <w:bookmarkEnd w:id="125"/>
      <w:bookmarkEnd w:id="126"/>
      <w:bookmarkEnd w:id="127"/>
      <w:r>
        <w:t xml:space="preserve"> </w:t>
      </w:r>
    </w:p>
    <w:p w14:paraId="15D0CCFB" w14:textId="08AA4A51" w:rsidR="006A157E" w:rsidRPr="00F53504" w:rsidRDefault="00BD758A" w:rsidP="00BD758A">
      <w:r w:rsidRPr="00F53504">
        <w:t xml:space="preserve">Employment </w:t>
      </w:r>
      <w:r w:rsidR="00E43442">
        <w:t>s</w:t>
      </w:r>
      <w:r w:rsidRPr="00F53504">
        <w:t xml:space="preserve">ervices </w:t>
      </w:r>
      <w:r w:rsidR="00E43442">
        <w:t>p</w:t>
      </w:r>
      <w:r w:rsidRPr="00F53504">
        <w:t xml:space="preserve">roviders </w:t>
      </w:r>
      <w:proofErr w:type="gramStart"/>
      <w:r w:rsidR="00E43442">
        <w:t>are</w:t>
      </w:r>
      <w:r w:rsidRPr="00F53504">
        <w:t xml:space="preserve"> </w:t>
      </w:r>
      <w:r w:rsidR="006A157E" w:rsidRPr="00F53504">
        <w:t>survey</w:t>
      </w:r>
      <w:r w:rsidR="00E43442">
        <w:t>ed</w:t>
      </w:r>
      <w:proofErr w:type="gramEnd"/>
      <w:r w:rsidR="00E43442">
        <w:t xml:space="preserve"> regularly</w:t>
      </w:r>
      <w:r w:rsidRPr="00F53504">
        <w:t xml:space="preserve">. </w:t>
      </w:r>
      <w:r w:rsidR="006A157E" w:rsidRPr="00F53504">
        <w:t>The quantitative component of the survey</w:t>
      </w:r>
      <w:r w:rsidR="00DD422A">
        <w:t>s</w:t>
      </w:r>
      <w:r w:rsidR="006A157E" w:rsidRPr="00F53504">
        <w:t xml:space="preserve"> </w:t>
      </w:r>
      <w:r w:rsidR="00DD422A">
        <w:t>are</w:t>
      </w:r>
      <w:r w:rsidR="006A157E" w:rsidRPr="00F53504">
        <w:t xml:space="preserve"> a census of all full-time </w:t>
      </w:r>
      <w:r w:rsidR="00BD6B03" w:rsidRPr="00F53504">
        <w:t xml:space="preserve">JSA/jobactive </w:t>
      </w:r>
      <w:r w:rsidR="006A157E" w:rsidRPr="00F53504">
        <w:t>provider sites</w:t>
      </w:r>
      <w:r w:rsidR="00E418A0">
        <w:t xml:space="preserve"> in operation.</w:t>
      </w:r>
    </w:p>
    <w:p w14:paraId="06548889" w14:textId="77777777" w:rsidR="00BD6B03" w:rsidRPr="00F53504" w:rsidRDefault="00BD6B03" w:rsidP="003908DD">
      <w:pPr>
        <w:pStyle w:val="Heading3-nonumber"/>
      </w:pPr>
      <w:r w:rsidRPr="00F53504">
        <w:lastRenderedPageBreak/>
        <w:t>2015</w:t>
      </w:r>
    </w:p>
    <w:p w14:paraId="7406B0F4" w14:textId="41F46038" w:rsidR="00BD6B03" w:rsidRPr="00F53504" w:rsidRDefault="00BD6B03" w:rsidP="00BD6B03">
      <w:r w:rsidRPr="00F53504">
        <w:t>For the</w:t>
      </w:r>
      <w:r w:rsidR="00BD758A" w:rsidRPr="00F53504">
        <w:t xml:space="preserve"> 2015</w:t>
      </w:r>
      <w:r w:rsidRPr="00F53504">
        <w:t xml:space="preserve"> </w:t>
      </w:r>
      <w:proofErr w:type="gramStart"/>
      <w:r w:rsidRPr="00F53504">
        <w:t>survey</w:t>
      </w:r>
      <w:proofErr w:type="gramEnd"/>
      <w:r w:rsidR="00BD758A" w:rsidRPr="00F53504">
        <w:t xml:space="preserve"> the Department </w:t>
      </w:r>
      <w:r w:rsidR="003258B9" w:rsidRPr="00F53504">
        <w:t>commissioned</w:t>
      </w:r>
      <w:r w:rsidR="00BD758A" w:rsidRPr="00F53504">
        <w:t xml:space="preserve"> TNS </w:t>
      </w:r>
      <w:r w:rsidRPr="00F53504">
        <w:t>Australia</w:t>
      </w:r>
      <w:r w:rsidR="003258B9" w:rsidRPr="00F53504">
        <w:t xml:space="preserve"> to conduct </w:t>
      </w:r>
      <w:r w:rsidRPr="00F53504">
        <w:t xml:space="preserve">qualitative in-depth interviews and an online quantitative questionnaire. For this report, only the qualitative information </w:t>
      </w:r>
      <w:proofErr w:type="gramStart"/>
      <w:r w:rsidRPr="00F53504">
        <w:t>was used</w:t>
      </w:r>
      <w:proofErr w:type="gramEnd"/>
      <w:r w:rsidRPr="00F53504">
        <w:t xml:space="preserve">. In total, </w:t>
      </w:r>
      <w:r w:rsidR="00F26F89">
        <w:t>44</w:t>
      </w:r>
      <w:r w:rsidRPr="00F53504">
        <w:t xml:space="preserve"> interviews with JSA case and site managers </w:t>
      </w:r>
      <w:proofErr w:type="gramStart"/>
      <w:r w:rsidRPr="00F53504">
        <w:t>were completed</w:t>
      </w:r>
      <w:proofErr w:type="gramEnd"/>
      <w:r w:rsidRPr="00F53504">
        <w:t xml:space="preserve"> across metropolitan, regional and rural locations Australia-wide. </w:t>
      </w:r>
      <w:proofErr w:type="gramStart"/>
      <w:r w:rsidRPr="00F53504">
        <w:t xml:space="preserve">A total of </w:t>
      </w:r>
      <w:r w:rsidR="00F26F89">
        <w:t>37</w:t>
      </w:r>
      <w:proofErr w:type="gramEnd"/>
      <w:r w:rsidRPr="00F53504">
        <w:t xml:space="preserve"> JSA sites were represented. A mixed qualitative methodology </w:t>
      </w:r>
      <w:proofErr w:type="gramStart"/>
      <w:r w:rsidRPr="00F53504">
        <w:t>was adopted</w:t>
      </w:r>
      <w:proofErr w:type="gramEnd"/>
      <w:r w:rsidRPr="00F53504">
        <w:t>, comprising:</w:t>
      </w:r>
    </w:p>
    <w:p w14:paraId="3FBF81E4" w14:textId="6819B842" w:rsidR="00BD6B03" w:rsidRPr="00F53504" w:rsidRDefault="00C70A4E" w:rsidP="00BD6B03">
      <w:pPr>
        <w:pStyle w:val="ListBullet"/>
      </w:pPr>
      <w:r>
        <w:t xml:space="preserve">20 </w:t>
      </w:r>
      <w:r w:rsidR="00BD167F" w:rsidRPr="00F53504">
        <w:t>i</w:t>
      </w:r>
      <w:r w:rsidR="00BD6B03" w:rsidRPr="00F53504">
        <w:t xml:space="preserve">n-depth interviews conducted by telephone </w:t>
      </w:r>
    </w:p>
    <w:p w14:paraId="30E6EE68" w14:textId="39BB7B1E" w:rsidR="00BD6B03" w:rsidRPr="00F53504" w:rsidRDefault="00C70A4E" w:rsidP="00BD6B03">
      <w:pPr>
        <w:pStyle w:val="ListBullet"/>
      </w:pPr>
      <w:r>
        <w:t xml:space="preserve">12 </w:t>
      </w:r>
      <w:r w:rsidR="00BD167F" w:rsidRPr="00F53504">
        <w:t>i</w:t>
      </w:r>
      <w:r w:rsidR="00BD6B03" w:rsidRPr="00F53504">
        <w:t>n-depth interviews conducted face to face w</w:t>
      </w:r>
      <w:r w:rsidR="000575F6">
        <w:t>ith a unique participant at an employment services providers</w:t>
      </w:r>
      <w:r w:rsidR="00BD6B03" w:rsidRPr="00F53504">
        <w:t xml:space="preserve"> site </w:t>
      </w:r>
    </w:p>
    <w:p w14:paraId="2654D8CF" w14:textId="23052668" w:rsidR="00BD6B03" w:rsidRPr="00F53504" w:rsidRDefault="00C70A4E" w:rsidP="00BD6B03">
      <w:pPr>
        <w:pStyle w:val="ListBullet"/>
      </w:pPr>
      <w:proofErr w:type="gramStart"/>
      <w:r>
        <w:t>12</w:t>
      </w:r>
      <w:proofErr w:type="gramEnd"/>
      <w:r>
        <w:t xml:space="preserve"> </w:t>
      </w:r>
      <w:r w:rsidR="00BD6B03" w:rsidRPr="00F53504">
        <w:t>‘</w:t>
      </w:r>
      <w:r w:rsidR="00BD167F" w:rsidRPr="00F53504">
        <w:t>s</w:t>
      </w:r>
      <w:r w:rsidR="00BD6B03" w:rsidRPr="00F53504">
        <w:t>ite visits’, each involving face to face in-depth interviews and / or discussion groups with two or more staff at an individual site. Group sessions typically included the site manager and one or more case or s</w:t>
      </w:r>
      <w:r w:rsidR="00E418A0">
        <w:t>pecialist managers at the site.</w:t>
      </w:r>
    </w:p>
    <w:p w14:paraId="200E4C8D" w14:textId="3471F39E" w:rsidR="006A157E" w:rsidRPr="00F53504" w:rsidRDefault="00BD6B03" w:rsidP="00BD6B03">
      <w:r w:rsidRPr="00F53504">
        <w:t xml:space="preserve">Qualitative fieldwork took place in March and April 2015. Interviews </w:t>
      </w:r>
      <w:proofErr w:type="gramStart"/>
      <w:r w:rsidRPr="00F53504">
        <w:t>were carried out</w:t>
      </w:r>
      <w:proofErr w:type="gramEnd"/>
      <w:r w:rsidRPr="00F53504">
        <w:t xml:space="preserve"> by experienced social researchers from TNS, using a semi-structured interview guide designed in consultation with the Department. Each interview was around </w:t>
      </w:r>
      <w:r w:rsidR="00C70A4E">
        <w:t>one hour to 90 minutes long</w:t>
      </w:r>
      <w:r w:rsidRPr="00F53504">
        <w:t xml:space="preserve">. </w:t>
      </w:r>
    </w:p>
    <w:p w14:paraId="5F9B7E69" w14:textId="77777777" w:rsidR="006A157E" w:rsidRPr="00F53504" w:rsidRDefault="006A157E" w:rsidP="003908DD">
      <w:pPr>
        <w:pStyle w:val="Heading3-nonumber"/>
      </w:pPr>
      <w:r w:rsidRPr="00F53504">
        <w:t>2016</w:t>
      </w:r>
    </w:p>
    <w:p w14:paraId="6B4D5D08" w14:textId="7E673AB7" w:rsidR="006A157E" w:rsidRPr="00F53504" w:rsidRDefault="000575F6" w:rsidP="006A157E">
      <w:r>
        <w:t>A survey of providers in 2016</w:t>
      </w:r>
      <w:r w:rsidR="006A157E" w:rsidRPr="00F53504">
        <w:t xml:space="preserve"> was conducted in-house using an online questionnaire. </w:t>
      </w:r>
      <w:r w:rsidR="00045C38" w:rsidRPr="00F53504">
        <w:t>A contact at every</w:t>
      </w:r>
      <w:r w:rsidR="006A157E" w:rsidRPr="00F53504">
        <w:t xml:space="preserve"> </w:t>
      </w:r>
      <w:r w:rsidR="00045C38" w:rsidRPr="00F53504">
        <w:t>full-time jobactive site was</w:t>
      </w:r>
      <w:r w:rsidR="006A157E" w:rsidRPr="00F53504">
        <w:t xml:space="preserve"> sent an email inviting them to complete the questionnaire and it was open</w:t>
      </w:r>
      <w:r w:rsidR="003C60A8" w:rsidRPr="00F53504">
        <w:t xml:space="preserve"> </w:t>
      </w:r>
      <w:r w:rsidR="000B74CE" w:rsidRPr="00F53504">
        <w:t xml:space="preserve">from </w:t>
      </w:r>
      <w:proofErr w:type="gramStart"/>
      <w:r w:rsidR="000B74CE" w:rsidRPr="00F53504">
        <w:t>8</w:t>
      </w:r>
      <w:proofErr w:type="gramEnd"/>
      <w:r w:rsidR="000B74CE" w:rsidRPr="00F53504">
        <w:t xml:space="preserve"> to 24</w:t>
      </w:r>
      <w:r w:rsidR="006A157E" w:rsidRPr="00F53504">
        <w:t xml:space="preserve"> June 2016.</w:t>
      </w:r>
      <w:r w:rsidR="00BD6B03" w:rsidRPr="00F53504">
        <w:t xml:space="preserve"> Towards the end of the </w:t>
      </w:r>
      <w:proofErr w:type="gramStart"/>
      <w:r w:rsidR="00BD6B03" w:rsidRPr="00F53504">
        <w:t>period</w:t>
      </w:r>
      <w:proofErr w:type="gramEnd"/>
      <w:r w:rsidR="00BD6B03" w:rsidRPr="00F53504">
        <w:t xml:space="preserve"> email </w:t>
      </w:r>
      <w:r w:rsidR="00045C38" w:rsidRPr="00F53504">
        <w:t xml:space="preserve">reminders were sent to all sites </w:t>
      </w:r>
      <w:r w:rsidR="00BD6B03" w:rsidRPr="00F53504">
        <w:t>that had not completed the survey. The Department then conducted follow-up phone calls with the remaining non-responders.</w:t>
      </w:r>
      <w:r w:rsidR="006A157E" w:rsidRPr="00F53504">
        <w:t xml:space="preserve"> In total </w:t>
      </w:r>
      <w:r w:rsidR="003C60A8" w:rsidRPr="00F53504">
        <w:t>975</w:t>
      </w:r>
      <w:r w:rsidR="006A157E" w:rsidRPr="00F53504">
        <w:t xml:space="preserve"> </w:t>
      </w:r>
      <w:r w:rsidR="003C60A8" w:rsidRPr="00F53504">
        <w:t>sites completed the questionnaire</w:t>
      </w:r>
      <w:r w:rsidR="001B73F3" w:rsidRPr="00F53504">
        <w:t xml:space="preserve"> in </w:t>
      </w:r>
      <w:proofErr w:type="gramStart"/>
      <w:r w:rsidR="001B73F3" w:rsidRPr="00F53504">
        <w:t>full</w:t>
      </w:r>
      <w:r w:rsidR="006A157E" w:rsidRPr="00F53504">
        <w:t xml:space="preserve"> which</w:t>
      </w:r>
      <w:proofErr w:type="gramEnd"/>
      <w:r w:rsidR="006A157E" w:rsidRPr="00F53504">
        <w:t xml:space="preserve"> resulted in a response rate of </w:t>
      </w:r>
      <w:r w:rsidR="003C60A8" w:rsidRPr="00F53504">
        <w:t>90</w:t>
      </w:r>
      <w:r w:rsidR="006A157E" w:rsidRPr="00F53504">
        <w:t xml:space="preserve"> per cent. </w:t>
      </w:r>
      <w:r w:rsidR="001B73F3" w:rsidRPr="00F53504">
        <w:t xml:space="preserve">The results presented in this report </w:t>
      </w:r>
      <w:proofErr w:type="gramStart"/>
      <w:r w:rsidR="001B73F3" w:rsidRPr="00F53504">
        <w:t>are based</w:t>
      </w:r>
      <w:proofErr w:type="gramEnd"/>
      <w:r w:rsidR="001B73F3" w:rsidRPr="00F53504">
        <w:t xml:space="preserve"> on 960 responses</w:t>
      </w:r>
      <w:r w:rsidR="006B7ABB" w:rsidRPr="00F53504">
        <w:t xml:space="preserve"> that completed the RATTUAJ module in the questionnaire.</w:t>
      </w:r>
    </w:p>
    <w:p w14:paraId="11F6E269" w14:textId="7A547ED2" w:rsidR="0013139D" w:rsidRPr="00F53504" w:rsidRDefault="0013139D" w:rsidP="006A157E">
      <w:pPr>
        <w:pStyle w:val="Heading2-nonumber"/>
      </w:pPr>
      <w:bookmarkStart w:id="128" w:name="_Toc483386706"/>
      <w:bookmarkStart w:id="129" w:name="_Toc484183019"/>
      <w:bookmarkStart w:id="130" w:name="_Toc484421901"/>
      <w:bookmarkStart w:id="131" w:name="_Toc512529340"/>
      <w:r w:rsidRPr="00F53504">
        <w:t xml:space="preserve">2016 </w:t>
      </w:r>
      <w:r w:rsidR="00DD422A">
        <w:t>j</w:t>
      </w:r>
      <w:r w:rsidRPr="00F53504">
        <w:t xml:space="preserve">ob </w:t>
      </w:r>
      <w:r w:rsidR="00DD422A">
        <w:t>s</w:t>
      </w:r>
      <w:r w:rsidRPr="00F53504">
        <w:t xml:space="preserve">eeker </w:t>
      </w:r>
      <w:r w:rsidR="00DD422A">
        <w:t>s</w:t>
      </w:r>
      <w:r w:rsidRPr="00F53504">
        <w:t>urvey</w:t>
      </w:r>
      <w:bookmarkEnd w:id="128"/>
      <w:bookmarkEnd w:id="129"/>
      <w:bookmarkEnd w:id="130"/>
      <w:bookmarkEnd w:id="131"/>
      <w:r w:rsidRPr="00F53504">
        <w:t xml:space="preserve"> </w:t>
      </w:r>
    </w:p>
    <w:p w14:paraId="47589C34" w14:textId="2C4A9EC9" w:rsidR="00BD758A" w:rsidRPr="00F53504" w:rsidRDefault="001D3F73" w:rsidP="00FA25F8">
      <w:pPr>
        <w:rPr>
          <w:rFonts w:cstheme="minorHAnsi"/>
        </w:rPr>
      </w:pPr>
      <w:r>
        <w:t>The 2016 j</w:t>
      </w:r>
      <w:r w:rsidR="00BD758A" w:rsidRPr="00F53504">
        <w:t xml:space="preserve">ob </w:t>
      </w:r>
      <w:r>
        <w:t>s</w:t>
      </w:r>
      <w:r w:rsidR="00BD758A" w:rsidRPr="00F53504">
        <w:t>eeker</w:t>
      </w:r>
      <w:r w:rsidR="00BD0737" w:rsidRPr="00F53504">
        <w:t xml:space="preserve"> s</w:t>
      </w:r>
      <w:r w:rsidR="00BD758A" w:rsidRPr="00F53504">
        <w:t xml:space="preserve">urvey </w:t>
      </w:r>
      <w:r w:rsidR="0013139D" w:rsidRPr="00F53504">
        <w:t>wa</w:t>
      </w:r>
      <w:r w:rsidR="00BD758A" w:rsidRPr="00F53504">
        <w:t>s a mixed methodology research project undertaken by The Social Research Centre</w:t>
      </w:r>
      <w:r w:rsidR="00F366C8" w:rsidRPr="00F53504">
        <w:t xml:space="preserve"> (SRC)</w:t>
      </w:r>
      <w:r w:rsidR="00BD758A" w:rsidRPr="00F53504">
        <w:t xml:space="preserve"> on behalf of the Department. The research comprise</w:t>
      </w:r>
      <w:r w:rsidR="00A74451" w:rsidRPr="00F53504">
        <w:t>d</w:t>
      </w:r>
      <w:r w:rsidR="00BD758A" w:rsidRPr="00F53504">
        <w:t xml:space="preserve"> qualitati</w:t>
      </w:r>
      <w:r w:rsidR="00E418A0">
        <w:t>ve and quantitative components.</w:t>
      </w:r>
    </w:p>
    <w:p w14:paraId="2D6D4A5D" w14:textId="282860C7" w:rsidR="00A137FF" w:rsidRPr="00F53504" w:rsidRDefault="00BD758A" w:rsidP="00A137FF">
      <w:r w:rsidRPr="00F53504">
        <w:t>The quantitative component</w:t>
      </w:r>
      <w:r w:rsidR="00A74451" w:rsidRPr="00F53504">
        <w:t xml:space="preserve"> </w:t>
      </w:r>
      <w:proofErr w:type="gramStart"/>
      <w:r w:rsidRPr="00F53504">
        <w:t>was conducted</w:t>
      </w:r>
      <w:proofErr w:type="gramEnd"/>
      <w:r w:rsidRPr="00F53504">
        <w:t xml:space="preserve"> in February 2016, and used Computer Assisted Telephone Interviewing (CATI) to collect data. </w:t>
      </w:r>
      <w:r w:rsidR="00A137FF" w:rsidRPr="00F53504">
        <w:t xml:space="preserve">The sample of job seekers registered with jobactive </w:t>
      </w:r>
      <w:proofErr w:type="gramStart"/>
      <w:r w:rsidR="00A137FF" w:rsidRPr="00F53504">
        <w:t>was selected and stratified into 27 sub-groups with quotas</w:t>
      </w:r>
      <w:proofErr w:type="gramEnd"/>
      <w:r w:rsidR="00A137FF" w:rsidRPr="00F53504">
        <w:t xml:space="preserve">. The </w:t>
      </w:r>
      <w:proofErr w:type="gramStart"/>
      <w:r w:rsidR="00A137FF" w:rsidRPr="00F53504">
        <w:t>sampling design was constructed by the Department in consultation with</w:t>
      </w:r>
      <w:r w:rsidR="00F366C8" w:rsidRPr="00F53504">
        <w:t xml:space="preserve"> </w:t>
      </w:r>
      <w:r w:rsidR="00F851AC">
        <w:t xml:space="preserve">the </w:t>
      </w:r>
      <w:r w:rsidR="00F366C8" w:rsidRPr="00F53504">
        <w:t>S</w:t>
      </w:r>
      <w:r w:rsidR="00F851AC">
        <w:t xml:space="preserve">ocial </w:t>
      </w:r>
      <w:r w:rsidR="00F366C8" w:rsidRPr="00F53504">
        <w:t>R</w:t>
      </w:r>
      <w:r w:rsidR="00F851AC">
        <w:t xml:space="preserve">esearch </w:t>
      </w:r>
      <w:r w:rsidR="00F366C8" w:rsidRPr="00F53504">
        <w:t>C</w:t>
      </w:r>
      <w:r w:rsidR="00F851AC">
        <w:t>entre</w:t>
      </w:r>
      <w:r w:rsidR="00F366C8" w:rsidRPr="00F53504">
        <w:t xml:space="preserve"> and</w:t>
      </w:r>
      <w:r w:rsidR="00A137FF" w:rsidRPr="00F53504">
        <w:t xml:space="preserve"> the Australian National University</w:t>
      </w:r>
      <w:proofErr w:type="gramEnd"/>
      <w:r w:rsidR="00A137FF" w:rsidRPr="00F53504">
        <w:t xml:space="preserve">. Defining sample characteristics upon which strata </w:t>
      </w:r>
      <w:proofErr w:type="gramStart"/>
      <w:r w:rsidR="00A137FF" w:rsidRPr="00F53504">
        <w:t>were based</w:t>
      </w:r>
      <w:proofErr w:type="gramEnd"/>
      <w:r w:rsidR="00A137FF" w:rsidRPr="00F53504">
        <w:t xml:space="preserve"> included:</w:t>
      </w:r>
    </w:p>
    <w:p w14:paraId="54CA9299" w14:textId="77777777" w:rsidR="00A137FF" w:rsidRPr="00F53504" w:rsidRDefault="00A137FF" w:rsidP="00435DE3">
      <w:pPr>
        <w:pStyle w:val="ListBullet"/>
      </w:pPr>
      <w:r w:rsidRPr="00F53504">
        <w:t>age (under 30 years, 30 – 49 years, 50 years and over)</w:t>
      </w:r>
    </w:p>
    <w:p w14:paraId="7A66D5FD" w14:textId="77777777" w:rsidR="00A137FF" w:rsidRPr="00F53504" w:rsidRDefault="00A137FF" w:rsidP="00435DE3">
      <w:pPr>
        <w:pStyle w:val="ListBullet"/>
      </w:pPr>
      <w:r w:rsidRPr="00F53504">
        <w:t>stream (A, B or C)</w:t>
      </w:r>
    </w:p>
    <w:p w14:paraId="562C4604" w14:textId="77777777" w:rsidR="00A137FF" w:rsidRPr="00F53504" w:rsidRDefault="00A137FF" w:rsidP="00435DE3">
      <w:pPr>
        <w:pStyle w:val="ListBullet"/>
      </w:pPr>
      <w:r w:rsidRPr="00F53504">
        <w:t>length of unemployment (long-term unemployed +12 months, not long-term unemployed under 12 months)</w:t>
      </w:r>
    </w:p>
    <w:p w14:paraId="7B86F213" w14:textId="77777777" w:rsidR="00A74451" w:rsidRPr="00F53504" w:rsidRDefault="00A137FF" w:rsidP="00435DE3">
      <w:pPr>
        <w:pStyle w:val="ListBullet"/>
      </w:pPr>
      <w:r w:rsidRPr="00F53504">
        <w:t>Indigenous status.</w:t>
      </w:r>
    </w:p>
    <w:p w14:paraId="4B10C75E" w14:textId="1A9B16CC" w:rsidR="00BD758A" w:rsidRPr="00F53504" w:rsidRDefault="00BD758A" w:rsidP="00A74451">
      <w:r w:rsidRPr="00F53504">
        <w:lastRenderedPageBreak/>
        <w:t>The survey design entailed the conduct of 3000 interviews with the survey split into core modules (all respondents) and two sub-surveys (Subset A and Subset B).</w:t>
      </w:r>
      <w:r w:rsidR="00A74451" w:rsidRPr="00F53504">
        <w:t xml:space="preserve"> Questions relating to </w:t>
      </w:r>
      <w:r w:rsidR="0041378D" w:rsidRPr="00F53504">
        <w:t>RATTUAJ</w:t>
      </w:r>
      <w:r w:rsidR="00A74451" w:rsidRPr="00F53504">
        <w:t xml:space="preserve"> were in Subset B and comprised </w:t>
      </w:r>
      <w:proofErr w:type="gramStart"/>
      <w:r w:rsidR="00A74451" w:rsidRPr="00F53504">
        <w:t>a</w:t>
      </w:r>
      <w:r w:rsidRPr="00F53504">
        <w:t xml:space="preserve"> total of 1502</w:t>
      </w:r>
      <w:proofErr w:type="gramEnd"/>
      <w:r w:rsidRPr="00F53504">
        <w:t xml:space="preserve"> </w:t>
      </w:r>
      <w:r w:rsidR="00A74451" w:rsidRPr="00F53504">
        <w:t xml:space="preserve">completed interviews. </w:t>
      </w:r>
      <w:r w:rsidR="00A74451" w:rsidRPr="00F53504" w:rsidDel="00681DB5">
        <w:t>The</w:t>
      </w:r>
      <w:r w:rsidRPr="00F53504" w:rsidDel="00681DB5">
        <w:t xml:space="preserve"> </w:t>
      </w:r>
      <w:r w:rsidR="00A74451" w:rsidRPr="00F53504" w:rsidDel="00681DB5">
        <w:t>cooperation</w:t>
      </w:r>
      <w:r w:rsidRPr="00F53504" w:rsidDel="00681DB5">
        <w:t xml:space="preserve"> rate</w:t>
      </w:r>
      <w:r w:rsidR="00A74451" w:rsidRPr="00F53504" w:rsidDel="00681DB5">
        <w:t xml:space="preserve"> (defined by completed interviews as a proportion of refusals </w:t>
      </w:r>
      <w:proofErr w:type="gramStart"/>
      <w:r w:rsidR="00A74451" w:rsidRPr="00F53504" w:rsidDel="00681DB5">
        <w:t>plus</w:t>
      </w:r>
      <w:proofErr w:type="gramEnd"/>
      <w:r w:rsidR="00A74451" w:rsidRPr="00F53504" w:rsidDel="00681DB5">
        <w:t xml:space="preserve"> completed interviews)</w:t>
      </w:r>
      <w:r w:rsidRPr="00F53504" w:rsidDel="00681DB5">
        <w:t xml:space="preserve"> </w:t>
      </w:r>
      <w:r w:rsidR="00A74451" w:rsidRPr="00F53504" w:rsidDel="00681DB5">
        <w:t>for the entire questionnaire was</w:t>
      </w:r>
      <w:r w:rsidRPr="00F53504" w:rsidDel="00681DB5">
        <w:t xml:space="preserve"> 83.2</w:t>
      </w:r>
      <w:r w:rsidR="00336C0F" w:rsidRPr="00F53504" w:rsidDel="00681DB5">
        <w:t xml:space="preserve"> per cent</w:t>
      </w:r>
      <w:r w:rsidRPr="00F53504" w:rsidDel="00681DB5">
        <w:t xml:space="preserve">. The overall average </w:t>
      </w:r>
      <w:r w:rsidR="001E7C2F" w:rsidRPr="00F53504" w:rsidDel="00681DB5">
        <w:t>time to conduct each interview was</w:t>
      </w:r>
      <w:r w:rsidRPr="00F53504" w:rsidDel="00681DB5">
        <w:t xml:space="preserve"> 20.2</w:t>
      </w:r>
      <w:r w:rsidR="00E50748">
        <w:t> minutes.</w:t>
      </w:r>
    </w:p>
    <w:sectPr w:rsidR="00BD758A" w:rsidRPr="00F53504" w:rsidSect="009D453E">
      <w:type w:val="continuous"/>
      <w:pgSz w:w="11906" w:h="16838"/>
      <w:pgMar w:top="1985" w:right="1440" w:bottom="1440" w:left="1440" w:header="708" w:footer="1011"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59429" w14:textId="77777777" w:rsidR="009B4270" w:rsidRDefault="009B4270" w:rsidP="00EF681B">
      <w:r>
        <w:separator/>
      </w:r>
    </w:p>
  </w:endnote>
  <w:endnote w:type="continuationSeparator" w:id="0">
    <w:p w14:paraId="4E8CF43C" w14:textId="77777777" w:rsidR="009B4270" w:rsidRDefault="009B4270" w:rsidP="00EF6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News Gothic Com">
    <w:altName w:val="News Gothic Com"/>
    <w:panose1 w:val="00000000000000000000"/>
    <w:charset w:val="00"/>
    <w:family w:val="swiss"/>
    <w:notTrueType/>
    <w:pitch w:val="default"/>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52D2" w14:textId="77777777" w:rsidR="009B4270" w:rsidRDefault="009B42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8CFAB" w14:textId="77777777" w:rsidR="009B4270" w:rsidRPr="00E43D40" w:rsidRDefault="009B42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633ED" w14:textId="77777777" w:rsidR="009B4270" w:rsidRDefault="009B42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085E8" w14:textId="3A2E9AAD" w:rsidR="009B4270" w:rsidRDefault="00B034E5" w:rsidP="00EF681B">
    <w:pPr>
      <w:pStyle w:val="Footer"/>
    </w:pPr>
    <w:sdt>
      <w:sdtPr>
        <w:id w:val="-1486002036"/>
        <w:docPartObj>
          <w:docPartGallery w:val="Page Numbers (Bottom of Page)"/>
          <w:docPartUnique/>
        </w:docPartObj>
      </w:sdtPr>
      <w:sdtEndPr>
        <w:rPr>
          <w:noProof/>
        </w:rPr>
      </w:sdtEndPr>
      <w:sdtContent>
        <w:r w:rsidR="009B4270">
          <w:fldChar w:fldCharType="begin"/>
        </w:r>
        <w:r w:rsidR="009B4270">
          <w:instrText xml:space="preserve"> PAGE   \* MERGEFORMAT </w:instrText>
        </w:r>
        <w:r w:rsidR="009B4270">
          <w:fldChar w:fldCharType="separate"/>
        </w:r>
        <w:r>
          <w:rPr>
            <w:noProof/>
          </w:rPr>
          <w:t>8</w:t>
        </w:r>
        <w:r w:rsidR="009B427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BCDDF" w14:textId="77777777" w:rsidR="009B4270" w:rsidRDefault="009B4270" w:rsidP="00E82EDE">
      <w:pPr>
        <w:spacing w:after="60" w:line="240" w:lineRule="auto"/>
      </w:pPr>
      <w:r>
        <w:separator/>
      </w:r>
    </w:p>
  </w:footnote>
  <w:footnote w:type="continuationSeparator" w:id="0">
    <w:p w14:paraId="3B595567" w14:textId="77777777" w:rsidR="009B4270" w:rsidRDefault="009B4270" w:rsidP="00EF681B">
      <w:r>
        <w:continuationSeparator/>
      </w:r>
    </w:p>
  </w:footnote>
  <w:footnote w:id="1">
    <w:p w14:paraId="3776FA84" w14:textId="23D0C467" w:rsidR="009B4270" w:rsidRDefault="009B4270">
      <w:pPr>
        <w:pStyle w:val="FootnoteText"/>
      </w:pPr>
      <w:r>
        <w:rPr>
          <w:rStyle w:val="FootnoteReference"/>
        </w:rPr>
        <w:footnoteRef/>
      </w:r>
      <w:r>
        <w:t xml:space="preserve"> The </w:t>
      </w:r>
      <w:r w:rsidRPr="00722C96">
        <w:t xml:space="preserve">Department of Jobs and Small Business </w:t>
      </w:r>
      <w:r>
        <w:t xml:space="preserve">replaced the Department of Employment </w:t>
      </w:r>
      <w:proofErr w:type="gramStart"/>
      <w:r>
        <w:t>as a result</w:t>
      </w:r>
      <w:proofErr w:type="gramEnd"/>
      <w:r>
        <w:t xml:space="preserve"> </w:t>
      </w:r>
      <w:r w:rsidRPr="00722C96">
        <w:t>of the Administrative Arrangements Order - amendment made 20 December 2017.</w:t>
      </w:r>
    </w:p>
  </w:footnote>
  <w:footnote w:id="2">
    <w:p w14:paraId="7369A33D" w14:textId="03F21154" w:rsidR="009B4270" w:rsidRDefault="009B4270">
      <w:pPr>
        <w:pStyle w:val="FootnoteText"/>
      </w:pPr>
      <w:r>
        <w:rPr>
          <w:rStyle w:val="FootnoteReference"/>
        </w:rPr>
        <w:footnoteRef/>
      </w:r>
      <w:r>
        <w:t xml:space="preserve"> Consisting of 40 job seekers who had already </w:t>
      </w:r>
      <w:proofErr w:type="gramStart"/>
      <w:r>
        <w:t>relocated,</w:t>
      </w:r>
      <w:proofErr w:type="gramEnd"/>
      <w:r>
        <w:t xml:space="preserve"> four job seekers who were in the process of relocating and six job seekers who started the process, but did not relocate.</w:t>
      </w:r>
    </w:p>
  </w:footnote>
  <w:footnote w:id="3">
    <w:p w14:paraId="33F55CB4" w14:textId="77777777" w:rsidR="009B4270" w:rsidRDefault="009B4270" w:rsidP="000E5C91">
      <w:pPr>
        <w:pStyle w:val="FootnoteText"/>
      </w:pPr>
      <w:r>
        <w:rPr>
          <w:rStyle w:val="FootnoteReference"/>
        </w:rPr>
        <w:footnoteRef/>
      </w:r>
      <w:r>
        <w:t xml:space="preserve"> 31 March 2016 was used to allow enough time to have passed for the Relocation Agreements to </w:t>
      </w:r>
      <w:proofErr w:type="gramStart"/>
      <w:r>
        <w:t>have ended</w:t>
      </w:r>
      <w:proofErr w:type="gramEnd"/>
      <w:r>
        <w:t>.</w:t>
      </w:r>
    </w:p>
  </w:footnote>
  <w:footnote w:id="4">
    <w:p w14:paraId="31672183" w14:textId="7CBF7671" w:rsidR="009B4270" w:rsidRDefault="009B4270" w:rsidP="003E0BA8">
      <w:pPr>
        <w:pStyle w:val="FootnoteText"/>
      </w:pPr>
      <w:r>
        <w:rPr>
          <w:rStyle w:val="FootnoteReference"/>
        </w:rPr>
        <w:footnoteRef/>
      </w:r>
      <w:r>
        <w:t xml:space="preserve"> Data </w:t>
      </w:r>
      <w:proofErr w:type="gramStart"/>
      <w:r>
        <w:t>is presented</w:t>
      </w:r>
      <w:proofErr w:type="gramEnd"/>
      <w:r>
        <w:t xml:space="preserve"> as at 31 December 2017 </w:t>
      </w:r>
      <w:r w:rsidRPr="00E2571B">
        <w:t>and represents all jobactive participants who were relocated and placed in a job between 1</w:t>
      </w:r>
      <w:r>
        <w:t> </w:t>
      </w:r>
      <w:r w:rsidRPr="00E2571B">
        <w:t>July</w:t>
      </w:r>
      <w:r>
        <w:t> </w:t>
      </w:r>
      <w:r w:rsidRPr="00E2571B">
        <w:t>2015 and 30</w:t>
      </w:r>
      <w:r>
        <w:t> </w:t>
      </w:r>
      <w:r w:rsidRPr="00E2571B">
        <w:t>June</w:t>
      </w:r>
      <w:r>
        <w:t> </w:t>
      </w:r>
      <w:r w:rsidRPr="00E2571B">
        <w:t xml:space="preserve">2016. Outcomes for these participants </w:t>
      </w:r>
      <w:proofErr w:type="gramStart"/>
      <w:r w:rsidRPr="00E2571B">
        <w:t>are reported</w:t>
      </w:r>
      <w:proofErr w:type="gramEnd"/>
      <w:r w:rsidRPr="00E2571B">
        <w:t xml:space="preserve"> as at 31 December 2017, allowing a minimum 18-month observation period.</w:t>
      </w:r>
    </w:p>
  </w:footnote>
  <w:footnote w:id="5">
    <w:p w14:paraId="18CAEC65" w14:textId="77777777" w:rsidR="009B4270" w:rsidRDefault="009B4270" w:rsidP="00517EDA">
      <w:pPr>
        <w:pStyle w:val="FootnoteText"/>
      </w:pPr>
      <w:r>
        <w:rPr>
          <w:rStyle w:val="FootnoteReference"/>
        </w:rPr>
        <w:footnoteRef/>
      </w:r>
      <w:r>
        <w:t xml:space="preserve"> Job seekers with a Partial Capacity to Work are able to use the program for placements with a minimum of 15 hours per week.</w:t>
      </w:r>
    </w:p>
  </w:footnote>
  <w:footnote w:id="6">
    <w:p w14:paraId="568935B4" w14:textId="5FBBC221" w:rsidR="009B4270" w:rsidRDefault="009B4270">
      <w:pPr>
        <w:pStyle w:val="FootnoteText"/>
      </w:pPr>
      <w:r>
        <w:rPr>
          <w:rStyle w:val="FootnoteReference"/>
        </w:rPr>
        <w:footnoteRef/>
      </w:r>
      <w:r>
        <w:t xml:space="preserve"> Noting that providers can make up</w:t>
      </w:r>
      <w:r w:rsidRPr="00153844">
        <w:t xml:space="preserve">front payments to the job seeker for their expenses (that is, before the expenses are incurred) where a job seeker displays financial hardship and </w:t>
      </w:r>
      <w:r>
        <w:t>p</w:t>
      </w:r>
      <w:r w:rsidRPr="00153844">
        <w:t>roviders cannot make the payment directly to the supplier on behalf of a job seeker.</w:t>
      </w:r>
    </w:p>
  </w:footnote>
  <w:footnote w:id="7">
    <w:p w14:paraId="2C11646E" w14:textId="77777777" w:rsidR="009B4270" w:rsidRDefault="009B4270" w:rsidP="00530333">
      <w:pPr>
        <w:pStyle w:val="FootnoteText"/>
      </w:pPr>
      <w:r>
        <w:rPr>
          <w:rStyle w:val="FootnoteReference"/>
        </w:rPr>
        <w:footnoteRef/>
      </w:r>
      <w:r>
        <w:t xml:space="preserve"> </w:t>
      </w:r>
      <w:r w:rsidRPr="00970E3F">
        <w:t>http://parlinfo.aph.gov.au/parlInfo/download/committees/c</w:t>
      </w:r>
      <w:r>
        <w:t xml:space="preserve">ommrep/12888/toc_pdf/7472-2.pdf </w:t>
      </w:r>
    </w:p>
  </w:footnote>
  <w:footnote w:id="8">
    <w:p w14:paraId="3A0492EC" w14:textId="77777777" w:rsidR="009B4270" w:rsidRDefault="009B4270">
      <w:pPr>
        <w:pStyle w:val="FootnoteText"/>
      </w:pPr>
      <w:r>
        <w:rPr>
          <w:rStyle w:val="FootnoteReference"/>
        </w:rPr>
        <w:footnoteRef/>
      </w:r>
      <w:r>
        <w:t xml:space="preserve"> </w:t>
      </w:r>
      <w:r w:rsidRPr="0049054D">
        <w:t>http://www.pc.gov.au/__data/assets/pdf_file/0004/135184/subdr060-labour-mobility.pdf</w:t>
      </w:r>
    </w:p>
  </w:footnote>
  <w:footnote w:id="9">
    <w:p w14:paraId="41DE00CA" w14:textId="77777777" w:rsidR="009B4270" w:rsidRDefault="009B4270" w:rsidP="000D1C2B">
      <w:pPr>
        <w:pStyle w:val="FootnoteText"/>
      </w:pPr>
      <w:r>
        <w:rPr>
          <w:rStyle w:val="FootnoteReference"/>
        </w:rPr>
        <w:footnoteRef/>
      </w:r>
      <w:r>
        <w:t xml:space="preserve"> </w:t>
      </w:r>
      <w:r w:rsidRPr="0049054D">
        <w:t>http://www.pc.gov.au/inquiries/completed/labour-mobility/report</w:t>
      </w:r>
    </w:p>
  </w:footnote>
  <w:footnote w:id="10">
    <w:p w14:paraId="2C4D176B" w14:textId="5DB79C18" w:rsidR="009B4270" w:rsidRDefault="009B4270" w:rsidP="00F316E1">
      <w:pPr>
        <w:pStyle w:val="FootnoteText"/>
      </w:pPr>
      <w:r>
        <w:rPr>
          <w:rStyle w:val="FootnoteReference"/>
        </w:rPr>
        <w:footnoteRef/>
      </w:r>
      <w:r>
        <w:t xml:space="preserve"> 31 March 2016 was used to allow enough time to have passed for the Relocation Agreements to </w:t>
      </w:r>
      <w:proofErr w:type="gramStart"/>
      <w:r>
        <w:t>have ended</w:t>
      </w:r>
      <w:proofErr w:type="gramEnd"/>
      <w:r>
        <w:t xml:space="preserve">. Outcomes for job seekers that relocated under jobactive </w:t>
      </w:r>
      <w:proofErr w:type="gramStart"/>
      <w:r>
        <w:t>were observed</w:t>
      </w:r>
      <w:proofErr w:type="gramEnd"/>
      <w:r>
        <w:t xml:space="preserve"> as at 31 December 2017.</w:t>
      </w:r>
    </w:p>
  </w:footnote>
  <w:footnote w:id="11">
    <w:p w14:paraId="17196D25" w14:textId="01E00E68" w:rsidR="009B4270" w:rsidRDefault="009B4270">
      <w:pPr>
        <w:pStyle w:val="FootnoteText"/>
      </w:pPr>
      <w:r>
        <w:rPr>
          <w:rStyle w:val="FootnoteReference"/>
        </w:rPr>
        <w:footnoteRef/>
      </w:r>
      <w:r>
        <w:t xml:space="preserve"> </w:t>
      </w:r>
      <w:r w:rsidRPr="009B6FBC">
        <w:t xml:space="preserve">Productivity Commission (2014), </w:t>
      </w:r>
      <w:r w:rsidRPr="009B6FBC">
        <w:rPr>
          <w:i/>
        </w:rPr>
        <w:t>Geographic Labour Mobility</w:t>
      </w:r>
      <w:r w:rsidRPr="009B6FBC">
        <w:t>, Research Report, Canberra.</w:t>
      </w:r>
    </w:p>
  </w:footnote>
  <w:footnote w:id="12">
    <w:p w14:paraId="47B0D4F8" w14:textId="77777777" w:rsidR="009B4270" w:rsidRDefault="009B4270" w:rsidP="00BB5C7A">
      <w:pPr>
        <w:pStyle w:val="FootnoteText"/>
      </w:pPr>
      <w:r>
        <w:rPr>
          <w:rStyle w:val="FootnoteReference"/>
        </w:rPr>
        <w:footnoteRef/>
      </w:r>
      <w:r>
        <w:t xml:space="preserve"> EBIW </w:t>
      </w:r>
      <w:r w:rsidRPr="00A34839">
        <w:t>data</w:t>
      </w:r>
    </w:p>
  </w:footnote>
  <w:footnote w:id="13">
    <w:p w14:paraId="204EC94C" w14:textId="77777777" w:rsidR="009B4270" w:rsidRDefault="009B4270" w:rsidP="00AA1555">
      <w:pPr>
        <w:pStyle w:val="FootnoteText"/>
      </w:pPr>
      <w:r>
        <w:rPr>
          <w:rStyle w:val="FootnoteReference"/>
        </w:rPr>
        <w:footnoteRef/>
      </w:r>
      <w:r>
        <w:t xml:space="preserve"> A dependent child is:</w:t>
      </w:r>
    </w:p>
    <w:p w14:paraId="098D20CF" w14:textId="77777777" w:rsidR="009B4270" w:rsidRDefault="009B4270" w:rsidP="00AA1555">
      <w:pPr>
        <w:pStyle w:val="FootnoteText"/>
        <w:numPr>
          <w:ilvl w:val="0"/>
          <w:numId w:val="48"/>
        </w:numPr>
      </w:pPr>
      <w:r>
        <w:t>under 24 years of age or a Stronger Participation Incentives (SPI) Participant</w:t>
      </w:r>
    </w:p>
    <w:p w14:paraId="06306185" w14:textId="77777777" w:rsidR="009B4270" w:rsidRDefault="009B4270" w:rsidP="00AA1555">
      <w:pPr>
        <w:pStyle w:val="FootnoteText"/>
        <w:numPr>
          <w:ilvl w:val="0"/>
          <w:numId w:val="48"/>
        </w:numPr>
      </w:pPr>
      <w:r>
        <w:t>financially dependent on the relocating job seeker, and</w:t>
      </w:r>
    </w:p>
    <w:p w14:paraId="0919E743" w14:textId="77777777" w:rsidR="009B4270" w:rsidRDefault="009B4270" w:rsidP="00AA1555">
      <w:pPr>
        <w:pStyle w:val="FootnoteText"/>
        <w:numPr>
          <w:ilvl w:val="0"/>
          <w:numId w:val="48"/>
        </w:numPr>
      </w:pPr>
      <w:proofErr w:type="gramStart"/>
      <w:r>
        <w:t>relocating</w:t>
      </w:r>
      <w:proofErr w:type="gramEnd"/>
      <w:r>
        <w:t xml:space="preserve"> to live with the job seeker.</w:t>
      </w:r>
    </w:p>
    <w:p w14:paraId="41C9B4CE" w14:textId="77777777" w:rsidR="009B4270" w:rsidRDefault="009B4270" w:rsidP="00AA1555">
      <w:pPr>
        <w:pStyle w:val="FootnoteText"/>
      </w:pPr>
      <w:r>
        <w:t>Dependants do not include the job seeker’s sibling/s or parent/s.</w:t>
      </w:r>
    </w:p>
  </w:footnote>
  <w:footnote w:id="14">
    <w:p w14:paraId="318A790A" w14:textId="515EF9A1" w:rsidR="009B4270" w:rsidRDefault="009B4270">
      <w:pPr>
        <w:pStyle w:val="FootnoteText"/>
      </w:pPr>
      <w:r>
        <w:rPr>
          <w:rStyle w:val="FootnoteReference"/>
        </w:rPr>
        <w:footnoteRef/>
      </w:r>
      <w:r>
        <w:t xml:space="preserve"> Discussion of streams in this report relates to t</w:t>
      </w:r>
      <w:r w:rsidRPr="00B84CF7">
        <w:t>he main element of the</w:t>
      </w:r>
      <w:r>
        <w:t xml:space="preserve"> employment services models in operation during the reference period for this evaluation. The </w:t>
      </w:r>
      <w:r w:rsidRPr="00B84CF7">
        <w:t xml:space="preserve">JSA model </w:t>
      </w:r>
      <w:r>
        <w:t>had</w:t>
      </w:r>
      <w:r w:rsidRPr="00B84CF7">
        <w:t xml:space="preserve"> four service streams for job seekers: one for work-ready job seekers (Stream 1) and three for more disadvantaged job seekers (Streams 2 to 4). A similar system operates under jobactive wit</w:t>
      </w:r>
      <w:r>
        <w:t>h three service streams. Stream </w:t>
      </w:r>
      <w:r w:rsidRPr="00B84CF7">
        <w:t xml:space="preserve">A represents the most job </w:t>
      </w:r>
      <w:r>
        <w:t>ready job seekers, while Stream </w:t>
      </w:r>
      <w:r w:rsidRPr="00B84CF7">
        <w:t>B and Stream</w:t>
      </w:r>
      <w:r>
        <w:t> </w:t>
      </w:r>
      <w:r w:rsidRPr="00B84CF7">
        <w:t xml:space="preserve">C </w:t>
      </w:r>
      <w:r>
        <w:t>capture</w:t>
      </w:r>
      <w:r w:rsidRPr="00B84CF7">
        <w:t xml:space="preserve"> more disadvantaged job seekers.</w:t>
      </w:r>
    </w:p>
  </w:footnote>
  <w:footnote w:id="15">
    <w:p w14:paraId="0B2D3BC6" w14:textId="77777777" w:rsidR="009B4270" w:rsidRDefault="009B4270" w:rsidP="002A20B5">
      <w:pPr>
        <w:pStyle w:val="FootnoteText"/>
      </w:pPr>
      <w:r>
        <w:rPr>
          <w:rStyle w:val="FootnoteReference"/>
        </w:rPr>
        <w:footnoteRef/>
      </w:r>
      <w:r>
        <w:t xml:space="preserve"> Noting that while some of the Stream 1 RATTAUJ participants were not eligible for outcome payments they were eligible (at the time) for relocation assistance.</w:t>
      </w:r>
    </w:p>
  </w:footnote>
  <w:footnote w:id="16">
    <w:p w14:paraId="28524B54" w14:textId="7435E873" w:rsidR="009B4270" w:rsidRDefault="009B4270">
      <w:pPr>
        <w:pStyle w:val="FootnoteText"/>
      </w:pPr>
      <w:r>
        <w:rPr>
          <w:rStyle w:val="FootnoteReference"/>
        </w:rPr>
        <w:footnoteRef/>
      </w:r>
      <w:r>
        <w:t xml:space="preserve"> Employment outcomes (beyond job placement) are detectable in administrative data only because of the provider incentive payments they incur. Where providers do not or cannot claim a payment, administrative data provides no way to detect that an outcome has occurred. Stream 1 participants in JSA who had been unemployed for less than 12 months did not attract outcome payments. </w:t>
      </w:r>
    </w:p>
  </w:footnote>
  <w:footnote w:id="17">
    <w:p w14:paraId="2BC9782C" w14:textId="77777777" w:rsidR="009B4270" w:rsidRDefault="009B4270" w:rsidP="00661498">
      <w:pPr>
        <w:pStyle w:val="FootnoteText"/>
      </w:pPr>
      <w:r>
        <w:rPr>
          <w:rStyle w:val="FootnoteReference"/>
        </w:rPr>
        <w:footnoteRef/>
      </w:r>
      <w:r>
        <w:t xml:space="preserve"> The 321 RATTUAJ participants that form a part of the analysis of this section have a </w:t>
      </w:r>
      <w:proofErr w:type="gramStart"/>
      <w:r>
        <w:t>relocation agreement start date</w:t>
      </w:r>
      <w:proofErr w:type="gramEnd"/>
      <w:r>
        <w:t xml:space="preserve"> between 1 July 2014 and 31 March 2015 and is based on data as at 31 March 2016. This allows </w:t>
      </w:r>
      <w:proofErr w:type="gramStart"/>
      <w:r>
        <w:t>for the</w:t>
      </w:r>
      <w:proofErr w:type="gramEnd"/>
      <w:r>
        <w:t xml:space="preserve"> 321 RATTUAJ participants to be tracked for 12 months.</w:t>
      </w:r>
    </w:p>
  </w:footnote>
  <w:footnote w:id="18">
    <w:p w14:paraId="0B73FBF4" w14:textId="77777777" w:rsidR="009B4270" w:rsidRDefault="009B4270" w:rsidP="00D24088">
      <w:pPr>
        <w:pStyle w:val="FootnoteText"/>
      </w:pPr>
      <w:r>
        <w:rPr>
          <w:rStyle w:val="FootnoteReference"/>
        </w:rPr>
        <w:footnoteRef/>
      </w:r>
      <w:r>
        <w:t xml:space="preserve"> </w:t>
      </w:r>
      <w:r w:rsidRPr="00580E32">
        <w:t>Australian Bureau of Statistics</w:t>
      </w:r>
      <w:r>
        <w:t>.</w:t>
      </w:r>
      <w:r w:rsidRPr="00580E32">
        <w:t xml:space="preserve"> (2013). Barriers and Incentives to Labour Force Participation (July 2012 to June 2013), cat no. 6239.0, Canberra: ABS.</w:t>
      </w:r>
    </w:p>
  </w:footnote>
  <w:footnote w:id="19">
    <w:p w14:paraId="14B6413E" w14:textId="1CCA216A" w:rsidR="009B4270" w:rsidRDefault="009B4270">
      <w:pPr>
        <w:pStyle w:val="FootnoteText"/>
      </w:pPr>
      <w:r>
        <w:rPr>
          <w:rStyle w:val="FootnoteReference"/>
        </w:rPr>
        <w:footnoteRef/>
      </w:r>
      <w:r>
        <w:t xml:space="preserve"> The 78 per cent comprises of </w:t>
      </w:r>
      <w:r w:rsidRPr="009B431C">
        <w:t>69</w:t>
      </w:r>
      <w:r>
        <w:t> </w:t>
      </w:r>
      <w:r w:rsidRPr="009B431C">
        <w:t>per</w:t>
      </w:r>
      <w:r>
        <w:t> </w:t>
      </w:r>
      <w:r w:rsidRPr="009B431C">
        <w:t>cent indicat</w:t>
      </w:r>
      <w:r>
        <w:t>ing</w:t>
      </w:r>
      <w:r w:rsidRPr="009B431C">
        <w:t xml:space="preserve"> that their staff promote RATTUAJ to job seekers to some extent</w:t>
      </w:r>
      <w:r>
        <w:t xml:space="preserve"> and</w:t>
      </w:r>
      <w:r w:rsidRPr="00F53504">
        <w:t xml:space="preserve"> </w:t>
      </w:r>
      <w:r>
        <w:t>9 </w:t>
      </w:r>
      <w:r w:rsidRPr="00F53504">
        <w:t>per</w:t>
      </w:r>
      <w:r>
        <w:t> </w:t>
      </w:r>
      <w:r w:rsidRPr="00F53504">
        <w:t>cent indicat</w:t>
      </w:r>
      <w:r>
        <w:t>ing</w:t>
      </w:r>
      <w:r w:rsidRPr="00F53504">
        <w:t xml:space="preserve"> they d</w:t>
      </w:r>
      <w:r>
        <w:t>o not promote the program at all.</w:t>
      </w:r>
    </w:p>
  </w:footnote>
  <w:footnote w:id="20">
    <w:p w14:paraId="6CE33233" w14:textId="77777777" w:rsidR="009B4270" w:rsidRDefault="009B4270" w:rsidP="002D7A4B">
      <w:pPr>
        <w:pStyle w:val="FootnoteText"/>
      </w:pPr>
      <w:r>
        <w:rPr>
          <w:rStyle w:val="FootnoteReference"/>
        </w:rPr>
        <w:footnoteRef/>
      </w:r>
      <w:r>
        <w:t xml:space="preserve"> </w:t>
      </w:r>
      <w:r w:rsidRPr="00237F8A">
        <w:t>Noting there were updates to guidelines and advice during the evaluation period.</w:t>
      </w:r>
    </w:p>
  </w:footnote>
  <w:footnote w:id="21">
    <w:p w14:paraId="1330E7BF" w14:textId="77777777" w:rsidR="009B4270" w:rsidRPr="00E22240" w:rsidRDefault="009B4270" w:rsidP="00E846C4">
      <w:pPr>
        <w:pStyle w:val="FootnoteText"/>
        <w:rPr>
          <w:szCs w:val="16"/>
        </w:rPr>
      </w:pPr>
      <w:r w:rsidRPr="00E22240">
        <w:rPr>
          <w:rStyle w:val="FootnoteReference"/>
          <w:szCs w:val="16"/>
        </w:rPr>
        <w:footnoteRef/>
      </w:r>
      <w:r w:rsidRPr="00E22240">
        <w:rPr>
          <w:szCs w:val="16"/>
        </w:rPr>
        <w:t xml:space="preserve"> Productivity Commission (2014), </w:t>
      </w:r>
      <w:r w:rsidRPr="00E22240">
        <w:rPr>
          <w:i/>
          <w:iCs/>
          <w:szCs w:val="16"/>
        </w:rPr>
        <w:t>Geographic Labour Mobility</w:t>
      </w:r>
      <w:r w:rsidRPr="00E22240">
        <w:rPr>
          <w:szCs w:val="16"/>
        </w:rPr>
        <w:t>, Research Report, Canberra.</w:t>
      </w:r>
    </w:p>
  </w:footnote>
  <w:footnote w:id="22">
    <w:p w14:paraId="7C0BD9CF" w14:textId="77777777" w:rsidR="009B4270" w:rsidRDefault="009B4270" w:rsidP="00C42951">
      <w:pPr>
        <w:pStyle w:val="FootnoteText"/>
      </w:pPr>
      <w:r>
        <w:rPr>
          <w:rStyle w:val="FootnoteReference"/>
        </w:rPr>
        <w:footnoteRef/>
      </w:r>
      <w:r>
        <w:t xml:space="preserve"> </w:t>
      </w:r>
      <w:r w:rsidRPr="00817F73">
        <w:t xml:space="preserve">Productivity Commission (2014), </w:t>
      </w:r>
      <w:r w:rsidRPr="008E2C58">
        <w:rPr>
          <w:i/>
        </w:rPr>
        <w:t>Geographic Labour Mobility</w:t>
      </w:r>
      <w:r w:rsidRPr="00817F73">
        <w:t>, Research Report, Canberra.</w:t>
      </w:r>
    </w:p>
  </w:footnote>
  <w:footnote w:id="23">
    <w:p w14:paraId="0A870950" w14:textId="5E8F9B96" w:rsidR="009B4270" w:rsidRDefault="009B4270" w:rsidP="00737DC3">
      <w:pPr>
        <w:pStyle w:val="FootnoteText"/>
      </w:pPr>
      <w:r>
        <w:rPr>
          <w:rStyle w:val="FootnoteReference"/>
        </w:rPr>
        <w:footnoteRef/>
      </w:r>
      <w:r>
        <w:t xml:space="preserve"> </w:t>
      </w:r>
      <w:r w:rsidRPr="00F53504">
        <w:t xml:space="preserve">The </w:t>
      </w:r>
      <w:r>
        <w:t xml:space="preserve">apparently </w:t>
      </w:r>
      <w:r w:rsidRPr="00F53504">
        <w:t xml:space="preserve">low level of promotion of RATTUAJ by providers </w:t>
      </w:r>
      <w:proofErr w:type="gramStart"/>
      <w:r>
        <w:t xml:space="preserve">is </w:t>
      </w:r>
      <w:r w:rsidRPr="00F53504">
        <w:t>discussed</w:t>
      </w:r>
      <w:proofErr w:type="gramEnd"/>
      <w:r w:rsidRPr="00F53504">
        <w:t xml:space="preserve"> in </w:t>
      </w:r>
      <w:r>
        <w:t xml:space="preserve">more detail in </w:t>
      </w:r>
      <w:r w:rsidRPr="00F53504">
        <w:t xml:space="preserve">section </w:t>
      </w:r>
      <w:r w:rsidRPr="00F53504">
        <w:fldChar w:fldCharType="begin"/>
      </w:r>
      <w:r w:rsidRPr="00F53504">
        <w:instrText xml:space="preserve"> REF _Ref455493841 \r \h </w:instrText>
      </w:r>
      <w:r w:rsidRPr="00F53504">
        <w:fldChar w:fldCharType="separate"/>
      </w:r>
      <w:r w:rsidR="00AA36FE">
        <w:t>3.6</w:t>
      </w:r>
      <w:r w:rsidRPr="00F53504">
        <w:fldChar w:fldCharType="end"/>
      </w:r>
      <w:r w:rsidRPr="00F53504">
        <w:t>.</w:t>
      </w:r>
      <w:r>
        <w:t xml:space="preserve"> </w:t>
      </w:r>
    </w:p>
  </w:footnote>
  <w:footnote w:id="24">
    <w:p w14:paraId="07175D19" w14:textId="77777777" w:rsidR="009B4270" w:rsidRDefault="009B4270" w:rsidP="009F7143">
      <w:pPr>
        <w:pStyle w:val="FootnoteText"/>
      </w:pPr>
      <w:r>
        <w:rPr>
          <w:rStyle w:val="FootnoteReference"/>
        </w:rPr>
        <w:footnoteRef/>
      </w:r>
      <w:r>
        <w:t xml:space="preserve"> Noting that there were updates to guidelines and advice in relation to documentary evidence during the evaluation period.</w:t>
      </w:r>
    </w:p>
  </w:footnote>
  <w:footnote w:id="25">
    <w:p w14:paraId="4E24225E" w14:textId="77777777" w:rsidR="009B4270" w:rsidRDefault="009B4270" w:rsidP="00E8212E">
      <w:pPr>
        <w:pStyle w:val="FootnoteText"/>
      </w:pPr>
      <w:r>
        <w:rPr>
          <w:rStyle w:val="FootnoteReference"/>
        </w:rPr>
        <w:footnoteRef/>
      </w:r>
      <w:r>
        <w:t xml:space="preserve"> Please see Appendix A for discussion around assumptions used in determining the use of EPF/EF.</w:t>
      </w:r>
    </w:p>
  </w:footnote>
  <w:footnote w:id="26">
    <w:p w14:paraId="20D01F30" w14:textId="77777777" w:rsidR="009B4270" w:rsidRDefault="009B4270" w:rsidP="002944A2">
      <w:pPr>
        <w:pStyle w:val="FootnoteText"/>
      </w:pPr>
      <w:r>
        <w:rPr>
          <w:rStyle w:val="FootnoteReference"/>
        </w:rPr>
        <w:footnoteRef/>
      </w:r>
      <w:r>
        <w:t xml:space="preserve"> Noting there were updates to guidelines and advice during the evaluation period.</w:t>
      </w:r>
    </w:p>
  </w:footnote>
  <w:footnote w:id="27">
    <w:p w14:paraId="765898DA" w14:textId="6A7C7651" w:rsidR="009B4270" w:rsidRDefault="009B4270">
      <w:pPr>
        <w:pStyle w:val="FootnoteText"/>
      </w:pPr>
      <w:r>
        <w:rPr>
          <w:rStyle w:val="FootnoteReference"/>
        </w:rPr>
        <w:footnoteRef/>
      </w:r>
      <w:r>
        <w:t xml:space="preserve"> This provider’s comment is not strictly correct. The Employment Fund </w:t>
      </w:r>
      <w:proofErr w:type="gramStart"/>
      <w:r>
        <w:t>can be used</w:t>
      </w:r>
      <w:proofErr w:type="gramEnd"/>
      <w:r>
        <w:t xml:space="preserve"> for certain categories of expenditure in support of a job seeker who is relocating for employment. See Appendix A.</w:t>
      </w:r>
    </w:p>
  </w:footnote>
  <w:footnote w:id="28">
    <w:p w14:paraId="0ED4968F" w14:textId="77777777" w:rsidR="009B4270" w:rsidRDefault="009B4270" w:rsidP="00453048">
      <w:pPr>
        <w:pStyle w:val="FootnoteText"/>
      </w:pPr>
      <w:r>
        <w:rPr>
          <w:rStyle w:val="FootnoteReference"/>
        </w:rPr>
        <w:footnoteRef/>
      </w:r>
      <w:r>
        <w:t xml:space="preserve"> Noting that job seekers that are ineligible for RATTUAJ may be eligible for relocation assistance through the EF.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FE3C8" w14:textId="77777777" w:rsidR="009B4270" w:rsidRDefault="009B42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E3D96" w14:textId="77777777" w:rsidR="009B4270" w:rsidRDefault="009B42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D8C4C" w14:textId="77777777" w:rsidR="009B4270" w:rsidRDefault="009B42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53289" w14:textId="0F8417D3" w:rsidR="009B4270" w:rsidRDefault="009B4270" w:rsidP="00EF681B">
    <w:pPr>
      <w:pStyle w:val="Header"/>
    </w:pPr>
    <w:r>
      <w:t>Relocation Assistance to Take Up a Job – Evaluation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11C51E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8D1C77"/>
    <w:multiLevelType w:val="hybridMultilevel"/>
    <w:tmpl w:val="76C005CA"/>
    <w:lvl w:ilvl="0" w:tplc="D49CF5A2">
      <w:start w:val="1"/>
      <w:numFmt w:val="bullet"/>
      <w:lvlText w:val=""/>
      <w:lvlJc w:val="left"/>
      <w:pPr>
        <w:tabs>
          <w:tab w:val="num" w:pos="284"/>
        </w:tabs>
        <w:ind w:left="227" w:hanging="227"/>
      </w:pPr>
      <w:rPr>
        <w:rFonts w:ascii="Symbol" w:hAnsi="Symbol" w:hint="default"/>
        <w:b w:val="0"/>
        <w:i w:val="0"/>
        <w:color w:val="0D0D0D"/>
        <w:sz w:val="24"/>
        <w:szCs w:val="24"/>
      </w:rPr>
    </w:lvl>
    <w:lvl w:ilvl="1" w:tplc="8E1C4772">
      <w:start w:val="1"/>
      <w:numFmt w:val="bullet"/>
      <w:pStyle w:val="sub-bullet"/>
      <w:lvlText w:val="o"/>
      <w:lvlJc w:val="left"/>
      <w:pPr>
        <w:tabs>
          <w:tab w:val="num" w:pos="851"/>
        </w:tabs>
        <w:ind w:left="851" w:hanging="284"/>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571F1"/>
    <w:multiLevelType w:val="hybridMultilevel"/>
    <w:tmpl w:val="D1E25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E43511"/>
    <w:multiLevelType w:val="hybridMultilevel"/>
    <w:tmpl w:val="22C8D2DC"/>
    <w:lvl w:ilvl="0" w:tplc="E34C847A">
      <w:start w:val="1"/>
      <w:numFmt w:val="bullet"/>
      <w:pStyle w:val="Listbullet-textbox"/>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466B84"/>
    <w:multiLevelType w:val="hybridMultilevel"/>
    <w:tmpl w:val="D7961F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2A0295"/>
    <w:multiLevelType w:val="multilevel"/>
    <w:tmpl w:val="0F021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FA0117"/>
    <w:multiLevelType w:val="hybridMultilevel"/>
    <w:tmpl w:val="447465A6"/>
    <w:lvl w:ilvl="0" w:tplc="B95EFD24">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0">
    <w:nsid w:val="1B5304A4"/>
    <w:multiLevelType w:val="multilevel"/>
    <w:tmpl w:val="D1B234F4"/>
    <w:lvl w:ilvl="0">
      <w:start w:val="1"/>
      <w:numFmt w:val="decimal"/>
      <w:pStyle w:val="ListNumber"/>
      <w:lvlText w:val="%1."/>
      <w:lvlJc w:val="left"/>
      <w:pPr>
        <w:ind w:left="360" w:hanging="360"/>
      </w:pPr>
      <w:rPr>
        <w:rFonts w:hint="default"/>
      </w:rPr>
    </w:lvl>
    <w:lvl w:ilvl="1">
      <w:start w:val="1"/>
      <w:numFmt w:val="decimal"/>
      <w:lvlText w:val="%1.%2"/>
      <w:lvlJc w:val="left"/>
      <w:pPr>
        <w:ind w:left="851" w:hanging="491"/>
      </w:pPr>
      <w:rPr>
        <w:rFonts w:hint="default"/>
      </w:rPr>
    </w:lvl>
    <w:lvl w:ilvl="2">
      <w:start w:val="1"/>
      <w:numFmt w:val="decimal"/>
      <w:lvlText w:val="%1.%2.%3"/>
      <w:lvlJc w:val="left"/>
      <w:pPr>
        <w:ind w:left="1474" w:hanging="623"/>
      </w:pPr>
      <w:rPr>
        <w:rFonts w:hint="default"/>
      </w:rPr>
    </w:lvl>
    <w:lvl w:ilvl="3">
      <w:start w:val="1"/>
      <w:numFmt w:val="decimal"/>
      <w:lvlText w:val="%1.%2.%3.%4"/>
      <w:lvlJc w:val="left"/>
      <w:pPr>
        <w:ind w:left="2268" w:hanging="73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9" w15:restartNumberingAfterBreak="0">
    <w:nsid w:val="1D0F7A7A"/>
    <w:multiLevelType w:val="hybridMultilevel"/>
    <w:tmpl w:val="B570F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651815"/>
    <w:multiLevelType w:val="multilevel"/>
    <w:tmpl w:val="BCF812A6"/>
    <w:lvl w:ilvl="0">
      <w:start w:val="1"/>
      <w:numFmt w:val="bullet"/>
      <w:pStyle w:val="ListBullet"/>
      <w:lvlText w:val=""/>
      <w:lvlJc w:val="left"/>
      <w:pPr>
        <w:ind w:left="621" w:hanging="360"/>
      </w:pPr>
      <w:rPr>
        <w:rFonts w:ascii="Symbol" w:hAnsi="Symbol" w:hint="default"/>
        <w:color w:val="auto"/>
      </w:rPr>
    </w:lvl>
    <w:lvl w:ilvl="1">
      <w:start w:val="1"/>
      <w:numFmt w:val="bullet"/>
      <w:lvlText w:val=""/>
      <w:lvlJc w:val="left"/>
      <w:pPr>
        <w:ind w:left="998" w:hanging="340"/>
      </w:pPr>
      <w:rPr>
        <w:rFonts w:ascii="Symbol" w:hAnsi="Symbol" w:hint="default"/>
      </w:rPr>
    </w:lvl>
    <w:lvl w:ilvl="2">
      <w:start w:val="1"/>
      <w:numFmt w:val="bullet"/>
      <w:lvlText w:val=""/>
      <w:lvlJc w:val="left"/>
      <w:pPr>
        <w:ind w:left="1395" w:hanging="340"/>
      </w:pPr>
      <w:rPr>
        <w:rFonts w:ascii="Wingdings" w:hAnsi="Wingdings" w:hint="default"/>
      </w:rPr>
    </w:lvl>
    <w:lvl w:ilvl="3">
      <w:start w:val="1"/>
      <w:numFmt w:val="bullet"/>
      <w:lvlText w:val="o"/>
      <w:lvlJc w:val="left"/>
      <w:pPr>
        <w:ind w:left="1792" w:hanging="397"/>
      </w:pPr>
      <w:rPr>
        <w:rFonts w:ascii="Courier New" w:hAnsi="Courier New" w:hint="default"/>
      </w:rPr>
    </w:lvl>
    <w:lvl w:ilvl="4">
      <w:start w:val="1"/>
      <w:numFmt w:val="bullet"/>
      <w:lvlText w:val="o"/>
      <w:lvlJc w:val="left"/>
      <w:pPr>
        <w:ind w:left="3501" w:hanging="360"/>
      </w:pPr>
      <w:rPr>
        <w:rFonts w:ascii="Courier New" w:hAnsi="Courier New" w:hint="default"/>
      </w:rPr>
    </w:lvl>
    <w:lvl w:ilvl="5">
      <w:start w:val="1"/>
      <w:numFmt w:val="bullet"/>
      <w:lvlText w:val=""/>
      <w:lvlJc w:val="left"/>
      <w:pPr>
        <w:ind w:left="4221" w:hanging="360"/>
      </w:pPr>
      <w:rPr>
        <w:rFonts w:ascii="Wingdings" w:hAnsi="Wingdings" w:hint="default"/>
      </w:rPr>
    </w:lvl>
    <w:lvl w:ilvl="6">
      <w:start w:val="1"/>
      <w:numFmt w:val="bullet"/>
      <w:lvlText w:val=""/>
      <w:lvlJc w:val="left"/>
      <w:pPr>
        <w:ind w:left="4941" w:hanging="360"/>
      </w:pPr>
      <w:rPr>
        <w:rFonts w:ascii="Symbol" w:hAnsi="Symbol" w:hint="default"/>
      </w:rPr>
    </w:lvl>
    <w:lvl w:ilvl="7">
      <w:start w:val="1"/>
      <w:numFmt w:val="bullet"/>
      <w:lvlText w:val="o"/>
      <w:lvlJc w:val="left"/>
      <w:pPr>
        <w:ind w:left="5661" w:hanging="360"/>
      </w:pPr>
      <w:rPr>
        <w:rFonts w:ascii="Courier New" w:hAnsi="Courier New" w:cs="Courier New" w:hint="default"/>
      </w:rPr>
    </w:lvl>
    <w:lvl w:ilvl="8">
      <w:start w:val="1"/>
      <w:numFmt w:val="bullet"/>
      <w:lvlText w:val=""/>
      <w:lvlJc w:val="left"/>
      <w:pPr>
        <w:ind w:left="6381" w:hanging="360"/>
      </w:pPr>
      <w:rPr>
        <w:rFonts w:ascii="Wingdings" w:hAnsi="Wingdings" w:hint="default"/>
      </w:rPr>
    </w:lvl>
  </w:abstractNum>
  <w:abstractNum w:abstractNumId="11" w15:restartNumberingAfterBreak="0">
    <w:nsid w:val="23B0449C"/>
    <w:multiLevelType w:val="hybridMultilevel"/>
    <w:tmpl w:val="93BC1F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FA19AA"/>
    <w:multiLevelType w:val="hybridMultilevel"/>
    <w:tmpl w:val="88B05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7F6501"/>
    <w:multiLevelType w:val="hybridMultilevel"/>
    <w:tmpl w:val="69264278"/>
    <w:lvl w:ilvl="0" w:tplc="6C7E9590">
      <w:start w:val="1"/>
      <w:numFmt w:val="lowerLetter"/>
      <w:pStyle w:val="Sourcenumbered"/>
      <w:lvlText w:val="(%1)"/>
      <w:lvlJc w:val="left"/>
      <w:pPr>
        <w:ind w:left="1080" w:hanging="72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EE0AE4"/>
    <w:multiLevelType w:val="multilevel"/>
    <w:tmpl w:val="01D6F1A6"/>
    <w:styleLink w:val="NumberedList"/>
    <w:lvl w:ilvl="0">
      <w:start w:val="1"/>
      <w:numFmt w:val="decimal"/>
      <w:lvlText w:val="%1"/>
      <w:lvlJc w:val="left"/>
      <w:pPr>
        <w:ind w:left="360" w:hanging="360"/>
      </w:pPr>
      <w:rPr>
        <w:rFonts w:hint="default"/>
      </w:rPr>
    </w:lvl>
    <w:lvl w:ilvl="1">
      <w:start w:val="1"/>
      <w:numFmt w:val="decimal"/>
      <w:pStyle w:val="ListNumber2"/>
      <w:lvlText w:val="%1.%2"/>
      <w:lvlJc w:val="left"/>
      <w:pPr>
        <w:ind w:left="851" w:hanging="491"/>
      </w:pPr>
      <w:rPr>
        <w:rFonts w:hint="default"/>
      </w:rPr>
    </w:lvl>
    <w:lvl w:ilvl="2">
      <w:start w:val="1"/>
      <w:numFmt w:val="decimal"/>
      <w:pStyle w:val="ListNumber3"/>
      <w:lvlText w:val="%1.%2.%3"/>
      <w:lvlJc w:val="left"/>
      <w:pPr>
        <w:ind w:left="1474" w:hanging="623"/>
      </w:pPr>
      <w:rPr>
        <w:rFonts w:hint="default"/>
      </w:rPr>
    </w:lvl>
    <w:lvl w:ilvl="3">
      <w:start w:val="1"/>
      <w:numFmt w:val="decimal"/>
      <w:pStyle w:val="ListNumber4"/>
      <w:lvlText w:val="%1.%2.%3.%4"/>
      <w:lvlJc w:val="left"/>
      <w:pPr>
        <w:ind w:left="2268" w:hanging="737"/>
      </w:pPr>
      <w:rPr>
        <w:rFonts w:hint="default"/>
      </w:rPr>
    </w:lvl>
    <w:lvl w:ilvl="4">
      <w:start w:val="1"/>
      <w:numFmt w:val="none"/>
      <w:pStyle w:val="ListNumber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347E04D6"/>
    <w:multiLevelType w:val="hybridMultilevel"/>
    <w:tmpl w:val="75EA0F2C"/>
    <w:lvl w:ilvl="0" w:tplc="46A0D4AC">
      <w:start w:val="1"/>
      <w:numFmt w:val="bullet"/>
      <w:pStyle w:val="Answerboxdotpoin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550777"/>
    <w:multiLevelType w:val="hybridMultilevel"/>
    <w:tmpl w:val="66DC8E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7323785"/>
    <w:multiLevelType w:val="hybridMultilevel"/>
    <w:tmpl w:val="1A08EDB8"/>
    <w:lvl w:ilvl="0" w:tplc="5928E390">
      <w:start w:val="1"/>
      <w:numFmt w:val="bullet"/>
      <w:pStyle w:val="Bulletlevel2"/>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8" w15:restartNumberingAfterBreak="0">
    <w:nsid w:val="3DF75CE7"/>
    <w:multiLevelType w:val="hybridMultilevel"/>
    <w:tmpl w:val="97C25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7A21DF"/>
    <w:multiLevelType w:val="multilevel"/>
    <w:tmpl w:val="DE980CC6"/>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F3E72C7"/>
    <w:multiLevelType w:val="hybridMultilevel"/>
    <w:tmpl w:val="28D03D8E"/>
    <w:lvl w:ilvl="0" w:tplc="EF3C9634">
      <w:start w:val="1"/>
      <w:numFmt w:val="bullet"/>
      <w:pStyle w:val="bullets"/>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03907D9"/>
    <w:multiLevelType w:val="hybridMultilevel"/>
    <w:tmpl w:val="21CA838C"/>
    <w:lvl w:ilvl="0" w:tplc="1528FED0">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6253266"/>
    <w:multiLevelType w:val="multilevel"/>
    <w:tmpl w:val="7424E47E"/>
    <w:styleLink w:val="Bullets0"/>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47A1D7F"/>
    <w:multiLevelType w:val="hybridMultilevel"/>
    <w:tmpl w:val="AC62B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8B179F"/>
    <w:multiLevelType w:val="multilevel"/>
    <w:tmpl w:val="F296112A"/>
    <w:lvl w:ilvl="0">
      <w:start w:val="1"/>
      <w:numFmt w:val="decimal"/>
      <w:lvlText w:val="%1."/>
      <w:lvlJc w:val="left"/>
      <w:pPr>
        <w:tabs>
          <w:tab w:val="num" w:pos="144"/>
        </w:tabs>
        <w:ind w:left="144" w:hanging="360"/>
      </w:pPr>
      <w:rPr>
        <w:rFonts w:hint="default"/>
        <w:b/>
        <w:i w:val="0"/>
        <w:sz w:val="24"/>
      </w:rPr>
    </w:lvl>
    <w:lvl w:ilvl="1">
      <w:start w:val="1"/>
      <w:numFmt w:val="decimal"/>
      <w:lvlText w:val="3.%2."/>
      <w:lvlJc w:val="left"/>
      <w:pPr>
        <w:tabs>
          <w:tab w:val="num" w:pos="576"/>
        </w:tabs>
        <w:ind w:left="576" w:hanging="432"/>
      </w:pPr>
      <w:rPr>
        <w:rFonts w:hint="default"/>
      </w:rPr>
    </w:lvl>
    <w:lvl w:ilvl="2">
      <w:start w:val="1"/>
      <w:numFmt w:val="decimal"/>
      <w:lvlText w:val="%2.%3."/>
      <w:lvlJc w:val="left"/>
      <w:pPr>
        <w:tabs>
          <w:tab w:val="num" w:pos="1224"/>
        </w:tabs>
        <w:ind w:left="1008" w:hanging="504"/>
      </w:pPr>
      <w:rPr>
        <w:rFonts w:hint="default"/>
      </w:rPr>
    </w:lvl>
    <w:lvl w:ilvl="3">
      <w:start w:val="1"/>
      <w:numFmt w:val="decimal"/>
      <w:lvlText w:val="%1.%2.%3.%4."/>
      <w:lvlJc w:val="left"/>
      <w:pPr>
        <w:tabs>
          <w:tab w:val="num" w:pos="1944"/>
        </w:tabs>
        <w:ind w:left="1512" w:hanging="648"/>
      </w:pPr>
      <w:rPr>
        <w:rFonts w:hint="default"/>
      </w:rPr>
    </w:lvl>
    <w:lvl w:ilvl="4">
      <w:start w:val="1"/>
      <w:numFmt w:val="decimal"/>
      <w:lvlText w:val="%1.%2.%3.%4.%5."/>
      <w:lvlJc w:val="left"/>
      <w:pPr>
        <w:tabs>
          <w:tab w:val="num" w:pos="2304"/>
        </w:tabs>
        <w:ind w:left="2016" w:hanging="792"/>
      </w:pPr>
      <w:rPr>
        <w:rFonts w:hint="default"/>
      </w:rPr>
    </w:lvl>
    <w:lvl w:ilvl="5">
      <w:start w:val="1"/>
      <w:numFmt w:val="decimal"/>
      <w:lvlText w:val="%1.%2.%3.%4.%5.%6."/>
      <w:lvlJc w:val="left"/>
      <w:pPr>
        <w:tabs>
          <w:tab w:val="num" w:pos="3024"/>
        </w:tabs>
        <w:ind w:left="2520" w:hanging="936"/>
      </w:pPr>
      <w:rPr>
        <w:rFonts w:hint="default"/>
      </w:rPr>
    </w:lvl>
    <w:lvl w:ilvl="6">
      <w:start w:val="1"/>
      <w:numFmt w:val="decimal"/>
      <w:lvlText w:val="%1.%2.%3.%4.%5.%6.%7."/>
      <w:lvlJc w:val="left"/>
      <w:pPr>
        <w:tabs>
          <w:tab w:val="num" w:pos="3384"/>
        </w:tabs>
        <w:ind w:left="3024" w:hanging="1080"/>
      </w:pPr>
      <w:rPr>
        <w:rFonts w:hint="default"/>
      </w:rPr>
    </w:lvl>
    <w:lvl w:ilvl="7">
      <w:start w:val="1"/>
      <w:numFmt w:val="decimal"/>
      <w:lvlText w:val="%1.%2.%3.%4.%5.%6.%7.%8."/>
      <w:lvlJc w:val="left"/>
      <w:pPr>
        <w:tabs>
          <w:tab w:val="num" w:pos="4104"/>
        </w:tabs>
        <w:ind w:left="3528" w:hanging="1224"/>
      </w:pPr>
      <w:rPr>
        <w:rFonts w:hint="default"/>
      </w:rPr>
    </w:lvl>
    <w:lvl w:ilvl="8">
      <w:start w:val="1"/>
      <w:numFmt w:val="decimal"/>
      <w:lvlText w:val="%1.%2.%3.%4.%5.%6.%7.%8.%9."/>
      <w:lvlJc w:val="left"/>
      <w:pPr>
        <w:tabs>
          <w:tab w:val="num" w:pos="4464"/>
        </w:tabs>
        <w:ind w:left="4104" w:hanging="1440"/>
      </w:pPr>
      <w:rPr>
        <w:rFonts w:hint="default"/>
      </w:rPr>
    </w:lvl>
  </w:abstractNum>
  <w:abstractNum w:abstractNumId="25" w15:restartNumberingAfterBreak="0">
    <w:nsid w:val="63C426AE"/>
    <w:multiLevelType w:val="hybridMultilevel"/>
    <w:tmpl w:val="54743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5B05A21"/>
    <w:multiLevelType w:val="hybridMultilevel"/>
    <w:tmpl w:val="C9B6E7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6A62F43"/>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5C7BA9"/>
    <w:multiLevelType w:val="hybridMultilevel"/>
    <w:tmpl w:val="6D9C9402"/>
    <w:lvl w:ilvl="0" w:tplc="760E5F7A">
      <w:start w:val="1"/>
      <w:numFmt w:val="decimal"/>
      <w:pStyle w:val="Execsummaryfindingsquestion"/>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683C0EB5"/>
    <w:multiLevelType w:val="hybridMultilevel"/>
    <w:tmpl w:val="0B16ACE6"/>
    <w:lvl w:ilvl="0" w:tplc="EDEAAC4A">
      <w:start w:val="1"/>
      <w:numFmt w:val="decimal"/>
      <w:pStyle w:val="Question"/>
      <w:lvlText w:val="%1."/>
      <w:lvlJc w:val="left"/>
      <w:pPr>
        <w:tabs>
          <w:tab w:val="num" w:pos="360"/>
        </w:tabs>
        <w:ind w:left="360" w:hanging="360"/>
      </w:pPr>
      <w:rPr>
        <w:rFonts w:cs="Times New Roman" w:hint="default"/>
        <w:b w:val="0"/>
        <w:i w:val="0"/>
      </w:rPr>
    </w:lvl>
    <w:lvl w:ilvl="1" w:tplc="D7EC07F6">
      <w:start w:val="1"/>
      <w:numFmt w:val="lowerLetter"/>
      <w:pStyle w:val="Questionoptions"/>
      <w:lvlText w:val="%2."/>
      <w:lvlJc w:val="left"/>
      <w:pPr>
        <w:tabs>
          <w:tab w:val="num" w:pos="1440"/>
        </w:tabs>
        <w:ind w:left="1440" w:hanging="360"/>
      </w:pPr>
      <w:rPr>
        <w:rFonts w:ascii="Arial" w:hAnsi="Arial" w:cs="Symbol" w:hint="default"/>
        <w:b w:val="0"/>
        <w:i w:val="0"/>
        <w:sz w:val="22"/>
        <w:szCs w:val="22"/>
      </w:rPr>
    </w:lvl>
    <w:lvl w:ilvl="2" w:tplc="0C09001B">
      <w:start w:val="1"/>
      <w:numFmt w:val="lowerRoman"/>
      <w:lvlText w:val="%3."/>
      <w:lvlJc w:val="right"/>
      <w:pPr>
        <w:tabs>
          <w:tab w:val="num" w:pos="2160"/>
        </w:tabs>
        <w:ind w:left="2160" w:hanging="180"/>
      </w:pPr>
      <w:rPr>
        <w:rFonts w:cs="Times New Roman"/>
      </w:rPr>
    </w:lvl>
    <w:lvl w:ilvl="3" w:tplc="0C09000F">
      <w:start w:val="1"/>
      <w:numFmt w:val="decimal"/>
      <w:lvlText w:val="%4."/>
      <w:lvlJc w:val="left"/>
      <w:pPr>
        <w:tabs>
          <w:tab w:val="num" w:pos="2880"/>
        </w:tabs>
        <w:ind w:left="2880" w:hanging="360"/>
      </w:pPr>
      <w:rPr>
        <w:rFonts w:cs="Times New Roman"/>
      </w:rPr>
    </w:lvl>
    <w:lvl w:ilvl="4" w:tplc="0C090019">
      <w:start w:val="1"/>
      <w:numFmt w:val="lowerLetter"/>
      <w:lvlText w:val="%5."/>
      <w:lvlJc w:val="left"/>
      <w:pPr>
        <w:tabs>
          <w:tab w:val="num" w:pos="3600"/>
        </w:tabs>
        <w:ind w:left="3600" w:hanging="360"/>
      </w:pPr>
      <w:rPr>
        <w:rFonts w:cs="Times New Roman"/>
      </w:rPr>
    </w:lvl>
    <w:lvl w:ilvl="5" w:tplc="0C09001B">
      <w:start w:val="1"/>
      <w:numFmt w:val="lowerRoman"/>
      <w:lvlText w:val="%6."/>
      <w:lvlJc w:val="right"/>
      <w:pPr>
        <w:tabs>
          <w:tab w:val="num" w:pos="4320"/>
        </w:tabs>
        <w:ind w:left="4320" w:hanging="180"/>
      </w:pPr>
      <w:rPr>
        <w:rFonts w:cs="Times New Roman"/>
      </w:rPr>
    </w:lvl>
    <w:lvl w:ilvl="6" w:tplc="0C09000F">
      <w:start w:val="1"/>
      <w:numFmt w:val="decimal"/>
      <w:lvlText w:val="%7."/>
      <w:lvlJc w:val="left"/>
      <w:pPr>
        <w:tabs>
          <w:tab w:val="num" w:pos="5040"/>
        </w:tabs>
        <w:ind w:left="5040" w:hanging="360"/>
      </w:pPr>
      <w:rPr>
        <w:rFonts w:cs="Times New Roman"/>
      </w:rPr>
    </w:lvl>
    <w:lvl w:ilvl="7" w:tplc="0C090019">
      <w:start w:val="1"/>
      <w:numFmt w:val="lowerLetter"/>
      <w:lvlText w:val="%8."/>
      <w:lvlJc w:val="left"/>
      <w:pPr>
        <w:tabs>
          <w:tab w:val="num" w:pos="5760"/>
        </w:tabs>
        <w:ind w:left="5760" w:hanging="360"/>
      </w:pPr>
      <w:rPr>
        <w:rFonts w:cs="Times New Roman"/>
      </w:rPr>
    </w:lvl>
    <w:lvl w:ilvl="8" w:tplc="0C09001B">
      <w:start w:val="1"/>
      <w:numFmt w:val="lowerRoman"/>
      <w:lvlText w:val="%9."/>
      <w:lvlJc w:val="right"/>
      <w:pPr>
        <w:tabs>
          <w:tab w:val="num" w:pos="6480"/>
        </w:tabs>
        <w:ind w:left="6480" w:hanging="180"/>
      </w:pPr>
      <w:rPr>
        <w:rFonts w:cs="Times New Roman"/>
      </w:rPr>
    </w:lvl>
  </w:abstractNum>
  <w:abstractNum w:abstractNumId="30" w15:restartNumberingAfterBreak="0">
    <w:nsid w:val="6A0052EA"/>
    <w:multiLevelType w:val="hybridMultilevel"/>
    <w:tmpl w:val="52F613B4"/>
    <w:lvl w:ilvl="0" w:tplc="69901BF8">
      <w:start w:val="1"/>
      <w:numFmt w:val="decimal"/>
      <w:pStyle w:val="Sourceandnotetextmultiplenotes"/>
      <w:lvlText w:val="%1."/>
      <w:lvlJc w:val="left"/>
      <w:pPr>
        <w:ind w:left="360" w:hanging="360"/>
      </w:pPr>
      <w:rPr>
        <w:rFonts w:hint="default"/>
        <w:b w:val="0"/>
      </w:rPr>
    </w:lvl>
    <w:lvl w:ilvl="1" w:tplc="0C090003">
      <w:start w:val="1"/>
      <w:numFmt w:val="lowerLetter"/>
      <w:lvlText w:val="%2."/>
      <w:lvlJc w:val="left"/>
      <w:pPr>
        <w:ind w:left="796" w:hanging="360"/>
      </w:pPr>
    </w:lvl>
    <w:lvl w:ilvl="2" w:tplc="0C090005" w:tentative="1">
      <w:start w:val="1"/>
      <w:numFmt w:val="lowerRoman"/>
      <w:lvlText w:val="%3."/>
      <w:lvlJc w:val="right"/>
      <w:pPr>
        <w:ind w:left="1516" w:hanging="180"/>
      </w:pPr>
    </w:lvl>
    <w:lvl w:ilvl="3" w:tplc="0C090001" w:tentative="1">
      <w:start w:val="1"/>
      <w:numFmt w:val="decimal"/>
      <w:lvlText w:val="%4."/>
      <w:lvlJc w:val="left"/>
      <w:pPr>
        <w:ind w:left="2236" w:hanging="360"/>
      </w:pPr>
    </w:lvl>
    <w:lvl w:ilvl="4" w:tplc="0C090003" w:tentative="1">
      <w:start w:val="1"/>
      <w:numFmt w:val="lowerLetter"/>
      <w:lvlText w:val="%5."/>
      <w:lvlJc w:val="left"/>
      <w:pPr>
        <w:ind w:left="2956" w:hanging="360"/>
      </w:pPr>
    </w:lvl>
    <w:lvl w:ilvl="5" w:tplc="0C090005" w:tentative="1">
      <w:start w:val="1"/>
      <w:numFmt w:val="lowerRoman"/>
      <w:lvlText w:val="%6."/>
      <w:lvlJc w:val="right"/>
      <w:pPr>
        <w:ind w:left="3676" w:hanging="180"/>
      </w:pPr>
    </w:lvl>
    <w:lvl w:ilvl="6" w:tplc="0C090001" w:tentative="1">
      <w:start w:val="1"/>
      <w:numFmt w:val="decimal"/>
      <w:lvlText w:val="%7."/>
      <w:lvlJc w:val="left"/>
      <w:pPr>
        <w:ind w:left="4396" w:hanging="360"/>
      </w:pPr>
    </w:lvl>
    <w:lvl w:ilvl="7" w:tplc="0C090003" w:tentative="1">
      <w:start w:val="1"/>
      <w:numFmt w:val="lowerLetter"/>
      <w:lvlText w:val="%8."/>
      <w:lvlJc w:val="left"/>
      <w:pPr>
        <w:ind w:left="5116" w:hanging="360"/>
      </w:pPr>
    </w:lvl>
    <w:lvl w:ilvl="8" w:tplc="0C090005" w:tentative="1">
      <w:start w:val="1"/>
      <w:numFmt w:val="lowerRoman"/>
      <w:lvlText w:val="%9."/>
      <w:lvlJc w:val="right"/>
      <w:pPr>
        <w:ind w:left="5836" w:hanging="180"/>
      </w:pPr>
    </w:lvl>
  </w:abstractNum>
  <w:abstractNum w:abstractNumId="31" w15:restartNumberingAfterBreak="0">
    <w:nsid w:val="70787EC1"/>
    <w:multiLevelType w:val="multilevel"/>
    <w:tmpl w:val="0E88F2A2"/>
    <w:lvl w:ilvl="0">
      <w:numFmt w:val="bullet"/>
      <w:pStyle w:val="bullet"/>
      <w:lvlText w:val="•"/>
      <w:lvlJc w:val="left"/>
      <w:pPr>
        <w:ind w:left="785" w:hanging="360"/>
      </w:pPr>
      <w:rPr>
        <w:rFonts w:ascii="Calibri" w:eastAsia="Times New Roman" w:hAnsi="Calibri" w:cs="Calibri" w:hint="default"/>
        <w:b w:val="0"/>
        <w:i w:val="0"/>
        <w:color w:val="0D0D0D"/>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2B4F0A"/>
    <w:multiLevelType w:val="hybridMultilevel"/>
    <w:tmpl w:val="E03AA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13A20C8"/>
    <w:multiLevelType w:val="multilevel"/>
    <w:tmpl w:val="8FBE0AEE"/>
    <w:styleLink w:val="BulletList"/>
    <w:lvl w:ilvl="0">
      <w:start w:val="1"/>
      <w:numFmt w:val="bullet"/>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51D85"/>
    <w:multiLevelType w:val="hybridMultilevel"/>
    <w:tmpl w:val="39305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CC601ED"/>
    <w:multiLevelType w:val="hybridMultilevel"/>
    <w:tmpl w:val="A5C86F40"/>
    <w:lvl w:ilvl="0" w:tplc="0C090001">
      <w:start w:val="1"/>
      <w:numFmt w:val="lowerLetter"/>
      <w:pStyle w:val="Sourceandnotetextsubnote"/>
      <w:lvlText w:val="%1)"/>
      <w:lvlJc w:val="left"/>
      <w:pPr>
        <w:ind w:left="720" w:hanging="360"/>
      </w:p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37" w15:restartNumberingAfterBreak="0">
    <w:nsid w:val="7CF77449"/>
    <w:multiLevelType w:val="hybridMultilevel"/>
    <w:tmpl w:val="D0E0ADDA"/>
    <w:lvl w:ilvl="0" w:tplc="DBB65BCC">
      <w:start w:val="1"/>
      <w:numFmt w:val="decimal"/>
      <w:pStyle w:val="Bibliography"/>
      <w:lvlText w:val="%1."/>
      <w:lvlJc w:val="left"/>
      <w:pPr>
        <w:tabs>
          <w:tab w:val="num" w:pos="360"/>
        </w:tabs>
        <w:ind w:left="360" w:hanging="360"/>
      </w:pPr>
      <w:rPr>
        <w:rFonts w:ascii="Arial" w:hAnsi="Arial" w:cs="Times New Roman"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4"/>
  </w:num>
  <w:num w:numId="2">
    <w:abstractNumId w:val="33"/>
  </w:num>
  <w:num w:numId="3">
    <w:abstractNumId w:val="19"/>
  </w:num>
  <w:num w:numId="4">
    <w:abstractNumId w:val="8"/>
  </w:num>
  <w:num w:numId="5">
    <w:abstractNumId w:val="3"/>
  </w:num>
  <w:num w:numId="6">
    <w:abstractNumId w:val="10"/>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4"/>
  </w:num>
  <w:num w:numId="11">
    <w:abstractNumId w:val="2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22"/>
  </w:num>
  <w:num w:numId="16">
    <w:abstractNumId w:val="36"/>
  </w:num>
  <w:num w:numId="17">
    <w:abstractNumId w:val="34"/>
  </w:num>
  <w:num w:numId="18">
    <w:abstractNumId w:val="20"/>
  </w:num>
  <w:num w:numId="19">
    <w:abstractNumId w:val="6"/>
  </w:num>
  <w:num w:numId="20">
    <w:abstractNumId w:val="1"/>
  </w:num>
  <w:num w:numId="21">
    <w:abstractNumId w:val="37"/>
  </w:num>
  <w:num w:numId="22">
    <w:abstractNumId w:val="24"/>
  </w:num>
  <w:num w:numId="23">
    <w:abstractNumId w:val="29"/>
  </w:num>
  <w:num w:numId="24">
    <w:abstractNumId w:val="30"/>
  </w:num>
  <w:num w:numId="25">
    <w:abstractNumId w:val="17"/>
  </w:num>
  <w:num w:numId="26">
    <w:abstractNumId w:val="18"/>
  </w:num>
  <w:num w:numId="27">
    <w:abstractNumId w:val="28"/>
    <w:lvlOverride w:ilvl="0">
      <w:startOverride w:val="1"/>
    </w:lvlOverride>
  </w:num>
  <w:num w:numId="28">
    <w:abstractNumId w:val="2"/>
  </w:num>
  <w:num w:numId="29">
    <w:abstractNumId w:val="17"/>
  </w:num>
  <w:num w:numId="30">
    <w:abstractNumId w:val="17"/>
  </w:num>
  <w:num w:numId="31">
    <w:abstractNumId w:val="17"/>
  </w:num>
  <w:num w:numId="32">
    <w:abstractNumId w:val="17"/>
  </w:num>
  <w:num w:numId="33">
    <w:abstractNumId w:val="15"/>
  </w:num>
  <w:num w:numId="34">
    <w:abstractNumId w:val="0"/>
  </w:num>
  <w:num w:numId="35">
    <w:abstractNumId w:val="28"/>
  </w:num>
  <w:num w:numId="36">
    <w:abstractNumId w:val="26"/>
  </w:num>
  <w:num w:numId="37">
    <w:abstractNumId w:val="32"/>
  </w:num>
  <w:num w:numId="38">
    <w:abstractNumId w:val="11"/>
  </w:num>
  <w:num w:numId="39">
    <w:abstractNumId w:val="28"/>
  </w:num>
  <w:num w:numId="40">
    <w:abstractNumId w:val="16"/>
  </w:num>
  <w:num w:numId="41">
    <w:abstractNumId w:val="12"/>
  </w:num>
  <w:num w:numId="42">
    <w:abstractNumId w:val="21"/>
  </w:num>
  <w:num w:numId="43">
    <w:abstractNumId w:val="23"/>
  </w:num>
  <w:num w:numId="44">
    <w:abstractNumId w:val="10"/>
  </w:num>
  <w:num w:numId="45">
    <w:abstractNumId w:val="9"/>
  </w:num>
  <w:num w:numId="46">
    <w:abstractNumId w:val="25"/>
  </w:num>
  <w:num w:numId="47">
    <w:abstractNumId w:val="5"/>
  </w:num>
  <w:num w:numId="48">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XmlVersion" w:val="Empty"/>
  </w:docVars>
  <w:rsids>
    <w:rsidRoot w:val="00C10C19"/>
    <w:rsid w:val="00000C3E"/>
    <w:rsid w:val="00000E4A"/>
    <w:rsid w:val="00001DA7"/>
    <w:rsid w:val="00002721"/>
    <w:rsid w:val="000028C3"/>
    <w:rsid w:val="000033D2"/>
    <w:rsid w:val="000041DE"/>
    <w:rsid w:val="000048E6"/>
    <w:rsid w:val="000051D4"/>
    <w:rsid w:val="0000536A"/>
    <w:rsid w:val="00007C3B"/>
    <w:rsid w:val="00010427"/>
    <w:rsid w:val="000113DC"/>
    <w:rsid w:val="00011429"/>
    <w:rsid w:val="000126F3"/>
    <w:rsid w:val="00012917"/>
    <w:rsid w:val="00012D04"/>
    <w:rsid w:val="00013969"/>
    <w:rsid w:val="00014834"/>
    <w:rsid w:val="000148EF"/>
    <w:rsid w:val="00015DE0"/>
    <w:rsid w:val="00016133"/>
    <w:rsid w:val="00020A4D"/>
    <w:rsid w:val="00021B10"/>
    <w:rsid w:val="00022418"/>
    <w:rsid w:val="00022D21"/>
    <w:rsid w:val="00024E24"/>
    <w:rsid w:val="00026FC6"/>
    <w:rsid w:val="00026FFF"/>
    <w:rsid w:val="000305C1"/>
    <w:rsid w:val="00031031"/>
    <w:rsid w:val="00032176"/>
    <w:rsid w:val="000330CE"/>
    <w:rsid w:val="00034EAA"/>
    <w:rsid w:val="00035125"/>
    <w:rsid w:val="00041E1C"/>
    <w:rsid w:val="000425D0"/>
    <w:rsid w:val="000446F1"/>
    <w:rsid w:val="0004531E"/>
    <w:rsid w:val="00045C38"/>
    <w:rsid w:val="00045EB9"/>
    <w:rsid w:val="00047E20"/>
    <w:rsid w:val="0005064F"/>
    <w:rsid w:val="000508DF"/>
    <w:rsid w:val="00050A83"/>
    <w:rsid w:val="000521FC"/>
    <w:rsid w:val="00053914"/>
    <w:rsid w:val="0005424A"/>
    <w:rsid w:val="00054485"/>
    <w:rsid w:val="00054764"/>
    <w:rsid w:val="00055732"/>
    <w:rsid w:val="00055E67"/>
    <w:rsid w:val="0005705F"/>
    <w:rsid w:val="00057509"/>
    <w:rsid w:val="000575F6"/>
    <w:rsid w:val="0006046F"/>
    <w:rsid w:val="00060805"/>
    <w:rsid w:val="00061147"/>
    <w:rsid w:val="00061A7D"/>
    <w:rsid w:val="00061A7F"/>
    <w:rsid w:val="00062348"/>
    <w:rsid w:val="000628CD"/>
    <w:rsid w:val="0006295F"/>
    <w:rsid w:val="00065AA5"/>
    <w:rsid w:val="000668AD"/>
    <w:rsid w:val="00067D33"/>
    <w:rsid w:val="00067E66"/>
    <w:rsid w:val="000717CC"/>
    <w:rsid w:val="00071DC8"/>
    <w:rsid w:val="00074685"/>
    <w:rsid w:val="00076801"/>
    <w:rsid w:val="00076FDD"/>
    <w:rsid w:val="000778B0"/>
    <w:rsid w:val="00077A0B"/>
    <w:rsid w:val="00080368"/>
    <w:rsid w:val="000807C3"/>
    <w:rsid w:val="000808A5"/>
    <w:rsid w:val="000812C0"/>
    <w:rsid w:val="0008140A"/>
    <w:rsid w:val="000821A4"/>
    <w:rsid w:val="00082AFD"/>
    <w:rsid w:val="000832F0"/>
    <w:rsid w:val="00083CFA"/>
    <w:rsid w:val="0008541B"/>
    <w:rsid w:val="00085DAA"/>
    <w:rsid w:val="000861A6"/>
    <w:rsid w:val="000869B4"/>
    <w:rsid w:val="0009019B"/>
    <w:rsid w:val="00091129"/>
    <w:rsid w:val="000912CB"/>
    <w:rsid w:val="000917AC"/>
    <w:rsid w:val="0009269E"/>
    <w:rsid w:val="00092A6F"/>
    <w:rsid w:val="000936B8"/>
    <w:rsid w:val="000939CD"/>
    <w:rsid w:val="000947E8"/>
    <w:rsid w:val="000960EB"/>
    <w:rsid w:val="00096A61"/>
    <w:rsid w:val="000A2BCF"/>
    <w:rsid w:val="000A3E08"/>
    <w:rsid w:val="000A4ADD"/>
    <w:rsid w:val="000B0430"/>
    <w:rsid w:val="000B145A"/>
    <w:rsid w:val="000B16A6"/>
    <w:rsid w:val="000B1F49"/>
    <w:rsid w:val="000B3B62"/>
    <w:rsid w:val="000B5D2A"/>
    <w:rsid w:val="000B6C9F"/>
    <w:rsid w:val="000B74CE"/>
    <w:rsid w:val="000C101F"/>
    <w:rsid w:val="000C107B"/>
    <w:rsid w:val="000C144F"/>
    <w:rsid w:val="000C239F"/>
    <w:rsid w:val="000C4149"/>
    <w:rsid w:val="000C440F"/>
    <w:rsid w:val="000C7851"/>
    <w:rsid w:val="000D15D8"/>
    <w:rsid w:val="000D1C2B"/>
    <w:rsid w:val="000D46B9"/>
    <w:rsid w:val="000D576F"/>
    <w:rsid w:val="000D6401"/>
    <w:rsid w:val="000D715D"/>
    <w:rsid w:val="000D7A1D"/>
    <w:rsid w:val="000D7F87"/>
    <w:rsid w:val="000E09C7"/>
    <w:rsid w:val="000E0F0A"/>
    <w:rsid w:val="000E348F"/>
    <w:rsid w:val="000E42BF"/>
    <w:rsid w:val="000E4EDF"/>
    <w:rsid w:val="000E5C91"/>
    <w:rsid w:val="000E6436"/>
    <w:rsid w:val="000E651A"/>
    <w:rsid w:val="000E6C63"/>
    <w:rsid w:val="000E7B23"/>
    <w:rsid w:val="000E7D77"/>
    <w:rsid w:val="000E7E7B"/>
    <w:rsid w:val="000E7FBC"/>
    <w:rsid w:val="000F001B"/>
    <w:rsid w:val="000F15C2"/>
    <w:rsid w:val="000F1F64"/>
    <w:rsid w:val="000F341C"/>
    <w:rsid w:val="000F3BA2"/>
    <w:rsid w:val="000F50D7"/>
    <w:rsid w:val="000F5B8B"/>
    <w:rsid w:val="000F5C94"/>
    <w:rsid w:val="000F5D7E"/>
    <w:rsid w:val="000F6070"/>
    <w:rsid w:val="000F7D2F"/>
    <w:rsid w:val="000F7E5D"/>
    <w:rsid w:val="00100091"/>
    <w:rsid w:val="0010025B"/>
    <w:rsid w:val="00100371"/>
    <w:rsid w:val="00101543"/>
    <w:rsid w:val="0010279C"/>
    <w:rsid w:val="00103490"/>
    <w:rsid w:val="00105ECF"/>
    <w:rsid w:val="00111BCE"/>
    <w:rsid w:val="001121F8"/>
    <w:rsid w:val="00113145"/>
    <w:rsid w:val="0011345F"/>
    <w:rsid w:val="00113DCC"/>
    <w:rsid w:val="001146E8"/>
    <w:rsid w:val="00114D92"/>
    <w:rsid w:val="00115081"/>
    <w:rsid w:val="001158CC"/>
    <w:rsid w:val="001161AF"/>
    <w:rsid w:val="001167A1"/>
    <w:rsid w:val="001173E8"/>
    <w:rsid w:val="001175BF"/>
    <w:rsid w:val="00117A27"/>
    <w:rsid w:val="00120D53"/>
    <w:rsid w:val="001220AA"/>
    <w:rsid w:val="00122B47"/>
    <w:rsid w:val="001231E8"/>
    <w:rsid w:val="00123CDB"/>
    <w:rsid w:val="00123D57"/>
    <w:rsid w:val="0012451A"/>
    <w:rsid w:val="00124991"/>
    <w:rsid w:val="00124C07"/>
    <w:rsid w:val="00125E46"/>
    <w:rsid w:val="00126CBC"/>
    <w:rsid w:val="00130923"/>
    <w:rsid w:val="00130ED6"/>
    <w:rsid w:val="0013139D"/>
    <w:rsid w:val="001314B3"/>
    <w:rsid w:val="001318A2"/>
    <w:rsid w:val="00131B22"/>
    <w:rsid w:val="001320D5"/>
    <w:rsid w:val="00132AC9"/>
    <w:rsid w:val="00133E15"/>
    <w:rsid w:val="00134C68"/>
    <w:rsid w:val="001414F3"/>
    <w:rsid w:val="001425A9"/>
    <w:rsid w:val="0014305F"/>
    <w:rsid w:val="00143FCD"/>
    <w:rsid w:val="00144284"/>
    <w:rsid w:val="001442D8"/>
    <w:rsid w:val="00145370"/>
    <w:rsid w:val="00145618"/>
    <w:rsid w:val="001457B6"/>
    <w:rsid w:val="00147111"/>
    <w:rsid w:val="001472E1"/>
    <w:rsid w:val="0014793C"/>
    <w:rsid w:val="00147A8A"/>
    <w:rsid w:val="0015083B"/>
    <w:rsid w:val="00150C57"/>
    <w:rsid w:val="00151E1D"/>
    <w:rsid w:val="00153844"/>
    <w:rsid w:val="001538CC"/>
    <w:rsid w:val="001538E4"/>
    <w:rsid w:val="001544F2"/>
    <w:rsid w:val="00156386"/>
    <w:rsid w:val="00156803"/>
    <w:rsid w:val="00156911"/>
    <w:rsid w:val="00156E3D"/>
    <w:rsid w:val="00157899"/>
    <w:rsid w:val="001607E2"/>
    <w:rsid w:val="00160893"/>
    <w:rsid w:val="00161518"/>
    <w:rsid w:val="00163827"/>
    <w:rsid w:val="00165110"/>
    <w:rsid w:val="0016540E"/>
    <w:rsid w:val="00165CAD"/>
    <w:rsid w:val="00166249"/>
    <w:rsid w:val="00167A49"/>
    <w:rsid w:val="00167FD8"/>
    <w:rsid w:val="0017009B"/>
    <w:rsid w:val="00172024"/>
    <w:rsid w:val="00172FA3"/>
    <w:rsid w:val="00173D78"/>
    <w:rsid w:val="00173F59"/>
    <w:rsid w:val="001756B7"/>
    <w:rsid w:val="00175B39"/>
    <w:rsid w:val="00176A3A"/>
    <w:rsid w:val="001815BF"/>
    <w:rsid w:val="00181FBE"/>
    <w:rsid w:val="00182137"/>
    <w:rsid w:val="001835B8"/>
    <w:rsid w:val="001855F5"/>
    <w:rsid w:val="00186282"/>
    <w:rsid w:val="001867A8"/>
    <w:rsid w:val="00191521"/>
    <w:rsid w:val="00191E3E"/>
    <w:rsid w:val="00195563"/>
    <w:rsid w:val="00195813"/>
    <w:rsid w:val="00195CBC"/>
    <w:rsid w:val="00195EEA"/>
    <w:rsid w:val="00196265"/>
    <w:rsid w:val="00196F9F"/>
    <w:rsid w:val="001A08AB"/>
    <w:rsid w:val="001A554B"/>
    <w:rsid w:val="001A55E8"/>
    <w:rsid w:val="001A5E8B"/>
    <w:rsid w:val="001A5FA4"/>
    <w:rsid w:val="001B020F"/>
    <w:rsid w:val="001B1771"/>
    <w:rsid w:val="001B1A79"/>
    <w:rsid w:val="001B2653"/>
    <w:rsid w:val="001B2C27"/>
    <w:rsid w:val="001B3A63"/>
    <w:rsid w:val="001B4E39"/>
    <w:rsid w:val="001B6467"/>
    <w:rsid w:val="001B66D4"/>
    <w:rsid w:val="001B73F3"/>
    <w:rsid w:val="001B7D05"/>
    <w:rsid w:val="001C1130"/>
    <w:rsid w:val="001C12F8"/>
    <w:rsid w:val="001C22AA"/>
    <w:rsid w:val="001C3005"/>
    <w:rsid w:val="001C3096"/>
    <w:rsid w:val="001C31F1"/>
    <w:rsid w:val="001C379C"/>
    <w:rsid w:val="001C3ED2"/>
    <w:rsid w:val="001C52FB"/>
    <w:rsid w:val="001C5AA9"/>
    <w:rsid w:val="001C5B8B"/>
    <w:rsid w:val="001C5E71"/>
    <w:rsid w:val="001C6277"/>
    <w:rsid w:val="001C645B"/>
    <w:rsid w:val="001C67C0"/>
    <w:rsid w:val="001C6B35"/>
    <w:rsid w:val="001C7435"/>
    <w:rsid w:val="001D0500"/>
    <w:rsid w:val="001D151B"/>
    <w:rsid w:val="001D1568"/>
    <w:rsid w:val="001D1645"/>
    <w:rsid w:val="001D242B"/>
    <w:rsid w:val="001D262C"/>
    <w:rsid w:val="001D2AFF"/>
    <w:rsid w:val="001D3F73"/>
    <w:rsid w:val="001D516B"/>
    <w:rsid w:val="001D5ED5"/>
    <w:rsid w:val="001D6B17"/>
    <w:rsid w:val="001D6C73"/>
    <w:rsid w:val="001D6E78"/>
    <w:rsid w:val="001D7371"/>
    <w:rsid w:val="001D7497"/>
    <w:rsid w:val="001E07A7"/>
    <w:rsid w:val="001E129A"/>
    <w:rsid w:val="001E1FFB"/>
    <w:rsid w:val="001E241B"/>
    <w:rsid w:val="001E378E"/>
    <w:rsid w:val="001E62C0"/>
    <w:rsid w:val="001E6C1E"/>
    <w:rsid w:val="001E6D49"/>
    <w:rsid w:val="001E6ED0"/>
    <w:rsid w:val="001E7C2F"/>
    <w:rsid w:val="001F1C07"/>
    <w:rsid w:val="001F32E8"/>
    <w:rsid w:val="001F3EB2"/>
    <w:rsid w:val="001F4178"/>
    <w:rsid w:val="001F5CC6"/>
    <w:rsid w:val="001F69CC"/>
    <w:rsid w:val="001F7F41"/>
    <w:rsid w:val="002018CD"/>
    <w:rsid w:val="00202B94"/>
    <w:rsid w:val="0020334E"/>
    <w:rsid w:val="0020393D"/>
    <w:rsid w:val="0020567B"/>
    <w:rsid w:val="002072B6"/>
    <w:rsid w:val="00207606"/>
    <w:rsid w:val="002126D2"/>
    <w:rsid w:val="0021381F"/>
    <w:rsid w:val="00215672"/>
    <w:rsid w:val="0021642C"/>
    <w:rsid w:val="002167E1"/>
    <w:rsid w:val="00217B4E"/>
    <w:rsid w:val="002216F9"/>
    <w:rsid w:val="00222184"/>
    <w:rsid w:val="0022289B"/>
    <w:rsid w:val="00222988"/>
    <w:rsid w:val="002230C8"/>
    <w:rsid w:val="0022361F"/>
    <w:rsid w:val="00223708"/>
    <w:rsid w:val="00223EB1"/>
    <w:rsid w:val="00224A70"/>
    <w:rsid w:val="00224DE4"/>
    <w:rsid w:val="0022595C"/>
    <w:rsid w:val="00226ADB"/>
    <w:rsid w:val="0023242A"/>
    <w:rsid w:val="002329B8"/>
    <w:rsid w:val="00233402"/>
    <w:rsid w:val="00234D6C"/>
    <w:rsid w:val="00234F0B"/>
    <w:rsid w:val="002360FD"/>
    <w:rsid w:val="00236839"/>
    <w:rsid w:val="00236917"/>
    <w:rsid w:val="00237F8A"/>
    <w:rsid w:val="00240699"/>
    <w:rsid w:val="002414CB"/>
    <w:rsid w:val="002420F2"/>
    <w:rsid w:val="0024379D"/>
    <w:rsid w:val="002439FF"/>
    <w:rsid w:val="00243D6B"/>
    <w:rsid w:val="00244B85"/>
    <w:rsid w:val="00245ACA"/>
    <w:rsid w:val="00245FFC"/>
    <w:rsid w:val="0024702C"/>
    <w:rsid w:val="0025000B"/>
    <w:rsid w:val="0025160B"/>
    <w:rsid w:val="00252341"/>
    <w:rsid w:val="00252372"/>
    <w:rsid w:val="00252746"/>
    <w:rsid w:val="00252C5F"/>
    <w:rsid w:val="00253048"/>
    <w:rsid w:val="0025314C"/>
    <w:rsid w:val="002551DE"/>
    <w:rsid w:val="00255E33"/>
    <w:rsid w:val="00256EC4"/>
    <w:rsid w:val="002573FA"/>
    <w:rsid w:val="00257439"/>
    <w:rsid w:val="00260F82"/>
    <w:rsid w:val="0026149A"/>
    <w:rsid w:val="00261700"/>
    <w:rsid w:val="00262947"/>
    <w:rsid w:val="002653AD"/>
    <w:rsid w:val="0026633B"/>
    <w:rsid w:val="00267B31"/>
    <w:rsid w:val="00270008"/>
    <w:rsid w:val="00272BEE"/>
    <w:rsid w:val="002732A5"/>
    <w:rsid w:val="002754A9"/>
    <w:rsid w:val="002755D0"/>
    <w:rsid w:val="002755E7"/>
    <w:rsid w:val="0027662B"/>
    <w:rsid w:val="00276F92"/>
    <w:rsid w:val="00277CEA"/>
    <w:rsid w:val="00280316"/>
    <w:rsid w:val="0028078E"/>
    <w:rsid w:val="002819F2"/>
    <w:rsid w:val="00281A5A"/>
    <w:rsid w:val="00281EF2"/>
    <w:rsid w:val="00282514"/>
    <w:rsid w:val="00283F93"/>
    <w:rsid w:val="00285153"/>
    <w:rsid w:val="002851E1"/>
    <w:rsid w:val="00285232"/>
    <w:rsid w:val="00287975"/>
    <w:rsid w:val="00290134"/>
    <w:rsid w:val="0029029F"/>
    <w:rsid w:val="00290DAA"/>
    <w:rsid w:val="00291E8D"/>
    <w:rsid w:val="00292335"/>
    <w:rsid w:val="002944A2"/>
    <w:rsid w:val="0029451A"/>
    <w:rsid w:val="00295CC3"/>
    <w:rsid w:val="00297107"/>
    <w:rsid w:val="002A026C"/>
    <w:rsid w:val="002A1094"/>
    <w:rsid w:val="002A20B5"/>
    <w:rsid w:val="002A32DF"/>
    <w:rsid w:val="002A3B64"/>
    <w:rsid w:val="002A41B0"/>
    <w:rsid w:val="002A4536"/>
    <w:rsid w:val="002A61C7"/>
    <w:rsid w:val="002A6551"/>
    <w:rsid w:val="002A755E"/>
    <w:rsid w:val="002B02DC"/>
    <w:rsid w:val="002B060F"/>
    <w:rsid w:val="002B06E6"/>
    <w:rsid w:val="002B20D6"/>
    <w:rsid w:val="002B23CE"/>
    <w:rsid w:val="002B2D78"/>
    <w:rsid w:val="002B34B2"/>
    <w:rsid w:val="002B4571"/>
    <w:rsid w:val="002B5D03"/>
    <w:rsid w:val="002B6012"/>
    <w:rsid w:val="002B6827"/>
    <w:rsid w:val="002B6B48"/>
    <w:rsid w:val="002B6F79"/>
    <w:rsid w:val="002C026C"/>
    <w:rsid w:val="002C0D88"/>
    <w:rsid w:val="002C15D2"/>
    <w:rsid w:val="002C2043"/>
    <w:rsid w:val="002C359D"/>
    <w:rsid w:val="002C3844"/>
    <w:rsid w:val="002C4A16"/>
    <w:rsid w:val="002C5129"/>
    <w:rsid w:val="002C5C8D"/>
    <w:rsid w:val="002C64BC"/>
    <w:rsid w:val="002C6EB9"/>
    <w:rsid w:val="002C71BD"/>
    <w:rsid w:val="002C7575"/>
    <w:rsid w:val="002C77CE"/>
    <w:rsid w:val="002D004F"/>
    <w:rsid w:val="002D0E6E"/>
    <w:rsid w:val="002D271F"/>
    <w:rsid w:val="002D31C0"/>
    <w:rsid w:val="002D41A2"/>
    <w:rsid w:val="002D6386"/>
    <w:rsid w:val="002D69DB"/>
    <w:rsid w:val="002D7A4B"/>
    <w:rsid w:val="002E08C0"/>
    <w:rsid w:val="002E09B1"/>
    <w:rsid w:val="002E0A73"/>
    <w:rsid w:val="002E10D2"/>
    <w:rsid w:val="002E19BA"/>
    <w:rsid w:val="002E3849"/>
    <w:rsid w:val="002E4675"/>
    <w:rsid w:val="002E541F"/>
    <w:rsid w:val="002F3686"/>
    <w:rsid w:val="002F3D0E"/>
    <w:rsid w:val="002F49AC"/>
    <w:rsid w:val="002F58A6"/>
    <w:rsid w:val="002F5EB5"/>
    <w:rsid w:val="002F6171"/>
    <w:rsid w:val="002F6208"/>
    <w:rsid w:val="002F7460"/>
    <w:rsid w:val="002F7C8A"/>
    <w:rsid w:val="00302711"/>
    <w:rsid w:val="0030296C"/>
    <w:rsid w:val="0030365F"/>
    <w:rsid w:val="00303814"/>
    <w:rsid w:val="00305B35"/>
    <w:rsid w:val="00305C64"/>
    <w:rsid w:val="00306769"/>
    <w:rsid w:val="00306E6F"/>
    <w:rsid w:val="00306F3A"/>
    <w:rsid w:val="00310436"/>
    <w:rsid w:val="0031095D"/>
    <w:rsid w:val="00312437"/>
    <w:rsid w:val="00314093"/>
    <w:rsid w:val="003142EB"/>
    <w:rsid w:val="0031483C"/>
    <w:rsid w:val="00316294"/>
    <w:rsid w:val="003166C5"/>
    <w:rsid w:val="00316DE8"/>
    <w:rsid w:val="00316F82"/>
    <w:rsid w:val="0031702A"/>
    <w:rsid w:val="0031712E"/>
    <w:rsid w:val="003217EC"/>
    <w:rsid w:val="00321B05"/>
    <w:rsid w:val="0032303B"/>
    <w:rsid w:val="003233EE"/>
    <w:rsid w:val="00323866"/>
    <w:rsid w:val="003242B9"/>
    <w:rsid w:val="003252E1"/>
    <w:rsid w:val="003258B9"/>
    <w:rsid w:val="00326103"/>
    <w:rsid w:val="003306FD"/>
    <w:rsid w:val="00330CF6"/>
    <w:rsid w:val="0033300E"/>
    <w:rsid w:val="00333B9F"/>
    <w:rsid w:val="00334F39"/>
    <w:rsid w:val="00336C0F"/>
    <w:rsid w:val="0034060F"/>
    <w:rsid w:val="003408DB"/>
    <w:rsid w:val="00340B9F"/>
    <w:rsid w:val="00340C78"/>
    <w:rsid w:val="00341FFC"/>
    <w:rsid w:val="0034281B"/>
    <w:rsid w:val="00345F1A"/>
    <w:rsid w:val="0034649D"/>
    <w:rsid w:val="00347911"/>
    <w:rsid w:val="00347C73"/>
    <w:rsid w:val="00347CF9"/>
    <w:rsid w:val="00347E78"/>
    <w:rsid w:val="00350EF8"/>
    <w:rsid w:val="0035139C"/>
    <w:rsid w:val="00351DE0"/>
    <w:rsid w:val="00351EBB"/>
    <w:rsid w:val="00355BAC"/>
    <w:rsid w:val="00355BDF"/>
    <w:rsid w:val="0035694D"/>
    <w:rsid w:val="0035706A"/>
    <w:rsid w:val="00357106"/>
    <w:rsid w:val="00360824"/>
    <w:rsid w:val="003621ED"/>
    <w:rsid w:val="00362205"/>
    <w:rsid w:val="003629A7"/>
    <w:rsid w:val="0036333F"/>
    <w:rsid w:val="0036395B"/>
    <w:rsid w:val="00363F18"/>
    <w:rsid w:val="0036588F"/>
    <w:rsid w:val="00365B2B"/>
    <w:rsid w:val="00365C4B"/>
    <w:rsid w:val="00366589"/>
    <w:rsid w:val="003668D1"/>
    <w:rsid w:val="00367C17"/>
    <w:rsid w:val="0037018B"/>
    <w:rsid w:val="00371233"/>
    <w:rsid w:val="003734A7"/>
    <w:rsid w:val="00375203"/>
    <w:rsid w:val="003759CF"/>
    <w:rsid w:val="00380819"/>
    <w:rsid w:val="00380B1C"/>
    <w:rsid w:val="00381D91"/>
    <w:rsid w:val="00382121"/>
    <w:rsid w:val="0038255F"/>
    <w:rsid w:val="00382EE3"/>
    <w:rsid w:val="003833BE"/>
    <w:rsid w:val="0038416D"/>
    <w:rsid w:val="00385614"/>
    <w:rsid w:val="003857D2"/>
    <w:rsid w:val="00386308"/>
    <w:rsid w:val="0038776C"/>
    <w:rsid w:val="00387B1D"/>
    <w:rsid w:val="003908DD"/>
    <w:rsid w:val="00391F89"/>
    <w:rsid w:val="003924DE"/>
    <w:rsid w:val="003929FE"/>
    <w:rsid w:val="003932AE"/>
    <w:rsid w:val="003953F7"/>
    <w:rsid w:val="00395992"/>
    <w:rsid w:val="00395BF8"/>
    <w:rsid w:val="00395D5E"/>
    <w:rsid w:val="0039668F"/>
    <w:rsid w:val="003A08D3"/>
    <w:rsid w:val="003A093B"/>
    <w:rsid w:val="003A2F0C"/>
    <w:rsid w:val="003A4D9C"/>
    <w:rsid w:val="003A555F"/>
    <w:rsid w:val="003A58A1"/>
    <w:rsid w:val="003A5B1A"/>
    <w:rsid w:val="003A7D5C"/>
    <w:rsid w:val="003B0024"/>
    <w:rsid w:val="003B003E"/>
    <w:rsid w:val="003B2848"/>
    <w:rsid w:val="003B2F6A"/>
    <w:rsid w:val="003B5F84"/>
    <w:rsid w:val="003B5F92"/>
    <w:rsid w:val="003B6D52"/>
    <w:rsid w:val="003C025A"/>
    <w:rsid w:val="003C1A7D"/>
    <w:rsid w:val="003C1E7B"/>
    <w:rsid w:val="003C2C9A"/>
    <w:rsid w:val="003C511E"/>
    <w:rsid w:val="003C5D45"/>
    <w:rsid w:val="003C601F"/>
    <w:rsid w:val="003C60A8"/>
    <w:rsid w:val="003C63E1"/>
    <w:rsid w:val="003C6836"/>
    <w:rsid w:val="003C78CC"/>
    <w:rsid w:val="003C7AF4"/>
    <w:rsid w:val="003D263F"/>
    <w:rsid w:val="003D2683"/>
    <w:rsid w:val="003D38CF"/>
    <w:rsid w:val="003D67FC"/>
    <w:rsid w:val="003E0225"/>
    <w:rsid w:val="003E0BA8"/>
    <w:rsid w:val="003E0E9B"/>
    <w:rsid w:val="003E1DE8"/>
    <w:rsid w:val="003E30E3"/>
    <w:rsid w:val="003E46EA"/>
    <w:rsid w:val="003E4A14"/>
    <w:rsid w:val="003E4FA6"/>
    <w:rsid w:val="003E6400"/>
    <w:rsid w:val="003E7B24"/>
    <w:rsid w:val="003F0E72"/>
    <w:rsid w:val="003F0F44"/>
    <w:rsid w:val="003F3631"/>
    <w:rsid w:val="003F6AA6"/>
    <w:rsid w:val="003F7122"/>
    <w:rsid w:val="003F74B3"/>
    <w:rsid w:val="003F7D9B"/>
    <w:rsid w:val="004018BC"/>
    <w:rsid w:val="00403736"/>
    <w:rsid w:val="00403BFC"/>
    <w:rsid w:val="00404594"/>
    <w:rsid w:val="00404AB4"/>
    <w:rsid w:val="00406E5A"/>
    <w:rsid w:val="00407CAA"/>
    <w:rsid w:val="0041071D"/>
    <w:rsid w:val="004113C0"/>
    <w:rsid w:val="0041378D"/>
    <w:rsid w:val="00414457"/>
    <w:rsid w:val="00414517"/>
    <w:rsid w:val="004150A8"/>
    <w:rsid w:val="004158F3"/>
    <w:rsid w:val="004219A0"/>
    <w:rsid w:val="00422886"/>
    <w:rsid w:val="00422B32"/>
    <w:rsid w:val="00422B9A"/>
    <w:rsid w:val="00422BAA"/>
    <w:rsid w:val="00422FC6"/>
    <w:rsid w:val="00423440"/>
    <w:rsid w:val="00423764"/>
    <w:rsid w:val="00424640"/>
    <w:rsid w:val="00424F57"/>
    <w:rsid w:val="004250B1"/>
    <w:rsid w:val="0042536C"/>
    <w:rsid w:val="00425E58"/>
    <w:rsid w:val="00426D19"/>
    <w:rsid w:val="00427312"/>
    <w:rsid w:val="004279DE"/>
    <w:rsid w:val="00427CAE"/>
    <w:rsid w:val="00430379"/>
    <w:rsid w:val="004324AA"/>
    <w:rsid w:val="00432CAF"/>
    <w:rsid w:val="00433F66"/>
    <w:rsid w:val="00435B7B"/>
    <w:rsid w:val="00435DE3"/>
    <w:rsid w:val="00436361"/>
    <w:rsid w:val="0044040E"/>
    <w:rsid w:val="00441213"/>
    <w:rsid w:val="00441263"/>
    <w:rsid w:val="00442A96"/>
    <w:rsid w:val="00442D84"/>
    <w:rsid w:val="0044404B"/>
    <w:rsid w:val="0044404C"/>
    <w:rsid w:val="00444393"/>
    <w:rsid w:val="00444574"/>
    <w:rsid w:val="0044493B"/>
    <w:rsid w:val="00445009"/>
    <w:rsid w:val="0044507A"/>
    <w:rsid w:val="0044545D"/>
    <w:rsid w:val="0044696E"/>
    <w:rsid w:val="00446A21"/>
    <w:rsid w:val="00447BCE"/>
    <w:rsid w:val="00447EC4"/>
    <w:rsid w:val="0045248A"/>
    <w:rsid w:val="00453048"/>
    <w:rsid w:val="00454688"/>
    <w:rsid w:val="00455260"/>
    <w:rsid w:val="00455A0A"/>
    <w:rsid w:val="00455B34"/>
    <w:rsid w:val="00456378"/>
    <w:rsid w:val="0046050C"/>
    <w:rsid w:val="00460656"/>
    <w:rsid w:val="004624BA"/>
    <w:rsid w:val="00462FCB"/>
    <w:rsid w:val="0046386E"/>
    <w:rsid w:val="00463FD9"/>
    <w:rsid w:val="00465072"/>
    <w:rsid w:val="00465E5E"/>
    <w:rsid w:val="00470177"/>
    <w:rsid w:val="00470FF9"/>
    <w:rsid w:val="004716FF"/>
    <w:rsid w:val="00471D09"/>
    <w:rsid w:val="00472EDD"/>
    <w:rsid w:val="00473E45"/>
    <w:rsid w:val="004747BE"/>
    <w:rsid w:val="00474A6B"/>
    <w:rsid w:val="00474D25"/>
    <w:rsid w:val="004752E8"/>
    <w:rsid w:val="004804E4"/>
    <w:rsid w:val="00480AB4"/>
    <w:rsid w:val="00481C4B"/>
    <w:rsid w:val="004841C2"/>
    <w:rsid w:val="00484642"/>
    <w:rsid w:val="00484A02"/>
    <w:rsid w:val="00484B60"/>
    <w:rsid w:val="00484C35"/>
    <w:rsid w:val="00485069"/>
    <w:rsid w:val="00485604"/>
    <w:rsid w:val="0048762C"/>
    <w:rsid w:val="0049054D"/>
    <w:rsid w:val="0049115E"/>
    <w:rsid w:val="0049137C"/>
    <w:rsid w:val="00493C32"/>
    <w:rsid w:val="00494E33"/>
    <w:rsid w:val="00495D61"/>
    <w:rsid w:val="00496332"/>
    <w:rsid w:val="004965E6"/>
    <w:rsid w:val="004970A5"/>
    <w:rsid w:val="00497AA8"/>
    <w:rsid w:val="004A0F97"/>
    <w:rsid w:val="004A1073"/>
    <w:rsid w:val="004A3326"/>
    <w:rsid w:val="004A422E"/>
    <w:rsid w:val="004A4D83"/>
    <w:rsid w:val="004A589B"/>
    <w:rsid w:val="004A593D"/>
    <w:rsid w:val="004A5ABC"/>
    <w:rsid w:val="004A5F46"/>
    <w:rsid w:val="004B0302"/>
    <w:rsid w:val="004B1379"/>
    <w:rsid w:val="004B1622"/>
    <w:rsid w:val="004B19E9"/>
    <w:rsid w:val="004B1EC6"/>
    <w:rsid w:val="004B256F"/>
    <w:rsid w:val="004B3F6A"/>
    <w:rsid w:val="004B4D47"/>
    <w:rsid w:val="004B55E4"/>
    <w:rsid w:val="004B5F54"/>
    <w:rsid w:val="004B7E6F"/>
    <w:rsid w:val="004C177C"/>
    <w:rsid w:val="004C17DA"/>
    <w:rsid w:val="004C255D"/>
    <w:rsid w:val="004C2F63"/>
    <w:rsid w:val="004C37A7"/>
    <w:rsid w:val="004C4A39"/>
    <w:rsid w:val="004C5557"/>
    <w:rsid w:val="004D2434"/>
    <w:rsid w:val="004D288B"/>
    <w:rsid w:val="004D2C4D"/>
    <w:rsid w:val="004D3111"/>
    <w:rsid w:val="004D46EC"/>
    <w:rsid w:val="004D4EEA"/>
    <w:rsid w:val="004D4F91"/>
    <w:rsid w:val="004D52E7"/>
    <w:rsid w:val="004D636E"/>
    <w:rsid w:val="004D6D8B"/>
    <w:rsid w:val="004D7229"/>
    <w:rsid w:val="004E11F1"/>
    <w:rsid w:val="004E189F"/>
    <w:rsid w:val="004E1AF8"/>
    <w:rsid w:val="004E1DEF"/>
    <w:rsid w:val="004E2700"/>
    <w:rsid w:val="004E2D19"/>
    <w:rsid w:val="004E2E08"/>
    <w:rsid w:val="004E3A84"/>
    <w:rsid w:val="004E40DA"/>
    <w:rsid w:val="004E48B7"/>
    <w:rsid w:val="004E5540"/>
    <w:rsid w:val="004E5641"/>
    <w:rsid w:val="004F0441"/>
    <w:rsid w:val="004F086A"/>
    <w:rsid w:val="004F1F13"/>
    <w:rsid w:val="004F292F"/>
    <w:rsid w:val="004F2EF3"/>
    <w:rsid w:val="004F35EA"/>
    <w:rsid w:val="004F3A0C"/>
    <w:rsid w:val="004F3F98"/>
    <w:rsid w:val="004F4A81"/>
    <w:rsid w:val="004F527E"/>
    <w:rsid w:val="004F546D"/>
    <w:rsid w:val="004F6355"/>
    <w:rsid w:val="004F677E"/>
    <w:rsid w:val="004F68D9"/>
    <w:rsid w:val="0050153D"/>
    <w:rsid w:val="00501E6F"/>
    <w:rsid w:val="005023CC"/>
    <w:rsid w:val="0050260B"/>
    <w:rsid w:val="00503A02"/>
    <w:rsid w:val="00504419"/>
    <w:rsid w:val="00505271"/>
    <w:rsid w:val="00505B69"/>
    <w:rsid w:val="005062E9"/>
    <w:rsid w:val="005113B6"/>
    <w:rsid w:val="0051195F"/>
    <w:rsid w:val="00511DAD"/>
    <w:rsid w:val="005129E7"/>
    <w:rsid w:val="00512C31"/>
    <w:rsid w:val="00513AE6"/>
    <w:rsid w:val="005144A9"/>
    <w:rsid w:val="00514BEB"/>
    <w:rsid w:val="005169F1"/>
    <w:rsid w:val="00517EDA"/>
    <w:rsid w:val="005205F9"/>
    <w:rsid w:val="00522762"/>
    <w:rsid w:val="00522926"/>
    <w:rsid w:val="00522F66"/>
    <w:rsid w:val="0052378D"/>
    <w:rsid w:val="00523959"/>
    <w:rsid w:val="00523B5F"/>
    <w:rsid w:val="00525AEF"/>
    <w:rsid w:val="0052695D"/>
    <w:rsid w:val="00530311"/>
    <w:rsid w:val="00530333"/>
    <w:rsid w:val="0053039F"/>
    <w:rsid w:val="005308A9"/>
    <w:rsid w:val="00531817"/>
    <w:rsid w:val="005322FC"/>
    <w:rsid w:val="00532CE5"/>
    <w:rsid w:val="00532D51"/>
    <w:rsid w:val="00533366"/>
    <w:rsid w:val="00533506"/>
    <w:rsid w:val="0053453B"/>
    <w:rsid w:val="00535BF0"/>
    <w:rsid w:val="0054189F"/>
    <w:rsid w:val="00542259"/>
    <w:rsid w:val="0054281F"/>
    <w:rsid w:val="00545067"/>
    <w:rsid w:val="00545327"/>
    <w:rsid w:val="005464B9"/>
    <w:rsid w:val="00546DE2"/>
    <w:rsid w:val="00547618"/>
    <w:rsid w:val="00547B58"/>
    <w:rsid w:val="00547D5B"/>
    <w:rsid w:val="005502E4"/>
    <w:rsid w:val="00550446"/>
    <w:rsid w:val="0055113A"/>
    <w:rsid w:val="00551445"/>
    <w:rsid w:val="00552278"/>
    <w:rsid w:val="0055277F"/>
    <w:rsid w:val="005527E8"/>
    <w:rsid w:val="005554B0"/>
    <w:rsid w:val="005561F6"/>
    <w:rsid w:val="005573D3"/>
    <w:rsid w:val="00557735"/>
    <w:rsid w:val="005604A8"/>
    <w:rsid w:val="00560575"/>
    <w:rsid w:val="00560CA0"/>
    <w:rsid w:val="00560E9F"/>
    <w:rsid w:val="005620B3"/>
    <w:rsid w:val="005624F3"/>
    <w:rsid w:val="00565D06"/>
    <w:rsid w:val="00566690"/>
    <w:rsid w:val="00567D57"/>
    <w:rsid w:val="00567DDD"/>
    <w:rsid w:val="00570136"/>
    <w:rsid w:val="0057022A"/>
    <w:rsid w:val="00572B31"/>
    <w:rsid w:val="00572B92"/>
    <w:rsid w:val="00573056"/>
    <w:rsid w:val="00575A80"/>
    <w:rsid w:val="00576608"/>
    <w:rsid w:val="005811EF"/>
    <w:rsid w:val="00581238"/>
    <w:rsid w:val="00582E79"/>
    <w:rsid w:val="00583874"/>
    <w:rsid w:val="005839FE"/>
    <w:rsid w:val="00583BCF"/>
    <w:rsid w:val="00583D2F"/>
    <w:rsid w:val="005845DF"/>
    <w:rsid w:val="00584D66"/>
    <w:rsid w:val="00590536"/>
    <w:rsid w:val="00590A98"/>
    <w:rsid w:val="0059109C"/>
    <w:rsid w:val="005927CA"/>
    <w:rsid w:val="005931F3"/>
    <w:rsid w:val="00593984"/>
    <w:rsid w:val="00593B49"/>
    <w:rsid w:val="00593D4E"/>
    <w:rsid w:val="0059437F"/>
    <w:rsid w:val="00597A47"/>
    <w:rsid w:val="005A00AB"/>
    <w:rsid w:val="005A185A"/>
    <w:rsid w:val="005A1D9E"/>
    <w:rsid w:val="005A2100"/>
    <w:rsid w:val="005A244B"/>
    <w:rsid w:val="005A3ECD"/>
    <w:rsid w:val="005A443F"/>
    <w:rsid w:val="005A45F9"/>
    <w:rsid w:val="005A4B9D"/>
    <w:rsid w:val="005A66A3"/>
    <w:rsid w:val="005B0830"/>
    <w:rsid w:val="005B0878"/>
    <w:rsid w:val="005B088B"/>
    <w:rsid w:val="005B0E3E"/>
    <w:rsid w:val="005B1430"/>
    <w:rsid w:val="005B1813"/>
    <w:rsid w:val="005B19AB"/>
    <w:rsid w:val="005B220A"/>
    <w:rsid w:val="005B302F"/>
    <w:rsid w:val="005B30C0"/>
    <w:rsid w:val="005B539E"/>
    <w:rsid w:val="005B59DF"/>
    <w:rsid w:val="005B74FF"/>
    <w:rsid w:val="005C15C0"/>
    <w:rsid w:val="005C28E8"/>
    <w:rsid w:val="005C2B1F"/>
    <w:rsid w:val="005C41E7"/>
    <w:rsid w:val="005C4271"/>
    <w:rsid w:val="005C5A62"/>
    <w:rsid w:val="005C5C39"/>
    <w:rsid w:val="005C6A6B"/>
    <w:rsid w:val="005C76E1"/>
    <w:rsid w:val="005C7F03"/>
    <w:rsid w:val="005D0C91"/>
    <w:rsid w:val="005D2668"/>
    <w:rsid w:val="005D43EF"/>
    <w:rsid w:val="005D5993"/>
    <w:rsid w:val="005D5E42"/>
    <w:rsid w:val="005D6F7B"/>
    <w:rsid w:val="005E0781"/>
    <w:rsid w:val="005E1673"/>
    <w:rsid w:val="005E17A4"/>
    <w:rsid w:val="005E203A"/>
    <w:rsid w:val="005E2330"/>
    <w:rsid w:val="005E37BB"/>
    <w:rsid w:val="005E37CA"/>
    <w:rsid w:val="005E3983"/>
    <w:rsid w:val="005E43C5"/>
    <w:rsid w:val="005E4609"/>
    <w:rsid w:val="005E4998"/>
    <w:rsid w:val="005E4DD4"/>
    <w:rsid w:val="005E625C"/>
    <w:rsid w:val="005E660F"/>
    <w:rsid w:val="005E6DDE"/>
    <w:rsid w:val="005F010B"/>
    <w:rsid w:val="005F2253"/>
    <w:rsid w:val="005F49E6"/>
    <w:rsid w:val="005F4DFB"/>
    <w:rsid w:val="005F5628"/>
    <w:rsid w:val="005F6FDC"/>
    <w:rsid w:val="00600826"/>
    <w:rsid w:val="00601484"/>
    <w:rsid w:val="00603F69"/>
    <w:rsid w:val="00604B29"/>
    <w:rsid w:val="006053D7"/>
    <w:rsid w:val="00605FF0"/>
    <w:rsid w:val="00606176"/>
    <w:rsid w:val="00606CFB"/>
    <w:rsid w:val="00606F9F"/>
    <w:rsid w:val="00607118"/>
    <w:rsid w:val="00607189"/>
    <w:rsid w:val="0060754A"/>
    <w:rsid w:val="006100AD"/>
    <w:rsid w:val="00610348"/>
    <w:rsid w:val="00610654"/>
    <w:rsid w:val="00610FC1"/>
    <w:rsid w:val="00611A8A"/>
    <w:rsid w:val="00611D93"/>
    <w:rsid w:val="00613B1C"/>
    <w:rsid w:val="006144AC"/>
    <w:rsid w:val="00614A50"/>
    <w:rsid w:val="00615A17"/>
    <w:rsid w:val="00615C1C"/>
    <w:rsid w:val="00615CE7"/>
    <w:rsid w:val="006172EB"/>
    <w:rsid w:val="00617346"/>
    <w:rsid w:val="00617597"/>
    <w:rsid w:val="0062030F"/>
    <w:rsid w:val="00622ED6"/>
    <w:rsid w:val="0062490E"/>
    <w:rsid w:val="00627370"/>
    <w:rsid w:val="00627F88"/>
    <w:rsid w:val="00630690"/>
    <w:rsid w:val="00630877"/>
    <w:rsid w:val="006318B9"/>
    <w:rsid w:val="00632C4D"/>
    <w:rsid w:val="006333B4"/>
    <w:rsid w:val="006334B7"/>
    <w:rsid w:val="006346CD"/>
    <w:rsid w:val="00634D68"/>
    <w:rsid w:val="006352BB"/>
    <w:rsid w:val="006361C1"/>
    <w:rsid w:val="00637085"/>
    <w:rsid w:val="0063756D"/>
    <w:rsid w:val="00637D48"/>
    <w:rsid w:val="00637ECA"/>
    <w:rsid w:val="00640046"/>
    <w:rsid w:val="006411D3"/>
    <w:rsid w:val="00641962"/>
    <w:rsid w:val="0064221B"/>
    <w:rsid w:val="006429AE"/>
    <w:rsid w:val="006441CF"/>
    <w:rsid w:val="006446CA"/>
    <w:rsid w:val="00644CB7"/>
    <w:rsid w:val="00646F06"/>
    <w:rsid w:val="0064764B"/>
    <w:rsid w:val="00647EE3"/>
    <w:rsid w:val="00650A42"/>
    <w:rsid w:val="0065105E"/>
    <w:rsid w:val="00651D16"/>
    <w:rsid w:val="00652203"/>
    <w:rsid w:val="006539BA"/>
    <w:rsid w:val="00653C2F"/>
    <w:rsid w:val="006540A2"/>
    <w:rsid w:val="00656199"/>
    <w:rsid w:val="0065625F"/>
    <w:rsid w:val="00656CCA"/>
    <w:rsid w:val="00656EF3"/>
    <w:rsid w:val="006602AA"/>
    <w:rsid w:val="0066064A"/>
    <w:rsid w:val="00661003"/>
    <w:rsid w:val="00661498"/>
    <w:rsid w:val="00662E17"/>
    <w:rsid w:val="00663CEA"/>
    <w:rsid w:val="00666117"/>
    <w:rsid w:val="0066640F"/>
    <w:rsid w:val="00667B21"/>
    <w:rsid w:val="0067026C"/>
    <w:rsid w:val="0067092A"/>
    <w:rsid w:val="00670CC9"/>
    <w:rsid w:val="00670D74"/>
    <w:rsid w:val="006711E0"/>
    <w:rsid w:val="00672ADD"/>
    <w:rsid w:val="006763F4"/>
    <w:rsid w:val="006775E2"/>
    <w:rsid w:val="006800C9"/>
    <w:rsid w:val="00681794"/>
    <w:rsid w:val="00681DB5"/>
    <w:rsid w:val="00683FDE"/>
    <w:rsid w:val="00685057"/>
    <w:rsid w:val="0068515B"/>
    <w:rsid w:val="00691A51"/>
    <w:rsid w:val="006923EC"/>
    <w:rsid w:val="006924CF"/>
    <w:rsid w:val="00692776"/>
    <w:rsid w:val="00695EF1"/>
    <w:rsid w:val="00697ECB"/>
    <w:rsid w:val="006A157E"/>
    <w:rsid w:val="006A1603"/>
    <w:rsid w:val="006A16B5"/>
    <w:rsid w:val="006A1E4F"/>
    <w:rsid w:val="006A1F38"/>
    <w:rsid w:val="006A2090"/>
    <w:rsid w:val="006A4066"/>
    <w:rsid w:val="006A4F55"/>
    <w:rsid w:val="006A6427"/>
    <w:rsid w:val="006A7423"/>
    <w:rsid w:val="006A7FCC"/>
    <w:rsid w:val="006B0016"/>
    <w:rsid w:val="006B070A"/>
    <w:rsid w:val="006B0942"/>
    <w:rsid w:val="006B1344"/>
    <w:rsid w:val="006B21E2"/>
    <w:rsid w:val="006B2BCE"/>
    <w:rsid w:val="006B596D"/>
    <w:rsid w:val="006B5A52"/>
    <w:rsid w:val="006B67AD"/>
    <w:rsid w:val="006B7675"/>
    <w:rsid w:val="006B7ABB"/>
    <w:rsid w:val="006C0BC1"/>
    <w:rsid w:val="006C0C4F"/>
    <w:rsid w:val="006C3BD9"/>
    <w:rsid w:val="006C5329"/>
    <w:rsid w:val="006C645B"/>
    <w:rsid w:val="006C71B0"/>
    <w:rsid w:val="006C7D5E"/>
    <w:rsid w:val="006D25C9"/>
    <w:rsid w:val="006D3397"/>
    <w:rsid w:val="006D5B7F"/>
    <w:rsid w:val="006E0AC3"/>
    <w:rsid w:val="006E13FA"/>
    <w:rsid w:val="006E1703"/>
    <w:rsid w:val="006E1EBF"/>
    <w:rsid w:val="006E2D49"/>
    <w:rsid w:val="006E2E63"/>
    <w:rsid w:val="006E3029"/>
    <w:rsid w:val="006E361A"/>
    <w:rsid w:val="006E463E"/>
    <w:rsid w:val="006E7526"/>
    <w:rsid w:val="006E7F5B"/>
    <w:rsid w:val="006F01B1"/>
    <w:rsid w:val="006F1933"/>
    <w:rsid w:val="006F19E9"/>
    <w:rsid w:val="006F23CA"/>
    <w:rsid w:val="006F4C54"/>
    <w:rsid w:val="006F5B9D"/>
    <w:rsid w:val="006F6A62"/>
    <w:rsid w:val="006F6E72"/>
    <w:rsid w:val="006F72E4"/>
    <w:rsid w:val="006F77AB"/>
    <w:rsid w:val="007017B1"/>
    <w:rsid w:val="00702132"/>
    <w:rsid w:val="00706850"/>
    <w:rsid w:val="00707856"/>
    <w:rsid w:val="00707DB0"/>
    <w:rsid w:val="0071025B"/>
    <w:rsid w:val="00710974"/>
    <w:rsid w:val="007109C5"/>
    <w:rsid w:val="00712DDA"/>
    <w:rsid w:val="007133A9"/>
    <w:rsid w:val="00713A7A"/>
    <w:rsid w:val="00713C94"/>
    <w:rsid w:val="00714042"/>
    <w:rsid w:val="007153E7"/>
    <w:rsid w:val="007155C0"/>
    <w:rsid w:val="007157DE"/>
    <w:rsid w:val="00715CA2"/>
    <w:rsid w:val="00715D37"/>
    <w:rsid w:val="0071678B"/>
    <w:rsid w:val="007168D3"/>
    <w:rsid w:val="007173EE"/>
    <w:rsid w:val="00717475"/>
    <w:rsid w:val="00717953"/>
    <w:rsid w:val="007202D2"/>
    <w:rsid w:val="007206BD"/>
    <w:rsid w:val="00720826"/>
    <w:rsid w:val="007209FC"/>
    <w:rsid w:val="00720B41"/>
    <w:rsid w:val="00721149"/>
    <w:rsid w:val="007214E6"/>
    <w:rsid w:val="00721BE3"/>
    <w:rsid w:val="00722C96"/>
    <w:rsid w:val="00723003"/>
    <w:rsid w:val="0072421D"/>
    <w:rsid w:val="00724B39"/>
    <w:rsid w:val="00725620"/>
    <w:rsid w:val="00725C1A"/>
    <w:rsid w:val="007264FD"/>
    <w:rsid w:val="007270C3"/>
    <w:rsid w:val="00727571"/>
    <w:rsid w:val="00727EE3"/>
    <w:rsid w:val="00731A7E"/>
    <w:rsid w:val="00731DD0"/>
    <w:rsid w:val="00731ECD"/>
    <w:rsid w:val="007330EE"/>
    <w:rsid w:val="00734BBF"/>
    <w:rsid w:val="0073757A"/>
    <w:rsid w:val="00737942"/>
    <w:rsid w:val="00737DC3"/>
    <w:rsid w:val="007419DC"/>
    <w:rsid w:val="007425D3"/>
    <w:rsid w:val="007468FC"/>
    <w:rsid w:val="00747BA5"/>
    <w:rsid w:val="00747C70"/>
    <w:rsid w:val="0075001E"/>
    <w:rsid w:val="0075016E"/>
    <w:rsid w:val="00750446"/>
    <w:rsid w:val="00751F6C"/>
    <w:rsid w:val="00752754"/>
    <w:rsid w:val="0075322E"/>
    <w:rsid w:val="007532C7"/>
    <w:rsid w:val="00753B88"/>
    <w:rsid w:val="007552BD"/>
    <w:rsid w:val="00755B82"/>
    <w:rsid w:val="0075638B"/>
    <w:rsid w:val="00756759"/>
    <w:rsid w:val="00761DF1"/>
    <w:rsid w:val="00761E22"/>
    <w:rsid w:val="007625A8"/>
    <w:rsid w:val="007629C2"/>
    <w:rsid w:val="00764698"/>
    <w:rsid w:val="007660CF"/>
    <w:rsid w:val="00766534"/>
    <w:rsid w:val="00771124"/>
    <w:rsid w:val="007722E2"/>
    <w:rsid w:val="007733F7"/>
    <w:rsid w:val="007742EB"/>
    <w:rsid w:val="0077460F"/>
    <w:rsid w:val="0077489F"/>
    <w:rsid w:val="00775485"/>
    <w:rsid w:val="00777C96"/>
    <w:rsid w:val="00777E32"/>
    <w:rsid w:val="0078101F"/>
    <w:rsid w:val="00781916"/>
    <w:rsid w:val="00781ABE"/>
    <w:rsid w:val="00783041"/>
    <w:rsid w:val="00783C06"/>
    <w:rsid w:val="00783C69"/>
    <w:rsid w:val="00786B36"/>
    <w:rsid w:val="00787484"/>
    <w:rsid w:val="00790F45"/>
    <w:rsid w:val="0079109F"/>
    <w:rsid w:val="00791102"/>
    <w:rsid w:val="00791CFF"/>
    <w:rsid w:val="00792672"/>
    <w:rsid w:val="00792CA3"/>
    <w:rsid w:val="00792E51"/>
    <w:rsid w:val="00794635"/>
    <w:rsid w:val="00794F39"/>
    <w:rsid w:val="007A02C0"/>
    <w:rsid w:val="007A0F03"/>
    <w:rsid w:val="007A1200"/>
    <w:rsid w:val="007A4192"/>
    <w:rsid w:val="007A51F7"/>
    <w:rsid w:val="007A53DD"/>
    <w:rsid w:val="007A5DA3"/>
    <w:rsid w:val="007A6672"/>
    <w:rsid w:val="007B00C3"/>
    <w:rsid w:val="007B02CF"/>
    <w:rsid w:val="007B040E"/>
    <w:rsid w:val="007B13DF"/>
    <w:rsid w:val="007B17BD"/>
    <w:rsid w:val="007B2FDD"/>
    <w:rsid w:val="007B3443"/>
    <w:rsid w:val="007B4D47"/>
    <w:rsid w:val="007B5864"/>
    <w:rsid w:val="007B5995"/>
    <w:rsid w:val="007B5C09"/>
    <w:rsid w:val="007B5CE8"/>
    <w:rsid w:val="007B6CBB"/>
    <w:rsid w:val="007B6E8C"/>
    <w:rsid w:val="007B703D"/>
    <w:rsid w:val="007B7623"/>
    <w:rsid w:val="007C0F35"/>
    <w:rsid w:val="007C1013"/>
    <w:rsid w:val="007C1CEF"/>
    <w:rsid w:val="007C2879"/>
    <w:rsid w:val="007C5EB1"/>
    <w:rsid w:val="007C7258"/>
    <w:rsid w:val="007C748A"/>
    <w:rsid w:val="007C75EA"/>
    <w:rsid w:val="007C7B88"/>
    <w:rsid w:val="007D19C6"/>
    <w:rsid w:val="007D19E4"/>
    <w:rsid w:val="007D27D1"/>
    <w:rsid w:val="007D2EB8"/>
    <w:rsid w:val="007D5667"/>
    <w:rsid w:val="007D58FB"/>
    <w:rsid w:val="007E00C2"/>
    <w:rsid w:val="007E1443"/>
    <w:rsid w:val="007E5FFA"/>
    <w:rsid w:val="007E6EC5"/>
    <w:rsid w:val="007E7831"/>
    <w:rsid w:val="007E7E78"/>
    <w:rsid w:val="007F33AB"/>
    <w:rsid w:val="007F44DF"/>
    <w:rsid w:val="007F5503"/>
    <w:rsid w:val="007F5CBF"/>
    <w:rsid w:val="007F69CE"/>
    <w:rsid w:val="007F7057"/>
    <w:rsid w:val="007F72BD"/>
    <w:rsid w:val="007F7429"/>
    <w:rsid w:val="00801315"/>
    <w:rsid w:val="008034C4"/>
    <w:rsid w:val="00803954"/>
    <w:rsid w:val="0080649D"/>
    <w:rsid w:val="008069B0"/>
    <w:rsid w:val="00806BC5"/>
    <w:rsid w:val="00810D6F"/>
    <w:rsid w:val="00811627"/>
    <w:rsid w:val="0081221B"/>
    <w:rsid w:val="00812C6E"/>
    <w:rsid w:val="00812C86"/>
    <w:rsid w:val="00812D58"/>
    <w:rsid w:val="008130EB"/>
    <w:rsid w:val="00815D36"/>
    <w:rsid w:val="0081777B"/>
    <w:rsid w:val="00817F73"/>
    <w:rsid w:val="00820DA5"/>
    <w:rsid w:val="00821618"/>
    <w:rsid w:val="00822850"/>
    <w:rsid w:val="00823126"/>
    <w:rsid w:val="00824DA4"/>
    <w:rsid w:val="008254CD"/>
    <w:rsid w:val="00825E1E"/>
    <w:rsid w:val="00826FD4"/>
    <w:rsid w:val="008279C8"/>
    <w:rsid w:val="00827DCB"/>
    <w:rsid w:val="008302BD"/>
    <w:rsid w:val="00830C00"/>
    <w:rsid w:val="00831176"/>
    <w:rsid w:val="00831DF3"/>
    <w:rsid w:val="00833083"/>
    <w:rsid w:val="0083345E"/>
    <w:rsid w:val="0083468A"/>
    <w:rsid w:val="0083524C"/>
    <w:rsid w:val="008362E1"/>
    <w:rsid w:val="0083699A"/>
    <w:rsid w:val="00836D9B"/>
    <w:rsid w:val="008374A2"/>
    <w:rsid w:val="008417AE"/>
    <w:rsid w:val="0084240A"/>
    <w:rsid w:val="00842D43"/>
    <w:rsid w:val="00843021"/>
    <w:rsid w:val="00843180"/>
    <w:rsid w:val="00844C45"/>
    <w:rsid w:val="0084728B"/>
    <w:rsid w:val="0084750B"/>
    <w:rsid w:val="00850B82"/>
    <w:rsid w:val="00851613"/>
    <w:rsid w:val="00851E2B"/>
    <w:rsid w:val="00854427"/>
    <w:rsid w:val="008567ED"/>
    <w:rsid w:val="00856D1C"/>
    <w:rsid w:val="00856FCA"/>
    <w:rsid w:val="0085701D"/>
    <w:rsid w:val="008576AF"/>
    <w:rsid w:val="00857754"/>
    <w:rsid w:val="008577E3"/>
    <w:rsid w:val="00857DD8"/>
    <w:rsid w:val="0086066C"/>
    <w:rsid w:val="0086103F"/>
    <w:rsid w:val="00862095"/>
    <w:rsid w:val="00863410"/>
    <w:rsid w:val="00863BEE"/>
    <w:rsid w:val="008643E5"/>
    <w:rsid w:val="00864E69"/>
    <w:rsid w:val="00867E1B"/>
    <w:rsid w:val="008706AC"/>
    <w:rsid w:val="00871210"/>
    <w:rsid w:val="00872006"/>
    <w:rsid w:val="0087464A"/>
    <w:rsid w:val="00874BB8"/>
    <w:rsid w:val="00874D18"/>
    <w:rsid w:val="0087545A"/>
    <w:rsid w:val="00875869"/>
    <w:rsid w:val="008768DA"/>
    <w:rsid w:val="00876AC0"/>
    <w:rsid w:val="0088012A"/>
    <w:rsid w:val="00880750"/>
    <w:rsid w:val="00881FB7"/>
    <w:rsid w:val="008868A8"/>
    <w:rsid w:val="008876BA"/>
    <w:rsid w:val="00890605"/>
    <w:rsid w:val="0089104B"/>
    <w:rsid w:val="00891A8E"/>
    <w:rsid w:val="008935E3"/>
    <w:rsid w:val="00893661"/>
    <w:rsid w:val="008A0F65"/>
    <w:rsid w:val="008A3697"/>
    <w:rsid w:val="008A3B2B"/>
    <w:rsid w:val="008A50D6"/>
    <w:rsid w:val="008A58E7"/>
    <w:rsid w:val="008A63C2"/>
    <w:rsid w:val="008A7C94"/>
    <w:rsid w:val="008A7CEC"/>
    <w:rsid w:val="008A7E9C"/>
    <w:rsid w:val="008B1188"/>
    <w:rsid w:val="008B1A0F"/>
    <w:rsid w:val="008B1B02"/>
    <w:rsid w:val="008B2036"/>
    <w:rsid w:val="008B2A9B"/>
    <w:rsid w:val="008B2D02"/>
    <w:rsid w:val="008B2DA3"/>
    <w:rsid w:val="008B3406"/>
    <w:rsid w:val="008B3D70"/>
    <w:rsid w:val="008B52AA"/>
    <w:rsid w:val="008B596B"/>
    <w:rsid w:val="008B730B"/>
    <w:rsid w:val="008C0D79"/>
    <w:rsid w:val="008C0EFF"/>
    <w:rsid w:val="008C204D"/>
    <w:rsid w:val="008C2E83"/>
    <w:rsid w:val="008C7B25"/>
    <w:rsid w:val="008D0F23"/>
    <w:rsid w:val="008D3506"/>
    <w:rsid w:val="008D53DF"/>
    <w:rsid w:val="008D54B9"/>
    <w:rsid w:val="008D5E85"/>
    <w:rsid w:val="008D6A0E"/>
    <w:rsid w:val="008D6DC3"/>
    <w:rsid w:val="008D71DC"/>
    <w:rsid w:val="008E19E6"/>
    <w:rsid w:val="008E2A24"/>
    <w:rsid w:val="008E2C58"/>
    <w:rsid w:val="008E2E17"/>
    <w:rsid w:val="008E573D"/>
    <w:rsid w:val="008E5A6E"/>
    <w:rsid w:val="008E74E0"/>
    <w:rsid w:val="008F07E4"/>
    <w:rsid w:val="008F24F2"/>
    <w:rsid w:val="008F2A8A"/>
    <w:rsid w:val="008F2D78"/>
    <w:rsid w:val="008F49E1"/>
    <w:rsid w:val="008F5E7C"/>
    <w:rsid w:val="00900273"/>
    <w:rsid w:val="00900573"/>
    <w:rsid w:val="00900595"/>
    <w:rsid w:val="00900DC3"/>
    <w:rsid w:val="00901C35"/>
    <w:rsid w:val="00901F10"/>
    <w:rsid w:val="00902011"/>
    <w:rsid w:val="00902408"/>
    <w:rsid w:val="00902AB5"/>
    <w:rsid w:val="00903126"/>
    <w:rsid w:val="00903408"/>
    <w:rsid w:val="009035BF"/>
    <w:rsid w:val="00906679"/>
    <w:rsid w:val="00907747"/>
    <w:rsid w:val="009116EA"/>
    <w:rsid w:val="0091294D"/>
    <w:rsid w:val="0091398E"/>
    <w:rsid w:val="0091430B"/>
    <w:rsid w:val="009145B2"/>
    <w:rsid w:val="009145F9"/>
    <w:rsid w:val="00915A71"/>
    <w:rsid w:val="00916422"/>
    <w:rsid w:val="00916B86"/>
    <w:rsid w:val="00917F40"/>
    <w:rsid w:val="00920031"/>
    <w:rsid w:val="00920797"/>
    <w:rsid w:val="00921092"/>
    <w:rsid w:val="009234D4"/>
    <w:rsid w:val="009238B6"/>
    <w:rsid w:val="00923C5B"/>
    <w:rsid w:val="00924608"/>
    <w:rsid w:val="009248F6"/>
    <w:rsid w:val="00925731"/>
    <w:rsid w:val="00927D59"/>
    <w:rsid w:val="0093139B"/>
    <w:rsid w:val="0093216B"/>
    <w:rsid w:val="00932522"/>
    <w:rsid w:val="0093354E"/>
    <w:rsid w:val="00933671"/>
    <w:rsid w:val="00933DFD"/>
    <w:rsid w:val="009342BE"/>
    <w:rsid w:val="009348CC"/>
    <w:rsid w:val="00936297"/>
    <w:rsid w:val="0093655E"/>
    <w:rsid w:val="00940916"/>
    <w:rsid w:val="00941532"/>
    <w:rsid w:val="009417C6"/>
    <w:rsid w:val="009428D2"/>
    <w:rsid w:val="00944115"/>
    <w:rsid w:val="00944310"/>
    <w:rsid w:val="00945181"/>
    <w:rsid w:val="009453E0"/>
    <w:rsid w:val="0094593B"/>
    <w:rsid w:val="00945D10"/>
    <w:rsid w:val="00945DFF"/>
    <w:rsid w:val="00946245"/>
    <w:rsid w:val="00947BDE"/>
    <w:rsid w:val="00950C72"/>
    <w:rsid w:val="00953400"/>
    <w:rsid w:val="00953C3F"/>
    <w:rsid w:val="00953EA5"/>
    <w:rsid w:val="00954C2F"/>
    <w:rsid w:val="00955299"/>
    <w:rsid w:val="009556F0"/>
    <w:rsid w:val="009569A2"/>
    <w:rsid w:val="0096303B"/>
    <w:rsid w:val="00963E87"/>
    <w:rsid w:val="00963EAE"/>
    <w:rsid w:val="0096483F"/>
    <w:rsid w:val="00964B37"/>
    <w:rsid w:val="00964F62"/>
    <w:rsid w:val="00967E2C"/>
    <w:rsid w:val="0097018F"/>
    <w:rsid w:val="00970E3F"/>
    <w:rsid w:val="00971D5B"/>
    <w:rsid w:val="00972BF7"/>
    <w:rsid w:val="00972DD5"/>
    <w:rsid w:val="00973474"/>
    <w:rsid w:val="009738A8"/>
    <w:rsid w:val="00973AB2"/>
    <w:rsid w:val="009740FD"/>
    <w:rsid w:val="009742B1"/>
    <w:rsid w:val="00977F39"/>
    <w:rsid w:val="00980BCD"/>
    <w:rsid w:val="0098375B"/>
    <w:rsid w:val="00983FA7"/>
    <w:rsid w:val="00984879"/>
    <w:rsid w:val="00984F05"/>
    <w:rsid w:val="00984FC6"/>
    <w:rsid w:val="00985632"/>
    <w:rsid w:val="009869D0"/>
    <w:rsid w:val="009871C2"/>
    <w:rsid w:val="00987203"/>
    <w:rsid w:val="00987FC9"/>
    <w:rsid w:val="00991B63"/>
    <w:rsid w:val="00991ED7"/>
    <w:rsid w:val="00992620"/>
    <w:rsid w:val="0099398E"/>
    <w:rsid w:val="00993F25"/>
    <w:rsid w:val="00994637"/>
    <w:rsid w:val="00994DFD"/>
    <w:rsid w:val="00994F37"/>
    <w:rsid w:val="0099647C"/>
    <w:rsid w:val="00997850"/>
    <w:rsid w:val="009A1A71"/>
    <w:rsid w:val="009A2DAA"/>
    <w:rsid w:val="009A352F"/>
    <w:rsid w:val="009A3A0A"/>
    <w:rsid w:val="009A495F"/>
    <w:rsid w:val="009A5C68"/>
    <w:rsid w:val="009A6977"/>
    <w:rsid w:val="009A7A7C"/>
    <w:rsid w:val="009B20B6"/>
    <w:rsid w:val="009B2428"/>
    <w:rsid w:val="009B4270"/>
    <w:rsid w:val="009B431C"/>
    <w:rsid w:val="009B441B"/>
    <w:rsid w:val="009B4CB4"/>
    <w:rsid w:val="009B54AD"/>
    <w:rsid w:val="009B5CB7"/>
    <w:rsid w:val="009B65B9"/>
    <w:rsid w:val="009B6BD8"/>
    <w:rsid w:val="009B6FBC"/>
    <w:rsid w:val="009C1BCA"/>
    <w:rsid w:val="009C2253"/>
    <w:rsid w:val="009C3071"/>
    <w:rsid w:val="009C4E38"/>
    <w:rsid w:val="009C5018"/>
    <w:rsid w:val="009C50E9"/>
    <w:rsid w:val="009C5738"/>
    <w:rsid w:val="009C58BA"/>
    <w:rsid w:val="009C6036"/>
    <w:rsid w:val="009C60D6"/>
    <w:rsid w:val="009C7A8F"/>
    <w:rsid w:val="009D1884"/>
    <w:rsid w:val="009D18AC"/>
    <w:rsid w:val="009D1BC5"/>
    <w:rsid w:val="009D2FA5"/>
    <w:rsid w:val="009D409B"/>
    <w:rsid w:val="009D453E"/>
    <w:rsid w:val="009D51F8"/>
    <w:rsid w:val="009D58E3"/>
    <w:rsid w:val="009D68CB"/>
    <w:rsid w:val="009D7368"/>
    <w:rsid w:val="009D7824"/>
    <w:rsid w:val="009D7C3B"/>
    <w:rsid w:val="009E108A"/>
    <w:rsid w:val="009E57A7"/>
    <w:rsid w:val="009E6313"/>
    <w:rsid w:val="009E6ABA"/>
    <w:rsid w:val="009E6D8B"/>
    <w:rsid w:val="009E7539"/>
    <w:rsid w:val="009E7575"/>
    <w:rsid w:val="009E77DE"/>
    <w:rsid w:val="009F103D"/>
    <w:rsid w:val="009F1494"/>
    <w:rsid w:val="009F1B4E"/>
    <w:rsid w:val="009F3154"/>
    <w:rsid w:val="009F3CA7"/>
    <w:rsid w:val="009F532F"/>
    <w:rsid w:val="009F566B"/>
    <w:rsid w:val="009F61ED"/>
    <w:rsid w:val="009F7143"/>
    <w:rsid w:val="00A0014C"/>
    <w:rsid w:val="00A00C24"/>
    <w:rsid w:val="00A00F5A"/>
    <w:rsid w:val="00A01004"/>
    <w:rsid w:val="00A01F2F"/>
    <w:rsid w:val="00A03323"/>
    <w:rsid w:val="00A04785"/>
    <w:rsid w:val="00A0483E"/>
    <w:rsid w:val="00A05740"/>
    <w:rsid w:val="00A06D00"/>
    <w:rsid w:val="00A06E55"/>
    <w:rsid w:val="00A07B84"/>
    <w:rsid w:val="00A07ECD"/>
    <w:rsid w:val="00A10495"/>
    <w:rsid w:val="00A13185"/>
    <w:rsid w:val="00A137FF"/>
    <w:rsid w:val="00A16553"/>
    <w:rsid w:val="00A166A3"/>
    <w:rsid w:val="00A171AD"/>
    <w:rsid w:val="00A20139"/>
    <w:rsid w:val="00A2174B"/>
    <w:rsid w:val="00A21FB0"/>
    <w:rsid w:val="00A22300"/>
    <w:rsid w:val="00A22C3C"/>
    <w:rsid w:val="00A24620"/>
    <w:rsid w:val="00A2694C"/>
    <w:rsid w:val="00A27596"/>
    <w:rsid w:val="00A275BB"/>
    <w:rsid w:val="00A302E3"/>
    <w:rsid w:val="00A30762"/>
    <w:rsid w:val="00A30B16"/>
    <w:rsid w:val="00A31242"/>
    <w:rsid w:val="00A34839"/>
    <w:rsid w:val="00A365B6"/>
    <w:rsid w:val="00A43325"/>
    <w:rsid w:val="00A44ACC"/>
    <w:rsid w:val="00A44CBA"/>
    <w:rsid w:val="00A45256"/>
    <w:rsid w:val="00A4585C"/>
    <w:rsid w:val="00A465BB"/>
    <w:rsid w:val="00A46F4A"/>
    <w:rsid w:val="00A47023"/>
    <w:rsid w:val="00A51FA7"/>
    <w:rsid w:val="00A52530"/>
    <w:rsid w:val="00A54B42"/>
    <w:rsid w:val="00A551BF"/>
    <w:rsid w:val="00A56F54"/>
    <w:rsid w:val="00A5710E"/>
    <w:rsid w:val="00A57827"/>
    <w:rsid w:val="00A57D1A"/>
    <w:rsid w:val="00A57D45"/>
    <w:rsid w:val="00A604AE"/>
    <w:rsid w:val="00A60ABD"/>
    <w:rsid w:val="00A6247E"/>
    <w:rsid w:val="00A63136"/>
    <w:rsid w:val="00A65662"/>
    <w:rsid w:val="00A666F6"/>
    <w:rsid w:val="00A6699D"/>
    <w:rsid w:val="00A671F5"/>
    <w:rsid w:val="00A70524"/>
    <w:rsid w:val="00A71E32"/>
    <w:rsid w:val="00A73406"/>
    <w:rsid w:val="00A73578"/>
    <w:rsid w:val="00A74451"/>
    <w:rsid w:val="00A75040"/>
    <w:rsid w:val="00A81AB3"/>
    <w:rsid w:val="00A81B26"/>
    <w:rsid w:val="00A826C0"/>
    <w:rsid w:val="00A83176"/>
    <w:rsid w:val="00A83F5B"/>
    <w:rsid w:val="00A8433D"/>
    <w:rsid w:val="00A8602B"/>
    <w:rsid w:val="00A8639C"/>
    <w:rsid w:val="00A8747B"/>
    <w:rsid w:val="00A91300"/>
    <w:rsid w:val="00A92817"/>
    <w:rsid w:val="00A9289F"/>
    <w:rsid w:val="00A92B19"/>
    <w:rsid w:val="00A930EC"/>
    <w:rsid w:val="00A957AD"/>
    <w:rsid w:val="00A9672C"/>
    <w:rsid w:val="00AA00AC"/>
    <w:rsid w:val="00AA0CDD"/>
    <w:rsid w:val="00AA14B0"/>
    <w:rsid w:val="00AA1555"/>
    <w:rsid w:val="00AA1705"/>
    <w:rsid w:val="00AA36FE"/>
    <w:rsid w:val="00AA486E"/>
    <w:rsid w:val="00AA4B84"/>
    <w:rsid w:val="00AA5A2F"/>
    <w:rsid w:val="00AA5C9B"/>
    <w:rsid w:val="00AA7D4A"/>
    <w:rsid w:val="00AB0780"/>
    <w:rsid w:val="00AB255F"/>
    <w:rsid w:val="00AB386F"/>
    <w:rsid w:val="00AB3F15"/>
    <w:rsid w:val="00AB4085"/>
    <w:rsid w:val="00AB705B"/>
    <w:rsid w:val="00AC13EB"/>
    <w:rsid w:val="00AC14A8"/>
    <w:rsid w:val="00AC1B07"/>
    <w:rsid w:val="00AC1CF4"/>
    <w:rsid w:val="00AC3AFF"/>
    <w:rsid w:val="00AC4B2A"/>
    <w:rsid w:val="00AC50C3"/>
    <w:rsid w:val="00AC524D"/>
    <w:rsid w:val="00AC65DA"/>
    <w:rsid w:val="00AC6982"/>
    <w:rsid w:val="00AC7368"/>
    <w:rsid w:val="00AD3295"/>
    <w:rsid w:val="00AD3EA1"/>
    <w:rsid w:val="00AD486E"/>
    <w:rsid w:val="00AD5553"/>
    <w:rsid w:val="00AD6C6B"/>
    <w:rsid w:val="00AD785F"/>
    <w:rsid w:val="00AD7F48"/>
    <w:rsid w:val="00AE11E4"/>
    <w:rsid w:val="00AE2101"/>
    <w:rsid w:val="00AE25DB"/>
    <w:rsid w:val="00AE317D"/>
    <w:rsid w:val="00AE49B8"/>
    <w:rsid w:val="00AE55F2"/>
    <w:rsid w:val="00AE74A7"/>
    <w:rsid w:val="00AE7B6D"/>
    <w:rsid w:val="00AF0FAE"/>
    <w:rsid w:val="00AF2661"/>
    <w:rsid w:val="00AF2D04"/>
    <w:rsid w:val="00AF3399"/>
    <w:rsid w:val="00AF3C2D"/>
    <w:rsid w:val="00AF401A"/>
    <w:rsid w:val="00AF57B7"/>
    <w:rsid w:val="00AF5FAB"/>
    <w:rsid w:val="00AF6759"/>
    <w:rsid w:val="00AF6EA6"/>
    <w:rsid w:val="00AF7E69"/>
    <w:rsid w:val="00B0024F"/>
    <w:rsid w:val="00B00433"/>
    <w:rsid w:val="00B01BA7"/>
    <w:rsid w:val="00B01DBB"/>
    <w:rsid w:val="00B02761"/>
    <w:rsid w:val="00B027AF"/>
    <w:rsid w:val="00B032D6"/>
    <w:rsid w:val="00B034E5"/>
    <w:rsid w:val="00B036B4"/>
    <w:rsid w:val="00B03803"/>
    <w:rsid w:val="00B0424C"/>
    <w:rsid w:val="00B0683A"/>
    <w:rsid w:val="00B10573"/>
    <w:rsid w:val="00B10629"/>
    <w:rsid w:val="00B108CC"/>
    <w:rsid w:val="00B11C6B"/>
    <w:rsid w:val="00B124D7"/>
    <w:rsid w:val="00B12C66"/>
    <w:rsid w:val="00B1311A"/>
    <w:rsid w:val="00B15659"/>
    <w:rsid w:val="00B15D0F"/>
    <w:rsid w:val="00B16E60"/>
    <w:rsid w:val="00B17563"/>
    <w:rsid w:val="00B17781"/>
    <w:rsid w:val="00B17C17"/>
    <w:rsid w:val="00B17EB7"/>
    <w:rsid w:val="00B20D52"/>
    <w:rsid w:val="00B2319D"/>
    <w:rsid w:val="00B23355"/>
    <w:rsid w:val="00B236C3"/>
    <w:rsid w:val="00B24F81"/>
    <w:rsid w:val="00B25364"/>
    <w:rsid w:val="00B25901"/>
    <w:rsid w:val="00B265CE"/>
    <w:rsid w:val="00B266C6"/>
    <w:rsid w:val="00B2722A"/>
    <w:rsid w:val="00B27880"/>
    <w:rsid w:val="00B27B05"/>
    <w:rsid w:val="00B27E1A"/>
    <w:rsid w:val="00B3020A"/>
    <w:rsid w:val="00B31485"/>
    <w:rsid w:val="00B31B6C"/>
    <w:rsid w:val="00B32320"/>
    <w:rsid w:val="00B32F75"/>
    <w:rsid w:val="00B330B7"/>
    <w:rsid w:val="00B3343C"/>
    <w:rsid w:val="00B33532"/>
    <w:rsid w:val="00B3366F"/>
    <w:rsid w:val="00B33949"/>
    <w:rsid w:val="00B34194"/>
    <w:rsid w:val="00B34719"/>
    <w:rsid w:val="00B3611C"/>
    <w:rsid w:val="00B36A3A"/>
    <w:rsid w:val="00B36DC8"/>
    <w:rsid w:val="00B37002"/>
    <w:rsid w:val="00B373BA"/>
    <w:rsid w:val="00B40CEF"/>
    <w:rsid w:val="00B42C0C"/>
    <w:rsid w:val="00B46DBE"/>
    <w:rsid w:val="00B4748D"/>
    <w:rsid w:val="00B4785A"/>
    <w:rsid w:val="00B47CD2"/>
    <w:rsid w:val="00B508C9"/>
    <w:rsid w:val="00B50E8A"/>
    <w:rsid w:val="00B50F51"/>
    <w:rsid w:val="00B51AB9"/>
    <w:rsid w:val="00B51DF9"/>
    <w:rsid w:val="00B52128"/>
    <w:rsid w:val="00B525EF"/>
    <w:rsid w:val="00B53C40"/>
    <w:rsid w:val="00B541F8"/>
    <w:rsid w:val="00B571D0"/>
    <w:rsid w:val="00B575F8"/>
    <w:rsid w:val="00B618BA"/>
    <w:rsid w:val="00B62317"/>
    <w:rsid w:val="00B63458"/>
    <w:rsid w:val="00B670A0"/>
    <w:rsid w:val="00B70A50"/>
    <w:rsid w:val="00B70B69"/>
    <w:rsid w:val="00B70E1D"/>
    <w:rsid w:val="00B716BE"/>
    <w:rsid w:val="00B733D5"/>
    <w:rsid w:val="00B738F7"/>
    <w:rsid w:val="00B73900"/>
    <w:rsid w:val="00B73AE7"/>
    <w:rsid w:val="00B73BD2"/>
    <w:rsid w:val="00B73C4B"/>
    <w:rsid w:val="00B759E9"/>
    <w:rsid w:val="00B76042"/>
    <w:rsid w:val="00B7696B"/>
    <w:rsid w:val="00B76AA4"/>
    <w:rsid w:val="00B8034A"/>
    <w:rsid w:val="00B80436"/>
    <w:rsid w:val="00B81EC2"/>
    <w:rsid w:val="00B82E4F"/>
    <w:rsid w:val="00B846C2"/>
    <w:rsid w:val="00B84814"/>
    <w:rsid w:val="00B84CF7"/>
    <w:rsid w:val="00B91076"/>
    <w:rsid w:val="00B91A2E"/>
    <w:rsid w:val="00B91F5D"/>
    <w:rsid w:val="00B921CD"/>
    <w:rsid w:val="00B92D8F"/>
    <w:rsid w:val="00B96064"/>
    <w:rsid w:val="00B96343"/>
    <w:rsid w:val="00B966A4"/>
    <w:rsid w:val="00B972A8"/>
    <w:rsid w:val="00B97AE6"/>
    <w:rsid w:val="00BA0139"/>
    <w:rsid w:val="00BA024A"/>
    <w:rsid w:val="00BA1C39"/>
    <w:rsid w:val="00BA1EB5"/>
    <w:rsid w:val="00BA2391"/>
    <w:rsid w:val="00BA282D"/>
    <w:rsid w:val="00BA35AD"/>
    <w:rsid w:val="00BA377E"/>
    <w:rsid w:val="00BA4906"/>
    <w:rsid w:val="00BB06BE"/>
    <w:rsid w:val="00BB1614"/>
    <w:rsid w:val="00BB1DF0"/>
    <w:rsid w:val="00BB3EE3"/>
    <w:rsid w:val="00BB4115"/>
    <w:rsid w:val="00BB4849"/>
    <w:rsid w:val="00BB4C76"/>
    <w:rsid w:val="00BB5C7A"/>
    <w:rsid w:val="00BB6260"/>
    <w:rsid w:val="00BB629C"/>
    <w:rsid w:val="00BB636C"/>
    <w:rsid w:val="00BB6A9B"/>
    <w:rsid w:val="00BB6E59"/>
    <w:rsid w:val="00BC1D8B"/>
    <w:rsid w:val="00BC4915"/>
    <w:rsid w:val="00BC5078"/>
    <w:rsid w:val="00BC6EB6"/>
    <w:rsid w:val="00BC79F5"/>
    <w:rsid w:val="00BC7C38"/>
    <w:rsid w:val="00BC7F62"/>
    <w:rsid w:val="00BC7F9B"/>
    <w:rsid w:val="00BD0737"/>
    <w:rsid w:val="00BD167F"/>
    <w:rsid w:val="00BD1862"/>
    <w:rsid w:val="00BD1AE4"/>
    <w:rsid w:val="00BD286B"/>
    <w:rsid w:val="00BD461C"/>
    <w:rsid w:val="00BD58AF"/>
    <w:rsid w:val="00BD5B02"/>
    <w:rsid w:val="00BD5F4C"/>
    <w:rsid w:val="00BD6B03"/>
    <w:rsid w:val="00BD6BE3"/>
    <w:rsid w:val="00BD70F9"/>
    <w:rsid w:val="00BD758A"/>
    <w:rsid w:val="00BD7F98"/>
    <w:rsid w:val="00BE0E86"/>
    <w:rsid w:val="00BE1114"/>
    <w:rsid w:val="00BE12AC"/>
    <w:rsid w:val="00BE2099"/>
    <w:rsid w:val="00BE2104"/>
    <w:rsid w:val="00BE24D2"/>
    <w:rsid w:val="00BE3DA5"/>
    <w:rsid w:val="00BF01E0"/>
    <w:rsid w:val="00BF10F4"/>
    <w:rsid w:val="00BF1304"/>
    <w:rsid w:val="00BF136F"/>
    <w:rsid w:val="00BF160D"/>
    <w:rsid w:val="00BF1F6C"/>
    <w:rsid w:val="00BF3347"/>
    <w:rsid w:val="00BF3495"/>
    <w:rsid w:val="00BF37C4"/>
    <w:rsid w:val="00BF492B"/>
    <w:rsid w:val="00BF4D35"/>
    <w:rsid w:val="00BF623C"/>
    <w:rsid w:val="00BF6CF9"/>
    <w:rsid w:val="00C00AA2"/>
    <w:rsid w:val="00C00AB4"/>
    <w:rsid w:val="00C02EA6"/>
    <w:rsid w:val="00C03224"/>
    <w:rsid w:val="00C03E29"/>
    <w:rsid w:val="00C058B7"/>
    <w:rsid w:val="00C0594C"/>
    <w:rsid w:val="00C05E74"/>
    <w:rsid w:val="00C10C19"/>
    <w:rsid w:val="00C118BA"/>
    <w:rsid w:val="00C11AF6"/>
    <w:rsid w:val="00C12A4B"/>
    <w:rsid w:val="00C12B59"/>
    <w:rsid w:val="00C143B8"/>
    <w:rsid w:val="00C143E0"/>
    <w:rsid w:val="00C14B8A"/>
    <w:rsid w:val="00C158BB"/>
    <w:rsid w:val="00C168A4"/>
    <w:rsid w:val="00C169F7"/>
    <w:rsid w:val="00C17D02"/>
    <w:rsid w:val="00C17EB7"/>
    <w:rsid w:val="00C22019"/>
    <w:rsid w:val="00C2264C"/>
    <w:rsid w:val="00C22835"/>
    <w:rsid w:val="00C2342F"/>
    <w:rsid w:val="00C2395F"/>
    <w:rsid w:val="00C251A5"/>
    <w:rsid w:val="00C26461"/>
    <w:rsid w:val="00C26ADF"/>
    <w:rsid w:val="00C271EB"/>
    <w:rsid w:val="00C30008"/>
    <w:rsid w:val="00C3017E"/>
    <w:rsid w:val="00C31E11"/>
    <w:rsid w:val="00C323C8"/>
    <w:rsid w:val="00C33F5B"/>
    <w:rsid w:val="00C35CE3"/>
    <w:rsid w:val="00C35F4F"/>
    <w:rsid w:val="00C36B95"/>
    <w:rsid w:val="00C37302"/>
    <w:rsid w:val="00C375CB"/>
    <w:rsid w:val="00C41175"/>
    <w:rsid w:val="00C42951"/>
    <w:rsid w:val="00C437BF"/>
    <w:rsid w:val="00C443FA"/>
    <w:rsid w:val="00C4467E"/>
    <w:rsid w:val="00C44A72"/>
    <w:rsid w:val="00C475F3"/>
    <w:rsid w:val="00C505F7"/>
    <w:rsid w:val="00C51D42"/>
    <w:rsid w:val="00C52DC0"/>
    <w:rsid w:val="00C54407"/>
    <w:rsid w:val="00C5649C"/>
    <w:rsid w:val="00C576A5"/>
    <w:rsid w:val="00C57808"/>
    <w:rsid w:val="00C61F7A"/>
    <w:rsid w:val="00C62791"/>
    <w:rsid w:val="00C62C57"/>
    <w:rsid w:val="00C64B44"/>
    <w:rsid w:val="00C654C4"/>
    <w:rsid w:val="00C65F49"/>
    <w:rsid w:val="00C67990"/>
    <w:rsid w:val="00C704DD"/>
    <w:rsid w:val="00C704FD"/>
    <w:rsid w:val="00C70A4E"/>
    <w:rsid w:val="00C71F7D"/>
    <w:rsid w:val="00C7204B"/>
    <w:rsid w:val="00C73F56"/>
    <w:rsid w:val="00C74005"/>
    <w:rsid w:val="00C74C39"/>
    <w:rsid w:val="00C75486"/>
    <w:rsid w:val="00C7581D"/>
    <w:rsid w:val="00C75DF7"/>
    <w:rsid w:val="00C76C1D"/>
    <w:rsid w:val="00C770B8"/>
    <w:rsid w:val="00C77306"/>
    <w:rsid w:val="00C816B0"/>
    <w:rsid w:val="00C81D41"/>
    <w:rsid w:val="00C8202C"/>
    <w:rsid w:val="00C846B8"/>
    <w:rsid w:val="00C84D48"/>
    <w:rsid w:val="00C84F2D"/>
    <w:rsid w:val="00C85245"/>
    <w:rsid w:val="00C85456"/>
    <w:rsid w:val="00C85467"/>
    <w:rsid w:val="00C85A70"/>
    <w:rsid w:val="00C9005F"/>
    <w:rsid w:val="00C90608"/>
    <w:rsid w:val="00C90E9C"/>
    <w:rsid w:val="00C9255F"/>
    <w:rsid w:val="00C92640"/>
    <w:rsid w:val="00C92A5B"/>
    <w:rsid w:val="00C94E27"/>
    <w:rsid w:val="00CA008A"/>
    <w:rsid w:val="00CA0232"/>
    <w:rsid w:val="00CA08D5"/>
    <w:rsid w:val="00CA434A"/>
    <w:rsid w:val="00CA46EC"/>
    <w:rsid w:val="00CA51FA"/>
    <w:rsid w:val="00CA7963"/>
    <w:rsid w:val="00CB29AF"/>
    <w:rsid w:val="00CB4501"/>
    <w:rsid w:val="00CB5F06"/>
    <w:rsid w:val="00CC126C"/>
    <w:rsid w:val="00CC166F"/>
    <w:rsid w:val="00CC22E6"/>
    <w:rsid w:val="00CC39AF"/>
    <w:rsid w:val="00CC4D2D"/>
    <w:rsid w:val="00CD0054"/>
    <w:rsid w:val="00CD1477"/>
    <w:rsid w:val="00CD1B9B"/>
    <w:rsid w:val="00CD27F3"/>
    <w:rsid w:val="00CD2830"/>
    <w:rsid w:val="00CD3A13"/>
    <w:rsid w:val="00CD4ADC"/>
    <w:rsid w:val="00CD52AD"/>
    <w:rsid w:val="00CD549C"/>
    <w:rsid w:val="00CD61FC"/>
    <w:rsid w:val="00CD6A9E"/>
    <w:rsid w:val="00CD6E5A"/>
    <w:rsid w:val="00CD7D30"/>
    <w:rsid w:val="00CE0707"/>
    <w:rsid w:val="00CE10F7"/>
    <w:rsid w:val="00CE1F6F"/>
    <w:rsid w:val="00CE30D3"/>
    <w:rsid w:val="00CE3B79"/>
    <w:rsid w:val="00CE49C1"/>
    <w:rsid w:val="00CE4A76"/>
    <w:rsid w:val="00CE61D4"/>
    <w:rsid w:val="00CE7D0B"/>
    <w:rsid w:val="00CF272F"/>
    <w:rsid w:val="00CF33FC"/>
    <w:rsid w:val="00CF3C5C"/>
    <w:rsid w:val="00CF5BAF"/>
    <w:rsid w:val="00CF6A8B"/>
    <w:rsid w:val="00CF7FE5"/>
    <w:rsid w:val="00D011C5"/>
    <w:rsid w:val="00D01A90"/>
    <w:rsid w:val="00D01B3F"/>
    <w:rsid w:val="00D01B47"/>
    <w:rsid w:val="00D0220B"/>
    <w:rsid w:val="00D02D0A"/>
    <w:rsid w:val="00D03433"/>
    <w:rsid w:val="00D03FC6"/>
    <w:rsid w:val="00D04EA4"/>
    <w:rsid w:val="00D04F7D"/>
    <w:rsid w:val="00D05B29"/>
    <w:rsid w:val="00D05EA6"/>
    <w:rsid w:val="00D06272"/>
    <w:rsid w:val="00D06360"/>
    <w:rsid w:val="00D07841"/>
    <w:rsid w:val="00D07960"/>
    <w:rsid w:val="00D07E5E"/>
    <w:rsid w:val="00D108B5"/>
    <w:rsid w:val="00D10F41"/>
    <w:rsid w:val="00D11103"/>
    <w:rsid w:val="00D11400"/>
    <w:rsid w:val="00D12278"/>
    <w:rsid w:val="00D12B46"/>
    <w:rsid w:val="00D130A5"/>
    <w:rsid w:val="00D13341"/>
    <w:rsid w:val="00D1352F"/>
    <w:rsid w:val="00D1394D"/>
    <w:rsid w:val="00D14B73"/>
    <w:rsid w:val="00D1571D"/>
    <w:rsid w:val="00D15817"/>
    <w:rsid w:val="00D1654B"/>
    <w:rsid w:val="00D16EE8"/>
    <w:rsid w:val="00D1734A"/>
    <w:rsid w:val="00D17F4A"/>
    <w:rsid w:val="00D201A4"/>
    <w:rsid w:val="00D20CA8"/>
    <w:rsid w:val="00D226EF"/>
    <w:rsid w:val="00D22EB4"/>
    <w:rsid w:val="00D23345"/>
    <w:rsid w:val="00D23DC5"/>
    <w:rsid w:val="00D24088"/>
    <w:rsid w:val="00D242C2"/>
    <w:rsid w:val="00D2457E"/>
    <w:rsid w:val="00D25004"/>
    <w:rsid w:val="00D257FA"/>
    <w:rsid w:val="00D307F4"/>
    <w:rsid w:val="00D31D3E"/>
    <w:rsid w:val="00D32400"/>
    <w:rsid w:val="00D34A46"/>
    <w:rsid w:val="00D3645E"/>
    <w:rsid w:val="00D371E6"/>
    <w:rsid w:val="00D3723B"/>
    <w:rsid w:val="00D4136C"/>
    <w:rsid w:val="00D435D0"/>
    <w:rsid w:val="00D442E9"/>
    <w:rsid w:val="00D45946"/>
    <w:rsid w:val="00D45CE5"/>
    <w:rsid w:val="00D4650F"/>
    <w:rsid w:val="00D46AB1"/>
    <w:rsid w:val="00D47740"/>
    <w:rsid w:val="00D479B4"/>
    <w:rsid w:val="00D47EBB"/>
    <w:rsid w:val="00D50385"/>
    <w:rsid w:val="00D521FF"/>
    <w:rsid w:val="00D532D6"/>
    <w:rsid w:val="00D53494"/>
    <w:rsid w:val="00D53512"/>
    <w:rsid w:val="00D53EC0"/>
    <w:rsid w:val="00D55A14"/>
    <w:rsid w:val="00D56463"/>
    <w:rsid w:val="00D5653F"/>
    <w:rsid w:val="00D569FA"/>
    <w:rsid w:val="00D57A06"/>
    <w:rsid w:val="00D57C33"/>
    <w:rsid w:val="00D60420"/>
    <w:rsid w:val="00D60FAC"/>
    <w:rsid w:val="00D61730"/>
    <w:rsid w:val="00D61B67"/>
    <w:rsid w:val="00D61F3A"/>
    <w:rsid w:val="00D62BF9"/>
    <w:rsid w:val="00D63F94"/>
    <w:rsid w:val="00D64161"/>
    <w:rsid w:val="00D65262"/>
    <w:rsid w:val="00D656A6"/>
    <w:rsid w:val="00D65C66"/>
    <w:rsid w:val="00D661C0"/>
    <w:rsid w:val="00D677F7"/>
    <w:rsid w:val="00D67A96"/>
    <w:rsid w:val="00D67B10"/>
    <w:rsid w:val="00D67EBE"/>
    <w:rsid w:val="00D70F8B"/>
    <w:rsid w:val="00D714A4"/>
    <w:rsid w:val="00D72845"/>
    <w:rsid w:val="00D73525"/>
    <w:rsid w:val="00D735F7"/>
    <w:rsid w:val="00D74F5D"/>
    <w:rsid w:val="00D764EB"/>
    <w:rsid w:val="00D80BC3"/>
    <w:rsid w:val="00D812B9"/>
    <w:rsid w:val="00D815C7"/>
    <w:rsid w:val="00D82089"/>
    <w:rsid w:val="00D82C33"/>
    <w:rsid w:val="00D84567"/>
    <w:rsid w:val="00D858A9"/>
    <w:rsid w:val="00D8682D"/>
    <w:rsid w:val="00D86FE7"/>
    <w:rsid w:val="00D87026"/>
    <w:rsid w:val="00D903FD"/>
    <w:rsid w:val="00D90975"/>
    <w:rsid w:val="00D90CC8"/>
    <w:rsid w:val="00D9138B"/>
    <w:rsid w:val="00D9156D"/>
    <w:rsid w:val="00D91A50"/>
    <w:rsid w:val="00D93F42"/>
    <w:rsid w:val="00D9469C"/>
    <w:rsid w:val="00D94BC5"/>
    <w:rsid w:val="00D94CD2"/>
    <w:rsid w:val="00D9575D"/>
    <w:rsid w:val="00D95C3C"/>
    <w:rsid w:val="00D9600C"/>
    <w:rsid w:val="00D96151"/>
    <w:rsid w:val="00D96BD3"/>
    <w:rsid w:val="00D96C08"/>
    <w:rsid w:val="00DA05E8"/>
    <w:rsid w:val="00DA33D8"/>
    <w:rsid w:val="00DA3E46"/>
    <w:rsid w:val="00DA4983"/>
    <w:rsid w:val="00DA635F"/>
    <w:rsid w:val="00DA76B0"/>
    <w:rsid w:val="00DA7B05"/>
    <w:rsid w:val="00DB0AD3"/>
    <w:rsid w:val="00DB1F15"/>
    <w:rsid w:val="00DB2C30"/>
    <w:rsid w:val="00DB5750"/>
    <w:rsid w:val="00DB5BA0"/>
    <w:rsid w:val="00DC08B3"/>
    <w:rsid w:val="00DC3052"/>
    <w:rsid w:val="00DC36FD"/>
    <w:rsid w:val="00DC396C"/>
    <w:rsid w:val="00DC4B15"/>
    <w:rsid w:val="00DC4BEC"/>
    <w:rsid w:val="00DC5434"/>
    <w:rsid w:val="00DC5506"/>
    <w:rsid w:val="00DC59FE"/>
    <w:rsid w:val="00DC728C"/>
    <w:rsid w:val="00DC7DD2"/>
    <w:rsid w:val="00DC7E6C"/>
    <w:rsid w:val="00DD187F"/>
    <w:rsid w:val="00DD191D"/>
    <w:rsid w:val="00DD2115"/>
    <w:rsid w:val="00DD3CB3"/>
    <w:rsid w:val="00DD422A"/>
    <w:rsid w:val="00DD4239"/>
    <w:rsid w:val="00DD4369"/>
    <w:rsid w:val="00DD4506"/>
    <w:rsid w:val="00DD6842"/>
    <w:rsid w:val="00DE3A40"/>
    <w:rsid w:val="00DE4912"/>
    <w:rsid w:val="00DE4F3E"/>
    <w:rsid w:val="00DE516C"/>
    <w:rsid w:val="00DE587C"/>
    <w:rsid w:val="00DE6486"/>
    <w:rsid w:val="00DE6CC7"/>
    <w:rsid w:val="00DE6F9D"/>
    <w:rsid w:val="00DF07BA"/>
    <w:rsid w:val="00DF09ED"/>
    <w:rsid w:val="00DF16C2"/>
    <w:rsid w:val="00DF2A6B"/>
    <w:rsid w:val="00DF3561"/>
    <w:rsid w:val="00DF3BE1"/>
    <w:rsid w:val="00DF46C4"/>
    <w:rsid w:val="00DF4B0F"/>
    <w:rsid w:val="00DF588B"/>
    <w:rsid w:val="00DF6760"/>
    <w:rsid w:val="00DF7434"/>
    <w:rsid w:val="00DF76D1"/>
    <w:rsid w:val="00DF76D5"/>
    <w:rsid w:val="00DF7E91"/>
    <w:rsid w:val="00E020A3"/>
    <w:rsid w:val="00E028DF"/>
    <w:rsid w:val="00E04D54"/>
    <w:rsid w:val="00E04EED"/>
    <w:rsid w:val="00E10A3B"/>
    <w:rsid w:val="00E10B03"/>
    <w:rsid w:val="00E124FE"/>
    <w:rsid w:val="00E16F62"/>
    <w:rsid w:val="00E177A8"/>
    <w:rsid w:val="00E17873"/>
    <w:rsid w:val="00E2010F"/>
    <w:rsid w:val="00E203E3"/>
    <w:rsid w:val="00E20EF2"/>
    <w:rsid w:val="00E21156"/>
    <w:rsid w:val="00E21446"/>
    <w:rsid w:val="00E21BB9"/>
    <w:rsid w:val="00E221F5"/>
    <w:rsid w:val="00E22240"/>
    <w:rsid w:val="00E22279"/>
    <w:rsid w:val="00E229BB"/>
    <w:rsid w:val="00E22F10"/>
    <w:rsid w:val="00E2307C"/>
    <w:rsid w:val="00E2390B"/>
    <w:rsid w:val="00E23ADF"/>
    <w:rsid w:val="00E246D4"/>
    <w:rsid w:val="00E24EE4"/>
    <w:rsid w:val="00E2571B"/>
    <w:rsid w:val="00E26478"/>
    <w:rsid w:val="00E27964"/>
    <w:rsid w:val="00E30BA0"/>
    <w:rsid w:val="00E316EA"/>
    <w:rsid w:val="00E3586C"/>
    <w:rsid w:val="00E418A0"/>
    <w:rsid w:val="00E42502"/>
    <w:rsid w:val="00E426E7"/>
    <w:rsid w:val="00E42BD9"/>
    <w:rsid w:val="00E431D6"/>
    <w:rsid w:val="00E43442"/>
    <w:rsid w:val="00E43568"/>
    <w:rsid w:val="00E43D40"/>
    <w:rsid w:val="00E46437"/>
    <w:rsid w:val="00E46AF1"/>
    <w:rsid w:val="00E50748"/>
    <w:rsid w:val="00E523A4"/>
    <w:rsid w:val="00E528C2"/>
    <w:rsid w:val="00E528EE"/>
    <w:rsid w:val="00E52D0D"/>
    <w:rsid w:val="00E52DA7"/>
    <w:rsid w:val="00E55004"/>
    <w:rsid w:val="00E558A6"/>
    <w:rsid w:val="00E55957"/>
    <w:rsid w:val="00E57493"/>
    <w:rsid w:val="00E600FD"/>
    <w:rsid w:val="00E61E1A"/>
    <w:rsid w:val="00E6257A"/>
    <w:rsid w:val="00E63211"/>
    <w:rsid w:val="00E6484F"/>
    <w:rsid w:val="00E649BC"/>
    <w:rsid w:val="00E64D54"/>
    <w:rsid w:val="00E6581E"/>
    <w:rsid w:val="00E65A37"/>
    <w:rsid w:val="00E664C0"/>
    <w:rsid w:val="00E67054"/>
    <w:rsid w:val="00E707FE"/>
    <w:rsid w:val="00E725A8"/>
    <w:rsid w:val="00E748A2"/>
    <w:rsid w:val="00E7527D"/>
    <w:rsid w:val="00E76BEC"/>
    <w:rsid w:val="00E76C35"/>
    <w:rsid w:val="00E77591"/>
    <w:rsid w:val="00E8031B"/>
    <w:rsid w:val="00E81210"/>
    <w:rsid w:val="00E81A2F"/>
    <w:rsid w:val="00E8212E"/>
    <w:rsid w:val="00E82EDE"/>
    <w:rsid w:val="00E82F81"/>
    <w:rsid w:val="00E846C4"/>
    <w:rsid w:val="00E8493B"/>
    <w:rsid w:val="00E84BCE"/>
    <w:rsid w:val="00E85BFF"/>
    <w:rsid w:val="00E87E25"/>
    <w:rsid w:val="00E87EFE"/>
    <w:rsid w:val="00E90EF7"/>
    <w:rsid w:val="00E92E24"/>
    <w:rsid w:val="00E94603"/>
    <w:rsid w:val="00E94725"/>
    <w:rsid w:val="00E94DE4"/>
    <w:rsid w:val="00E95026"/>
    <w:rsid w:val="00E95215"/>
    <w:rsid w:val="00E9678B"/>
    <w:rsid w:val="00E96D1D"/>
    <w:rsid w:val="00E97C61"/>
    <w:rsid w:val="00EA02A1"/>
    <w:rsid w:val="00EA2D3C"/>
    <w:rsid w:val="00EA3067"/>
    <w:rsid w:val="00EA3579"/>
    <w:rsid w:val="00EA419E"/>
    <w:rsid w:val="00EA45FA"/>
    <w:rsid w:val="00EA50C1"/>
    <w:rsid w:val="00EA51F3"/>
    <w:rsid w:val="00EA55C9"/>
    <w:rsid w:val="00EA5EA4"/>
    <w:rsid w:val="00EA6442"/>
    <w:rsid w:val="00EA74EA"/>
    <w:rsid w:val="00EA78CC"/>
    <w:rsid w:val="00EA7EBD"/>
    <w:rsid w:val="00EB0633"/>
    <w:rsid w:val="00EB06ED"/>
    <w:rsid w:val="00EB0FC3"/>
    <w:rsid w:val="00EB1D13"/>
    <w:rsid w:val="00EB25A1"/>
    <w:rsid w:val="00EB2D8A"/>
    <w:rsid w:val="00EB40CF"/>
    <w:rsid w:val="00EB4738"/>
    <w:rsid w:val="00EB4DEF"/>
    <w:rsid w:val="00EB5FA2"/>
    <w:rsid w:val="00EB7D95"/>
    <w:rsid w:val="00EB7FD4"/>
    <w:rsid w:val="00EC07FE"/>
    <w:rsid w:val="00EC1C54"/>
    <w:rsid w:val="00EC300E"/>
    <w:rsid w:val="00EC3A45"/>
    <w:rsid w:val="00EC448E"/>
    <w:rsid w:val="00EC4F17"/>
    <w:rsid w:val="00EC5042"/>
    <w:rsid w:val="00EC583E"/>
    <w:rsid w:val="00EC5A89"/>
    <w:rsid w:val="00EC5BFC"/>
    <w:rsid w:val="00EC5CF7"/>
    <w:rsid w:val="00EC679D"/>
    <w:rsid w:val="00EC78E7"/>
    <w:rsid w:val="00ED1D4A"/>
    <w:rsid w:val="00ED43D2"/>
    <w:rsid w:val="00ED4E22"/>
    <w:rsid w:val="00ED52CB"/>
    <w:rsid w:val="00ED58CA"/>
    <w:rsid w:val="00ED5DB3"/>
    <w:rsid w:val="00ED68E5"/>
    <w:rsid w:val="00EE0EA1"/>
    <w:rsid w:val="00EE1244"/>
    <w:rsid w:val="00EE15B7"/>
    <w:rsid w:val="00EE260E"/>
    <w:rsid w:val="00EE26FB"/>
    <w:rsid w:val="00EE3B8C"/>
    <w:rsid w:val="00EE4C83"/>
    <w:rsid w:val="00EE5099"/>
    <w:rsid w:val="00EE53C2"/>
    <w:rsid w:val="00EE56D9"/>
    <w:rsid w:val="00EE5F10"/>
    <w:rsid w:val="00EE600B"/>
    <w:rsid w:val="00EF18B3"/>
    <w:rsid w:val="00EF1FF6"/>
    <w:rsid w:val="00EF412C"/>
    <w:rsid w:val="00EF482C"/>
    <w:rsid w:val="00EF4A38"/>
    <w:rsid w:val="00EF681B"/>
    <w:rsid w:val="00EF72BE"/>
    <w:rsid w:val="00EF730A"/>
    <w:rsid w:val="00EF77E8"/>
    <w:rsid w:val="00F005C6"/>
    <w:rsid w:val="00F01735"/>
    <w:rsid w:val="00F02197"/>
    <w:rsid w:val="00F02A47"/>
    <w:rsid w:val="00F048BE"/>
    <w:rsid w:val="00F04B5B"/>
    <w:rsid w:val="00F05710"/>
    <w:rsid w:val="00F05A55"/>
    <w:rsid w:val="00F05CC8"/>
    <w:rsid w:val="00F0751D"/>
    <w:rsid w:val="00F106E1"/>
    <w:rsid w:val="00F10A79"/>
    <w:rsid w:val="00F11B8F"/>
    <w:rsid w:val="00F13164"/>
    <w:rsid w:val="00F14248"/>
    <w:rsid w:val="00F1559E"/>
    <w:rsid w:val="00F17556"/>
    <w:rsid w:val="00F17910"/>
    <w:rsid w:val="00F204AA"/>
    <w:rsid w:val="00F22239"/>
    <w:rsid w:val="00F22CFF"/>
    <w:rsid w:val="00F2486A"/>
    <w:rsid w:val="00F25418"/>
    <w:rsid w:val="00F25937"/>
    <w:rsid w:val="00F25BE1"/>
    <w:rsid w:val="00F25EB4"/>
    <w:rsid w:val="00F26F89"/>
    <w:rsid w:val="00F2783B"/>
    <w:rsid w:val="00F30C30"/>
    <w:rsid w:val="00F316E1"/>
    <w:rsid w:val="00F319B0"/>
    <w:rsid w:val="00F31E84"/>
    <w:rsid w:val="00F32714"/>
    <w:rsid w:val="00F32A56"/>
    <w:rsid w:val="00F34752"/>
    <w:rsid w:val="00F35F68"/>
    <w:rsid w:val="00F366C8"/>
    <w:rsid w:val="00F36B4D"/>
    <w:rsid w:val="00F37830"/>
    <w:rsid w:val="00F41932"/>
    <w:rsid w:val="00F42350"/>
    <w:rsid w:val="00F427F9"/>
    <w:rsid w:val="00F434D2"/>
    <w:rsid w:val="00F45B87"/>
    <w:rsid w:val="00F462BE"/>
    <w:rsid w:val="00F468EE"/>
    <w:rsid w:val="00F47241"/>
    <w:rsid w:val="00F47291"/>
    <w:rsid w:val="00F47982"/>
    <w:rsid w:val="00F47FCE"/>
    <w:rsid w:val="00F50A29"/>
    <w:rsid w:val="00F50E0E"/>
    <w:rsid w:val="00F5114F"/>
    <w:rsid w:val="00F5169F"/>
    <w:rsid w:val="00F51DC1"/>
    <w:rsid w:val="00F522F2"/>
    <w:rsid w:val="00F534AC"/>
    <w:rsid w:val="00F53504"/>
    <w:rsid w:val="00F54A1B"/>
    <w:rsid w:val="00F55351"/>
    <w:rsid w:val="00F55F5D"/>
    <w:rsid w:val="00F56804"/>
    <w:rsid w:val="00F56BE6"/>
    <w:rsid w:val="00F57655"/>
    <w:rsid w:val="00F604B5"/>
    <w:rsid w:val="00F6053A"/>
    <w:rsid w:val="00F6187C"/>
    <w:rsid w:val="00F61905"/>
    <w:rsid w:val="00F631BC"/>
    <w:rsid w:val="00F632D9"/>
    <w:rsid w:val="00F63590"/>
    <w:rsid w:val="00F63ABE"/>
    <w:rsid w:val="00F63D78"/>
    <w:rsid w:val="00F63F64"/>
    <w:rsid w:val="00F651A8"/>
    <w:rsid w:val="00F65436"/>
    <w:rsid w:val="00F65E90"/>
    <w:rsid w:val="00F66AF5"/>
    <w:rsid w:val="00F670F7"/>
    <w:rsid w:val="00F70109"/>
    <w:rsid w:val="00F71643"/>
    <w:rsid w:val="00F7166D"/>
    <w:rsid w:val="00F72266"/>
    <w:rsid w:val="00F74011"/>
    <w:rsid w:val="00F7447F"/>
    <w:rsid w:val="00F7468E"/>
    <w:rsid w:val="00F74E3B"/>
    <w:rsid w:val="00F755CB"/>
    <w:rsid w:val="00F75DDD"/>
    <w:rsid w:val="00F76864"/>
    <w:rsid w:val="00F776C3"/>
    <w:rsid w:val="00F82FCA"/>
    <w:rsid w:val="00F831CB"/>
    <w:rsid w:val="00F84FF1"/>
    <w:rsid w:val="00F851AC"/>
    <w:rsid w:val="00F851DD"/>
    <w:rsid w:val="00F9172B"/>
    <w:rsid w:val="00F91B3D"/>
    <w:rsid w:val="00F92B4C"/>
    <w:rsid w:val="00F92F3D"/>
    <w:rsid w:val="00F930B1"/>
    <w:rsid w:val="00F93946"/>
    <w:rsid w:val="00F94A8D"/>
    <w:rsid w:val="00F94ED9"/>
    <w:rsid w:val="00F975AB"/>
    <w:rsid w:val="00F97BF2"/>
    <w:rsid w:val="00F97EA0"/>
    <w:rsid w:val="00FA0003"/>
    <w:rsid w:val="00FA104B"/>
    <w:rsid w:val="00FA25F8"/>
    <w:rsid w:val="00FA319F"/>
    <w:rsid w:val="00FA3ADA"/>
    <w:rsid w:val="00FA462C"/>
    <w:rsid w:val="00FA6A17"/>
    <w:rsid w:val="00FA6FC9"/>
    <w:rsid w:val="00FA755A"/>
    <w:rsid w:val="00FB0280"/>
    <w:rsid w:val="00FB10CB"/>
    <w:rsid w:val="00FB1253"/>
    <w:rsid w:val="00FB18BC"/>
    <w:rsid w:val="00FB3064"/>
    <w:rsid w:val="00FB31BF"/>
    <w:rsid w:val="00FB4011"/>
    <w:rsid w:val="00FB4FB3"/>
    <w:rsid w:val="00FB6CCE"/>
    <w:rsid w:val="00FB6FC1"/>
    <w:rsid w:val="00FB7209"/>
    <w:rsid w:val="00FB762C"/>
    <w:rsid w:val="00FB7842"/>
    <w:rsid w:val="00FC17FE"/>
    <w:rsid w:val="00FC2410"/>
    <w:rsid w:val="00FC2489"/>
    <w:rsid w:val="00FC3B52"/>
    <w:rsid w:val="00FC4A84"/>
    <w:rsid w:val="00FC5169"/>
    <w:rsid w:val="00FC65D4"/>
    <w:rsid w:val="00FC74CD"/>
    <w:rsid w:val="00FC75CD"/>
    <w:rsid w:val="00FC7E4C"/>
    <w:rsid w:val="00FD0BCB"/>
    <w:rsid w:val="00FD0FB1"/>
    <w:rsid w:val="00FD216A"/>
    <w:rsid w:val="00FD2B8C"/>
    <w:rsid w:val="00FD2E5D"/>
    <w:rsid w:val="00FD514B"/>
    <w:rsid w:val="00FD53BE"/>
    <w:rsid w:val="00FD62A7"/>
    <w:rsid w:val="00FD6309"/>
    <w:rsid w:val="00FD71E4"/>
    <w:rsid w:val="00FD7230"/>
    <w:rsid w:val="00FD7347"/>
    <w:rsid w:val="00FD7C9E"/>
    <w:rsid w:val="00FD7FE6"/>
    <w:rsid w:val="00FE00A1"/>
    <w:rsid w:val="00FE01F9"/>
    <w:rsid w:val="00FE0F02"/>
    <w:rsid w:val="00FE11DB"/>
    <w:rsid w:val="00FE151D"/>
    <w:rsid w:val="00FE188C"/>
    <w:rsid w:val="00FE1891"/>
    <w:rsid w:val="00FE1DBD"/>
    <w:rsid w:val="00FE2033"/>
    <w:rsid w:val="00FE2315"/>
    <w:rsid w:val="00FE29F8"/>
    <w:rsid w:val="00FE2C1C"/>
    <w:rsid w:val="00FE2EDD"/>
    <w:rsid w:val="00FE570B"/>
    <w:rsid w:val="00FE6C45"/>
    <w:rsid w:val="00FF0725"/>
    <w:rsid w:val="00FF0A59"/>
    <w:rsid w:val="00FF0F5B"/>
    <w:rsid w:val="00FF1065"/>
    <w:rsid w:val="00FF2178"/>
    <w:rsid w:val="00FF2E1D"/>
    <w:rsid w:val="00FF2F7D"/>
    <w:rsid w:val="00FF385B"/>
    <w:rsid w:val="00FF447B"/>
    <w:rsid w:val="00FF49AE"/>
    <w:rsid w:val="00FF50C3"/>
    <w:rsid w:val="00FF5727"/>
    <w:rsid w:val="00FF58A1"/>
    <w:rsid w:val="00FF5972"/>
    <w:rsid w:val="00FF6BC5"/>
    <w:rsid w:val="00FF76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279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34A"/>
    <w:pPr>
      <w:spacing w:before="120" w:after="120"/>
    </w:pPr>
  </w:style>
  <w:style w:type="paragraph" w:styleId="Heading1">
    <w:name w:val="heading 1"/>
    <w:basedOn w:val="Normal"/>
    <w:next w:val="Normal"/>
    <w:link w:val="Heading1Char"/>
    <w:uiPriority w:val="9"/>
    <w:qFormat/>
    <w:rsid w:val="00EF681B"/>
    <w:pPr>
      <w:keepNext/>
      <w:pageBreakBefore/>
      <w:numPr>
        <w:numId w:val="3"/>
      </w:numPr>
      <w:spacing w:before="0" w:after="240" w:line="240" w:lineRule="auto"/>
      <w:ind w:left="431" w:hanging="431"/>
      <w:contextualSpacing/>
      <w:outlineLvl w:val="0"/>
    </w:pPr>
    <w:rPr>
      <w:rFonts w:ascii="Calibri" w:eastAsiaTheme="majorEastAsia" w:hAnsi="Calibri" w:cstheme="majorBidi"/>
      <w:b/>
      <w:bCs/>
      <w:color w:val="1E3D6B"/>
      <w:sz w:val="36"/>
      <w:szCs w:val="28"/>
    </w:rPr>
  </w:style>
  <w:style w:type="paragraph" w:styleId="Heading2">
    <w:name w:val="heading 2"/>
    <w:basedOn w:val="Heading1"/>
    <w:next w:val="Normal"/>
    <w:link w:val="Heading2Char"/>
    <w:unhideWhenUsed/>
    <w:qFormat/>
    <w:rsid w:val="00920031"/>
    <w:pPr>
      <w:pageBreakBefore w:val="0"/>
      <w:numPr>
        <w:ilvl w:val="1"/>
      </w:numPr>
      <w:spacing w:before="480"/>
      <w:ind w:left="720" w:hanging="720"/>
      <w:outlineLvl w:val="1"/>
    </w:pPr>
    <w:rPr>
      <w:color w:val="auto"/>
      <w:sz w:val="28"/>
    </w:rPr>
  </w:style>
  <w:style w:type="paragraph" w:styleId="Heading3">
    <w:name w:val="heading 3"/>
    <w:basedOn w:val="Normal"/>
    <w:next w:val="Normal"/>
    <w:link w:val="Heading3Char"/>
    <w:uiPriority w:val="9"/>
    <w:unhideWhenUsed/>
    <w:qFormat/>
    <w:rsid w:val="001835B8"/>
    <w:pPr>
      <w:keepNext/>
      <w:numPr>
        <w:ilvl w:val="2"/>
        <w:numId w:val="3"/>
      </w:numPr>
      <w:spacing w:before="360" w:after="0"/>
      <w:outlineLvl w:val="2"/>
    </w:pPr>
    <w:rPr>
      <w:rFonts w:ascii="Calibri" w:eastAsiaTheme="majorEastAsia" w:hAnsi="Calibri" w:cstheme="majorBidi"/>
      <w:b/>
      <w:bCs/>
    </w:rPr>
  </w:style>
  <w:style w:type="paragraph" w:styleId="Heading4">
    <w:name w:val="heading 4"/>
    <w:basedOn w:val="Normal"/>
    <w:next w:val="Normal"/>
    <w:link w:val="Heading4Char"/>
    <w:unhideWhenUsed/>
    <w:qFormat/>
    <w:rsid w:val="00D1734A"/>
    <w:pPr>
      <w:keepNext/>
      <w:spacing w:before="200" w:after="0"/>
      <w:outlineLvl w:val="3"/>
    </w:pPr>
    <w:rPr>
      <w:rFonts w:ascii="Calibri" w:eastAsiaTheme="majorEastAsia" w:hAnsi="Calibri" w:cstheme="majorBidi"/>
      <w:b/>
      <w:bCs/>
      <w:i/>
      <w:iCs/>
      <w:color w:val="1E3D6B" w:themeColor="accent1"/>
    </w:rPr>
  </w:style>
  <w:style w:type="paragraph" w:styleId="Heading5">
    <w:name w:val="heading 5"/>
    <w:basedOn w:val="Normal"/>
    <w:next w:val="Normal"/>
    <w:link w:val="Heading5Char"/>
    <w:unhideWhenUsed/>
    <w:qFormat/>
    <w:rsid w:val="001B6467"/>
    <w:pPr>
      <w:numPr>
        <w:ilvl w:val="4"/>
        <w:numId w:val="3"/>
      </w:numPr>
      <w:spacing w:before="200" w:after="0"/>
      <w:outlineLvl w:val="4"/>
    </w:pPr>
    <w:rPr>
      <w:rFonts w:ascii="Calibri" w:eastAsiaTheme="majorEastAsia" w:hAnsi="Calibri" w:cstheme="majorBidi"/>
      <w:b/>
      <w:bCs/>
      <w:color w:val="757575"/>
    </w:rPr>
  </w:style>
  <w:style w:type="paragraph" w:styleId="Heading6">
    <w:name w:val="heading 6"/>
    <w:basedOn w:val="Normal"/>
    <w:next w:val="Normal"/>
    <w:link w:val="Heading6Char"/>
    <w:unhideWhenUsed/>
    <w:qFormat/>
    <w:rsid w:val="00933671"/>
    <w:pPr>
      <w:numPr>
        <w:ilvl w:val="5"/>
        <w:numId w:val="3"/>
      </w:numPr>
      <w:spacing w:before="200" w:after="0"/>
      <w:outlineLvl w:val="5"/>
    </w:pPr>
    <w:rPr>
      <w:rFonts w:ascii="Calibri" w:eastAsiaTheme="majorEastAsia" w:hAnsi="Calibri" w:cstheme="majorBidi"/>
      <w:b/>
      <w:bCs/>
      <w:i/>
      <w:iCs/>
      <w:color w:val="757575"/>
    </w:rPr>
  </w:style>
  <w:style w:type="paragraph" w:styleId="Heading7">
    <w:name w:val="heading 7"/>
    <w:basedOn w:val="Normal"/>
    <w:next w:val="Normal"/>
    <w:link w:val="Heading7Char"/>
    <w:uiPriority w:val="9"/>
    <w:unhideWhenUsed/>
    <w:qFormat/>
    <w:rsid w:val="00AC65DA"/>
    <w:pPr>
      <w:numPr>
        <w:ilvl w:val="6"/>
        <w:numId w:val="3"/>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C65DA"/>
    <w:pPr>
      <w:numPr>
        <w:ilvl w:val="7"/>
        <w:numId w:val="3"/>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C65DA"/>
    <w:pPr>
      <w:numPr>
        <w:ilvl w:val="8"/>
        <w:numId w:val="3"/>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80316"/>
    <w:pPr>
      <w:spacing w:before="0" w:after="240"/>
    </w:pPr>
    <w:rPr>
      <w:rFonts w:ascii="Calibri" w:eastAsiaTheme="majorEastAsia" w:hAnsi="Calibri" w:cstheme="majorBidi"/>
      <w:iCs/>
      <w:color w:val="FFFFFF" w:themeColor="background2"/>
      <w:spacing w:val="13"/>
      <w:sz w:val="50"/>
      <w:szCs w:val="50"/>
    </w:rPr>
  </w:style>
  <w:style w:type="character" w:customStyle="1" w:styleId="SubtitleChar">
    <w:name w:val="Subtitle Char"/>
    <w:basedOn w:val="DefaultParagraphFont"/>
    <w:link w:val="Subtitle"/>
    <w:uiPriority w:val="11"/>
    <w:rsid w:val="00280316"/>
    <w:rPr>
      <w:rFonts w:ascii="Calibri" w:eastAsiaTheme="majorEastAsia" w:hAnsi="Calibri" w:cstheme="majorBidi"/>
      <w:iCs/>
      <w:color w:val="FFFFFF" w:themeColor="background2"/>
      <w:spacing w:val="13"/>
      <w:sz w:val="50"/>
      <w:szCs w:val="50"/>
    </w:rPr>
  </w:style>
  <w:style w:type="character" w:styleId="Hyperlink">
    <w:name w:val="Hyperlink"/>
    <w:basedOn w:val="DefaultParagraphFont"/>
    <w:uiPriority w:val="99"/>
    <w:unhideWhenUsed/>
    <w:rsid w:val="00280316"/>
    <w:rPr>
      <w:color w:val="1E3D6B" w:themeColor="accent1"/>
      <w:u w:val="single"/>
    </w:rPr>
  </w:style>
  <w:style w:type="paragraph" w:styleId="Quote">
    <w:name w:val="Quote"/>
    <w:next w:val="Quoteattribution"/>
    <w:link w:val="QuoteChar"/>
    <w:uiPriority w:val="29"/>
    <w:qFormat/>
    <w:rsid w:val="008A50D6"/>
    <w:pPr>
      <w:keepNext/>
      <w:spacing w:before="240" w:after="0"/>
      <w:ind w:left="567" w:right="567"/>
    </w:pPr>
    <w:rPr>
      <w:i/>
      <w:color w:val="1E3D6B" w:themeColor="accent1"/>
      <w:sz w:val="20"/>
      <w:szCs w:val="20"/>
      <w:lang w:val="pt-PT"/>
    </w:rPr>
  </w:style>
  <w:style w:type="character" w:customStyle="1" w:styleId="QuoteChar">
    <w:name w:val="Quote Char"/>
    <w:basedOn w:val="DefaultParagraphFont"/>
    <w:link w:val="Quote"/>
    <w:uiPriority w:val="29"/>
    <w:rsid w:val="008A50D6"/>
    <w:rPr>
      <w:i/>
      <w:color w:val="1E3D6B" w:themeColor="accent1"/>
      <w:sz w:val="20"/>
      <w:szCs w:val="20"/>
      <w:lang w:val="pt-PT"/>
    </w:rPr>
  </w:style>
  <w:style w:type="character" w:customStyle="1" w:styleId="Heading1Char">
    <w:name w:val="Heading 1 Char"/>
    <w:basedOn w:val="DefaultParagraphFont"/>
    <w:link w:val="Heading1"/>
    <w:uiPriority w:val="9"/>
    <w:rsid w:val="00EF681B"/>
    <w:rPr>
      <w:rFonts w:ascii="Calibri" w:eastAsiaTheme="majorEastAsia" w:hAnsi="Calibri" w:cstheme="majorBidi"/>
      <w:b/>
      <w:bCs/>
      <w:color w:val="1E3D6B"/>
      <w:sz w:val="36"/>
      <w:szCs w:val="28"/>
    </w:rPr>
  </w:style>
  <w:style w:type="character" w:customStyle="1" w:styleId="Heading2Char">
    <w:name w:val="Heading 2 Char"/>
    <w:basedOn w:val="DefaultParagraphFont"/>
    <w:link w:val="Heading2"/>
    <w:rsid w:val="00920031"/>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1835B8"/>
    <w:rPr>
      <w:rFonts w:ascii="Calibri" w:eastAsiaTheme="majorEastAsia" w:hAnsi="Calibri" w:cstheme="majorBidi"/>
      <w:b/>
      <w:bCs/>
    </w:rPr>
  </w:style>
  <w:style w:type="character" w:customStyle="1" w:styleId="Heading4Char">
    <w:name w:val="Heading 4 Char"/>
    <w:basedOn w:val="DefaultParagraphFont"/>
    <w:link w:val="Heading4"/>
    <w:rsid w:val="00D1734A"/>
    <w:rPr>
      <w:rFonts w:ascii="Calibri" w:eastAsiaTheme="majorEastAsia" w:hAnsi="Calibri" w:cstheme="majorBidi"/>
      <w:b/>
      <w:bCs/>
      <w:i/>
      <w:iCs/>
      <w:color w:val="1E3D6B" w:themeColor="accent1"/>
    </w:rPr>
  </w:style>
  <w:style w:type="character" w:customStyle="1" w:styleId="Heading5Char">
    <w:name w:val="Heading 5 Char"/>
    <w:basedOn w:val="DefaultParagraphFont"/>
    <w:link w:val="Heading5"/>
    <w:rsid w:val="001B6467"/>
    <w:rPr>
      <w:rFonts w:ascii="Calibri" w:eastAsiaTheme="majorEastAsia" w:hAnsi="Calibri" w:cstheme="majorBidi"/>
      <w:b/>
      <w:bCs/>
      <w:color w:val="757575"/>
    </w:rPr>
  </w:style>
  <w:style w:type="character" w:customStyle="1" w:styleId="Heading6Char">
    <w:name w:val="Heading 6 Char"/>
    <w:basedOn w:val="DefaultParagraphFont"/>
    <w:link w:val="Heading6"/>
    <w:rsid w:val="00933671"/>
    <w:rPr>
      <w:rFonts w:ascii="Calibri" w:eastAsiaTheme="majorEastAsia" w:hAnsi="Calibri" w:cstheme="majorBidi"/>
      <w:b/>
      <w:bCs/>
      <w:i/>
      <w:iCs/>
      <w:color w:val="757575"/>
    </w:rPr>
  </w:style>
  <w:style w:type="character" w:customStyle="1" w:styleId="Heading7Char">
    <w:name w:val="Heading 7 Char"/>
    <w:basedOn w:val="DefaultParagraphFont"/>
    <w:link w:val="Heading7"/>
    <w:uiPriority w:val="9"/>
    <w:rsid w:val="00AC65D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C65D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C65D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10F4"/>
    <w:pPr>
      <w:spacing w:line="240" w:lineRule="auto"/>
      <w:contextualSpacing/>
    </w:pPr>
    <w:rPr>
      <w:rFonts w:ascii="Calibri" w:eastAsiaTheme="majorEastAsia" w:hAnsi="Calibri" w:cstheme="majorBidi"/>
      <w:color w:val="FFFFFF" w:themeColor="background2"/>
      <w:spacing w:val="5"/>
      <w:sz w:val="90"/>
      <w:szCs w:val="90"/>
    </w:rPr>
  </w:style>
  <w:style w:type="character" w:customStyle="1" w:styleId="TitleChar">
    <w:name w:val="Title Char"/>
    <w:basedOn w:val="DefaultParagraphFont"/>
    <w:link w:val="Title"/>
    <w:uiPriority w:val="10"/>
    <w:rsid w:val="00BF10F4"/>
    <w:rPr>
      <w:rFonts w:ascii="Calibri" w:eastAsiaTheme="majorEastAsia" w:hAnsi="Calibri" w:cstheme="majorBidi"/>
      <w:color w:val="FFFFFF" w:themeColor="background2"/>
      <w:spacing w:val="5"/>
      <w:sz w:val="90"/>
      <w:szCs w:val="90"/>
    </w:rPr>
  </w:style>
  <w:style w:type="paragraph" w:styleId="ListParagraph">
    <w:name w:val="List Paragraph"/>
    <w:basedOn w:val="Normal"/>
    <w:link w:val="ListParagraphChar"/>
    <w:uiPriority w:val="34"/>
    <w:qFormat/>
    <w:rsid w:val="00AC65DA"/>
    <w:pPr>
      <w:ind w:left="720"/>
      <w:contextualSpacing/>
    </w:pPr>
  </w:style>
  <w:style w:type="paragraph" w:styleId="TOCHeading">
    <w:name w:val="TOC Heading"/>
    <w:basedOn w:val="Heading1"/>
    <w:next w:val="Normal"/>
    <w:uiPriority w:val="39"/>
    <w:unhideWhenUsed/>
    <w:qFormat/>
    <w:rsid w:val="00AC65DA"/>
    <w:pPr>
      <w:outlineLvl w:val="9"/>
    </w:pPr>
    <w:rPr>
      <w:lang w:bidi="en-US"/>
    </w:rPr>
  </w:style>
  <w:style w:type="paragraph" w:styleId="ListNumber">
    <w:name w:val="List Number"/>
    <w:basedOn w:val="Normal"/>
    <w:uiPriority w:val="99"/>
    <w:unhideWhenUsed/>
    <w:rsid w:val="00C85245"/>
    <w:pPr>
      <w:numPr>
        <w:numId w:val="4"/>
      </w:numPr>
      <w:ind w:left="993"/>
      <w:contextualSpacing/>
    </w:pPr>
  </w:style>
  <w:style w:type="paragraph" w:styleId="ListNumber2">
    <w:name w:val="List Number 2"/>
    <w:basedOn w:val="Normal"/>
    <w:uiPriority w:val="99"/>
    <w:unhideWhenUsed/>
    <w:rsid w:val="006B0016"/>
    <w:pPr>
      <w:numPr>
        <w:ilvl w:val="1"/>
        <w:numId w:val="1"/>
      </w:numPr>
      <w:tabs>
        <w:tab w:val="left" w:pos="1134"/>
      </w:tabs>
      <w:contextualSpacing/>
    </w:pPr>
  </w:style>
  <w:style w:type="paragraph" w:styleId="ListNumber3">
    <w:name w:val="List Number 3"/>
    <w:basedOn w:val="Normal"/>
    <w:uiPriority w:val="99"/>
    <w:unhideWhenUsed/>
    <w:rsid w:val="006B0016"/>
    <w:pPr>
      <w:numPr>
        <w:ilvl w:val="2"/>
        <w:numId w:val="1"/>
      </w:numPr>
      <w:contextualSpacing/>
    </w:pPr>
  </w:style>
  <w:style w:type="paragraph" w:styleId="ListNumber4">
    <w:name w:val="List Number 4"/>
    <w:basedOn w:val="Normal"/>
    <w:uiPriority w:val="99"/>
    <w:unhideWhenUsed/>
    <w:rsid w:val="006B0016"/>
    <w:pPr>
      <w:numPr>
        <w:ilvl w:val="3"/>
        <w:numId w:val="1"/>
      </w:numPr>
      <w:contextualSpacing/>
    </w:pPr>
  </w:style>
  <w:style w:type="paragraph" w:styleId="ListBullet">
    <w:name w:val="List Bullet"/>
    <w:basedOn w:val="Normal"/>
    <w:uiPriority w:val="99"/>
    <w:unhideWhenUsed/>
    <w:rsid w:val="00435DE3"/>
    <w:pPr>
      <w:numPr>
        <w:numId w:val="6"/>
      </w:numPr>
      <w:contextualSpacing/>
    </w:pPr>
  </w:style>
  <w:style w:type="paragraph" w:styleId="ListBullet2">
    <w:name w:val="List Bullet 2"/>
    <w:basedOn w:val="Normal"/>
    <w:unhideWhenUsed/>
    <w:rsid w:val="006B0016"/>
    <w:pPr>
      <w:numPr>
        <w:ilvl w:val="1"/>
        <w:numId w:val="2"/>
      </w:numPr>
      <w:contextualSpacing/>
    </w:pPr>
  </w:style>
  <w:style w:type="paragraph" w:styleId="ListBullet3">
    <w:name w:val="List Bullet 3"/>
    <w:basedOn w:val="Normal"/>
    <w:uiPriority w:val="99"/>
    <w:unhideWhenUsed/>
    <w:rsid w:val="006B0016"/>
    <w:pPr>
      <w:numPr>
        <w:ilvl w:val="2"/>
        <w:numId w:val="2"/>
      </w:numPr>
      <w:contextualSpacing/>
    </w:pPr>
  </w:style>
  <w:style w:type="paragraph" w:styleId="ListBullet4">
    <w:name w:val="List Bullet 4"/>
    <w:basedOn w:val="Normal"/>
    <w:uiPriority w:val="99"/>
    <w:unhideWhenUsed/>
    <w:rsid w:val="006B0016"/>
    <w:pPr>
      <w:numPr>
        <w:ilvl w:val="3"/>
        <w:numId w:val="2"/>
      </w:numPr>
      <w:contextualSpacing/>
    </w:pPr>
  </w:style>
  <w:style w:type="table" w:styleId="TableGrid">
    <w:name w:val="Table Grid"/>
    <w:basedOn w:val="TableNormal"/>
    <w:uiPriority w:val="59"/>
    <w:rsid w:val="00792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EWRTable">
    <w:name w:val="DEEWR Table"/>
    <w:basedOn w:val="TableNormal"/>
    <w:uiPriority w:val="99"/>
    <w:rsid w:val="00903408"/>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paragraph" w:styleId="Revision">
    <w:name w:val="Revision"/>
    <w:hidden/>
    <w:uiPriority w:val="99"/>
    <w:semiHidden/>
    <w:rsid w:val="00EA78CC"/>
    <w:pPr>
      <w:spacing w:after="0" w:line="240" w:lineRule="auto"/>
    </w:pPr>
  </w:style>
  <w:style w:type="paragraph" w:styleId="BalloonText">
    <w:name w:val="Balloon Text"/>
    <w:basedOn w:val="Normal"/>
    <w:link w:val="BalloonTextChar"/>
    <w:unhideWhenUsed/>
    <w:rsid w:val="00130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30923"/>
    <w:rPr>
      <w:rFonts w:ascii="Tahoma" w:hAnsi="Tahoma" w:cs="Tahoma"/>
      <w:sz w:val="16"/>
      <w:szCs w:val="16"/>
    </w:rPr>
  </w:style>
  <w:style w:type="paragraph" w:styleId="Header">
    <w:name w:val="header"/>
    <w:basedOn w:val="Normal"/>
    <w:link w:val="HeaderChar"/>
    <w:uiPriority w:val="99"/>
    <w:unhideWhenUsed/>
    <w:rsid w:val="00130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923"/>
  </w:style>
  <w:style w:type="paragraph" w:styleId="Footer">
    <w:name w:val="footer"/>
    <w:basedOn w:val="Normal"/>
    <w:link w:val="FooterChar"/>
    <w:uiPriority w:val="99"/>
    <w:unhideWhenUsed/>
    <w:rsid w:val="00130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923"/>
  </w:style>
  <w:style w:type="paragraph" w:styleId="TOC1">
    <w:name w:val="toc 1"/>
    <w:basedOn w:val="Normal"/>
    <w:next w:val="Normal"/>
    <w:autoRedefine/>
    <w:uiPriority w:val="39"/>
    <w:unhideWhenUsed/>
    <w:qFormat/>
    <w:rsid w:val="00F51DC1"/>
    <w:pPr>
      <w:tabs>
        <w:tab w:val="left" w:pos="426"/>
        <w:tab w:val="right" w:leader="dot" w:pos="9016"/>
      </w:tabs>
      <w:spacing w:before="20" w:after="20"/>
    </w:pPr>
    <w:rPr>
      <w:b/>
    </w:rPr>
  </w:style>
  <w:style w:type="paragraph" w:styleId="TOC2">
    <w:name w:val="toc 2"/>
    <w:basedOn w:val="Normal"/>
    <w:next w:val="Normal"/>
    <w:autoRedefine/>
    <w:uiPriority w:val="39"/>
    <w:unhideWhenUsed/>
    <w:qFormat/>
    <w:rsid w:val="00902AB5"/>
    <w:pPr>
      <w:tabs>
        <w:tab w:val="left" w:pos="880"/>
        <w:tab w:val="right" w:leader="dot" w:pos="9016"/>
      </w:tabs>
      <w:spacing w:before="20" w:after="20"/>
      <w:ind w:left="845" w:hanging="624"/>
    </w:pPr>
    <w:rPr>
      <w:noProof/>
      <w:lang w:eastAsia="en-AU"/>
    </w:rPr>
  </w:style>
  <w:style w:type="paragraph" w:styleId="TOC3">
    <w:name w:val="toc 3"/>
    <w:basedOn w:val="Normal"/>
    <w:next w:val="Normal"/>
    <w:autoRedefine/>
    <w:uiPriority w:val="39"/>
    <w:unhideWhenUsed/>
    <w:qFormat/>
    <w:rsid w:val="00EF4A38"/>
    <w:pPr>
      <w:spacing w:after="100"/>
      <w:ind w:left="440"/>
    </w:pPr>
  </w:style>
  <w:style w:type="paragraph" w:styleId="Caption">
    <w:name w:val="caption"/>
    <w:basedOn w:val="Normal"/>
    <w:next w:val="Normal"/>
    <w:uiPriority w:val="35"/>
    <w:unhideWhenUsed/>
    <w:qFormat/>
    <w:rsid w:val="00C2342F"/>
    <w:pPr>
      <w:keepNext/>
      <w:spacing w:before="240" w:after="60" w:line="240" w:lineRule="auto"/>
    </w:pPr>
    <w:rPr>
      <w:b/>
      <w:bCs/>
      <w:szCs w:val="18"/>
    </w:rPr>
  </w:style>
  <w:style w:type="paragraph" w:customStyle="1" w:styleId="Source">
    <w:name w:val="Source"/>
    <w:basedOn w:val="Normal"/>
    <w:next w:val="Normal"/>
    <w:qFormat/>
    <w:rsid w:val="008B1A0F"/>
    <w:pPr>
      <w:spacing w:before="40" w:after="0" w:line="240" w:lineRule="auto"/>
    </w:pPr>
    <w:rPr>
      <w:rFonts w:cstheme="minorHAnsi"/>
      <w:bCs/>
      <w:sz w:val="16"/>
      <w:szCs w:val="20"/>
    </w:rPr>
  </w:style>
  <w:style w:type="character" w:styleId="PlaceholderText">
    <w:name w:val="Placeholder Text"/>
    <w:basedOn w:val="DefaultParagraphFont"/>
    <w:uiPriority w:val="99"/>
    <w:semiHidden/>
    <w:rsid w:val="00BA282D"/>
    <w:rPr>
      <w:color w:val="808080"/>
    </w:rPr>
  </w:style>
  <w:style w:type="numbering" w:customStyle="1" w:styleId="NumberedList">
    <w:name w:val="Numbered List"/>
    <w:uiPriority w:val="99"/>
    <w:rsid w:val="006B0016"/>
    <w:pPr>
      <w:numPr>
        <w:numId w:val="1"/>
      </w:numPr>
    </w:pPr>
  </w:style>
  <w:style w:type="numbering" w:customStyle="1" w:styleId="BulletList">
    <w:name w:val="Bullet List"/>
    <w:uiPriority w:val="99"/>
    <w:rsid w:val="006B0016"/>
    <w:pPr>
      <w:numPr>
        <w:numId w:val="2"/>
      </w:numPr>
    </w:pPr>
  </w:style>
  <w:style w:type="paragraph" w:styleId="ListNumber5">
    <w:name w:val="List Number 5"/>
    <w:basedOn w:val="Normal"/>
    <w:uiPriority w:val="99"/>
    <w:semiHidden/>
    <w:unhideWhenUsed/>
    <w:rsid w:val="006B0016"/>
    <w:pPr>
      <w:numPr>
        <w:ilvl w:val="4"/>
        <w:numId w:val="1"/>
      </w:numPr>
      <w:contextualSpacing/>
    </w:pPr>
  </w:style>
  <w:style w:type="paragraph" w:styleId="ListBullet5">
    <w:name w:val="List Bullet 5"/>
    <w:basedOn w:val="Normal"/>
    <w:uiPriority w:val="99"/>
    <w:semiHidden/>
    <w:unhideWhenUsed/>
    <w:rsid w:val="006B0016"/>
    <w:pPr>
      <w:numPr>
        <w:ilvl w:val="4"/>
        <w:numId w:val="2"/>
      </w:numPr>
      <w:contextualSpacing/>
    </w:pPr>
  </w:style>
  <w:style w:type="paragraph" w:customStyle="1" w:styleId="Tableheadingleftcolumn">
    <w:name w:val="Table heading left column"/>
    <w:basedOn w:val="Normal"/>
    <w:qFormat/>
    <w:rsid w:val="00EF681B"/>
    <w:pPr>
      <w:tabs>
        <w:tab w:val="left" w:pos="2410"/>
      </w:tabs>
      <w:spacing w:before="60" w:after="60" w:line="240" w:lineRule="auto"/>
    </w:pPr>
    <w:rPr>
      <w:b/>
      <w:sz w:val="20"/>
      <w:szCs w:val="20"/>
    </w:rPr>
  </w:style>
  <w:style w:type="paragraph" w:customStyle="1" w:styleId="Tableheadingrightcolumn">
    <w:name w:val="Table heading right column"/>
    <w:basedOn w:val="Normal"/>
    <w:qFormat/>
    <w:rsid w:val="00C14B8A"/>
    <w:pPr>
      <w:tabs>
        <w:tab w:val="left" w:pos="2410"/>
      </w:tabs>
      <w:spacing w:after="0" w:line="240" w:lineRule="auto"/>
      <w:jc w:val="right"/>
    </w:pPr>
    <w:rPr>
      <w:b/>
      <w:sz w:val="20"/>
      <w:szCs w:val="20"/>
    </w:rPr>
  </w:style>
  <w:style w:type="paragraph" w:customStyle="1" w:styleId="Tablecontentleftcolumn">
    <w:name w:val="Table content left column"/>
    <w:basedOn w:val="Normal"/>
    <w:qFormat/>
    <w:rsid w:val="00EF681B"/>
    <w:pPr>
      <w:tabs>
        <w:tab w:val="left" w:pos="2410"/>
      </w:tabs>
      <w:spacing w:before="60" w:after="60" w:line="240" w:lineRule="auto"/>
    </w:pPr>
    <w:rPr>
      <w:sz w:val="20"/>
      <w:szCs w:val="20"/>
    </w:rPr>
  </w:style>
  <w:style w:type="paragraph" w:customStyle="1" w:styleId="Tablecontentrightcolumn">
    <w:name w:val="Table content right column"/>
    <w:basedOn w:val="Normal"/>
    <w:qFormat/>
    <w:rsid w:val="00C14B8A"/>
    <w:pPr>
      <w:tabs>
        <w:tab w:val="left" w:pos="2410"/>
      </w:tabs>
      <w:spacing w:before="60" w:after="60" w:line="240" w:lineRule="auto"/>
      <w:jc w:val="right"/>
    </w:pPr>
    <w:rPr>
      <w:sz w:val="20"/>
      <w:szCs w:val="20"/>
    </w:rPr>
  </w:style>
  <w:style w:type="character" w:styleId="CommentReference">
    <w:name w:val="annotation reference"/>
    <w:basedOn w:val="DefaultParagraphFont"/>
    <w:uiPriority w:val="99"/>
    <w:unhideWhenUsed/>
    <w:rsid w:val="00AF3399"/>
    <w:rPr>
      <w:sz w:val="16"/>
      <w:szCs w:val="16"/>
    </w:rPr>
  </w:style>
  <w:style w:type="paragraph" w:styleId="CommentSubject">
    <w:name w:val="annotation subject"/>
    <w:basedOn w:val="Normal"/>
    <w:link w:val="CommentSubjectChar"/>
    <w:unhideWhenUsed/>
    <w:rsid w:val="00B51AB9"/>
    <w:rPr>
      <w:b/>
      <w:bCs/>
    </w:rPr>
  </w:style>
  <w:style w:type="character" w:customStyle="1" w:styleId="CommentSubjectChar">
    <w:name w:val="Comment Subject Char"/>
    <w:basedOn w:val="DefaultParagraphFont"/>
    <w:link w:val="CommentSubject"/>
    <w:rsid w:val="00B51AB9"/>
    <w:rPr>
      <w:b/>
      <w:bCs/>
      <w:sz w:val="20"/>
      <w:szCs w:val="20"/>
    </w:rPr>
  </w:style>
  <w:style w:type="paragraph" w:customStyle="1" w:styleId="Tableheadingcentred">
    <w:name w:val="Table heading centred"/>
    <w:basedOn w:val="Normal"/>
    <w:qFormat/>
    <w:rsid w:val="002551DE"/>
    <w:pPr>
      <w:tabs>
        <w:tab w:val="left" w:pos="2410"/>
      </w:tabs>
      <w:spacing w:after="0" w:line="240" w:lineRule="auto"/>
      <w:jc w:val="center"/>
    </w:pPr>
    <w:rPr>
      <w:b/>
      <w:sz w:val="20"/>
      <w:szCs w:val="20"/>
    </w:rPr>
  </w:style>
  <w:style w:type="paragraph" w:customStyle="1" w:styleId="Figurecaption">
    <w:name w:val="Figure caption"/>
    <w:basedOn w:val="Normal"/>
    <w:qFormat/>
    <w:rsid w:val="00C2342F"/>
    <w:pPr>
      <w:keepNext/>
      <w:spacing w:before="60" w:line="240" w:lineRule="auto"/>
    </w:pPr>
    <w:rPr>
      <w:b/>
    </w:rPr>
  </w:style>
  <w:style w:type="paragraph" w:customStyle="1" w:styleId="Caption-table">
    <w:name w:val="Caption - table"/>
    <w:basedOn w:val="Normal"/>
    <w:qFormat/>
    <w:rsid w:val="008C2E83"/>
    <w:pPr>
      <w:keepNext/>
      <w:spacing w:before="200" w:after="0"/>
      <w:outlineLvl w:val="3"/>
    </w:pPr>
    <w:rPr>
      <w:rFonts w:ascii="Calibri" w:eastAsiaTheme="majorEastAsia" w:hAnsi="Calibri" w:cstheme="majorBidi"/>
      <w:b/>
      <w:bCs/>
      <w:iCs/>
    </w:rPr>
  </w:style>
  <w:style w:type="paragraph" w:customStyle="1" w:styleId="Caption-figure">
    <w:name w:val="Caption - figure"/>
    <w:basedOn w:val="Caption-table"/>
    <w:qFormat/>
    <w:rsid w:val="0014305F"/>
  </w:style>
  <w:style w:type="paragraph" w:customStyle="1" w:styleId="Heading1nonumber">
    <w:name w:val="Heading 1 no number"/>
    <w:basedOn w:val="Heading1"/>
    <w:qFormat/>
    <w:rsid w:val="004F546D"/>
    <w:pPr>
      <w:numPr>
        <w:numId w:val="0"/>
      </w:numPr>
      <w:spacing w:after="120"/>
      <w:contextualSpacing w:val="0"/>
    </w:pPr>
    <w:rPr>
      <w:szCs w:val="36"/>
    </w:rPr>
  </w:style>
  <w:style w:type="paragraph" w:styleId="FootnoteText">
    <w:name w:val="footnote text"/>
    <w:basedOn w:val="Normal"/>
    <w:link w:val="FootnoteTextChar"/>
    <w:uiPriority w:val="99"/>
    <w:unhideWhenUsed/>
    <w:rsid w:val="0012451A"/>
    <w:pPr>
      <w:spacing w:before="0" w:after="0" w:line="240" w:lineRule="auto"/>
    </w:pPr>
    <w:rPr>
      <w:sz w:val="16"/>
      <w:szCs w:val="20"/>
    </w:rPr>
  </w:style>
  <w:style w:type="character" w:customStyle="1" w:styleId="FootnoteTextChar">
    <w:name w:val="Footnote Text Char"/>
    <w:basedOn w:val="DefaultParagraphFont"/>
    <w:link w:val="FootnoteText"/>
    <w:uiPriority w:val="99"/>
    <w:rsid w:val="0012451A"/>
    <w:rPr>
      <w:sz w:val="16"/>
      <w:szCs w:val="20"/>
    </w:rPr>
  </w:style>
  <w:style w:type="character" w:styleId="FootnoteReference">
    <w:name w:val="footnote reference"/>
    <w:basedOn w:val="DefaultParagraphFont"/>
    <w:uiPriority w:val="99"/>
    <w:unhideWhenUsed/>
    <w:rsid w:val="00E221F5"/>
    <w:rPr>
      <w:vertAlign w:val="superscript"/>
    </w:rPr>
  </w:style>
  <w:style w:type="paragraph" w:customStyle="1" w:styleId="Textbox">
    <w:name w:val="Text box"/>
    <w:basedOn w:val="Normal"/>
    <w:qFormat/>
    <w:rsid w:val="00994DFD"/>
    <w:pPr>
      <w:spacing w:after="0"/>
    </w:pPr>
    <w:rPr>
      <w:sz w:val="20"/>
      <w:szCs w:val="18"/>
    </w:rPr>
  </w:style>
  <w:style w:type="paragraph" w:customStyle="1" w:styleId="Listbullet-textbox">
    <w:name w:val="List bullet - text box"/>
    <w:basedOn w:val="Textbox"/>
    <w:qFormat/>
    <w:rsid w:val="00994DFD"/>
    <w:pPr>
      <w:numPr>
        <w:numId w:val="5"/>
      </w:numPr>
      <w:spacing w:before="0"/>
      <w:ind w:left="284" w:hanging="284"/>
    </w:pPr>
  </w:style>
  <w:style w:type="paragraph" w:customStyle="1" w:styleId="Answerbox">
    <w:name w:val="Answer box"/>
    <w:basedOn w:val="Normal"/>
    <w:qFormat/>
    <w:rsid w:val="00130ED6"/>
    <w:pPr>
      <w:pBdr>
        <w:top w:val="single" w:sz="4" w:space="5" w:color="auto"/>
        <w:left w:val="single" w:sz="4" w:space="5" w:color="auto"/>
        <w:bottom w:val="single" w:sz="4" w:space="5" w:color="auto"/>
        <w:right w:val="single" w:sz="4" w:space="5" w:color="auto"/>
      </w:pBdr>
      <w:shd w:val="clear" w:color="auto" w:fill="FBC99F"/>
      <w:spacing w:before="240" w:after="240"/>
    </w:pPr>
  </w:style>
  <w:style w:type="paragraph" w:customStyle="1" w:styleId="Quoteattribution">
    <w:name w:val="Quote attribution"/>
    <w:next w:val="Normal"/>
    <w:qFormat/>
    <w:rsid w:val="00FF5727"/>
    <w:pPr>
      <w:ind w:left="567" w:right="567"/>
      <w:jc w:val="right"/>
    </w:pPr>
    <w:rPr>
      <w:rFonts w:cstheme="minorHAnsi"/>
      <w:color w:val="1E3D6B" w:themeColor="accent1"/>
      <w:sz w:val="16"/>
      <w:szCs w:val="16"/>
    </w:rPr>
  </w:style>
  <w:style w:type="paragraph" w:customStyle="1" w:styleId="Sourcenumbered">
    <w:name w:val="Source numbered"/>
    <w:basedOn w:val="Source"/>
    <w:qFormat/>
    <w:rsid w:val="0081221B"/>
    <w:pPr>
      <w:numPr>
        <w:numId w:val="7"/>
      </w:numPr>
      <w:ind w:left="567" w:hanging="284"/>
    </w:pPr>
  </w:style>
  <w:style w:type="character" w:customStyle="1" w:styleId="ListParagraphChar">
    <w:name w:val="List Paragraph Char"/>
    <w:basedOn w:val="DefaultParagraphFont"/>
    <w:link w:val="ListParagraph"/>
    <w:uiPriority w:val="34"/>
    <w:rsid w:val="00BD758A"/>
  </w:style>
  <w:style w:type="paragraph" w:customStyle="1" w:styleId="Heading2-nonumber">
    <w:name w:val="Heading 2 - no number"/>
    <w:basedOn w:val="Normal"/>
    <w:qFormat/>
    <w:rsid w:val="006A157E"/>
    <w:pPr>
      <w:keepNext/>
      <w:spacing w:before="480" w:after="240"/>
      <w:outlineLvl w:val="1"/>
    </w:pPr>
    <w:rPr>
      <w:rFonts w:cstheme="minorHAnsi"/>
      <w:b/>
      <w:sz w:val="28"/>
      <w:szCs w:val="28"/>
    </w:rPr>
  </w:style>
  <w:style w:type="paragraph" w:customStyle="1" w:styleId="Heading3-nonumber">
    <w:name w:val="Heading 3 - no number"/>
    <w:basedOn w:val="Normal"/>
    <w:next w:val="Normal"/>
    <w:qFormat/>
    <w:rsid w:val="003908DD"/>
    <w:pPr>
      <w:keepNext/>
      <w:spacing w:before="360" w:after="0"/>
      <w:outlineLvl w:val="2"/>
    </w:pPr>
    <w:rPr>
      <w:b/>
    </w:rPr>
  </w:style>
  <w:style w:type="paragraph" w:customStyle="1" w:styleId="Body">
    <w:name w:val="Body"/>
    <w:link w:val="BodyChar"/>
    <w:qFormat/>
    <w:rsid w:val="0014305F"/>
    <w:pPr>
      <w:pBdr>
        <w:top w:val="nil"/>
        <w:left w:val="nil"/>
        <w:bottom w:val="nil"/>
        <w:right w:val="nil"/>
        <w:between w:val="nil"/>
        <w:bar w:val="nil"/>
      </w:pBdr>
    </w:pPr>
    <w:rPr>
      <w:rFonts w:ascii="Calibri" w:eastAsia="Calibri" w:hAnsi="Calibri" w:cs="Calibri"/>
      <w:color w:val="000000"/>
      <w:u w:color="000000"/>
      <w:bdr w:val="nil"/>
      <w:lang w:val="en-US" w:eastAsia="en-GB"/>
    </w:rPr>
  </w:style>
  <w:style w:type="character" w:styleId="FollowedHyperlink">
    <w:name w:val="FollowedHyperlink"/>
    <w:basedOn w:val="DefaultParagraphFont"/>
    <w:unhideWhenUsed/>
    <w:rsid w:val="0014305F"/>
    <w:rPr>
      <w:color w:val="8EAEDE" w:themeColor="followedHyperlink"/>
      <w:u w:val="single"/>
    </w:rPr>
  </w:style>
  <w:style w:type="paragraph" w:customStyle="1" w:styleId="TableBody1">
    <w:name w:val="Table Body 1"/>
    <w:basedOn w:val="Normal"/>
    <w:qFormat/>
    <w:rsid w:val="003142EB"/>
    <w:pPr>
      <w:spacing w:before="0" w:after="0" w:line="240" w:lineRule="auto"/>
    </w:pPr>
    <w:rPr>
      <w:rFonts w:ascii="Calibri" w:eastAsiaTheme="minorHAnsi" w:hAnsi="Calibri" w:cs="Calibri"/>
      <w:color w:val="000000"/>
      <w:sz w:val="20"/>
      <w:szCs w:val="20"/>
    </w:rPr>
  </w:style>
  <w:style w:type="character" w:customStyle="1" w:styleId="BodyChar">
    <w:name w:val="Body Char"/>
    <w:link w:val="Body"/>
    <w:rsid w:val="008C2E83"/>
    <w:rPr>
      <w:rFonts w:ascii="Calibri" w:eastAsia="Calibri" w:hAnsi="Calibri" w:cs="Calibri"/>
      <w:color w:val="000000"/>
      <w:u w:color="000000"/>
      <w:bdr w:val="nil"/>
      <w:lang w:val="en-US" w:eastAsia="en-GB"/>
    </w:rPr>
  </w:style>
  <w:style w:type="paragraph" w:customStyle="1" w:styleId="Heading">
    <w:name w:val="Heading"/>
    <w:next w:val="Body"/>
    <w:rsid w:val="004A422E"/>
    <w:pPr>
      <w:pBdr>
        <w:top w:val="nil"/>
        <w:left w:val="nil"/>
        <w:bottom w:val="nil"/>
        <w:right w:val="nil"/>
        <w:between w:val="nil"/>
        <w:bar w:val="nil"/>
      </w:pBdr>
      <w:spacing w:after="240" w:line="240" w:lineRule="auto"/>
      <w:outlineLvl w:val="0"/>
    </w:pPr>
    <w:rPr>
      <w:rFonts w:ascii="Calibri" w:eastAsia="Calibri" w:hAnsi="Calibri" w:cs="Calibri"/>
      <w:b/>
      <w:bCs/>
      <w:color w:val="1E3D6B"/>
      <w:sz w:val="36"/>
      <w:szCs w:val="36"/>
      <w:u w:color="1E3D6B"/>
      <w:bdr w:val="nil"/>
      <w:lang w:eastAsia="en-AU"/>
    </w:rPr>
  </w:style>
  <w:style w:type="paragraph" w:customStyle="1" w:styleId="BodyA">
    <w:name w:val="Body A"/>
    <w:rsid w:val="004A422E"/>
    <w:pPr>
      <w:pBdr>
        <w:top w:val="nil"/>
        <w:left w:val="nil"/>
        <w:bottom w:val="nil"/>
        <w:right w:val="nil"/>
        <w:between w:val="nil"/>
        <w:bar w:val="nil"/>
      </w:pBdr>
      <w:spacing w:after="240"/>
    </w:pPr>
    <w:rPr>
      <w:rFonts w:ascii="Arial" w:eastAsia="Arial Unicode MS" w:hAnsi="Arial" w:cs="Arial Unicode MS"/>
      <w:color w:val="616365"/>
      <w:sz w:val="20"/>
      <w:szCs w:val="20"/>
      <w:u w:color="616365"/>
      <w:bdr w:val="nil"/>
      <w:lang w:val="en-US" w:eastAsia="en-AU"/>
    </w:rPr>
  </w:style>
  <w:style w:type="paragraph" w:customStyle="1" w:styleId="Normal0">
    <w:name w:val="[Normal]"/>
    <w:uiPriority w:val="99"/>
    <w:rsid w:val="004A422E"/>
    <w:pPr>
      <w:widowControl w:val="0"/>
      <w:pBdr>
        <w:top w:val="nil"/>
        <w:left w:val="nil"/>
        <w:bottom w:val="nil"/>
        <w:right w:val="nil"/>
        <w:between w:val="nil"/>
        <w:bar w:val="nil"/>
      </w:pBdr>
      <w:spacing w:after="0" w:line="240" w:lineRule="auto"/>
    </w:pPr>
    <w:rPr>
      <w:rFonts w:ascii="Arial" w:eastAsia="Arial" w:hAnsi="Arial" w:cs="Arial"/>
      <w:color w:val="000000"/>
      <w:sz w:val="24"/>
      <w:szCs w:val="24"/>
      <w:u w:color="000000"/>
      <w:bdr w:val="nil"/>
      <w:lang w:val="en-US" w:eastAsia="en-AU"/>
    </w:rPr>
  </w:style>
  <w:style w:type="character" w:customStyle="1" w:styleId="Red">
    <w:name w:val="Red"/>
    <w:rsid w:val="004A422E"/>
    <w:rPr>
      <w:color w:val="C82505"/>
      <w:lang w:val="en-US"/>
    </w:rPr>
  </w:style>
  <w:style w:type="character" w:customStyle="1" w:styleId="apple-converted-space">
    <w:name w:val="apple-converted-space"/>
    <w:rsid w:val="00E92E24"/>
  </w:style>
  <w:style w:type="paragraph" w:customStyle="1" w:styleId="Tablebody2">
    <w:name w:val="Table body 2"/>
    <w:basedOn w:val="Normal"/>
    <w:qFormat/>
    <w:rsid w:val="003142EB"/>
    <w:pPr>
      <w:spacing w:before="0" w:after="0" w:line="240" w:lineRule="auto"/>
      <w:jc w:val="right"/>
    </w:pPr>
    <w:rPr>
      <w:rFonts w:ascii="Calibri" w:eastAsiaTheme="minorHAnsi" w:hAnsi="Calibri" w:cs="Calibri"/>
      <w:sz w:val="20"/>
      <w:szCs w:val="20"/>
    </w:rPr>
  </w:style>
  <w:style w:type="character" w:customStyle="1" w:styleId="SourceandnotetextChar">
    <w:name w:val="Source and note text Char"/>
    <w:basedOn w:val="DefaultParagraphFont"/>
    <w:link w:val="Sourceandnotetext"/>
    <w:locked/>
    <w:rsid w:val="003142EB"/>
  </w:style>
  <w:style w:type="paragraph" w:customStyle="1" w:styleId="Sourceandnotetext">
    <w:name w:val="Source and note text"/>
    <w:basedOn w:val="Normal"/>
    <w:link w:val="SourceandnotetextChar"/>
    <w:qFormat/>
    <w:rsid w:val="003142EB"/>
    <w:pPr>
      <w:spacing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customStyle="1" w:styleId="Default">
    <w:name w:val="Default"/>
    <w:rsid w:val="008B2D02"/>
    <w:pPr>
      <w:autoSpaceDE w:val="0"/>
      <w:autoSpaceDN w:val="0"/>
      <w:adjustRightInd w:val="0"/>
      <w:spacing w:after="0" w:line="240" w:lineRule="auto"/>
    </w:pPr>
    <w:rPr>
      <w:rFonts w:ascii="Calibri" w:hAnsi="Calibri" w:cs="Calibri"/>
      <w:color w:val="000000"/>
      <w:sz w:val="24"/>
      <w:szCs w:val="24"/>
    </w:rPr>
  </w:style>
  <w:style w:type="paragraph" w:customStyle="1" w:styleId="Execsummaryfindingsquestion">
    <w:name w:val="Exec summary findings question"/>
    <w:basedOn w:val="Heading2-nonumber"/>
    <w:next w:val="Normal"/>
    <w:qFormat/>
    <w:rsid w:val="00806BC5"/>
    <w:pPr>
      <w:numPr>
        <w:numId w:val="11"/>
      </w:numPr>
      <w:spacing w:before="360"/>
    </w:pPr>
    <w:rPr>
      <w:i/>
      <w:sz w:val="22"/>
    </w:rPr>
  </w:style>
  <w:style w:type="character" w:styleId="Strong">
    <w:name w:val="Strong"/>
    <w:uiPriority w:val="22"/>
    <w:qFormat/>
    <w:rsid w:val="005E17A4"/>
    <w:rPr>
      <w:b/>
      <w:bCs/>
    </w:rPr>
  </w:style>
  <w:style w:type="character" w:styleId="Emphasis">
    <w:name w:val="Emphasis"/>
    <w:uiPriority w:val="20"/>
    <w:qFormat/>
    <w:rsid w:val="005E17A4"/>
    <w:rPr>
      <w:b w:val="0"/>
      <w:bCs/>
      <w:i/>
      <w:iCs/>
      <w:spacing w:val="10"/>
      <w:bdr w:val="none" w:sz="0" w:space="0" w:color="auto"/>
      <w:shd w:val="clear" w:color="auto" w:fill="auto"/>
    </w:rPr>
  </w:style>
  <w:style w:type="character" w:styleId="BookTitle">
    <w:name w:val="Book Title"/>
    <w:uiPriority w:val="33"/>
    <w:qFormat/>
    <w:rsid w:val="005E17A4"/>
    <w:rPr>
      <w:i/>
      <w:iCs/>
      <w:caps w:val="0"/>
      <w:smallCaps w:val="0"/>
      <w:spacing w:val="5"/>
    </w:rPr>
  </w:style>
  <w:style w:type="paragraph" w:styleId="NoSpacing">
    <w:name w:val="No Spacing"/>
    <w:basedOn w:val="Normal"/>
    <w:link w:val="NoSpacingChar"/>
    <w:uiPriority w:val="1"/>
    <w:qFormat/>
    <w:rsid w:val="005E17A4"/>
    <w:pPr>
      <w:spacing w:before="0" w:after="0" w:line="240" w:lineRule="auto"/>
    </w:pPr>
    <w:rPr>
      <w:sz w:val="20"/>
    </w:rPr>
  </w:style>
  <w:style w:type="paragraph" w:styleId="IntenseQuote">
    <w:name w:val="Intense Quote"/>
    <w:basedOn w:val="Normal"/>
    <w:next w:val="Normal"/>
    <w:link w:val="IntenseQuoteChar"/>
    <w:uiPriority w:val="30"/>
    <w:qFormat/>
    <w:rsid w:val="005E17A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E17A4"/>
    <w:rPr>
      <w:b/>
      <w:bCs/>
      <w:i/>
      <w:iCs/>
    </w:rPr>
  </w:style>
  <w:style w:type="character" w:styleId="SubtleEmphasis">
    <w:name w:val="Subtle Emphasis"/>
    <w:uiPriority w:val="19"/>
    <w:qFormat/>
    <w:rsid w:val="005E17A4"/>
    <w:rPr>
      <w:i/>
      <w:iCs/>
    </w:rPr>
  </w:style>
  <w:style w:type="character" w:styleId="IntenseEmphasis">
    <w:name w:val="Intense Emphasis"/>
    <w:uiPriority w:val="21"/>
    <w:qFormat/>
    <w:rsid w:val="005E17A4"/>
    <w:rPr>
      <w:b/>
      <w:bCs/>
      <w:i/>
    </w:rPr>
  </w:style>
  <w:style w:type="character" w:styleId="SubtleReference">
    <w:name w:val="Subtle Reference"/>
    <w:uiPriority w:val="31"/>
    <w:qFormat/>
    <w:rsid w:val="005E17A4"/>
    <w:rPr>
      <w:smallCaps/>
    </w:rPr>
  </w:style>
  <w:style w:type="character" w:styleId="IntenseReference">
    <w:name w:val="Intense Reference"/>
    <w:uiPriority w:val="32"/>
    <w:qFormat/>
    <w:rsid w:val="005E17A4"/>
    <w:rPr>
      <w:smallCaps/>
      <w:spacing w:val="5"/>
      <w:u w:val="single"/>
    </w:rPr>
  </w:style>
  <w:style w:type="paragraph" w:styleId="BodyText">
    <w:name w:val="Body Text"/>
    <w:basedOn w:val="Normal"/>
    <w:link w:val="BodyTextChar"/>
    <w:rsid w:val="005E17A4"/>
    <w:pPr>
      <w:spacing w:before="0" w:line="240" w:lineRule="auto"/>
    </w:pPr>
    <w:rPr>
      <w:rFonts w:eastAsia="Times New Roman" w:cs="Times New Roman"/>
      <w:szCs w:val="24"/>
      <w:lang w:eastAsia="en-AU"/>
    </w:rPr>
  </w:style>
  <w:style w:type="character" w:customStyle="1" w:styleId="BodyTextChar">
    <w:name w:val="Body Text Char"/>
    <w:basedOn w:val="DefaultParagraphFont"/>
    <w:link w:val="BodyText"/>
    <w:rsid w:val="005E17A4"/>
    <w:rPr>
      <w:rFonts w:eastAsia="Times New Roman" w:cs="Times New Roman"/>
      <w:szCs w:val="24"/>
      <w:lang w:eastAsia="en-AU"/>
    </w:rPr>
  </w:style>
  <w:style w:type="paragraph" w:customStyle="1" w:styleId="numberedpara">
    <w:name w:val="numbered para"/>
    <w:basedOn w:val="Normal"/>
    <w:rsid w:val="005E17A4"/>
    <w:pPr>
      <w:numPr>
        <w:numId w:val="13"/>
      </w:numPr>
      <w:spacing w:before="0" w:after="0" w:line="240" w:lineRule="auto"/>
    </w:pPr>
    <w:rPr>
      <w:rFonts w:ascii="Calibri" w:eastAsiaTheme="minorHAnsi" w:hAnsi="Calibri" w:cs="Calibri"/>
      <w:lang w:eastAsia="en-AU"/>
    </w:rPr>
  </w:style>
  <w:style w:type="character" w:customStyle="1" w:styleId="NoSpacingChar">
    <w:name w:val="No Spacing Char"/>
    <w:basedOn w:val="DefaultParagraphFont"/>
    <w:link w:val="NoSpacing"/>
    <w:uiPriority w:val="1"/>
    <w:rsid w:val="005E17A4"/>
    <w:rPr>
      <w:sz w:val="20"/>
    </w:rPr>
  </w:style>
  <w:style w:type="paragraph" w:customStyle="1" w:styleId="DeleteText">
    <w:name w:val="Delete Text"/>
    <w:basedOn w:val="Normal"/>
    <w:qFormat/>
    <w:rsid w:val="005E17A4"/>
    <w:pPr>
      <w:spacing w:before="0" w:after="200"/>
    </w:pPr>
    <w:rPr>
      <w:color w:val="1E3D6B"/>
    </w:rPr>
  </w:style>
  <w:style w:type="paragraph" w:customStyle="1" w:styleId="H3">
    <w:name w:val="H3"/>
    <w:basedOn w:val="Normal"/>
    <w:link w:val="H3Char"/>
    <w:rsid w:val="005E17A4"/>
    <w:pPr>
      <w:spacing w:before="0" w:after="200"/>
    </w:pPr>
    <w:rPr>
      <w:b/>
      <w:color w:val="000000"/>
      <w:sz w:val="24"/>
      <w:szCs w:val="28"/>
    </w:rPr>
  </w:style>
  <w:style w:type="numbering" w:customStyle="1" w:styleId="Bullets0">
    <w:name w:val="Bullets"/>
    <w:basedOn w:val="NoList"/>
    <w:rsid w:val="005E17A4"/>
    <w:pPr>
      <w:numPr>
        <w:numId w:val="15"/>
      </w:numPr>
    </w:pPr>
  </w:style>
  <w:style w:type="character" w:styleId="PageNumber">
    <w:name w:val="page number"/>
    <w:basedOn w:val="DefaultParagraphFont"/>
    <w:rsid w:val="005E17A4"/>
    <w:rPr>
      <w:rFonts w:ascii="Calibri" w:hAnsi="Calibri"/>
    </w:rPr>
  </w:style>
  <w:style w:type="paragraph" w:customStyle="1" w:styleId="BodyText1">
    <w:name w:val="Body Text1"/>
    <w:basedOn w:val="Normal"/>
    <w:link w:val="bodytextChar0"/>
    <w:rsid w:val="005E17A4"/>
    <w:pPr>
      <w:suppressAutoHyphens/>
      <w:autoSpaceDE w:val="0"/>
      <w:autoSpaceDN w:val="0"/>
      <w:adjustRightInd w:val="0"/>
      <w:spacing w:before="20" w:after="140" w:line="300" w:lineRule="atLeast"/>
      <w:textAlignment w:val="center"/>
    </w:pPr>
    <w:rPr>
      <w:rFonts w:cs="Garamond"/>
      <w:color w:val="000000"/>
      <w:lang w:val="en-GB"/>
    </w:rPr>
  </w:style>
  <w:style w:type="paragraph" w:customStyle="1" w:styleId="bullet">
    <w:name w:val="bullet"/>
    <w:basedOn w:val="Normal"/>
    <w:link w:val="bulletChar"/>
    <w:rsid w:val="005E17A4"/>
    <w:pPr>
      <w:numPr>
        <w:numId w:val="14"/>
      </w:numPr>
      <w:suppressAutoHyphens/>
      <w:autoSpaceDE w:val="0"/>
      <w:autoSpaceDN w:val="0"/>
      <w:adjustRightInd w:val="0"/>
      <w:spacing w:line="240" w:lineRule="auto"/>
      <w:ind w:left="782" w:hanging="357"/>
      <w:textAlignment w:val="center"/>
    </w:pPr>
    <w:rPr>
      <w:rFonts w:cs="Garamond"/>
      <w:color w:val="000000"/>
      <w:lang w:val="en-GB"/>
    </w:rPr>
  </w:style>
  <w:style w:type="paragraph" w:customStyle="1" w:styleId="bulletlast">
    <w:name w:val="bullet last"/>
    <w:basedOn w:val="bullet"/>
    <w:rsid w:val="005E17A4"/>
    <w:pPr>
      <w:numPr>
        <w:numId w:val="0"/>
      </w:numPr>
      <w:spacing w:after="198"/>
    </w:pPr>
  </w:style>
  <w:style w:type="numbering" w:customStyle="1" w:styleId="StyleBulletedLime">
    <w:name w:val="Style Bulleted Lime"/>
    <w:basedOn w:val="NoList"/>
    <w:rsid w:val="005E17A4"/>
    <w:pPr>
      <w:numPr>
        <w:numId w:val="17"/>
      </w:numPr>
    </w:pPr>
  </w:style>
  <w:style w:type="character" w:customStyle="1" w:styleId="bodytextChar0">
    <w:name w:val="body text Char"/>
    <w:basedOn w:val="DefaultParagraphFont"/>
    <w:link w:val="BodyText1"/>
    <w:rsid w:val="005E17A4"/>
    <w:rPr>
      <w:rFonts w:cs="Garamond"/>
      <w:color w:val="000000"/>
      <w:lang w:val="en-GB"/>
    </w:rPr>
  </w:style>
  <w:style w:type="paragraph" w:customStyle="1" w:styleId="Numberbullet">
    <w:name w:val="Number bullet"/>
    <w:basedOn w:val="bullet"/>
    <w:qFormat/>
    <w:rsid w:val="005E17A4"/>
    <w:pPr>
      <w:numPr>
        <w:numId w:val="19"/>
      </w:numPr>
      <w:tabs>
        <w:tab w:val="num" w:pos="360"/>
        <w:tab w:val="left" w:pos="567"/>
      </w:tabs>
      <w:ind w:left="360"/>
    </w:pPr>
  </w:style>
  <w:style w:type="character" w:customStyle="1" w:styleId="bulletChar">
    <w:name w:val="bullet Char"/>
    <w:basedOn w:val="bodytextChar0"/>
    <w:link w:val="bullet"/>
    <w:rsid w:val="005E17A4"/>
    <w:rPr>
      <w:rFonts w:cs="Garamond"/>
      <w:color w:val="000000"/>
      <w:lang w:val="en-GB"/>
    </w:rPr>
  </w:style>
  <w:style w:type="character" w:customStyle="1" w:styleId="tableheading">
    <w:name w:val="table heading"/>
    <w:basedOn w:val="bodytextChar0"/>
    <w:rsid w:val="005E17A4"/>
    <w:rPr>
      <w:rFonts w:cs="Garamond"/>
      <w:b/>
      <w:bCs/>
      <w:color w:val="FFFFFF"/>
      <w:lang w:val="en-GB"/>
    </w:rPr>
  </w:style>
  <w:style w:type="paragraph" w:customStyle="1" w:styleId="tabletext">
    <w:name w:val="table text"/>
    <w:basedOn w:val="Normal"/>
    <w:link w:val="tabletextChar"/>
    <w:rsid w:val="005E17A4"/>
    <w:pPr>
      <w:suppressAutoHyphens/>
      <w:autoSpaceDE w:val="0"/>
      <w:autoSpaceDN w:val="0"/>
      <w:adjustRightInd w:val="0"/>
      <w:spacing w:before="0" w:after="200" w:line="300" w:lineRule="atLeast"/>
      <w:ind w:right="310"/>
      <w:jc w:val="right"/>
      <w:textAlignment w:val="center"/>
    </w:pPr>
    <w:rPr>
      <w:rFonts w:cs="Garamond"/>
      <w:color w:val="000000"/>
      <w:sz w:val="20"/>
      <w:lang w:val="en-GB"/>
    </w:rPr>
  </w:style>
  <w:style w:type="paragraph" w:customStyle="1" w:styleId="TableandFigureheading">
    <w:name w:val="Table and Figure heading"/>
    <w:basedOn w:val="Normal"/>
    <w:link w:val="TableandFigureheadingChar"/>
    <w:qFormat/>
    <w:rsid w:val="005E17A4"/>
    <w:pPr>
      <w:keepNext/>
      <w:spacing w:before="0" w:after="0"/>
    </w:pPr>
    <w:rPr>
      <w:b/>
      <w:sz w:val="20"/>
    </w:rPr>
  </w:style>
  <w:style w:type="paragraph" w:customStyle="1" w:styleId="Tablebodytext">
    <w:name w:val="Table body text"/>
    <w:basedOn w:val="tabletext"/>
    <w:link w:val="TablebodytextChar"/>
    <w:qFormat/>
    <w:rsid w:val="005E17A4"/>
    <w:pPr>
      <w:spacing w:after="0" w:line="276" w:lineRule="auto"/>
      <w:ind w:right="312"/>
    </w:pPr>
  </w:style>
  <w:style w:type="character" w:customStyle="1" w:styleId="TableandFigureheadingChar">
    <w:name w:val="Table and Figure heading Char"/>
    <w:basedOn w:val="DefaultParagraphFont"/>
    <w:link w:val="TableandFigureheading"/>
    <w:rsid w:val="005E17A4"/>
    <w:rPr>
      <w:b/>
      <w:sz w:val="20"/>
    </w:rPr>
  </w:style>
  <w:style w:type="paragraph" w:customStyle="1" w:styleId="TableHeadingtext">
    <w:name w:val="Table Heading text"/>
    <w:basedOn w:val="Normal"/>
    <w:link w:val="TableHeadingtextChar"/>
    <w:qFormat/>
    <w:rsid w:val="005E17A4"/>
    <w:pPr>
      <w:spacing w:before="0" w:after="200"/>
    </w:pPr>
    <w:rPr>
      <w:b/>
    </w:rPr>
  </w:style>
  <w:style w:type="character" w:customStyle="1" w:styleId="tabletextChar">
    <w:name w:val="table text Char"/>
    <w:basedOn w:val="bodytextChar0"/>
    <w:link w:val="tabletext"/>
    <w:rsid w:val="005E17A4"/>
    <w:rPr>
      <w:rFonts w:cs="Garamond"/>
      <w:color w:val="000000"/>
      <w:sz w:val="20"/>
      <w:lang w:val="en-GB"/>
    </w:rPr>
  </w:style>
  <w:style w:type="character" w:customStyle="1" w:styleId="TablebodytextChar">
    <w:name w:val="Table body text Char"/>
    <w:basedOn w:val="tabletextChar"/>
    <w:link w:val="Tablebodytext"/>
    <w:rsid w:val="005E17A4"/>
    <w:rPr>
      <w:rFonts w:cs="Garamond"/>
      <w:color w:val="000000"/>
      <w:sz w:val="20"/>
      <w:lang w:val="en-GB"/>
    </w:rPr>
  </w:style>
  <w:style w:type="character" w:customStyle="1" w:styleId="TableHeadingtextChar">
    <w:name w:val="Table Heading text Char"/>
    <w:basedOn w:val="DefaultParagraphFont"/>
    <w:link w:val="TableHeadingtext"/>
    <w:rsid w:val="005E17A4"/>
    <w:rPr>
      <w:b/>
    </w:rPr>
  </w:style>
  <w:style w:type="paragraph" w:customStyle="1" w:styleId="Heading30">
    <w:name w:val="Heading3"/>
    <w:basedOn w:val="Normal"/>
    <w:link w:val="Heading3Char0"/>
    <w:qFormat/>
    <w:rsid w:val="005E17A4"/>
    <w:pPr>
      <w:spacing w:before="160" w:after="200"/>
    </w:pPr>
    <w:rPr>
      <w:b/>
      <w:color w:val="000000"/>
      <w:sz w:val="24"/>
      <w:szCs w:val="28"/>
    </w:rPr>
  </w:style>
  <w:style w:type="character" w:customStyle="1" w:styleId="H3Char">
    <w:name w:val="H3 Char"/>
    <w:basedOn w:val="DefaultParagraphFont"/>
    <w:link w:val="H3"/>
    <w:rsid w:val="005E17A4"/>
    <w:rPr>
      <w:b/>
      <w:color w:val="000000"/>
      <w:sz w:val="24"/>
      <w:szCs w:val="28"/>
    </w:rPr>
  </w:style>
  <w:style w:type="character" w:customStyle="1" w:styleId="Heading3Char0">
    <w:name w:val="Heading3 Char"/>
    <w:basedOn w:val="DefaultParagraphFont"/>
    <w:link w:val="Heading30"/>
    <w:rsid w:val="005E17A4"/>
    <w:rPr>
      <w:b/>
      <w:color w:val="000000"/>
      <w:sz w:val="24"/>
      <w:szCs w:val="28"/>
    </w:rPr>
  </w:style>
  <w:style w:type="table" w:styleId="TableColumns3">
    <w:name w:val="Table Columns 3"/>
    <w:basedOn w:val="TableNormal"/>
    <w:rsid w:val="005E17A4"/>
    <w:pPr>
      <w:spacing w:after="0" w:line="240"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lassic1">
    <w:name w:val="Table Classic 1"/>
    <w:basedOn w:val="TableNormal"/>
    <w:rsid w:val="005E17A4"/>
    <w:pPr>
      <w:spacing w:before="120" w:after="40" w:line="240"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5E17A4"/>
    <w:pPr>
      <w:spacing w:before="120" w:after="40" w:line="240"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EndnoteText">
    <w:name w:val="endnote text"/>
    <w:basedOn w:val="Normal"/>
    <w:link w:val="EndnoteTextChar"/>
    <w:rsid w:val="005E17A4"/>
    <w:pPr>
      <w:spacing w:before="0" w:after="0"/>
    </w:pPr>
    <w:rPr>
      <w:sz w:val="20"/>
      <w:szCs w:val="20"/>
    </w:rPr>
  </w:style>
  <w:style w:type="character" w:customStyle="1" w:styleId="EndnoteTextChar">
    <w:name w:val="Endnote Text Char"/>
    <w:basedOn w:val="DefaultParagraphFont"/>
    <w:link w:val="EndnoteText"/>
    <w:rsid w:val="005E17A4"/>
    <w:rPr>
      <w:sz w:val="20"/>
      <w:szCs w:val="20"/>
    </w:rPr>
  </w:style>
  <w:style w:type="character" w:styleId="EndnoteReference">
    <w:name w:val="endnote reference"/>
    <w:basedOn w:val="DefaultParagraphFont"/>
    <w:rsid w:val="005E17A4"/>
    <w:rPr>
      <w:vertAlign w:val="superscript"/>
    </w:rPr>
  </w:style>
  <w:style w:type="paragraph" w:customStyle="1" w:styleId="Tableforcontents">
    <w:name w:val="Table for contents"/>
    <w:basedOn w:val="TableHeadingtext"/>
    <w:rsid w:val="005E17A4"/>
  </w:style>
  <w:style w:type="paragraph" w:styleId="TableofFigures">
    <w:name w:val="table of figures"/>
    <w:basedOn w:val="FigureHeading"/>
    <w:next w:val="Normal"/>
    <w:uiPriority w:val="99"/>
    <w:qFormat/>
    <w:rsid w:val="005E17A4"/>
    <w:pPr>
      <w:spacing w:after="0"/>
      <w:ind w:left="440" w:hanging="440"/>
    </w:pPr>
    <w:rPr>
      <w:rFonts w:cstheme="minorHAnsi"/>
      <w:sz w:val="24"/>
      <w:szCs w:val="20"/>
    </w:rPr>
  </w:style>
  <w:style w:type="paragraph" w:customStyle="1" w:styleId="Figureheadingforcontents">
    <w:name w:val="Figure heading for contents"/>
    <w:basedOn w:val="TableandFigureheading"/>
    <w:rsid w:val="005E17A4"/>
    <w:pPr>
      <w:keepLines/>
    </w:pPr>
  </w:style>
  <w:style w:type="paragraph" w:customStyle="1" w:styleId="TableCaption">
    <w:name w:val="Table Caption"/>
    <w:basedOn w:val="Normal"/>
    <w:link w:val="TableCaptionChar"/>
    <w:qFormat/>
    <w:rsid w:val="005E17A4"/>
    <w:pPr>
      <w:keepNext/>
      <w:spacing w:before="0" w:after="200"/>
    </w:pPr>
    <w:rPr>
      <w:b/>
    </w:rPr>
  </w:style>
  <w:style w:type="paragraph" w:customStyle="1" w:styleId="FigureCaption0">
    <w:name w:val="Figure Caption"/>
    <w:basedOn w:val="Normal"/>
    <w:uiPriority w:val="99"/>
    <w:qFormat/>
    <w:rsid w:val="005E17A4"/>
    <w:pPr>
      <w:keepNext/>
      <w:tabs>
        <w:tab w:val="left" w:pos="1134"/>
      </w:tabs>
      <w:spacing w:before="0" w:after="200"/>
    </w:pPr>
    <w:rPr>
      <w:b/>
    </w:rPr>
  </w:style>
  <w:style w:type="table" w:customStyle="1" w:styleId="JSAReportTables">
    <w:name w:val="JSA Report Tables"/>
    <w:basedOn w:val="TableNormal"/>
    <w:rsid w:val="005E17A4"/>
    <w:pPr>
      <w:spacing w:after="0" w:line="240" w:lineRule="auto"/>
    </w:pPr>
    <w:rPr>
      <w:rFonts w:ascii="Times New Roman" w:eastAsia="Times New Roman" w:hAnsi="Times New Roman" w:cs="Times New Roman"/>
      <w:sz w:val="20"/>
      <w:szCs w:val="20"/>
      <w:lang w:eastAsia="en-AU"/>
    </w:rPr>
    <w:tblPr/>
  </w:style>
  <w:style w:type="paragraph" w:customStyle="1" w:styleId="Listoftablesandfigures">
    <w:name w:val="List of tables and figures"/>
    <w:basedOn w:val="TableofFigures"/>
    <w:rsid w:val="005E17A4"/>
    <w:pPr>
      <w:tabs>
        <w:tab w:val="left" w:pos="964"/>
        <w:tab w:val="right" w:leader="dot" w:pos="8494"/>
      </w:tabs>
      <w:ind w:left="964" w:hanging="964"/>
    </w:pPr>
  </w:style>
  <w:style w:type="paragraph" w:customStyle="1" w:styleId="Reportheadingstyle">
    <w:name w:val="Report heading style"/>
    <w:basedOn w:val="Normal"/>
    <w:rsid w:val="005E17A4"/>
    <w:pPr>
      <w:spacing w:before="0" w:after="200"/>
    </w:pPr>
    <w:rPr>
      <w:color w:val="FFFFFF"/>
      <w:sz w:val="72"/>
      <w:szCs w:val="72"/>
    </w:rPr>
  </w:style>
  <w:style w:type="paragraph" w:customStyle="1" w:styleId="Sourceandnotetextmultiplenotes">
    <w:name w:val="Source and note text multiple notes"/>
    <w:basedOn w:val="Sourceandnotetext"/>
    <w:link w:val="SourceandnotetextmultiplenotesChar"/>
    <w:uiPriority w:val="99"/>
    <w:rsid w:val="005E17A4"/>
    <w:pPr>
      <w:numPr>
        <w:numId w:val="24"/>
      </w:numPr>
      <w:tabs>
        <w:tab w:val="left" w:pos="454"/>
      </w:tabs>
      <w:spacing w:before="20" w:after="20" w:line="276" w:lineRule="auto"/>
      <w:ind w:left="357" w:hanging="357"/>
    </w:pPr>
    <w:rPr>
      <w:sz w:val="20"/>
      <w:szCs w:val="20"/>
    </w:rPr>
  </w:style>
  <w:style w:type="paragraph" w:customStyle="1" w:styleId="Sourceandnotetextsubnote">
    <w:name w:val="Source and note text sub note"/>
    <w:basedOn w:val="Sourceandnotetextmultiplenotes"/>
    <w:link w:val="SourceandnotetextsubnoteChar"/>
    <w:rsid w:val="005E17A4"/>
    <w:pPr>
      <w:numPr>
        <w:numId w:val="16"/>
      </w:numPr>
    </w:pPr>
  </w:style>
  <w:style w:type="paragraph" w:customStyle="1" w:styleId="sub-bullet">
    <w:name w:val="sub-bullet"/>
    <w:basedOn w:val="bullet"/>
    <w:link w:val="sub-bulletChar"/>
    <w:qFormat/>
    <w:rsid w:val="005E17A4"/>
    <w:pPr>
      <w:numPr>
        <w:ilvl w:val="1"/>
        <w:numId w:val="20"/>
      </w:numPr>
    </w:pPr>
  </w:style>
  <w:style w:type="paragraph" w:customStyle="1" w:styleId="TOCamended">
    <w:name w:val="TOC amended"/>
    <w:basedOn w:val="TOC1"/>
    <w:rsid w:val="005E17A4"/>
    <w:pPr>
      <w:tabs>
        <w:tab w:val="clear" w:pos="426"/>
        <w:tab w:val="clear" w:pos="9016"/>
        <w:tab w:val="left" w:pos="440"/>
        <w:tab w:val="right" w:pos="1021"/>
        <w:tab w:val="right" w:leader="dot" w:pos="8494"/>
        <w:tab w:val="right" w:leader="dot" w:pos="9130"/>
      </w:tabs>
      <w:spacing w:before="0" w:after="100"/>
      <w:ind w:left="1021" w:hanging="1021"/>
    </w:pPr>
    <w:rPr>
      <w:bCs/>
      <w:noProof/>
    </w:rPr>
  </w:style>
  <w:style w:type="paragraph" w:customStyle="1" w:styleId="bullets">
    <w:name w:val="bullets"/>
    <w:basedOn w:val="ListParagraph"/>
    <w:link w:val="bulletsChar"/>
    <w:rsid w:val="005E17A4"/>
    <w:pPr>
      <w:numPr>
        <w:numId w:val="18"/>
      </w:numPr>
      <w:spacing w:before="0" w:after="200"/>
    </w:pPr>
    <w:rPr>
      <w:rFonts w:eastAsia="Times New Roman" w:cs="Calibri"/>
    </w:rPr>
  </w:style>
  <w:style w:type="character" w:customStyle="1" w:styleId="bulletsChar">
    <w:name w:val="bullets Char"/>
    <w:basedOn w:val="DefaultParagraphFont"/>
    <w:link w:val="bullets"/>
    <w:rsid w:val="005E17A4"/>
    <w:rPr>
      <w:rFonts w:eastAsia="Times New Roman" w:cs="Calibri"/>
    </w:rPr>
  </w:style>
  <w:style w:type="paragraph" w:customStyle="1" w:styleId="Sourceandnotetextmultiplelines">
    <w:name w:val="Source and note text multiple lines"/>
    <w:basedOn w:val="Sourceandnotetext"/>
    <w:link w:val="SourceandnotetextmultiplelinesChar"/>
    <w:qFormat/>
    <w:rsid w:val="005E17A4"/>
    <w:pPr>
      <w:tabs>
        <w:tab w:val="left" w:pos="567"/>
      </w:tabs>
      <w:spacing w:after="1600"/>
      <w:ind w:left="567" w:hanging="567"/>
    </w:pPr>
    <w:rPr>
      <w:sz w:val="20"/>
      <w:szCs w:val="20"/>
    </w:rPr>
  </w:style>
  <w:style w:type="character" w:customStyle="1" w:styleId="SourceandnotetextmultiplelinesChar">
    <w:name w:val="Source and note text multiple lines Char"/>
    <w:basedOn w:val="SourceandnotetextChar"/>
    <w:link w:val="Sourceandnotetextmultiplelines"/>
    <w:rsid w:val="005E17A4"/>
    <w:rPr>
      <w:sz w:val="20"/>
      <w:szCs w:val="20"/>
    </w:rPr>
  </w:style>
  <w:style w:type="paragraph" w:customStyle="1" w:styleId="Subtitleitalic">
    <w:name w:val="Subtitle + italic"/>
    <w:basedOn w:val="Normal"/>
    <w:qFormat/>
    <w:rsid w:val="005E17A4"/>
    <w:pPr>
      <w:spacing w:before="2760" w:after="200"/>
      <w:ind w:left="1418" w:right="-567"/>
    </w:pPr>
    <w:rPr>
      <w:b/>
      <w:i/>
      <w:color w:val="FFFFFF"/>
      <w:sz w:val="36"/>
      <w:szCs w:val="36"/>
    </w:rPr>
  </w:style>
  <w:style w:type="paragraph" w:customStyle="1" w:styleId="Subtitledate">
    <w:name w:val="Subtitle + date"/>
    <w:basedOn w:val="Normal"/>
    <w:qFormat/>
    <w:rsid w:val="005E17A4"/>
    <w:pPr>
      <w:spacing w:before="600" w:after="200"/>
      <w:ind w:left="1418" w:right="-567"/>
      <w:jc w:val="right"/>
    </w:pPr>
    <w:rPr>
      <w:b/>
      <w:color w:val="7D4062"/>
      <w:sz w:val="32"/>
      <w:szCs w:val="32"/>
    </w:rPr>
  </w:style>
  <w:style w:type="paragraph" w:customStyle="1" w:styleId="ListBulletbold">
    <w:name w:val="List Bullet + bold"/>
    <w:basedOn w:val="ListBullet"/>
    <w:qFormat/>
    <w:rsid w:val="005E17A4"/>
    <w:pPr>
      <w:numPr>
        <w:numId w:val="0"/>
      </w:numPr>
      <w:spacing w:before="0"/>
    </w:pPr>
    <w:rPr>
      <w:b/>
    </w:rPr>
  </w:style>
  <w:style w:type="paragraph" w:customStyle="1" w:styleId="Answerboxdotpoints">
    <w:name w:val="Answer box dot points"/>
    <w:basedOn w:val="Answerbox"/>
    <w:qFormat/>
    <w:rsid w:val="001E07A7"/>
    <w:pPr>
      <w:numPr>
        <w:numId w:val="33"/>
      </w:numPr>
      <w:spacing w:before="0" w:after="120"/>
      <w:ind w:left="357" w:hanging="357"/>
    </w:pPr>
  </w:style>
  <w:style w:type="paragraph" w:customStyle="1" w:styleId="TitleRight-225cmLeft0cmRight0cm">
    <w:name w:val="Title + Right:  -2.25 cm + Left:  0 cm Right:  0 cm"/>
    <w:basedOn w:val="Normal"/>
    <w:rsid w:val="005E17A4"/>
    <w:pPr>
      <w:keepNext/>
      <w:spacing w:before="4600" w:after="480"/>
      <w:ind w:left="851"/>
      <w:outlineLvl w:val="1"/>
    </w:pPr>
    <w:rPr>
      <w:b/>
      <w:bCs/>
      <w:caps/>
      <w:color w:val="FFFFFF"/>
      <w:sz w:val="72"/>
      <w:szCs w:val="20"/>
    </w:rPr>
  </w:style>
  <w:style w:type="paragraph" w:customStyle="1" w:styleId="SubtitleitalicLeft0cm">
    <w:name w:val="Subtitle + italic + Left:  0 cm"/>
    <w:basedOn w:val="Subtitleitalic"/>
    <w:rsid w:val="005E17A4"/>
    <w:pPr>
      <w:spacing w:before="3600"/>
      <w:ind w:left="851"/>
    </w:pPr>
    <w:rPr>
      <w:bCs/>
      <w:iCs/>
      <w:szCs w:val="20"/>
    </w:rPr>
  </w:style>
  <w:style w:type="paragraph" w:customStyle="1" w:styleId="SubtitleLeft0cm33pt36pt">
    <w:name w:val="Subtitle + Left:  0 cm + 33 pt + 36 pt"/>
    <w:basedOn w:val="Normal"/>
    <w:rsid w:val="005E17A4"/>
    <w:pPr>
      <w:spacing w:before="0" w:after="200"/>
      <w:ind w:left="851"/>
    </w:pPr>
    <w:rPr>
      <w:b/>
      <w:bCs/>
      <w:color w:val="FFFFFF"/>
      <w:sz w:val="72"/>
      <w:szCs w:val="20"/>
    </w:rPr>
  </w:style>
  <w:style w:type="paragraph" w:customStyle="1" w:styleId="StyleSubtitledateRight05cm">
    <w:name w:val="Style Subtitle + date + Right:  0.5 cm"/>
    <w:basedOn w:val="Subtitledate"/>
    <w:rsid w:val="005E17A4"/>
    <w:pPr>
      <w:ind w:right="284"/>
    </w:pPr>
    <w:rPr>
      <w:bCs/>
      <w:szCs w:val="20"/>
    </w:rPr>
  </w:style>
  <w:style w:type="paragraph" w:customStyle="1" w:styleId="StyleTableandFigureheading10ptBlackCentered">
    <w:name w:val="Style Table and Figure heading + 10 pt Black Centered"/>
    <w:basedOn w:val="TableandFigureheading"/>
    <w:rsid w:val="005E17A4"/>
    <w:pPr>
      <w:jc w:val="center"/>
    </w:pPr>
    <w:rPr>
      <w:bCs/>
      <w:color w:val="000000"/>
      <w:szCs w:val="20"/>
    </w:rPr>
  </w:style>
  <w:style w:type="paragraph" w:customStyle="1" w:styleId="TableandFigureheading10pt">
    <w:name w:val="Table and Figure heading + 10 pt"/>
    <w:basedOn w:val="TableandFigureheading"/>
    <w:rsid w:val="005E17A4"/>
    <w:pPr>
      <w:jc w:val="center"/>
    </w:pPr>
    <w:rPr>
      <w:bCs/>
    </w:rPr>
  </w:style>
  <w:style w:type="paragraph" w:customStyle="1" w:styleId="Normalbefore200ptleading">
    <w:name w:val="Normal before 200pt leading"/>
    <w:basedOn w:val="Normal"/>
    <w:qFormat/>
    <w:rsid w:val="005E17A4"/>
    <w:pPr>
      <w:spacing w:before="4000" w:after="200"/>
    </w:pPr>
  </w:style>
  <w:style w:type="paragraph" w:customStyle="1" w:styleId="Normalafter12pt">
    <w:name w:val="Normal + after 12pt"/>
    <w:basedOn w:val="Normal"/>
    <w:uiPriority w:val="99"/>
    <w:qFormat/>
    <w:rsid w:val="005E17A4"/>
    <w:pPr>
      <w:spacing w:before="0" w:after="240"/>
    </w:pPr>
  </w:style>
  <w:style w:type="paragraph" w:customStyle="1" w:styleId="Normalbold">
    <w:name w:val="Normal + bold"/>
    <w:basedOn w:val="Normal"/>
    <w:link w:val="NormalboldChar"/>
    <w:qFormat/>
    <w:rsid w:val="005E17A4"/>
    <w:pPr>
      <w:spacing w:before="0" w:after="200"/>
    </w:pPr>
    <w:rPr>
      <w:b/>
    </w:rPr>
  </w:style>
  <w:style w:type="character" w:customStyle="1" w:styleId="NormalboldChar">
    <w:name w:val="Normal + bold Char"/>
    <w:basedOn w:val="DefaultParagraphFont"/>
    <w:link w:val="Normalbold"/>
    <w:rsid w:val="005E17A4"/>
    <w:rPr>
      <w:b/>
    </w:rPr>
  </w:style>
  <w:style w:type="paragraph" w:customStyle="1" w:styleId="StyleTablebodytextBefore0ptAfter0pt">
    <w:name w:val="Style Table body text + Before:  0 pt After:  0 pt"/>
    <w:basedOn w:val="Tablebodytext"/>
    <w:rsid w:val="005E17A4"/>
    <w:pPr>
      <w:spacing w:line="240" w:lineRule="auto"/>
    </w:pPr>
    <w:rPr>
      <w:rFonts w:cs="Times New Roman"/>
      <w:szCs w:val="20"/>
    </w:rPr>
  </w:style>
  <w:style w:type="paragraph" w:customStyle="1" w:styleId="Tablefirstcolumn">
    <w:name w:val="Table first column"/>
    <w:basedOn w:val="Normal"/>
    <w:uiPriority w:val="99"/>
    <w:qFormat/>
    <w:rsid w:val="005E17A4"/>
    <w:pPr>
      <w:spacing w:before="0" w:after="0"/>
    </w:pPr>
    <w:rPr>
      <w:sz w:val="20"/>
      <w:szCs w:val="20"/>
    </w:rPr>
  </w:style>
  <w:style w:type="paragraph" w:customStyle="1" w:styleId="Tableoffigures10pt">
    <w:name w:val="Table of figures 10pt"/>
    <w:basedOn w:val="Normal"/>
    <w:qFormat/>
    <w:rsid w:val="005E17A4"/>
    <w:pPr>
      <w:spacing w:before="0" w:after="200"/>
      <w:jc w:val="center"/>
    </w:pPr>
    <w:rPr>
      <w:bCs/>
      <w:color w:val="000000"/>
      <w:sz w:val="20"/>
      <w:szCs w:val="20"/>
    </w:rPr>
  </w:style>
  <w:style w:type="paragraph" w:customStyle="1" w:styleId="StyleTableHeadingtextBefore0ptAfter0pt">
    <w:name w:val="Style Table Heading text + Before:  0 pt After:  0 pt"/>
    <w:basedOn w:val="TableHeadingtext"/>
    <w:rsid w:val="005E17A4"/>
    <w:pPr>
      <w:spacing w:after="0"/>
    </w:pPr>
    <w:rPr>
      <w:bCs/>
      <w:sz w:val="20"/>
      <w:szCs w:val="20"/>
    </w:rPr>
  </w:style>
  <w:style w:type="paragraph" w:customStyle="1" w:styleId="Tableoffigurescentred">
    <w:name w:val="Table of figures centred"/>
    <w:basedOn w:val="Normal"/>
    <w:qFormat/>
    <w:rsid w:val="005E17A4"/>
    <w:pPr>
      <w:spacing w:before="0" w:after="0"/>
      <w:ind w:left="-77" w:right="-155"/>
      <w:jc w:val="center"/>
    </w:pPr>
    <w:rPr>
      <w:sz w:val="20"/>
      <w:szCs w:val="20"/>
    </w:rPr>
  </w:style>
  <w:style w:type="paragraph" w:customStyle="1" w:styleId="Tablewhitedash">
    <w:name w:val="Table + white dash"/>
    <w:basedOn w:val="Normal"/>
    <w:qFormat/>
    <w:rsid w:val="005E17A4"/>
    <w:pPr>
      <w:spacing w:before="0" w:after="0"/>
      <w:jc w:val="right"/>
    </w:pPr>
    <w:rPr>
      <w:color w:val="FFFFFF"/>
      <w:sz w:val="20"/>
      <w:szCs w:val="20"/>
    </w:rPr>
  </w:style>
  <w:style w:type="paragraph" w:customStyle="1" w:styleId="Normalhangingindent">
    <w:name w:val="Normal + hanging indent"/>
    <w:basedOn w:val="Normal"/>
    <w:qFormat/>
    <w:rsid w:val="005E17A4"/>
    <w:pPr>
      <w:spacing w:before="0" w:after="200"/>
      <w:ind w:left="1276" w:hanging="1276"/>
    </w:pPr>
  </w:style>
  <w:style w:type="paragraph" w:customStyle="1" w:styleId="Normal300before">
    <w:name w:val="Normal + 300before"/>
    <w:basedOn w:val="Normalbefore200ptleading"/>
    <w:qFormat/>
    <w:rsid w:val="005E17A4"/>
  </w:style>
  <w:style w:type="character" w:customStyle="1" w:styleId="FootnoteTextChar1">
    <w:name w:val="Footnote Text Char1"/>
    <w:basedOn w:val="DefaultParagraphFont"/>
    <w:uiPriority w:val="99"/>
    <w:semiHidden/>
    <w:locked/>
    <w:rsid w:val="005E17A4"/>
    <w:rPr>
      <w:sz w:val="20"/>
      <w:szCs w:val="20"/>
    </w:rPr>
  </w:style>
  <w:style w:type="paragraph" w:customStyle="1" w:styleId="Bulletlevel2">
    <w:name w:val="Bullet level 2"/>
    <w:basedOn w:val="bullet"/>
    <w:autoRedefine/>
    <w:qFormat/>
    <w:rsid w:val="005E17A4"/>
    <w:pPr>
      <w:numPr>
        <w:numId w:val="25"/>
      </w:numPr>
    </w:pPr>
  </w:style>
  <w:style w:type="paragraph" w:customStyle="1" w:styleId="Bulletedtext">
    <w:name w:val="Bulleted text"/>
    <w:basedOn w:val="Default"/>
    <w:next w:val="Default"/>
    <w:uiPriority w:val="99"/>
    <w:rsid w:val="005E17A4"/>
    <w:pPr>
      <w:widowControl w:val="0"/>
      <w:spacing w:before="120"/>
    </w:pPr>
    <w:rPr>
      <w:rFonts w:ascii="Trebuchet MS" w:eastAsia="Times New Roman" w:hAnsi="Trebuchet MS" w:cs="Times New Roman"/>
      <w:color w:val="auto"/>
      <w:lang w:eastAsia="en-AU"/>
    </w:rPr>
  </w:style>
  <w:style w:type="paragraph" w:customStyle="1" w:styleId="Style1">
    <w:name w:val="Style1"/>
    <w:basedOn w:val="bullet"/>
    <w:qFormat/>
    <w:rsid w:val="005E17A4"/>
    <w:pPr>
      <w:tabs>
        <w:tab w:val="num" w:pos="426"/>
      </w:tabs>
    </w:pPr>
  </w:style>
  <w:style w:type="paragraph" w:customStyle="1" w:styleId="bulletlevel3">
    <w:name w:val="bullet level 3"/>
    <w:basedOn w:val="ListBullet2"/>
    <w:qFormat/>
    <w:rsid w:val="005E17A4"/>
    <w:pPr>
      <w:numPr>
        <w:ilvl w:val="0"/>
        <w:numId w:val="0"/>
      </w:numPr>
      <w:tabs>
        <w:tab w:val="left" w:pos="284"/>
      </w:tabs>
      <w:spacing w:before="0"/>
      <w:ind w:left="851" w:hanging="284"/>
    </w:pPr>
  </w:style>
  <w:style w:type="paragraph" w:customStyle="1" w:styleId="bulletlevel4">
    <w:name w:val="bullet level 4"/>
    <w:basedOn w:val="Bulletlevel2"/>
    <w:qFormat/>
    <w:rsid w:val="005E17A4"/>
    <w:pPr>
      <w:tabs>
        <w:tab w:val="left" w:pos="1134"/>
      </w:tabs>
      <w:ind w:left="1135"/>
    </w:pPr>
  </w:style>
  <w:style w:type="paragraph" w:styleId="TOC4">
    <w:name w:val="toc 4"/>
    <w:basedOn w:val="Normal"/>
    <w:next w:val="Normal"/>
    <w:autoRedefine/>
    <w:uiPriority w:val="39"/>
    <w:rsid w:val="005E17A4"/>
    <w:pPr>
      <w:spacing w:before="0" w:after="100"/>
      <w:ind w:left="510"/>
    </w:pPr>
    <w:rPr>
      <w:sz w:val="16"/>
    </w:rPr>
  </w:style>
  <w:style w:type="paragraph" w:customStyle="1" w:styleId="Style2">
    <w:name w:val="Style2"/>
    <w:basedOn w:val="Heading3"/>
    <w:link w:val="Style2Char"/>
    <w:qFormat/>
    <w:rsid w:val="005E17A4"/>
    <w:pPr>
      <w:numPr>
        <w:ilvl w:val="0"/>
        <w:numId w:val="0"/>
      </w:numPr>
      <w:spacing w:before="200"/>
    </w:pPr>
    <w:rPr>
      <w:sz w:val="24"/>
    </w:rPr>
  </w:style>
  <w:style w:type="character" w:customStyle="1" w:styleId="Style2Char">
    <w:name w:val="Style2 Char"/>
    <w:basedOn w:val="Heading3Char"/>
    <w:link w:val="Style2"/>
    <w:rsid w:val="005E17A4"/>
    <w:rPr>
      <w:rFonts w:ascii="Calibri" w:eastAsiaTheme="majorEastAsia" w:hAnsi="Calibri" w:cstheme="majorBidi"/>
      <w:b/>
      <w:bCs/>
      <w:sz w:val="24"/>
    </w:rPr>
  </w:style>
  <w:style w:type="paragraph" w:customStyle="1" w:styleId="Heading5new">
    <w:name w:val="Heading 5 new"/>
    <w:basedOn w:val="Heading3"/>
    <w:link w:val="Heading5newChar"/>
    <w:qFormat/>
    <w:rsid w:val="005E17A4"/>
    <w:pPr>
      <w:numPr>
        <w:ilvl w:val="0"/>
        <w:numId w:val="0"/>
      </w:numPr>
      <w:spacing w:before="200"/>
    </w:pPr>
    <w:rPr>
      <w:sz w:val="24"/>
    </w:rPr>
  </w:style>
  <w:style w:type="character" w:customStyle="1" w:styleId="Heading5newChar">
    <w:name w:val="Heading 5 new Char"/>
    <w:basedOn w:val="Heading3Char"/>
    <w:link w:val="Heading5new"/>
    <w:rsid w:val="005E17A4"/>
    <w:rPr>
      <w:rFonts w:ascii="Calibri" w:eastAsiaTheme="majorEastAsia" w:hAnsi="Calibri" w:cstheme="majorBidi"/>
      <w:b/>
      <w:bCs/>
      <w:sz w:val="24"/>
    </w:rPr>
  </w:style>
  <w:style w:type="paragraph" w:customStyle="1" w:styleId="normalbody">
    <w:name w:val="normal body"/>
    <w:basedOn w:val="Normal"/>
    <w:qFormat/>
    <w:rsid w:val="005E17A4"/>
    <w:pPr>
      <w:spacing w:before="0" w:after="200"/>
    </w:pPr>
  </w:style>
  <w:style w:type="table" w:customStyle="1" w:styleId="Tableforreports">
    <w:name w:val="Table for reports"/>
    <w:basedOn w:val="TableNormal"/>
    <w:uiPriority w:val="99"/>
    <w:rsid w:val="005E17A4"/>
    <w:pPr>
      <w:spacing w:after="0" w:line="240" w:lineRule="auto"/>
    </w:pPr>
    <w:rPr>
      <w:rFonts w:ascii="Times New Roman" w:eastAsia="Times New Roman" w:hAnsi="Times New Roman" w:cs="Times New Roman"/>
      <w:sz w:val="20"/>
      <w:szCs w:val="20"/>
      <w:lang w:eastAsia="en-AU"/>
    </w:rPr>
    <w:tblPr/>
  </w:style>
  <w:style w:type="paragraph" w:styleId="TOC7">
    <w:name w:val="toc 7"/>
    <w:basedOn w:val="Normal"/>
    <w:next w:val="Normal"/>
    <w:autoRedefine/>
    <w:uiPriority w:val="39"/>
    <w:rsid w:val="005E17A4"/>
    <w:pPr>
      <w:spacing w:before="0" w:after="100"/>
      <w:ind w:left="1320"/>
    </w:pPr>
  </w:style>
  <w:style w:type="paragraph" w:customStyle="1" w:styleId="Heading3withoutnumbering">
    <w:name w:val="Heading3 without numbering"/>
    <w:basedOn w:val="Heading30"/>
    <w:qFormat/>
    <w:rsid w:val="005E17A4"/>
    <w:pPr>
      <w:spacing w:after="120"/>
    </w:pPr>
  </w:style>
  <w:style w:type="character" w:customStyle="1" w:styleId="TableCaptionChar">
    <w:name w:val="Table Caption Char"/>
    <w:basedOn w:val="DefaultParagraphFont"/>
    <w:link w:val="TableCaption"/>
    <w:rsid w:val="005E17A4"/>
    <w:rPr>
      <w:b/>
    </w:rPr>
  </w:style>
  <w:style w:type="paragraph" w:customStyle="1" w:styleId="tabletextright">
    <w:name w:val="table text right"/>
    <w:basedOn w:val="tabletext"/>
    <w:uiPriority w:val="99"/>
    <w:qFormat/>
    <w:rsid w:val="005E17A4"/>
    <w:pPr>
      <w:spacing w:after="0" w:line="23" w:lineRule="atLeast"/>
      <w:ind w:right="312"/>
    </w:pPr>
  </w:style>
  <w:style w:type="paragraph" w:customStyle="1" w:styleId="TableHeadingtext-centred">
    <w:name w:val="Table Heading text - centred"/>
    <w:basedOn w:val="TableHeadingtext"/>
    <w:uiPriority w:val="99"/>
    <w:qFormat/>
    <w:rsid w:val="005E17A4"/>
    <w:pPr>
      <w:spacing w:after="0" w:line="240" w:lineRule="auto"/>
      <w:jc w:val="center"/>
    </w:pPr>
    <w:rPr>
      <w:b w:val="0"/>
      <w:sz w:val="20"/>
    </w:rPr>
  </w:style>
  <w:style w:type="paragraph" w:customStyle="1" w:styleId="tabletextslim">
    <w:name w:val="table text slim"/>
    <w:basedOn w:val="Normal"/>
    <w:link w:val="tabletextslimChar"/>
    <w:rsid w:val="005E17A4"/>
    <w:pPr>
      <w:suppressAutoHyphens/>
      <w:autoSpaceDE w:val="0"/>
      <w:autoSpaceDN w:val="0"/>
      <w:adjustRightInd w:val="0"/>
      <w:spacing w:before="40" w:after="200" w:line="300" w:lineRule="atLeast"/>
      <w:ind w:right="113"/>
      <w:jc w:val="right"/>
      <w:textAlignment w:val="center"/>
    </w:pPr>
    <w:rPr>
      <w:rFonts w:cs="Garamond"/>
      <w:color w:val="000000"/>
      <w:sz w:val="20"/>
      <w:lang w:val="en-GB"/>
    </w:rPr>
  </w:style>
  <w:style w:type="character" w:customStyle="1" w:styleId="tabletextslimChar">
    <w:name w:val="table text slim Char"/>
    <w:basedOn w:val="DefaultParagraphFont"/>
    <w:link w:val="tabletextslim"/>
    <w:rsid w:val="005E17A4"/>
    <w:rPr>
      <w:rFonts w:cs="Garamond"/>
      <w:color w:val="000000"/>
      <w:sz w:val="20"/>
      <w:lang w:val="en-GB"/>
    </w:rPr>
  </w:style>
  <w:style w:type="character" w:customStyle="1" w:styleId="SourceandnotetextmultiplenotesChar">
    <w:name w:val="Source and note text multiple notes Char"/>
    <w:basedOn w:val="SourceandnotetextChar"/>
    <w:link w:val="Sourceandnotetextmultiplenotes"/>
    <w:uiPriority w:val="99"/>
    <w:rsid w:val="005E17A4"/>
    <w:rPr>
      <w:sz w:val="20"/>
      <w:szCs w:val="20"/>
    </w:rPr>
  </w:style>
  <w:style w:type="paragraph" w:customStyle="1" w:styleId="FigureHeading">
    <w:name w:val="Figure Heading"/>
    <w:basedOn w:val="TableandFigureheading"/>
    <w:link w:val="FigureHeadingChar"/>
    <w:qFormat/>
    <w:rsid w:val="005E17A4"/>
    <w:pPr>
      <w:keepNext w:val="0"/>
      <w:spacing w:before="40" w:after="40" w:line="240" w:lineRule="auto"/>
    </w:pPr>
    <w:rPr>
      <w:rFonts w:ascii="Calibri" w:eastAsia="Times New Roman" w:hAnsi="Calibri" w:cs="Times New Roman"/>
      <w:i/>
      <w:szCs w:val="24"/>
      <w:lang w:eastAsia="en-AU"/>
    </w:rPr>
  </w:style>
  <w:style w:type="character" w:customStyle="1" w:styleId="FigureHeadingChar">
    <w:name w:val="Figure Heading Char"/>
    <w:basedOn w:val="TableandFigureheadingChar"/>
    <w:link w:val="FigureHeading"/>
    <w:rsid w:val="005E17A4"/>
    <w:rPr>
      <w:rFonts w:ascii="Calibri" w:eastAsia="Times New Roman" w:hAnsi="Calibri" w:cs="Times New Roman"/>
      <w:b/>
      <w:i/>
      <w:sz w:val="20"/>
      <w:szCs w:val="24"/>
      <w:lang w:eastAsia="en-AU"/>
    </w:rPr>
  </w:style>
  <w:style w:type="character" w:customStyle="1" w:styleId="TableHeadingChar">
    <w:name w:val="Table Heading Char"/>
    <w:basedOn w:val="DefaultParagraphFont"/>
    <w:link w:val="TableHeading0"/>
    <w:locked/>
    <w:rsid w:val="00485069"/>
    <w:rPr>
      <w:rFonts w:ascii="Calibri" w:hAnsi="Calibri"/>
      <w:i/>
      <w:sz w:val="20"/>
    </w:rPr>
  </w:style>
  <w:style w:type="paragraph" w:customStyle="1" w:styleId="TableHeading0">
    <w:name w:val="Table Heading"/>
    <w:basedOn w:val="Normal"/>
    <w:link w:val="TableHeadingChar"/>
    <w:qFormat/>
    <w:rsid w:val="00485069"/>
    <w:pPr>
      <w:spacing w:beforeAutospacing="1" w:afterAutospacing="1" w:line="240" w:lineRule="auto"/>
    </w:pPr>
    <w:rPr>
      <w:rFonts w:ascii="Calibri" w:hAnsi="Calibri"/>
      <w:i/>
      <w:sz w:val="20"/>
    </w:rPr>
  </w:style>
  <w:style w:type="paragraph" w:customStyle="1" w:styleId="Pa18">
    <w:name w:val="Pa18"/>
    <w:basedOn w:val="Default"/>
    <w:next w:val="Default"/>
    <w:uiPriority w:val="99"/>
    <w:rsid w:val="005E17A4"/>
    <w:pPr>
      <w:spacing w:line="301" w:lineRule="atLeast"/>
    </w:pPr>
    <w:rPr>
      <w:rFonts w:ascii="News Gothic Com" w:eastAsia="Times New Roman" w:hAnsi="News Gothic Com" w:cs="Times New Roman"/>
      <w:color w:val="auto"/>
      <w:lang w:eastAsia="en-AU"/>
    </w:rPr>
  </w:style>
  <w:style w:type="paragraph" w:customStyle="1" w:styleId="Pa5">
    <w:name w:val="Pa5"/>
    <w:basedOn w:val="Default"/>
    <w:next w:val="Default"/>
    <w:uiPriority w:val="99"/>
    <w:rsid w:val="005E17A4"/>
    <w:pPr>
      <w:spacing w:line="201" w:lineRule="atLeast"/>
    </w:pPr>
    <w:rPr>
      <w:rFonts w:ascii="News Gothic Com" w:eastAsia="Times New Roman" w:hAnsi="News Gothic Com" w:cs="Times New Roman"/>
      <w:color w:val="auto"/>
      <w:lang w:eastAsia="en-AU"/>
    </w:rPr>
  </w:style>
  <w:style w:type="paragraph" w:customStyle="1" w:styleId="Pa19">
    <w:name w:val="Pa19"/>
    <w:basedOn w:val="Default"/>
    <w:next w:val="Default"/>
    <w:uiPriority w:val="99"/>
    <w:rsid w:val="005E17A4"/>
    <w:pPr>
      <w:spacing w:line="251" w:lineRule="atLeast"/>
    </w:pPr>
    <w:rPr>
      <w:rFonts w:ascii="News Gothic Com" w:eastAsia="Times New Roman" w:hAnsi="News Gothic Com" w:cs="Times New Roman"/>
      <w:color w:val="auto"/>
      <w:lang w:eastAsia="en-AU"/>
    </w:rPr>
  </w:style>
  <w:style w:type="paragraph" w:customStyle="1" w:styleId="FootnoteText1">
    <w:name w:val="Footnote Text1"/>
    <w:basedOn w:val="Normal"/>
    <w:link w:val="FootnotetextChar0"/>
    <w:rsid w:val="005E17A4"/>
    <w:pPr>
      <w:keepNext/>
      <w:tabs>
        <w:tab w:val="left" w:pos="454"/>
      </w:tabs>
      <w:spacing w:before="0" w:after="0" w:line="240" w:lineRule="auto"/>
      <w:ind w:left="454" w:hanging="454"/>
    </w:pPr>
    <w:rPr>
      <w:rFonts w:ascii="Calibri" w:eastAsia="Times New Roman" w:hAnsi="Calibri" w:cs="Times New Roman"/>
      <w:sz w:val="20"/>
      <w:szCs w:val="24"/>
      <w:lang w:eastAsia="en-AU"/>
    </w:rPr>
  </w:style>
  <w:style w:type="character" w:customStyle="1" w:styleId="FootnotetextChar0">
    <w:name w:val="Footnote text Char"/>
    <w:basedOn w:val="DefaultParagraphFont"/>
    <w:link w:val="FootnoteText1"/>
    <w:rsid w:val="005E17A4"/>
    <w:rPr>
      <w:rFonts w:ascii="Calibri" w:eastAsia="Times New Roman" w:hAnsi="Calibri" w:cs="Times New Roman"/>
      <w:sz w:val="20"/>
      <w:szCs w:val="24"/>
      <w:lang w:eastAsia="en-AU"/>
    </w:rPr>
  </w:style>
  <w:style w:type="character" w:customStyle="1" w:styleId="PersonalComposeStyle">
    <w:name w:val="Personal Compose Style"/>
    <w:basedOn w:val="DefaultParagraphFont"/>
    <w:rsid w:val="005E17A4"/>
    <w:rPr>
      <w:rFonts w:ascii="Arial" w:hAnsi="Arial" w:cs="Arial"/>
      <w:color w:val="auto"/>
      <w:sz w:val="20"/>
    </w:rPr>
  </w:style>
  <w:style w:type="character" w:customStyle="1" w:styleId="PersonalReplyStyle">
    <w:name w:val="Personal Reply Style"/>
    <w:basedOn w:val="DefaultParagraphFont"/>
    <w:rsid w:val="005E17A4"/>
    <w:rPr>
      <w:rFonts w:ascii="Arial" w:hAnsi="Arial" w:cs="Arial"/>
      <w:color w:val="auto"/>
      <w:sz w:val="20"/>
    </w:rPr>
  </w:style>
  <w:style w:type="paragraph" w:customStyle="1" w:styleId="StyletabletextLeft">
    <w:name w:val="Style table text + Left"/>
    <w:basedOn w:val="tabletextslim"/>
    <w:rsid w:val="005E17A4"/>
    <w:pPr>
      <w:jc w:val="left"/>
    </w:pPr>
    <w:rPr>
      <w:rFonts w:cs="Times New Roman"/>
      <w:szCs w:val="20"/>
    </w:rPr>
  </w:style>
  <w:style w:type="character" w:customStyle="1" w:styleId="sub-bulletChar">
    <w:name w:val="sub-bullet Char"/>
    <w:basedOn w:val="bulletChar"/>
    <w:link w:val="sub-bullet"/>
    <w:rsid w:val="005E17A4"/>
    <w:rPr>
      <w:rFonts w:cs="Garamond"/>
      <w:color w:val="000000"/>
      <w:lang w:val="en-GB"/>
    </w:rPr>
  </w:style>
  <w:style w:type="paragraph" w:styleId="Bibliography">
    <w:name w:val="Bibliography"/>
    <w:basedOn w:val="Normal"/>
    <w:rsid w:val="005E17A4"/>
    <w:pPr>
      <w:numPr>
        <w:numId w:val="21"/>
      </w:numPr>
    </w:pPr>
    <w:rPr>
      <w:rFonts w:ascii="Arial" w:eastAsia="Times New Roman" w:hAnsi="Arial" w:cs="Times New Roman"/>
      <w:iCs/>
      <w:color w:val="000000"/>
      <w:sz w:val="20"/>
      <w:szCs w:val="20"/>
      <w:lang w:eastAsia="en-AU"/>
    </w:rPr>
  </w:style>
  <w:style w:type="paragraph" w:customStyle="1" w:styleId="NormalStyleBoxSinglesolidlineAuto05ptLinewidth">
    <w:name w:val="Normal + Style Box: (Single solid line Auto  0.5 pt Line width)"/>
    <w:basedOn w:val="Normal"/>
    <w:rsid w:val="005E17A4"/>
    <w:pPr>
      <w:pBdr>
        <w:top w:val="single" w:sz="4" w:space="1" w:color="auto"/>
        <w:left w:val="single" w:sz="4" w:space="4" w:color="auto"/>
        <w:bottom w:val="single" w:sz="4" w:space="1" w:color="auto"/>
        <w:right w:val="single" w:sz="4" w:space="4" w:color="auto"/>
      </w:pBdr>
      <w:spacing w:line="240" w:lineRule="auto"/>
    </w:pPr>
    <w:rPr>
      <w:rFonts w:ascii="Calibri" w:eastAsia="Times New Roman" w:hAnsi="Calibri" w:cs="Times New Roman"/>
      <w:szCs w:val="20"/>
      <w:lang w:eastAsia="en-AU"/>
    </w:rPr>
  </w:style>
  <w:style w:type="paragraph" w:customStyle="1" w:styleId="QuoteRef">
    <w:name w:val="QuoteRef"/>
    <w:basedOn w:val="Normal"/>
    <w:link w:val="QuoteRefChar"/>
    <w:qFormat/>
    <w:rsid w:val="005E17A4"/>
    <w:pPr>
      <w:spacing w:after="40" w:line="240" w:lineRule="auto"/>
      <w:ind w:left="720"/>
    </w:pPr>
    <w:rPr>
      <w:rFonts w:ascii="Calibri" w:eastAsia="Times New Roman" w:hAnsi="Calibri" w:cs="Times New Roman"/>
      <w:szCs w:val="24"/>
      <w:lang w:eastAsia="en-AU"/>
    </w:rPr>
  </w:style>
  <w:style w:type="character" w:customStyle="1" w:styleId="QuoteRefChar">
    <w:name w:val="QuoteRef Char"/>
    <w:basedOn w:val="DefaultParagraphFont"/>
    <w:link w:val="QuoteRef"/>
    <w:rsid w:val="005E17A4"/>
    <w:rPr>
      <w:rFonts w:ascii="Calibri" w:eastAsia="Times New Roman" w:hAnsi="Calibri" w:cs="Times New Roman"/>
      <w:szCs w:val="24"/>
      <w:lang w:eastAsia="en-AU"/>
    </w:rPr>
  </w:style>
  <w:style w:type="paragraph" w:customStyle="1" w:styleId="StyleQuoteBlBoxSinglesolidlineAuto05ptLinewidth">
    <w:name w:val="Style QuoteBl + Box: (Single solid line Auto  0.5 pt Line width)"/>
    <w:basedOn w:val="Normal"/>
    <w:rsid w:val="005E17A4"/>
    <w:pPr>
      <w:pBdr>
        <w:top w:val="single" w:sz="4" w:space="1" w:color="auto"/>
        <w:left w:val="single" w:sz="4" w:space="4" w:color="auto"/>
        <w:bottom w:val="single" w:sz="4" w:space="1" w:color="auto"/>
        <w:right w:val="single" w:sz="4" w:space="4" w:color="auto"/>
      </w:pBdr>
      <w:spacing w:after="0" w:line="240" w:lineRule="auto"/>
      <w:ind w:left="720"/>
    </w:pPr>
    <w:rPr>
      <w:rFonts w:ascii="Calibri" w:eastAsia="Times New Roman" w:hAnsi="Calibri" w:cs="Times New Roman"/>
      <w:sz w:val="20"/>
      <w:szCs w:val="20"/>
      <w:lang w:eastAsia="en-AU"/>
    </w:rPr>
  </w:style>
  <w:style w:type="paragraph" w:styleId="BodyTextIndent3">
    <w:name w:val="Body Text Indent 3"/>
    <w:basedOn w:val="Normal"/>
    <w:link w:val="BodyTextIndent3Char"/>
    <w:rsid w:val="005E17A4"/>
    <w:pPr>
      <w:spacing w:before="0"/>
      <w:ind w:left="283"/>
    </w:pPr>
    <w:rPr>
      <w:rFonts w:ascii="Calibri" w:eastAsia="Times New Roman" w:hAnsi="Calibri" w:cs="Times New Roman"/>
      <w:sz w:val="16"/>
      <w:szCs w:val="16"/>
      <w:lang w:eastAsia="en-AU"/>
    </w:rPr>
  </w:style>
  <w:style w:type="character" w:customStyle="1" w:styleId="BodyTextIndent3Char">
    <w:name w:val="Body Text Indent 3 Char"/>
    <w:basedOn w:val="DefaultParagraphFont"/>
    <w:link w:val="BodyTextIndent3"/>
    <w:rsid w:val="005E17A4"/>
    <w:rPr>
      <w:rFonts w:ascii="Calibri" w:eastAsia="Times New Roman" w:hAnsi="Calibri" w:cs="Times New Roman"/>
      <w:sz w:val="16"/>
      <w:szCs w:val="16"/>
      <w:lang w:eastAsia="en-AU"/>
    </w:rPr>
  </w:style>
  <w:style w:type="paragraph" w:customStyle="1" w:styleId="Captionbefore12">
    <w:name w:val="Caption + before 12"/>
    <w:basedOn w:val="Caption"/>
    <w:qFormat/>
    <w:rsid w:val="005E17A4"/>
    <w:pPr>
      <w:keepNext w:val="0"/>
      <w:spacing w:after="120"/>
    </w:pPr>
    <w:rPr>
      <w:rFonts w:ascii="Times New Roman" w:eastAsia="Times New Roman" w:hAnsi="Times New Roman" w:cs="Times New Roman"/>
      <w:i/>
      <w:iCs/>
      <w:color w:val="4F81BD"/>
      <w:sz w:val="18"/>
      <w:lang w:eastAsia="en-AU"/>
    </w:rPr>
  </w:style>
  <w:style w:type="paragraph" w:customStyle="1" w:styleId="FootnoteReference1">
    <w:name w:val="Footnote Reference1"/>
    <w:basedOn w:val="Sourceandnotetext"/>
    <w:link w:val="FootnotereferenceChar"/>
    <w:qFormat/>
    <w:rsid w:val="005E17A4"/>
    <w:pPr>
      <w:spacing w:before="0"/>
      <w:ind w:left="284" w:hanging="284"/>
    </w:pPr>
    <w:rPr>
      <w:rFonts w:ascii="Calibri" w:eastAsia="Times New Roman" w:hAnsi="Calibri" w:cs="Calibri"/>
      <w:sz w:val="20"/>
      <w:szCs w:val="20"/>
      <w:lang w:eastAsia="en-AU"/>
    </w:rPr>
  </w:style>
  <w:style w:type="character" w:customStyle="1" w:styleId="FootnotereferenceChar">
    <w:name w:val="Footnote reference Char"/>
    <w:basedOn w:val="SourceandnotetextChar"/>
    <w:link w:val="FootnoteReference1"/>
    <w:rsid w:val="005E17A4"/>
    <w:rPr>
      <w:rFonts w:ascii="Calibri" w:eastAsia="Times New Roman" w:hAnsi="Calibri" w:cs="Calibri"/>
      <w:sz w:val="20"/>
      <w:szCs w:val="20"/>
      <w:lang w:eastAsia="en-AU"/>
    </w:rPr>
  </w:style>
  <w:style w:type="character" w:customStyle="1" w:styleId="SourceandnotetextsubnoteChar">
    <w:name w:val="Source and note text sub note Char"/>
    <w:basedOn w:val="SourceandnotetextmultiplenotesChar"/>
    <w:link w:val="Sourceandnotetextsubnote"/>
    <w:rsid w:val="005E17A4"/>
    <w:rPr>
      <w:sz w:val="20"/>
      <w:szCs w:val="20"/>
    </w:rPr>
  </w:style>
  <w:style w:type="character" w:customStyle="1" w:styleId="definition">
    <w:name w:val="definition"/>
    <w:basedOn w:val="DefaultParagraphFont"/>
    <w:rsid w:val="005E17A4"/>
  </w:style>
  <w:style w:type="paragraph" w:customStyle="1" w:styleId="Question">
    <w:name w:val="Question"/>
    <w:basedOn w:val="Heading1"/>
    <w:next w:val="Normal"/>
    <w:uiPriority w:val="99"/>
    <w:rsid w:val="005E17A4"/>
    <w:pPr>
      <w:pageBreakBefore w:val="0"/>
      <w:numPr>
        <w:numId w:val="23"/>
      </w:numPr>
      <w:tabs>
        <w:tab w:val="left" w:pos="567"/>
      </w:tabs>
      <w:spacing w:after="0"/>
      <w:contextualSpacing w:val="0"/>
    </w:pPr>
    <w:rPr>
      <w:rFonts w:ascii="Arial" w:eastAsia="Times New Roman" w:hAnsi="Arial" w:cs="Arial"/>
      <w:b w:val="0"/>
      <w:color w:val="auto"/>
      <w:sz w:val="22"/>
      <w:szCs w:val="20"/>
    </w:rPr>
  </w:style>
  <w:style w:type="paragraph" w:customStyle="1" w:styleId="Questionoptions">
    <w:name w:val="Question options"/>
    <w:basedOn w:val="Question"/>
    <w:uiPriority w:val="99"/>
    <w:rsid w:val="005E17A4"/>
    <w:pPr>
      <w:numPr>
        <w:ilvl w:val="1"/>
      </w:numPr>
    </w:pPr>
  </w:style>
  <w:style w:type="paragraph" w:customStyle="1" w:styleId="StylebulletText1">
    <w:name w:val="Style bullet + Text 1"/>
    <w:basedOn w:val="bullet"/>
    <w:rsid w:val="005E17A4"/>
    <w:pPr>
      <w:numPr>
        <w:numId w:val="0"/>
      </w:numPr>
    </w:pPr>
    <w:rPr>
      <w:rFonts w:ascii="Calibri" w:eastAsia="Times New Roman" w:hAnsi="Calibri"/>
      <w:color w:val="000000" w:themeColor="text1"/>
      <w:lang w:eastAsia="en-AU"/>
    </w:rPr>
  </w:style>
  <w:style w:type="paragraph" w:styleId="TOC5">
    <w:name w:val="toc 5"/>
    <w:basedOn w:val="Normal"/>
    <w:next w:val="Normal"/>
    <w:autoRedefine/>
    <w:uiPriority w:val="39"/>
    <w:rsid w:val="005E17A4"/>
    <w:pPr>
      <w:spacing w:before="0" w:after="0"/>
      <w:ind w:left="880"/>
    </w:pPr>
    <w:rPr>
      <w:rFonts w:eastAsia="Times New Roman" w:cstheme="minorHAnsi"/>
      <w:sz w:val="20"/>
      <w:szCs w:val="20"/>
      <w:lang w:eastAsia="en-AU"/>
    </w:rPr>
  </w:style>
  <w:style w:type="paragraph" w:styleId="TOC6">
    <w:name w:val="toc 6"/>
    <w:basedOn w:val="Normal"/>
    <w:next w:val="Normal"/>
    <w:autoRedefine/>
    <w:uiPriority w:val="39"/>
    <w:rsid w:val="005E17A4"/>
    <w:pPr>
      <w:spacing w:before="0" w:after="0"/>
      <w:ind w:left="1100"/>
    </w:pPr>
    <w:rPr>
      <w:rFonts w:eastAsia="Times New Roman" w:cstheme="minorHAnsi"/>
      <w:sz w:val="20"/>
      <w:szCs w:val="20"/>
      <w:lang w:eastAsia="en-AU"/>
    </w:rPr>
  </w:style>
  <w:style w:type="paragraph" w:styleId="TOC8">
    <w:name w:val="toc 8"/>
    <w:basedOn w:val="Normal"/>
    <w:next w:val="Normal"/>
    <w:autoRedefine/>
    <w:uiPriority w:val="39"/>
    <w:rsid w:val="005E17A4"/>
    <w:pPr>
      <w:spacing w:before="0" w:after="0"/>
      <w:ind w:left="1540"/>
    </w:pPr>
    <w:rPr>
      <w:rFonts w:eastAsia="Times New Roman" w:cstheme="minorHAnsi"/>
      <w:sz w:val="20"/>
      <w:szCs w:val="20"/>
      <w:lang w:eastAsia="en-AU"/>
    </w:rPr>
  </w:style>
  <w:style w:type="paragraph" w:styleId="TOC9">
    <w:name w:val="toc 9"/>
    <w:basedOn w:val="Normal"/>
    <w:next w:val="Normal"/>
    <w:autoRedefine/>
    <w:uiPriority w:val="39"/>
    <w:rsid w:val="005E17A4"/>
    <w:pPr>
      <w:spacing w:before="0" w:after="0"/>
      <w:ind w:left="1760"/>
    </w:pPr>
    <w:rPr>
      <w:rFonts w:eastAsia="Times New Roman" w:cstheme="minorHAnsi"/>
      <w:sz w:val="20"/>
      <w:szCs w:val="20"/>
      <w:lang w:eastAsia="en-AU"/>
    </w:rPr>
  </w:style>
  <w:style w:type="paragraph" w:customStyle="1" w:styleId="Notes">
    <w:name w:val="Notes"/>
    <w:basedOn w:val="Normal"/>
    <w:link w:val="NotesChar"/>
    <w:rsid w:val="005E17A4"/>
    <w:pPr>
      <w:spacing w:before="0" w:after="0" w:line="240" w:lineRule="auto"/>
    </w:pPr>
    <w:rPr>
      <w:rFonts w:ascii="Cambria" w:eastAsia="Times New Roman" w:hAnsi="Cambria" w:cs="Times New Roman"/>
      <w:sz w:val="20"/>
      <w:szCs w:val="20"/>
      <w:lang w:val="en-US"/>
    </w:rPr>
  </w:style>
  <w:style w:type="character" w:customStyle="1" w:styleId="NotesChar">
    <w:name w:val="Notes Char"/>
    <w:basedOn w:val="DefaultParagraphFont"/>
    <w:link w:val="Notes"/>
    <w:rsid w:val="005E17A4"/>
    <w:rPr>
      <w:rFonts w:ascii="Cambria" w:eastAsia="Times New Roman" w:hAnsi="Cambria" w:cs="Times New Roman"/>
      <w:sz w:val="20"/>
      <w:szCs w:val="20"/>
      <w:lang w:val="en-US"/>
    </w:rPr>
  </w:style>
  <w:style w:type="paragraph" w:customStyle="1" w:styleId="Authorsnote">
    <w:name w:val="Author's note"/>
    <w:basedOn w:val="Normal"/>
    <w:link w:val="AuthorsnoteChar"/>
    <w:qFormat/>
    <w:rsid w:val="005E17A4"/>
    <w:pPr>
      <w:spacing w:after="40" w:line="240" w:lineRule="auto"/>
    </w:pPr>
    <w:rPr>
      <w:rFonts w:ascii="Calibri" w:eastAsia="Times New Roman" w:hAnsi="Calibri" w:cs="Times New Roman"/>
      <w:color w:val="FF0000"/>
      <w:szCs w:val="24"/>
      <w:lang w:eastAsia="en-AU"/>
    </w:rPr>
  </w:style>
  <w:style w:type="character" w:customStyle="1" w:styleId="AuthorsnoteChar">
    <w:name w:val="Author's note Char"/>
    <w:basedOn w:val="DefaultParagraphFont"/>
    <w:link w:val="Authorsnote"/>
    <w:rsid w:val="005E17A4"/>
    <w:rPr>
      <w:rFonts w:ascii="Calibri" w:eastAsia="Times New Roman" w:hAnsi="Calibri" w:cs="Times New Roman"/>
      <w:color w:val="FF0000"/>
      <w:szCs w:val="24"/>
      <w:lang w:eastAsia="en-AU"/>
    </w:rPr>
  </w:style>
  <w:style w:type="paragraph" w:customStyle="1" w:styleId="FigureCaptionMultipleColumn">
    <w:name w:val="Figure Caption Multiple Column"/>
    <w:basedOn w:val="FigureCaption0"/>
    <w:next w:val="Normal"/>
    <w:qFormat/>
    <w:rsid w:val="005E17A4"/>
    <w:pPr>
      <w:keepNext w:val="0"/>
      <w:spacing w:before="120" w:after="40" w:line="240" w:lineRule="auto"/>
    </w:pPr>
    <w:rPr>
      <w:rFonts w:ascii="Calibri" w:eastAsia="Times New Roman" w:hAnsi="Calibri" w:cs="Times New Roman"/>
      <w:szCs w:val="24"/>
      <w:lang w:eastAsia="en-AU"/>
    </w:rPr>
  </w:style>
  <w:style w:type="paragraph" w:customStyle="1" w:styleId="Heading40">
    <w:name w:val="Heading4"/>
    <w:basedOn w:val="ListParagraph"/>
    <w:qFormat/>
    <w:rsid w:val="005E17A4"/>
    <w:pPr>
      <w:autoSpaceDE w:val="0"/>
      <w:autoSpaceDN w:val="0"/>
      <w:adjustRightInd w:val="0"/>
      <w:spacing w:line="240" w:lineRule="auto"/>
      <w:ind w:left="0"/>
      <w:contextualSpacing w:val="0"/>
    </w:pPr>
    <w:rPr>
      <w:rFonts w:ascii="Calibri" w:eastAsia="Calibri" w:hAnsi="Calibri" w:cs="Times New Roman"/>
      <w:b/>
      <w:szCs w:val="24"/>
      <w:lang w:eastAsia="en-AU"/>
    </w:rPr>
  </w:style>
  <w:style w:type="character" w:customStyle="1" w:styleId="StyleFootnoteReferenceSuperscript">
    <w:name w:val="Style Footnote Reference + Superscript"/>
    <w:basedOn w:val="FootnoteReference"/>
    <w:rsid w:val="005E17A4"/>
    <w:rPr>
      <w:sz w:val="24"/>
      <w:szCs w:val="20"/>
      <w:vertAlign w:val="superscript"/>
    </w:rPr>
  </w:style>
  <w:style w:type="character" w:customStyle="1" w:styleId="StyleStyleFootnoteReferenceSuperscript12pt">
    <w:name w:val="Style Style Footnote Reference + Superscript + 12 pt"/>
    <w:basedOn w:val="StyleFootnoteReferenceSuperscript"/>
    <w:rsid w:val="005E17A4"/>
    <w:rPr>
      <w:sz w:val="24"/>
      <w:szCs w:val="20"/>
      <w:vertAlign w:val="superscript"/>
    </w:rPr>
  </w:style>
  <w:style w:type="paragraph" w:customStyle="1" w:styleId="bulletlist0">
    <w:name w:val="bullet list"/>
    <w:basedOn w:val="bullet"/>
    <w:rsid w:val="005E17A4"/>
    <w:pPr>
      <w:numPr>
        <w:numId w:val="0"/>
      </w:numPr>
      <w:tabs>
        <w:tab w:val="left" w:pos="227"/>
        <w:tab w:val="num" w:pos="284"/>
      </w:tabs>
      <w:spacing w:before="20" w:after="198" w:line="300" w:lineRule="atLeast"/>
      <w:ind w:left="227" w:hanging="227"/>
    </w:pPr>
    <w:rPr>
      <w:rFonts w:ascii="Calibri" w:eastAsia="Univers" w:hAnsi="Calibri"/>
      <w:lang w:eastAsia="en-AU"/>
    </w:rPr>
  </w:style>
  <w:style w:type="paragraph" w:customStyle="1" w:styleId="QuoteBl">
    <w:name w:val="QuoteBl"/>
    <w:basedOn w:val="Normal"/>
    <w:qFormat/>
    <w:rsid w:val="005E17A4"/>
    <w:pPr>
      <w:spacing w:before="0" w:after="200"/>
      <w:ind w:left="720"/>
      <w:jc w:val="right"/>
    </w:pPr>
    <w:rPr>
      <w:rFonts w:ascii="Calibri" w:eastAsia="Univers" w:hAnsi="Calibri" w:cs="Times New Roman"/>
      <w:i/>
      <w:sz w:val="20"/>
      <w:szCs w:val="24"/>
      <w:lang w:eastAsia="en-AU"/>
    </w:rPr>
  </w:style>
  <w:style w:type="numbering" w:customStyle="1" w:styleId="Bullets1">
    <w:name w:val="Bullets1"/>
    <w:basedOn w:val="NoList"/>
    <w:rsid w:val="005E17A4"/>
  </w:style>
  <w:style w:type="numbering" w:customStyle="1" w:styleId="Bullets2">
    <w:name w:val="Bullets2"/>
    <w:basedOn w:val="NoList"/>
    <w:rsid w:val="005E17A4"/>
  </w:style>
  <w:style w:type="paragraph" w:customStyle="1" w:styleId="StyleBulletlevel2NotItalic">
    <w:name w:val="Style Bullet level 2 + Not Italic"/>
    <w:basedOn w:val="Bulletlevel2"/>
    <w:rsid w:val="005E17A4"/>
    <w:pPr>
      <w:tabs>
        <w:tab w:val="num" w:pos="360"/>
        <w:tab w:val="left" w:pos="709"/>
      </w:tabs>
      <w:ind w:left="227" w:hanging="227"/>
    </w:pPr>
    <w:rPr>
      <w:rFonts w:ascii="Calibri" w:eastAsia="Univers" w:hAnsi="Calibri"/>
      <w:i/>
      <w:lang w:eastAsia="en-AU"/>
    </w:rPr>
  </w:style>
  <w:style w:type="paragraph" w:customStyle="1" w:styleId="Tableheadingtext-rightaligned">
    <w:name w:val="Table heading text - right aligned"/>
    <w:basedOn w:val="TableHeadingtext-centred"/>
    <w:qFormat/>
    <w:rsid w:val="005E17A4"/>
    <w:pPr>
      <w:jc w:val="right"/>
    </w:pPr>
  </w:style>
  <w:style w:type="paragraph" w:customStyle="1" w:styleId="Tableheadingleftaligned">
    <w:name w:val="Table heading left aligned"/>
    <w:basedOn w:val="Tableheadingtext-rightaligned"/>
    <w:qFormat/>
    <w:rsid w:val="005E17A4"/>
    <w:pPr>
      <w:jc w:val="left"/>
    </w:pPr>
  </w:style>
  <w:style w:type="paragraph" w:customStyle="1" w:styleId="StyleNormal18ptbeforeBefore0ptAfter0pt">
    <w:name w:val="Style Normal + 18pt before + Before:  0 pt After:  0 pt"/>
    <w:basedOn w:val="Normal"/>
    <w:rsid w:val="00485069"/>
    <w:pPr>
      <w:spacing w:before="360" w:after="0"/>
    </w:pPr>
    <w:rPr>
      <w:rFonts w:eastAsia="Times New Roman" w:cs="Times New Roman"/>
      <w:szCs w:val="20"/>
    </w:rPr>
  </w:style>
  <w:style w:type="table" w:customStyle="1" w:styleId="Style3">
    <w:name w:val="Style3"/>
    <w:basedOn w:val="TableNormal"/>
    <w:uiPriority w:val="99"/>
    <w:rsid w:val="005E17A4"/>
    <w:pPr>
      <w:spacing w:after="0" w:line="240" w:lineRule="auto"/>
    </w:pPr>
    <w:tblPr/>
  </w:style>
  <w:style w:type="paragraph" w:styleId="Index4">
    <w:name w:val="index 4"/>
    <w:basedOn w:val="Normal"/>
    <w:next w:val="Normal"/>
    <w:autoRedefine/>
    <w:uiPriority w:val="99"/>
    <w:unhideWhenUsed/>
    <w:rsid w:val="005E17A4"/>
    <w:pPr>
      <w:spacing w:before="0" w:after="0" w:line="240" w:lineRule="auto"/>
      <w:ind w:left="880" w:hanging="220"/>
    </w:pPr>
  </w:style>
  <w:style w:type="paragraph" w:styleId="BodyTextIndent2">
    <w:name w:val="Body Text Indent 2"/>
    <w:basedOn w:val="Normal"/>
    <w:link w:val="BodyTextIndent2Char"/>
    <w:uiPriority w:val="99"/>
    <w:unhideWhenUsed/>
    <w:rsid w:val="005E17A4"/>
    <w:pPr>
      <w:spacing w:before="0" w:line="480" w:lineRule="auto"/>
      <w:ind w:left="283"/>
    </w:pPr>
  </w:style>
  <w:style w:type="character" w:customStyle="1" w:styleId="BodyTextIndent2Char">
    <w:name w:val="Body Text Indent 2 Char"/>
    <w:basedOn w:val="DefaultParagraphFont"/>
    <w:link w:val="BodyTextIndent2"/>
    <w:uiPriority w:val="99"/>
    <w:rsid w:val="005E17A4"/>
  </w:style>
  <w:style w:type="table" w:customStyle="1" w:styleId="DEEWRTable1">
    <w:name w:val="DEEWR Table1"/>
    <w:basedOn w:val="TableNormal"/>
    <w:uiPriority w:val="99"/>
    <w:rsid w:val="005E17A4"/>
    <w:pPr>
      <w:spacing w:after="0" w:line="240" w:lineRule="auto"/>
    </w:pPr>
    <w:rPr>
      <w:color w:val="000000" w:themeColor="text1"/>
      <w:sz w:val="20"/>
    </w:rPr>
    <w:tblPr>
      <w:tblStyleRowBandSize w:val="1"/>
      <w:tblBorders>
        <w:bottom w:val="single" w:sz="4" w:space="0" w:color="auto"/>
      </w:tblBorders>
    </w:tblPr>
    <w:trPr>
      <w:cantSplit/>
    </w:trPr>
    <w:tblStylePr w:type="firstRow">
      <w:pPr>
        <w:wordWrap/>
        <w:ind w:leftChars="0" w:left="0" w:rightChars="0" w:right="0"/>
        <w:jc w:val="left"/>
      </w:pPr>
      <w:rPr>
        <w:rFonts w:asciiTheme="minorHAnsi" w:hAnsiTheme="minorHAnsi"/>
        <w:b/>
        <w:color w:val="FFFFFF" w:themeColor="background2"/>
        <w:sz w:val="20"/>
      </w:rPr>
      <w:tblPr/>
      <w:trPr>
        <w:tblHeader/>
      </w:trPr>
      <w:tcPr>
        <w:shd w:val="clear" w:color="auto" w:fill="000000" w:themeFill="text1"/>
      </w:tcPr>
    </w:tblStylePr>
    <w:tblStylePr w:type="firstCol">
      <w:pPr>
        <w:jc w:val="left"/>
      </w:pPr>
      <w:rPr>
        <w:b/>
      </w:rPr>
    </w:tblStylePr>
  </w:style>
  <w:style w:type="table" w:styleId="LightList-Accent1">
    <w:name w:val="Light List Accent 1"/>
    <w:basedOn w:val="TableNormal"/>
    <w:uiPriority w:val="61"/>
    <w:rsid w:val="005E17A4"/>
    <w:pPr>
      <w:spacing w:after="0" w:line="240" w:lineRule="auto"/>
    </w:pPr>
    <w:tblPr>
      <w:tblStyleRowBandSize w:val="1"/>
      <w:tblStyleColBandSize w:val="1"/>
      <w:tblBorders>
        <w:top w:val="single" w:sz="8" w:space="0" w:color="1E3D6B" w:themeColor="accent1"/>
        <w:left w:val="single" w:sz="8" w:space="0" w:color="1E3D6B" w:themeColor="accent1"/>
        <w:bottom w:val="single" w:sz="8" w:space="0" w:color="1E3D6B" w:themeColor="accent1"/>
        <w:right w:val="single" w:sz="8" w:space="0" w:color="1E3D6B" w:themeColor="accent1"/>
      </w:tblBorders>
    </w:tblPr>
    <w:tblStylePr w:type="firstRow">
      <w:pPr>
        <w:spacing w:before="0" w:after="0" w:line="240" w:lineRule="auto"/>
      </w:pPr>
      <w:rPr>
        <w:b/>
        <w:bCs/>
        <w:color w:val="FFFFFF" w:themeColor="background1"/>
      </w:rPr>
      <w:tblPr/>
      <w:tcPr>
        <w:shd w:val="clear" w:color="auto" w:fill="1E3D6B" w:themeFill="accent1"/>
      </w:tcPr>
    </w:tblStylePr>
    <w:tblStylePr w:type="lastRow">
      <w:pPr>
        <w:spacing w:before="0" w:after="0" w:line="240" w:lineRule="auto"/>
      </w:pPr>
      <w:rPr>
        <w:b/>
        <w:bCs/>
      </w:rPr>
      <w:tblPr/>
      <w:tcPr>
        <w:tcBorders>
          <w:top w:val="double" w:sz="6" w:space="0" w:color="1E3D6B" w:themeColor="accent1"/>
          <w:left w:val="single" w:sz="8" w:space="0" w:color="1E3D6B" w:themeColor="accent1"/>
          <w:bottom w:val="single" w:sz="8" w:space="0" w:color="1E3D6B" w:themeColor="accent1"/>
          <w:right w:val="single" w:sz="8" w:space="0" w:color="1E3D6B" w:themeColor="accent1"/>
        </w:tcBorders>
      </w:tcPr>
    </w:tblStylePr>
    <w:tblStylePr w:type="firstCol">
      <w:rPr>
        <w:b/>
        <w:bCs/>
      </w:rPr>
    </w:tblStylePr>
    <w:tblStylePr w:type="lastCol">
      <w:rPr>
        <w:b/>
        <w:bCs/>
      </w:rPr>
    </w:tblStylePr>
    <w:tblStylePr w:type="band1Vert">
      <w:tblPr/>
      <w:tcPr>
        <w:tcBorders>
          <w:top w:val="single" w:sz="8" w:space="0" w:color="1E3D6B" w:themeColor="accent1"/>
          <w:left w:val="single" w:sz="8" w:space="0" w:color="1E3D6B" w:themeColor="accent1"/>
          <w:bottom w:val="single" w:sz="8" w:space="0" w:color="1E3D6B" w:themeColor="accent1"/>
          <w:right w:val="single" w:sz="8" w:space="0" w:color="1E3D6B" w:themeColor="accent1"/>
        </w:tcBorders>
      </w:tcPr>
    </w:tblStylePr>
    <w:tblStylePr w:type="band1Horz">
      <w:tblPr/>
      <w:tcPr>
        <w:tcBorders>
          <w:top w:val="single" w:sz="8" w:space="0" w:color="1E3D6B" w:themeColor="accent1"/>
          <w:left w:val="single" w:sz="8" w:space="0" w:color="1E3D6B" w:themeColor="accent1"/>
          <w:bottom w:val="single" w:sz="8" w:space="0" w:color="1E3D6B" w:themeColor="accent1"/>
          <w:right w:val="single" w:sz="8" w:space="0" w:color="1E3D6B" w:themeColor="accent1"/>
        </w:tcBorders>
      </w:tcPr>
    </w:tblStylePr>
  </w:style>
  <w:style w:type="paragraph" w:customStyle="1" w:styleId="TableBoby3">
    <w:name w:val="Table Boby 3"/>
    <w:basedOn w:val="Normal"/>
    <w:qFormat/>
    <w:rsid w:val="005E17A4"/>
    <w:pPr>
      <w:spacing w:before="0" w:after="0" w:line="240" w:lineRule="auto"/>
      <w:jc w:val="center"/>
    </w:pPr>
    <w:rPr>
      <w:bCs/>
      <w:color w:val="FFFFFF" w:themeColor="background2"/>
      <w:sz w:val="20"/>
    </w:rPr>
  </w:style>
  <w:style w:type="table" w:customStyle="1" w:styleId="EducationTable">
    <w:name w:val="Education Table"/>
    <w:basedOn w:val="TableNormal"/>
    <w:uiPriority w:val="99"/>
    <w:rsid w:val="005E17A4"/>
    <w:pPr>
      <w:spacing w:after="0" w:line="240" w:lineRule="auto"/>
    </w:pPr>
    <w:rPr>
      <w:color w:val="000000" w:themeColor="text1"/>
      <w:sz w:val="20"/>
    </w:rPr>
    <w:tblPr>
      <w:tblStyleRowBandSize w:val="1"/>
      <w:tblStyleColBandSize w:val="1"/>
      <w:tblBorders>
        <w:insideH w:val="single" w:sz="4" w:space="0" w:color="522761"/>
        <w:insideV w:val="single" w:sz="4" w:space="0" w:color="522761"/>
      </w:tblBorders>
      <w:tblCellMar>
        <w:top w:w="57" w:type="dxa"/>
        <w:bottom w:w="57" w:type="dxa"/>
      </w:tblCellMar>
    </w:tblPr>
    <w:trPr>
      <w:cantSplit/>
    </w:trPr>
    <w:tblStylePr w:type="firstRow">
      <w:pPr>
        <w:wordWrap/>
        <w:ind w:leftChars="0" w:left="0" w:rightChars="0" w:right="0"/>
        <w:jc w:val="left"/>
      </w:pPr>
      <w:rPr>
        <w:rFonts w:asciiTheme="minorHAnsi" w:hAnsiTheme="minorHAnsi"/>
        <w:b/>
        <w:color w:val="FFFFFF" w:themeColor="background2"/>
        <w:sz w:val="20"/>
      </w:rPr>
      <w:tblPr/>
      <w:tcPr>
        <w:tcBorders>
          <w:bottom w:val="single" w:sz="4" w:space="0" w:color="1E3D6B"/>
          <w:insideV w:val="single" w:sz="4" w:space="0" w:color="FFFFFF" w:themeColor="background2"/>
        </w:tcBorders>
        <w:shd w:val="clear" w:color="auto" w:fill="522761"/>
      </w:tcPr>
    </w:tblStylePr>
    <w:tblStylePr w:type="lastRow">
      <w:tblPr/>
      <w:tcPr>
        <w:tcBorders>
          <w:top w:val="single" w:sz="8" w:space="0" w:color="522761"/>
          <w:bottom w:val="single" w:sz="8" w:space="0" w:color="522761"/>
          <w:insideV w:val="single" w:sz="4" w:space="0" w:color="522761"/>
        </w:tcBorders>
      </w:tcPr>
    </w:tblStylePr>
    <w:tblStylePr w:type="firstCol">
      <w:pPr>
        <w:jc w:val="left"/>
      </w:pPr>
      <w:rPr>
        <w:b/>
      </w:r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22761"/>
          <w:tl2br w:val="nil"/>
          <w:tr2bl w:val="nil"/>
        </w:tcBorders>
      </w:tcPr>
    </w:tblStylePr>
    <w:tblStylePr w:type="band2Horz">
      <w:tblPr/>
      <w:tcPr>
        <w:tcBorders>
          <w:top w:val="nil"/>
          <w:left w:val="nil"/>
          <w:bottom w:val="nil"/>
          <w:right w:val="nil"/>
          <w:insideH w:val="nil"/>
          <w:insideV w:val="single" w:sz="4" w:space="0" w:color="522761"/>
          <w:tl2br w:val="nil"/>
          <w:tr2bl w:val="nil"/>
        </w:tcBorders>
        <w:shd w:val="clear" w:color="auto" w:fill="D5CCDA"/>
      </w:tcPr>
    </w:tblStylePr>
  </w:style>
  <w:style w:type="table" w:customStyle="1" w:styleId="TableGrid1">
    <w:name w:val="Table Grid1"/>
    <w:basedOn w:val="TableNormal"/>
    <w:next w:val="TableGrid"/>
    <w:rsid w:val="005E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onumber">
    <w:name w:val="Heading 1 - no number"/>
    <w:basedOn w:val="Normal"/>
    <w:next w:val="Normal"/>
    <w:qFormat/>
    <w:rsid w:val="008B52AA"/>
    <w:pPr>
      <w:ind w:left="431" w:hanging="431"/>
      <w:outlineLvl w:val="0"/>
    </w:pPr>
    <w:rPr>
      <w:b/>
      <w:color w:val="1E3D6B"/>
      <w:sz w:val="36"/>
      <w:szCs w:val="36"/>
    </w:rPr>
  </w:style>
  <w:style w:type="paragraph" w:customStyle="1" w:styleId="Conclusionheadings">
    <w:name w:val="Conclusion headings"/>
    <w:basedOn w:val="Heading3-nonumber"/>
    <w:link w:val="ConclusionheadingsChar"/>
    <w:qFormat/>
    <w:rsid w:val="002C64BC"/>
  </w:style>
  <w:style w:type="character" w:customStyle="1" w:styleId="ConclusionheadingsChar">
    <w:name w:val="Conclusion headings Char"/>
    <w:basedOn w:val="Heading2Char"/>
    <w:link w:val="Conclusionheadings"/>
    <w:rsid w:val="002C64BC"/>
    <w:rPr>
      <w:rFonts w:ascii="Calibri" w:eastAsiaTheme="majorEastAsia" w:hAnsi="Calibri" w:cstheme="majorBidi"/>
      <w:b/>
      <w:bCs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042">
      <w:bodyDiv w:val="1"/>
      <w:marLeft w:val="0"/>
      <w:marRight w:val="0"/>
      <w:marTop w:val="0"/>
      <w:marBottom w:val="0"/>
      <w:divBdr>
        <w:top w:val="none" w:sz="0" w:space="0" w:color="auto"/>
        <w:left w:val="none" w:sz="0" w:space="0" w:color="auto"/>
        <w:bottom w:val="none" w:sz="0" w:space="0" w:color="auto"/>
        <w:right w:val="none" w:sz="0" w:space="0" w:color="auto"/>
      </w:divBdr>
    </w:div>
    <w:div w:id="22944666">
      <w:bodyDiv w:val="1"/>
      <w:marLeft w:val="0"/>
      <w:marRight w:val="0"/>
      <w:marTop w:val="0"/>
      <w:marBottom w:val="0"/>
      <w:divBdr>
        <w:top w:val="none" w:sz="0" w:space="0" w:color="auto"/>
        <w:left w:val="none" w:sz="0" w:space="0" w:color="auto"/>
        <w:bottom w:val="none" w:sz="0" w:space="0" w:color="auto"/>
        <w:right w:val="none" w:sz="0" w:space="0" w:color="auto"/>
      </w:divBdr>
    </w:div>
    <w:div w:id="184365507">
      <w:bodyDiv w:val="1"/>
      <w:marLeft w:val="0"/>
      <w:marRight w:val="0"/>
      <w:marTop w:val="0"/>
      <w:marBottom w:val="0"/>
      <w:divBdr>
        <w:top w:val="none" w:sz="0" w:space="0" w:color="auto"/>
        <w:left w:val="none" w:sz="0" w:space="0" w:color="auto"/>
        <w:bottom w:val="none" w:sz="0" w:space="0" w:color="auto"/>
        <w:right w:val="none" w:sz="0" w:space="0" w:color="auto"/>
      </w:divBdr>
    </w:div>
    <w:div w:id="249198796">
      <w:bodyDiv w:val="1"/>
      <w:marLeft w:val="0"/>
      <w:marRight w:val="0"/>
      <w:marTop w:val="0"/>
      <w:marBottom w:val="0"/>
      <w:divBdr>
        <w:top w:val="none" w:sz="0" w:space="0" w:color="auto"/>
        <w:left w:val="none" w:sz="0" w:space="0" w:color="auto"/>
        <w:bottom w:val="none" w:sz="0" w:space="0" w:color="auto"/>
        <w:right w:val="none" w:sz="0" w:space="0" w:color="auto"/>
      </w:divBdr>
    </w:div>
    <w:div w:id="250048845">
      <w:bodyDiv w:val="1"/>
      <w:marLeft w:val="0"/>
      <w:marRight w:val="0"/>
      <w:marTop w:val="0"/>
      <w:marBottom w:val="0"/>
      <w:divBdr>
        <w:top w:val="none" w:sz="0" w:space="0" w:color="auto"/>
        <w:left w:val="none" w:sz="0" w:space="0" w:color="auto"/>
        <w:bottom w:val="none" w:sz="0" w:space="0" w:color="auto"/>
        <w:right w:val="none" w:sz="0" w:space="0" w:color="auto"/>
      </w:divBdr>
    </w:div>
    <w:div w:id="269826730">
      <w:bodyDiv w:val="1"/>
      <w:marLeft w:val="0"/>
      <w:marRight w:val="0"/>
      <w:marTop w:val="0"/>
      <w:marBottom w:val="0"/>
      <w:divBdr>
        <w:top w:val="none" w:sz="0" w:space="0" w:color="auto"/>
        <w:left w:val="none" w:sz="0" w:space="0" w:color="auto"/>
        <w:bottom w:val="none" w:sz="0" w:space="0" w:color="auto"/>
        <w:right w:val="none" w:sz="0" w:space="0" w:color="auto"/>
      </w:divBdr>
    </w:div>
    <w:div w:id="337661563">
      <w:bodyDiv w:val="1"/>
      <w:marLeft w:val="0"/>
      <w:marRight w:val="0"/>
      <w:marTop w:val="0"/>
      <w:marBottom w:val="0"/>
      <w:divBdr>
        <w:top w:val="none" w:sz="0" w:space="0" w:color="auto"/>
        <w:left w:val="none" w:sz="0" w:space="0" w:color="auto"/>
        <w:bottom w:val="none" w:sz="0" w:space="0" w:color="auto"/>
        <w:right w:val="none" w:sz="0" w:space="0" w:color="auto"/>
      </w:divBdr>
    </w:div>
    <w:div w:id="350184421">
      <w:bodyDiv w:val="1"/>
      <w:marLeft w:val="0"/>
      <w:marRight w:val="0"/>
      <w:marTop w:val="0"/>
      <w:marBottom w:val="0"/>
      <w:divBdr>
        <w:top w:val="none" w:sz="0" w:space="0" w:color="auto"/>
        <w:left w:val="none" w:sz="0" w:space="0" w:color="auto"/>
        <w:bottom w:val="none" w:sz="0" w:space="0" w:color="auto"/>
        <w:right w:val="none" w:sz="0" w:space="0" w:color="auto"/>
      </w:divBdr>
    </w:div>
    <w:div w:id="354816147">
      <w:bodyDiv w:val="1"/>
      <w:marLeft w:val="0"/>
      <w:marRight w:val="0"/>
      <w:marTop w:val="0"/>
      <w:marBottom w:val="0"/>
      <w:divBdr>
        <w:top w:val="none" w:sz="0" w:space="0" w:color="auto"/>
        <w:left w:val="none" w:sz="0" w:space="0" w:color="auto"/>
        <w:bottom w:val="none" w:sz="0" w:space="0" w:color="auto"/>
        <w:right w:val="none" w:sz="0" w:space="0" w:color="auto"/>
      </w:divBdr>
    </w:div>
    <w:div w:id="381293141">
      <w:bodyDiv w:val="1"/>
      <w:marLeft w:val="0"/>
      <w:marRight w:val="0"/>
      <w:marTop w:val="0"/>
      <w:marBottom w:val="0"/>
      <w:divBdr>
        <w:top w:val="none" w:sz="0" w:space="0" w:color="auto"/>
        <w:left w:val="none" w:sz="0" w:space="0" w:color="auto"/>
        <w:bottom w:val="none" w:sz="0" w:space="0" w:color="auto"/>
        <w:right w:val="none" w:sz="0" w:space="0" w:color="auto"/>
      </w:divBdr>
    </w:div>
    <w:div w:id="390151822">
      <w:bodyDiv w:val="1"/>
      <w:marLeft w:val="0"/>
      <w:marRight w:val="0"/>
      <w:marTop w:val="0"/>
      <w:marBottom w:val="0"/>
      <w:divBdr>
        <w:top w:val="none" w:sz="0" w:space="0" w:color="auto"/>
        <w:left w:val="none" w:sz="0" w:space="0" w:color="auto"/>
        <w:bottom w:val="none" w:sz="0" w:space="0" w:color="auto"/>
        <w:right w:val="none" w:sz="0" w:space="0" w:color="auto"/>
      </w:divBdr>
    </w:div>
    <w:div w:id="479078121">
      <w:bodyDiv w:val="1"/>
      <w:marLeft w:val="0"/>
      <w:marRight w:val="0"/>
      <w:marTop w:val="0"/>
      <w:marBottom w:val="0"/>
      <w:divBdr>
        <w:top w:val="none" w:sz="0" w:space="0" w:color="auto"/>
        <w:left w:val="none" w:sz="0" w:space="0" w:color="auto"/>
        <w:bottom w:val="none" w:sz="0" w:space="0" w:color="auto"/>
        <w:right w:val="none" w:sz="0" w:space="0" w:color="auto"/>
      </w:divBdr>
    </w:div>
    <w:div w:id="483595143">
      <w:bodyDiv w:val="1"/>
      <w:marLeft w:val="0"/>
      <w:marRight w:val="0"/>
      <w:marTop w:val="0"/>
      <w:marBottom w:val="0"/>
      <w:divBdr>
        <w:top w:val="none" w:sz="0" w:space="0" w:color="auto"/>
        <w:left w:val="none" w:sz="0" w:space="0" w:color="auto"/>
        <w:bottom w:val="none" w:sz="0" w:space="0" w:color="auto"/>
        <w:right w:val="none" w:sz="0" w:space="0" w:color="auto"/>
      </w:divBdr>
    </w:div>
    <w:div w:id="497582012">
      <w:bodyDiv w:val="1"/>
      <w:marLeft w:val="0"/>
      <w:marRight w:val="0"/>
      <w:marTop w:val="0"/>
      <w:marBottom w:val="0"/>
      <w:divBdr>
        <w:top w:val="none" w:sz="0" w:space="0" w:color="auto"/>
        <w:left w:val="none" w:sz="0" w:space="0" w:color="auto"/>
        <w:bottom w:val="none" w:sz="0" w:space="0" w:color="auto"/>
        <w:right w:val="none" w:sz="0" w:space="0" w:color="auto"/>
      </w:divBdr>
    </w:div>
    <w:div w:id="654647499">
      <w:bodyDiv w:val="1"/>
      <w:marLeft w:val="0"/>
      <w:marRight w:val="0"/>
      <w:marTop w:val="0"/>
      <w:marBottom w:val="0"/>
      <w:divBdr>
        <w:top w:val="none" w:sz="0" w:space="0" w:color="auto"/>
        <w:left w:val="none" w:sz="0" w:space="0" w:color="auto"/>
        <w:bottom w:val="none" w:sz="0" w:space="0" w:color="auto"/>
        <w:right w:val="none" w:sz="0" w:space="0" w:color="auto"/>
      </w:divBdr>
    </w:div>
    <w:div w:id="782000586">
      <w:bodyDiv w:val="1"/>
      <w:marLeft w:val="0"/>
      <w:marRight w:val="0"/>
      <w:marTop w:val="0"/>
      <w:marBottom w:val="0"/>
      <w:divBdr>
        <w:top w:val="none" w:sz="0" w:space="0" w:color="auto"/>
        <w:left w:val="none" w:sz="0" w:space="0" w:color="auto"/>
        <w:bottom w:val="none" w:sz="0" w:space="0" w:color="auto"/>
        <w:right w:val="none" w:sz="0" w:space="0" w:color="auto"/>
      </w:divBdr>
    </w:div>
    <w:div w:id="837187980">
      <w:bodyDiv w:val="1"/>
      <w:marLeft w:val="0"/>
      <w:marRight w:val="0"/>
      <w:marTop w:val="0"/>
      <w:marBottom w:val="0"/>
      <w:divBdr>
        <w:top w:val="none" w:sz="0" w:space="0" w:color="auto"/>
        <w:left w:val="none" w:sz="0" w:space="0" w:color="auto"/>
        <w:bottom w:val="none" w:sz="0" w:space="0" w:color="auto"/>
        <w:right w:val="none" w:sz="0" w:space="0" w:color="auto"/>
      </w:divBdr>
    </w:div>
    <w:div w:id="894511083">
      <w:bodyDiv w:val="1"/>
      <w:marLeft w:val="0"/>
      <w:marRight w:val="0"/>
      <w:marTop w:val="0"/>
      <w:marBottom w:val="0"/>
      <w:divBdr>
        <w:top w:val="none" w:sz="0" w:space="0" w:color="auto"/>
        <w:left w:val="none" w:sz="0" w:space="0" w:color="auto"/>
        <w:bottom w:val="none" w:sz="0" w:space="0" w:color="auto"/>
        <w:right w:val="none" w:sz="0" w:space="0" w:color="auto"/>
      </w:divBdr>
      <w:divsChild>
        <w:div w:id="9452763">
          <w:marLeft w:val="2520"/>
          <w:marRight w:val="0"/>
          <w:marTop w:val="0"/>
          <w:marBottom w:val="0"/>
          <w:divBdr>
            <w:top w:val="none" w:sz="0" w:space="0" w:color="auto"/>
            <w:left w:val="none" w:sz="0" w:space="0" w:color="auto"/>
            <w:bottom w:val="none" w:sz="0" w:space="0" w:color="auto"/>
            <w:right w:val="none" w:sz="0" w:space="0" w:color="auto"/>
          </w:divBdr>
        </w:div>
        <w:div w:id="23018657">
          <w:marLeft w:val="1166"/>
          <w:marRight w:val="0"/>
          <w:marTop w:val="0"/>
          <w:marBottom w:val="0"/>
          <w:divBdr>
            <w:top w:val="none" w:sz="0" w:space="0" w:color="auto"/>
            <w:left w:val="none" w:sz="0" w:space="0" w:color="auto"/>
            <w:bottom w:val="none" w:sz="0" w:space="0" w:color="auto"/>
            <w:right w:val="none" w:sz="0" w:space="0" w:color="auto"/>
          </w:divBdr>
        </w:div>
        <w:div w:id="54477359">
          <w:marLeft w:val="2520"/>
          <w:marRight w:val="0"/>
          <w:marTop w:val="0"/>
          <w:marBottom w:val="0"/>
          <w:divBdr>
            <w:top w:val="none" w:sz="0" w:space="0" w:color="auto"/>
            <w:left w:val="none" w:sz="0" w:space="0" w:color="auto"/>
            <w:bottom w:val="none" w:sz="0" w:space="0" w:color="auto"/>
            <w:right w:val="none" w:sz="0" w:space="0" w:color="auto"/>
          </w:divBdr>
        </w:div>
        <w:div w:id="215822973">
          <w:marLeft w:val="2520"/>
          <w:marRight w:val="0"/>
          <w:marTop w:val="0"/>
          <w:marBottom w:val="0"/>
          <w:divBdr>
            <w:top w:val="none" w:sz="0" w:space="0" w:color="auto"/>
            <w:left w:val="none" w:sz="0" w:space="0" w:color="auto"/>
            <w:bottom w:val="none" w:sz="0" w:space="0" w:color="auto"/>
            <w:right w:val="none" w:sz="0" w:space="0" w:color="auto"/>
          </w:divBdr>
        </w:div>
        <w:div w:id="344408024">
          <w:marLeft w:val="1800"/>
          <w:marRight w:val="0"/>
          <w:marTop w:val="0"/>
          <w:marBottom w:val="0"/>
          <w:divBdr>
            <w:top w:val="none" w:sz="0" w:space="0" w:color="auto"/>
            <w:left w:val="none" w:sz="0" w:space="0" w:color="auto"/>
            <w:bottom w:val="none" w:sz="0" w:space="0" w:color="auto"/>
            <w:right w:val="none" w:sz="0" w:space="0" w:color="auto"/>
          </w:divBdr>
        </w:div>
        <w:div w:id="415713708">
          <w:marLeft w:val="1800"/>
          <w:marRight w:val="0"/>
          <w:marTop w:val="0"/>
          <w:marBottom w:val="0"/>
          <w:divBdr>
            <w:top w:val="none" w:sz="0" w:space="0" w:color="auto"/>
            <w:left w:val="none" w:sz="0" w:space="0" w:color="auto"/>
            <w:bottom w:val="none" w:sz="0" w:space="0" w:color="auto"/>
            <w:right w:val="none" w:sz="0" w:space="0" w:color="auto"/>
          </w:divBdr>
        </w:div>
        <w:div w:id="612707109">
          <w:marLeft w:val="2520"/>
          <w:marRight w:val="0"/>
          <w:marTop w:val="0"/>
          <w:marBottom w:val="0"/>
          <w:divBdr>
            <w:top w:val="none" w:sz="0" w:space="0" w:color="auto"/>
            <w:left w:val="none" w:sz="0" w:space="0" w:color="auto"/>
            <w:bottom w:val="none" w:sz="0" w:space="0" w:color="auto"/>
            <w:right w:val="none" w:sz="0" w:space="0" w:color="auto"/>
          </w:divBdr>
        </w:div>
        <w:div w:id="613901904">
          <w:marLeft w:val="2520"/>
          <w:marRight w:val="0"/>
          <w:marTop w:val="0"/>
          <w:marBottom w:val="0"/>
          <w:divBdr>
            <w:top w:val="none" w:sz="0" w:space="0" w:color="auto"/>
            <w:left w:val="none" w:sz="0" w:space="0" w:color="auto"/>
            <w:bottom w:val="none" w:sz="0" w:space="0" w:color="auto"/>
            <w:right w:val="none" w:sz="0" w:space="0" w:color="auto"/>
          </w:divBdr>
        </w:div>
        <w:div w:id="619653596">
          <w:marLeft w:val="547"/>
          <w:marRight w:val="0"/>
          <w:marTop w:val="0"/>
          <w:marBottom w:val="0"/>
          <w:divBdr>
            <w:top w:val="none" w:sz="0" w:space="0" w:color="auto"/>
            <w:left w:val="none" w:sz="0" w:space="0" w:color="auto"/>
            <w:bottom w:val="none" w:sz="0" w:space="0" w:color="auto"/>
            <w:right w:val="none" w:sz="0" w:space="0" w:color="auto"/>
          </w:divBdr>
        </w:div>
        <w:div w:id="652299059">
          <w:marLeft w:val="1166"/>
          <w:marRight w:val="0"/>
          <w:marTop w:val="0"/>
          <w:marBottom w:val="0"/>
          <w:divBdr>
            <w:top w:val="none" w:sz="0" w:space="0" w:color="auto"/>
            <w:left w:val="none" w:sz="0" w:space="0" w:color="auto"/>
            <w:bottom w:val="none" w:sz="0" w:space="0" w:color="auto"/>
            <w:right w:val="none" w:sz="0" w:space="0" w:color="auto"/>
          </w:divBdr>
        </w:div>
        <w:div w:id="823163933">
          <w:marLeft w:val="2520"/>
          <w:marRight w:val="0"/>
          <w:marTop w:val="0"/>
          <w:marBottom w:val="0"/>
          <w:divBdr>
            <w:top w:val="none" w:sz="0" w:space="0" w:color="auto"/>
            <w:left w:val="none" w:sz="0" w:space="0" w:color="auto"/>
            <w:bottom w:val="none" w:sz="0" w:space="0" w:color="auto"/>
            <w:right w:val="none" w:sz="0" w:space="0" w:color="auto"/>
          </w:divBdr>
        </w:div>
        <w:div w:id="842429676">
          <w:marLeft w:val="2520"/>
          <w:marRight w:val="0"/>
          <w:marTop w:val="0"/>
          <w:marBottom w:val="0"/>
          <w:divBdr>
            <w:top w:val="none" w:sz="0" w:space="0" w:color="auto"/>
            <w:left w:val="none" w:sz="0" w:space="0" w:color="auto"/>
            <w:bottom w:val="none" w:sz="0" w:space="0" w:color="auto"/>
            <w:right w:val="none" w:sz="0" w:space="0" w:color="auto"/>
          </w:divBdr>
        </w:div>
        <w:div w:id="864828055">
          <w:marLeft w:val="2520"/>
          <w:marRight w:val="0"/>
          <w:marTop w:val="0"/>
          <w:marBottom w:val="0"/>
          <w:divBdr>
            <w:top w:val="none" w:sz="0" w:space="0" w:color="auto"/>
            <w:left w:val="none" w:sz="0" w:space="0" w:color="auto"/>
            <w:bottom w:val="none" w:sz="0" w:space="0" w:color="auto"/>
            <w:right w:val="none" w:sz="0" w:space="0" w:color="auto"/>
          </w:divBdr>
        </w:div>
        <w:div w:id="939218464">
          <w:marLeft w:val="1800"/>
          <w:marRight w:val="0"/>
          <w:marTop w:val="0"/>
          <w:marBottom w:val="0"/>
          <w:divBdr>
            <w:top w:val="none" w:sz="0" w:space="0" w:color="auto"/>
            <w:left w:val="none" w:sz="0" w:space="0" w:color="auto"/>
            <w:bottom w:val="none" w:sz="0" w:space="0" w:color="auto"/>
            <w:right w:val="none" w:sz="0" w:space="0" w:color="auto"/>
          </w:divBdr>
        </w:div>
        <w:div w:id="954478397">
          <w:marLeft w:val="1800"/>
          <w:marRight w:val="0"/>
          <w:marTop w:val="0"/>
          <w:marBottom w:val="0"/>
          <w:divBdr>
            <w:top w:val="none" w:sz="0" w:space="0" w:color="auto"/>
            <w:left w:val="none" w:sz="0" w:space="0" w:color="auto"/>
            <w:bottom w:val="none" w:sz="0" w:space="0" w:color="auto"/>
            <w:right w:val="none" w:sz="0" w:space="0" w:color="auto"/>
          </w:divBdr>
        </w:div>
        <w:div w:id="996810593">
          <w:marLeft w:val="547"/>
          <w:marRight w:val="0"/>
          <w:marTop w:val="0"/>
          <w:marBottom w:val="0"/>
          <w:divBdr>
            <w:top w:val="none" w:sz="0" w:space="0" w:color="auto"/>
            <w:left w:val="none" w:sz="0" w:space="0" w:color="auto"/>
            <w:bottom w:val="none" w:sz="0" w:space="0" w:color="auto"/>
            <w:right w:val="none" w:sz="0" w:space="0" w:color="auto"/>
          </w:divBdr>
        </w:div>
        <w:div w:id="1101877685">
          <w:marLeft w:val="1800"/>
          <w:marRight w:val="0"/>
          <w:marTop w:val="0"/>
          <w:marBottom w:val="0"/>
          <w:divBdr>
            <w:top w:val="none" w:sz="0" w:space="0" w:color="auto"/>
            <w:left w:val="none" w:sz="0" w:space="0" w:color="auto"/>
            <w:bottom w:val="none" w:sz="0" w:space="0" w:color="auto"/>
            <w:right w:val="none" w:sz="0" w:space="0" w:color="auto"/>
          </w:divBdr>
        </w:div>
        <w:div w:id="1166166068">
          <w:marLeft w:val="1800"/>
          <w:marRight w:val="0"/>
          <w:marTop w:val="0"/>
          <w:marBottom w:val="0"/>
          <w:divBdr>
            <w:top w:val="none" w:sz="0" w:space="0" w:color="auto"/>
            <w:left w:val="none" w:sz="0" w:space="0" w:color="auto"/>
            <w:bottom w:val="none" w:sz="0" w:space="0" w:color="auto"/>
            <w:right w:val="none" w:sz="0" w:space="0" w:color="auto"/>
          </w:divBdr>
        </w:div>
        <w:div w:id="1166673774">
          <w:marLeft w:val="1800"/>
          <w:marRight w:val="0"/>
          <w:marTop w:val="0"/>
          <w:marBottom w:val="0"/>
          <w:divBdr>
            <w:top w:val="none" w:sz="0" w:space="0" w:color="auto"/>
            <w:left w:val="none" w:sz="0" w:space="0" w:color="auto"/>
            <w:bottom w:val="none" w:sz="0" w:space="0" w:color="auto"/>
            <w:right w:val="none" w:sz="0" w:space="0" w:color="auto"/>
          </w:divBdr>
        </w:div>
        <w:div w:id="1377580184">
          <w:marLeft w:val="2520"/>
          <w:marRight w:val="0"/>
          <w:marTop w:val="0"/>
          <w:marBottom w:val="0"/>
          <w:divBdr>
            <w:top w:val="none" w:sz="0" w:space="0" w:color="auto"/>
            <w:left w:val="none" w:sz="0" w:space="0" w:color="auto"/>
            <w:bottom w:val="none" w:sz="0" w:space="0" w:color="auto"/>
            <w:right w:val="none" w:sz="0" w:space="0" w:color="auto"/>
          </w:divBdr>
        </w:div>
        <w:div w:id="1416825725">
          <w:marLeft w:val="1800"/>
          <w:marRight w:val="0"/>
          <w:marTop w:val="0"/>
          <w:marBottom w:val="0"/>
          <w:divBdr>
            <w:top w:val="none" w:sz="0" w:space="0" w:color="auto"/>
            <w:left w:val="none" w:sz="0" w:space="0" w:color="auto"/>
            <w:bottom w:val="none" w:sz="0" w:space="0" w:color="auto"/>
            <w:right w:val="none" w:sz="0" w:space="0" w:color="auto"/>
          </w:divBdr>
        </w:div>
        <w:div w:id="1456486670">
          <w:marLeft w:val="2520"/>
          <w:marRight w:val="0"/>
          <w:marTop w:val="0"/>
          <w:marBottom w:val="0"/>
          <w:divBdr>
            <w:top w:val="none" w:sz="0" w:space="0" w:color="auto"/>
            <w:left w:val="none" w:sz="0" w:space="0" w:color="auto"/>
            <w:bottom w:val="none" w:sz="0" w:space="0" w:color="auto"/>
            <w:right w:val="none" w:sz="0" w:space="0" w:color="auto"/>
          </w:divBdr>
        </w:div>
        <w:div w:id="1627738443">
          <w:marLeft w:val="2520"/>
          <w:marRight w:val="0"/>
          <w:marTop w:val="0"/>
          <w:marBottom w:val="0"/>
          <w:divBdr>
            <w:top w:val="none" w:sz="0" w:space="0" w:color="auto"/>
            <w:left w:val="none" w:sz="0" w:space="0" w:color="auto"/>
            <w:bottom w:val="none" w:sz="0" w:space="0" w:color="auto"/>
            <w:right w:val="none" w:sz="0" w:space="0" w:color="auto"/>
          </w:divBdr>
        </w:div>
        <w:div w:id="1676154599">
          <w:marLeft w:val="1166"/>
          <w:marRight w:val="0"/>
          <w:marTop w:val="0"/>
          <w:marBottom w:val="0"/>
          <w:divBdr>
            <w:top w:val="none" w:sz="0" w:space="0" w:color="auto"/>
            <w:left w:val="none" w:sz="0" w:space="0" w:color="auto"/>
            <w:bottom w:val="none" w:sz="0" w:space="0" w:color="auto"/>
            <w:right w:val="none" w:sz="0" w:space="0" w:color="auto"/>
          </w:divBdr>
        </w:div>
        <w:div w:id="1783382181">
          <w:marLeft w:val="2520"/>
          <w:marRight w:val="0"/>
          <w:marTop w:val="0"/>
          <w:marBottom w:val="0"/>
          <w:divBdr>
            <w:top w:val="none" w:sz="0" w:space="0" w:color="auto"/>
            <w:left w:val="none" w:sz="0" w:space="0" w:color="auto"/>
            <w:bottom w:val="none" w:sz="0" w:space="0" w:color="auto"/>
            <w:right w:val="none" w:sz="0" w:space="0" w:color="auto"/>
          </w:divBdr>
        </w:div>
        <w:div w:id="1886140483">
          <w:marLeft w:val="1166"/>
          <w:marRight w:val="0"/>
          <w:marTop w:val="0"/>
          <w:marBottom w:val="0"/>
          <w:divBdr>
            <w:top w:val="none" w:sz="0" w:space="0" w:color="auto"/>
            <w:left w:val="none" w:sz="0" w:space="0" w:color="auto"/>
            <w:bottom w:val="none" w:sz="0" w:space="0" w:color="auto"/>
            <w:right w:val="none" w:sz="0" w:space="0" w:color="auto"/>
          </w:divBdr>
        </w:div>
        <w:div w:id="1987392825">
          <w:marLeft w:val="2520"/>
          <w:marRight w:val="0"/>
          <w:marTop w:val="0"/>
          <w:marBottom w:val="0"/>
          <w:divBdr>
            <w:top w:val="none" w:sz="0" w:space="0" w:color="auto"/>
            <w:left w:val="none" w:sz="0" w:space="0" w:color="auto"/>
            <w:bottom w:val="none" w:sz="0" w:space="0" w:color="auto"/>
            <w:right w:val="none" w:sz="0" w:space="0" w:color="auto"/>
          </w:divBdr>
        </w:div>
        <w:div w:id="2016423637">
          <w:marLeft w:val="2520"/>
          <w:marRight w:val="0"/>
          <w:marTop w:val="0"/>
          <w:marBottom w:val="0"/>
          <w:divBdr>
            <w:top w:val="none" w:sz="0" w:space="0" w:color="auto"/>
            <w:left w:val="none" w:sz="0" w:space="0" w:color="auto"/>
            <w:bottom w:val="none" w:sz="0" w:space="0" w:color="auto"/>
            <w:right w:val="none" w:sz="0" w:space="0" w:color="auto"/>
          </w:divBdr>
        </w:div>
        <w:div w:id="2056274372">
          <w:marLeft w:val="2520"/>
          <w:marRight w:val="0"/>
          <w:marTop w:val="0"/>
          <w:marBottom w:val="0"/>
          <w:divBdr>
            <w:top w:val="none" w:sz="0" w:space="0" w:color="auto"/>
            <w:left w:val="none" w:sz="0" w:space="0" w:color="auto"/>
            <w:bottom w:val="none" w:sz="0" w:space="0" w:color="auto"/>
            <w:right w:val="none" w:sz="0" w:space="0" w:color="auto"/>
          </w:divBdr>
        </w:div>
        <w:div w:id="2085837074">
          <w:marLeft w:val="2520"/>
          <w:marRight w:val="0"/>
          <w:marTop w:val="0"/>
          <w:marBottom w:val="0"/>
          <w:divBdr>
            <w:top w:val="none" w:sz="0" w:space="0" w:color="auto"/>
            <w:left w:val="none" w:sz="0" w:space="0" w:color="auto"/>
            <w:bottom w:val="none" w:sz="0" w:space="0" w:color="auto"/>
            <w:right w:val="none" w:sz="0" w:space="0" w:color="auto"/>
          </w:divBdr>
        </w:div>
      </w:divsChild>
    </w:div>
    <w:div w:id="1030499001">
      <w:bodyDiv w:val="1"/>
      <w:marLeft w:val="0"/>
      <w:marRight w:val="0"/>
      <w:marTop w:val="0"/>
      <w:marBottom w:val="0"/>
      <w:divBdr>
        <w:top w:val="none" w:sz="0" w:space="0" w:color="auto"/>
        <w:left w:val="none" w:sz="0" w:space="0" w:color="auto"/>
        <w:bottom w:val="none" w:sz="0" w:space="0" w:color="auto"/>
        <w:right w:val="none" w:sz="0" w:space="0" w:color="auto"/>
      </w:divBdr>
    </w:div>
    <w:div w:id="1123765703">
      <w:bodyDiv w:val="1"/>
      <w:marLeft w:val="0"/>
      <w:marRight w:val="0"/>
      <w:marTop w:val="0"/>
      <w:marBottom w:val="0"/>
      <w:divBdr>
        <w:top w:val="none" w:sz="0" w:space="0" w:color="auto"/>
        <w:left w:val="none" w:sz="0" w:space="0" w:color="auto"/>
        <w:bottom w:val="none" w:sz="0" w:space="0" w:color="auto"/>
        <w:right w:val="none" w:sz="0" w:space="0" w:color="auto"/>
      </w:divBdr>
    </w:div>
    <w:div w:id="1306592789">
      <w:bodyDiv w:val="1"/>
      <w:marLeft w:val="0"/>
      <w:marRight w:val="0"/>
      <w:marTop w:val="0"/>
      <w:marBottom w:val="0"/>
      <w:divBdr>
        <w:top w:val="none" w:sz="0" w:space="0" w:color="auto"/>
        <w:left w:val="none" w:sz="0" w:space="0" w:color="auto"/>
        <w:bottom w:val="none" w:sz="0" w:space="0" w:color="auto"/>
        <w:right w:val="none" w:sz="0" w:space="0" w:color="auto"/>
      </w:divBdr>
    </w:div>
    <w:div w:id="1322539741">
      <w:bodyDiv w:val="1"/>
      <w:marLeft w:val="0"/>
      <w:marRight w:val="0"/>
      <w:marTop w:val="0"/>
      <w:marBottom w:val="0"/>
      <w:divBdr>
        <w:top w:val="none" w:sz="0" w:space="0" w:color="auto"/>
        <w:left w:val="none" w:sz="0" w:space="0" w:color="auto"/>
        <w:bottom w:val="none" w:sz="0" w:space="0" w:color="auto"/>
        <w:right w:val="none" w:sz="0" w:space="0" w:color="auto"/>
      </w:divBdr>
    </w:div>
    <w:div w:id="1449472444">
      <w:bodyDiv w:val="1"/>
      <w:marLeft w:val="0"/>
      <w:marRight w:val="0"/>
      <w:marTop w:val="0"/>
      <w:marBottom w:val="0"/>
      <w:divBdr>
        <w:top w:val="none" w:sz="0" w:space="0" w:color="auto"/>
        <w:left w:val="none" w:sz="0" w:space="0" w:color="auto"/>
        <w:bottom w:val="none" w:sz="0" w:space="0" w:color="auto"/>
        <w:right w:val="none" w:sz="0" w:space="0" w:color="auto"/>
      </w:divBdr>
    </w:div>
    <w:div w:id="1516651618">
      <w:bodyDiv w:val="1"/>
      <w:marLeft w:val="0"/>
      <w:marRight w:val="0"/>
      <w:marTop w:val="0"/>
      <w:marBottom w:val="0"/>
      <w:divBdr>
        <w:top w:val="none" w:sz="0" w:space="0" w:color="auto"/>
        <w:left w:val="none" w:sz="0" w:space="0" w:color="auto"/>
        <w:bottom w:val="none" w:sz="0" w:space="0" w:color="auto"/>
        <w:right w:val="none" w:sz="0" w:space="0" w:color="auto"/>
      </w:divBdr>
    </w:div>
    <w:div w:id="1560164999">
      <w:bodyDiv w:val="1"/>
      <w:marLeft w:val="0"/>
      <w:marRight w:val="0"/>
      <w:marTop w:val="0"/>
      <w:marBottom w:val="0"/>
      <w:divBdr>
        <w:top w:val="none" w:sz="0" w:space="0" w:color="auto"/>
        <w:left w:val="none" w:sz="0" w:space="0" w:color="auto"/>
        <w:bottom w:val="none" w:sz="0" w:space="0" w:color="auto"/>
        <w:right w:val="none" w:sz="0" w:space="0" w:color="auto"/>
      </w:divBdr>
    </w:div>
    <w:div w:id="1612858086">
      <w:bodyDiv w:val="1"/>
      <w:marLeft w:val="0"/>
      <w:marRight w:val="0"/>
      <w:marTop w:val="0"/>
      <w:marBottom w:val="0"/>
      <w:divBdr>
        <w:top w:val="none" w:sz="0" w:space="0" w:color="auto"/>
        <w:left w:val="none" w:sz="0" w:space="0" w:color="auto"/>
        <w:bottom w:val="none" w:sz="0" w:space="0" w:color="auto"/>
        <w:right w:val="none" w:sz="0" w:space="0" w:color="auto"/>
      </w:divBdr>
    </w:div>
    <w:div w:id="1613436555">
      <w:bodyDiv w:val="1"/>
      <w:marLeft w:val="0"/>
      <w:marRight w:val="0"/>
      <w:marTop w:val="0"/>
      <w:marBottom w:val="0"/>
      <w:divBdr>
        <w:top w:val="none" w:sz="0" w:space="0" w:color="auto"/>
        <w:left w:val="none" w:sz="0" w:space="0" w:color="auto"/>
        <w:bottom w:val="none" w:sz="0" w:space="0" w:color="auto"/>
        <w:right w:val="none" w:sz="0" w:space="0" w:color="auto"/>
      </w:divBdr>
    </w:div>
    <w:div w:id="1717313822">
      <w:bodyDiv w:val="1"/>
      <w:marLeft w:val="0"/>
      <w:marRight w:val="0"/>
      <w:marTop w:val="0"/>
      <w:marBottom w:val="0"/>
      <w:divBdr>
        <w:top w:val="none" w:sz="0" w:space="0" w:color="auto"/>
        <w:left w:val="none" w:sz="0" w:space="0" w:color="auto"/>
        <w:bottom w:val="none" w:sz="0" w:space="0" w:color="auto"/>
        <w:right w:val="none" w:sz="0" w:space="0" w:color="auto"/>
      </w:divBdr>
    </w:div>
    <w:div w:id="1778792619">
      <w:bodyDiv w:val="1"/>
      <w:marLeft w:val="0"/>
      <w:marRight w:val="0"/>
      <w:marTop w:val="0"/>
      <w:marBottom w:val="0"/>
      <w:divBdr>
        <w:top w:val="none" w:sz="0" w:space="0" w:color="auto"/>
        <w:left w:val="none" w:sz="0" w:space="0" w:color="auto"/>
        <w:bottom w:val="none" w:sz="0" w:space="0" w:color="auto"/>
        <w:right w:val="none" w:sz="0" w:space="0" w:color="auto"/>
      </w:divBdr>
    </w:div>
    <w:div w:id="1823614819">
      <w:bodyDiv w:val="1"/>
      <w:marLeft w:val="0"/>
      <w:marRight w:val="0"/>
      <w:marTop w:val="0"/>
      <w:marBottom w:val="0"/>
      <w:divBdr>
        <w:top w:val="none" w:sz="0" w:space="0" w:color="auto"/>
        <w:left w:val="none" w:sz="0" w:space="0" w:color="auto"/>
        <w:bottom w:val="none" w:sz="0" w:space="0" w:color="auto"/>
        <w:right w:val="none" w:sz="0" w:space="0" w:color="auto"/>
      </w:divBdr>
    </w:div>
    <w:div w:id="1866098254">
      <w:bodyDiv w:val="1"/>
      <w:marLeft w:val="0"/>
      <w:marRight w:val="0"/>
      <w:marTop w:val="0"/>
      <w:marBottom w:val="0"/>
      <w:divBdr>
        <w:top w:val="none" w:sz="0" w:space="0" w:color="auto"/>
        <w:left w:val="none" w:sz="0" w:space="0" w:color="auto"/>
        <w:bottom w:val="none" w:sz="0" w:space="0" w:color="auto"/>
        <w:right w:val="none" w:sz="0" w:space="0" w:color="auto"/>
      </w:divBdr>
    </w:div>
    <w:div w:id="2061324001">
      <w:bodyDiv w:val="1"/>
      <w:marLeft w:val="0"/>
      <w:marRight w:val="0"/>
      <w:marTop w:val="0"/>
      <w:marBottom w:val="0"/>
      <w:divBdr>
        <w:top w:val="none" w:sz="0" w:space="0" w:color="auto"/>
        <w:left w:val="none" w:sz="0" w:space="0" w:color="auto"/>
        <w:bottom w:val="none" w:sz="0" w:space="0" w:color="auto"/>
        <w:right w:val="none" w:sz="0" w:space="0" w:color="auto"/>
      </w:divBdr>
    </w:div>
    <w:div w:id="2074621622">
      <w:bodyDiv w:val="1"/>
      <w:marLeft w:val="0"/>
      <w:marRight w:val="0"/>
      <w:marTop w:val="0"/>
      <w:marBottom w:val="0"/>
      <w:divBdr>
        <w:top w:val="none" w:sz="0" w:space="0" w:color="auto"/>
        <w:left w:val="none" w:sz="0" w:space="0" w:color="auto"/>
        <w:bottom w:val="none" w:sz="0" w:space="0" w:color="auto"/>
        <w:right w:val="none" w:sz="0" w:space="0" w:color="auto"/>
      </w:divBdr>
    </w:div>
    <w:div w:id="2137943536">
      <w:bodyDiv w:val="1"/>
      <w:marLeft w:val="0"/>
      <w:marRight w:val="0"/>
      <w:marTop w:val="0"/>
      <w:marBottom w:val="0"/>
      <w:divBdr>
        <w:top w:val="none" w:sz="0" w:space="0" w:color="auto"/>
        <w:left w:val="none" w:sz="0" w:space="0" w:color="auto"/>
        <w:bottom w:val="none" w:sz="0" w:space="0" w:color="auto"/>
        <w:right w:val="none" w:sz="0" w:space="0" w:color="auto"/>
      </w:divBdr>
    </w:div>
    <w:div w:id="214454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creativecommons.org/licenses/by/3.0/au/"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cid:image001.png@01CC5B5E.C6C84990"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creativecommons.org/licenses/by/3.0/au/legalco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Employment Report">
      <a:dk1>
        <a:sysClr val="windowText" lastClr="000000"/>
      </a:dk1>
      <a:lt1>
        <a:sysClr val="window" lastClr="FFFFFF"/>
      </a:lt1>
      <a:dk2>
        <a:srgbClr val="1E3D6B"/>
      </a:dk2>
      <a:lt2>
        <a:srgbClr val="FFFFFF"/>
      </a:lt2>
      <a:accent1>
        <a:srgbClr val="1E3D6B"/>
      </a:accent1>
      <a:accent2>
        <a:srgbClr val="F58220"/>
      </a:accent2>
      <a:accent3>
        <a:srgbClr val="00746B"/>
      </a:accent3>
      <a:accent4>
        <a:srgbClr val="72BF44"/>
      </a:accent4>
      <a:accent5>
        <a:srgbClr val="8EAEDE"/>
      </a:accent5>
      <a:accent6>
        <a:srgbClr val="1E3D6B"/>
      </a:accent6>
      <a:hlink>
        <a:srgbClr val="F58220"/>
      </a:hlink>
      <a:folHlink>
        <a:srgbClr val="8EAED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7C8A5-8733-4ED3-97E2-6BA80CE41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A19ADBC0.dotm</Template>
  <TotalTime>0</TotalTime>
  <Pages>77</Pages>
  <Words>26598</Words>
  <Characters>151612</Characters>
  <Application>Microsoft Office Word</Application>
  <DocSecurity>0</DocSecurity>
  <Lines>1263</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2018-08-22T22:43:00Z</dcterms:created>
  <dcterms:modified xsi:type="dcterms:W3CDTF">2018-08-22T22:45:00Z</dcterms:modified>
</cp:coreProperties>
</file>