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54EB5" w14:textId="77777777" w:rsidR="001414F3" w:rsidRPr="00435B7B" w:rsidRDefault="00BF10F4" w:rsidP="00354944">
      <w:r w:rsidRPr="004B1299">
        <w:rPr>
          <w:noProof/>
          <w:color w:val="FFFFFF" w:themeColor="background2"/>
          <w:lang w:eastAsia="en-AU"/>
        </w:rPr>
        <w:drawing>
          <wp:anchor distT="0" distB="0" distL="114300" distR="114300" simplePos="0" relativeHeight="251658240" behindDoc="1" locked="0" layoutInCell="1" allowOverlap="1" wp14:anchorId="635670E5" wp14:editId="0635F389">
            <wp:simplePos x="0" y="0"/>
            <wp:positionH relativeFrom="column">
              <wp:posOffset>-914400</wp:posOffset>
            </wp:positionH>
            <wp:positionV relativeFrom="paragraph">
              <wp:posOffset>-814387</wp:posOffset>
            </wp:positionV>
            <wp:extent cx="7581600" cy="10720800"/>
            <wp:effectExtent l="0" t="0" r="635" b="4445"/>
            <wp:wrapNone/>
            <wp:docPr id="2" name="Picture 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1600" cy="10720800"/>
                    </a:xfrm>
                    <a:prstGeom prst="rect">
                      <a:avLst/>
                    </a:prstGeom>
                  </pic:spPr>
                </pic:pic>
              </a:graphicData>
            </a:graphic>
            <wp14:sizeRelH relativeFrom="margin">
              <wp14:pctWidth>0</wp14:pctWidth>
            </wp14:sizeRelH>
            <wp14:sizeRelV relativeFrom="margin">
              <wp14:pctHeight>0</wp14:pctHeight>
            </wp14:sizeRelV>
          </wp:anchor>
        </w:drawing>
      </w:r>
    </w:p>
    <w:p w14:paraId="62392A5A" w14:textId="77777777" w:rsidR="00BF10F4" w:rsidRDefault="00BF10F4" w:rsidP="00BF10F4">
      <w:pPr>
        <w:spacing w:after="1560"/>
      </w:pPr>
      <w:r>
        <w:rPr>
          <w:noProof/>
          <w:lang w:eastAsia="en-AU"/>
        </w:rPr>
        <w:drawing>
          <wp:inline distT="0" distB="0" distL="0" distR="0" wp14:anchorId="5ECC8949" wp14:editId="67BBB066">
            <wp:extent cx="3016972" cy="700087"/>
            <wp:effectExtent l="0" t="0" r="0" b="5080"/>
            <wp:docPr id="3" name="Picture 3"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Employment_Inline_Rev.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3529" cy="699288"/>
                    </a:xfrm>
                    <a:prstGeom prst="rect">
                      <a:avLst/>
                    </a:prstGeom>
                  </pic:spPr>
                </pic:pic>
              </a:graphicData>
            </a:graphic>
          </wp:inline>
        </w:drawing>
      </w:r>
    </w:p>
    <w:p w14:paraId="461AAC2A" w14:textId="59B44EB8" w:rsidR="00BA282D" w:rsidRPr="00BF10F4" w:rsidRDefault="007134DE" w:rsidP="00C44AE6">
      <w:pPr>
        <w:pStyle w:val="Title"/>
        <w:ind w:left="1624"/>
        <w:jc w:val="right"/>
      </w:pPr>
      <w:r>
        <w:t>Transition to Work</w:t>
      </w:r>
    </w:p>
    <w:p w14:paraId="084BAF90" w14:textId="77777777" w:rsidR="00A924BD" w:rsidRPr="00A924BD" w:rsidRDefault="007134DE" w:rsidP="00A924BD">
      <w:pPr>
        <w:pStyle w:val="Subtitle"/>
        <w:ind w:left="1624"/>
        <w:jc w:val="right"/>
      </w:pPr>
      <w:r>
        <w:t>Evaluation Strategy</w:t>
      </w:r>
    </w:p>
    <w:p w14:paraId="5A9AD4CB" w14:textId="77777777" w:rsidR="00A924BD" w:rsidRPr="00BF10F4" w:rsidRDefault="00BF10F4" w:rsidP="00BF10F4">
      <w:pPr>
        <w:spacing w:before="8760"/>
        <w:rPr>
          <w:color w:val="1E3D6B"/>
          <w:sz w:val="36"/>
          <w:szCs w:val="36"/>
        </w:rPr>
      </w:pPr>
      <w:r w:rsidRPr="00BF10F4">
        <w:rPr>
          <w:color w:val="1E3D6B"/>
          <w:sz w:val="36"/>
          <w:szCs w:val="36"/>
        </w:rPr>
        <w:t>employment.gov.au</w:t>
      </w:r>
      <w:r w:rsidR="00130923" w:rsidRPr="00BF10F4">
        <w:rPr>
          <w:color w:val="1E3D6B"/>
          <w:sz w:val="36"/>
          <w:szCs w:val="36"/>
        </w:rPr>
        <w:br w:type="page"/>
      </w:r>
    </w:p>
    <w:p w14:paraId="00E25368" w14:textId="77777777" w:rsidR="00130923" w:rsidRDefault="00130923" w:rsidP="0005620B">
      <w:pPr>
        <w:pStyle w:val="BodyText"/>
        <w:jc w:val="right"/>
        <w:sectPr w:rsidR="00130923" w:rsidSect="00BF10F4">
          <w:headerReference w:type="even" r:id="rId10"/>
          <w:headerReference w:type="default" r:id="rId11"/>
          <w:footerReference w:type="even" r:id="rId12"/>
          <w:footerReference w:type="default" r:id="rId13"/>
          <w:headerReference w:type="first" r:id="rId14"/>
          <w:footerReference w:type="first" r:id="rId15"/>
          <w:pgSz w:w="11906" w:h="16838"/>
          <w:pgMar w:top="1276" w:right="1274" w:bottom="1134" w:left="1440" w:header="708" w:footer="708" w:gutter="0"/>
          <w:cols w:space="708"/>
          <w:docGrid w:linePitch="360"/>
        </w:sectPr>
      </w:pPr>
    </w:p>
    <w:p w14:paraId="05A6603A" w14:textId="77777777" w:rsidR="00130923" w:rsidRPr="00D50E7A" w:rsidRDefault="00130923" w:rsidP="007D58FB">
      <w:r w:rsidRPr="008E4DA0">
        <w:lastRenderedPageBreak/>
        <w:t>ISBN</w:t>
      </w:r>
      <w:r w:rsidR="00DC3052">
        <w:rPr>
          <w:szCs w:val="20"/>
          <w:highlight w:val="yellow"/>
        </w:rPr>
        <w:br/>
      </w:r>
      <w:r w:rsidR="00D50E7A">
        <w:rPr>
          <w:rFonts w:ascii="Arial" w:hAnsi="Arial" w:cs="Arial"/>
          <w:color w:val="000000"/>
          <w:sz w:val="20"/>
          <w:szCs w:val="20"/>
        </w:rPr>
        <w:t>978-1-76051-095-4</w:t>
      </w:r>
      <w:r w:rsidR="00D50E7A" w:rsidRPr="008E4DA0">
        <w:rPr>
          <w:szCs w:val="20"/>
        </w:rPr>
        <w:t xml:space="preserve"> </w:t>
      </w:r>
      <w:r w:rsidRPr="008E4DA0">
        <w:rPr>
          <w:szCs w:val="20"/>
        </w:rPr>
        <w:t>[PDF]</w:t>
      </w:r>
      <w:r w:rsidRPr="008E4DA0">
        <w:rPr>
          <w:szCs w:val="20"/>
        </w:rPr>
        <w:br/>
      </w:r>
      <w:r w:rsidR="00D50E7A">
        <w:rPr>
          <w:rFonts w:ascii="Arial" w:hAnsi="Arial" w:cs="Arial"/>
          <w:color w:val="000000"/>
          <w:sz w:val="20"/>
          <w:szCs w:val="20"/>
        </w:rPr>
        <w:t>978-1-76051-096-1</w:t>
      </w:r>
      <w:r w:rsidR="00D50E7A" w:rsidRPr="008E4DA0">
        <w:rPr>
          <w:szCs w:val="20"/>
        </w:rPr>
        <w:t xml:space="preserve"> </w:t>
      </w:r>
      <w:r w:rsidRPr="008E4DA0">
        <w:rPr>
          <w:szCs w:val="20"/>
        </w:rPr>
        <w:t>[DOCX]</w:t>
      </w:r>
    </w:p>
    <w:p w14:paraId="5AC64153" w14:textId="77777777" w:rsidR="00130923" w:rsidRDefault="00130923" w:rsidP="00130923">
      <w:pPr>
        <w:pStyle w:val="numberedpara"/>
        <w:numPr>
          <w:ilvl w:val="0"/>
          <w:numId w:val="0"/>
        </w:numPr>
        <w:tabs>
          <w:tab w:val="left" w:pos="720"/>
        </w:tabs>
        <w:rPr>
          <w:sz w:val="20"/>
          <w:szCs w:val="20"/>
        </w:rPr>
      </w:pPr>
      <w:r>
        <w:rPr>
          <w:noProof/>
          <w:sz w:val="20"/>
          <w:szCs w:val="20"/>
        </w:rPr>
        <w:drawing>
          <wp:inline distT="0" distB="0" distL="0" distR="0" wp14:anchorId="266B3510" wp14:editId="79DF71E3">
            <wp:extent cx="847725" cy="285750"/>
            <wp:effectExtent l="0" t="0" r="9525" b="0"/>
            <wp:docPr id="4" name="Picture 1" descr="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5B5E.C6C84990"/>
                    <pic:cNvPicPr>
                      <a:picLocks noChangeAspect="1" noChangeArrowheads="1"/>
                    </pic:cNvPicPr>
                  </pic:nvPicPr>
                  <pic:blipFill>
                    <a:blip r:embed="rId16" r:link="rId17" cstate="print"/>
                    <a:srcRect/>
                    <a:stretch>
                      <a:fillRect/>
                    </a:stretch>
                  </pic:blipFill>
                  <pic:spPr bwMode="auto">
                    <a:xfrm>
                      <a:off x="0" y="0"/>
                      <a:ext cx="847725" cy="285750"/>
                    </a:xfrm>
                    <a:prstGeom prst="rect">
                      <a:avLst/>
                    </a:prstGeom>
                    <a:noFill/>
                    <a:ln w="9525">
                      <a:noFill/>
                      <a:miter lim="800000"/>
                      <a:headEnd/>
                      <a:tailEnd/>
                    </a:ln>
                  </pic:spPr>
                </pic:pic>
              </a:graphicData>
            </a:graphic>
          </wp:inline>
        </w:drawing>
      </w:r>
    </w:p>
    <w:p w14:paraId="02C4F198" w14:textId="77777777" w:rsidR="00130923" w:rsidRPr="000462F1" w:rsidRDefault="00130923" w:rsidP="007D58FB">
      <w:r w:rsidRPr="000462F1">
        <w:t xml:space="preserve">With the exception of the Commonwealth Coat of Arms, the Department’s logo, any material protected by a trade mark and where otherwise noted all material presented in this document is provided under a </w:t>
      </w:r>
      <w:hyperlink r:id="rId18" w:history="1">
        <w:r w:rsidRPr="00EC78E7">
          <w:rPr>
            <w:rStyle w:val="Hyperlink"/>
          </w:rPr>
          <w:t>Creative Co</w:t>
        </w:r>
        <w:r w:rsidR="007D58FB" w:rsidRPr="00EC78E7">
          <w:rPr>
            <w:rStyle w:val="Hyperlink"/>
          </w:rPr>
          <w:t>mmons Attribution 3.0 Australia</w:t>
        </w:r>
      </w:hyperlink>
      <w:r w:rsidR="007D58FB">
        <w:t xml:space="preserve"> </w:t>
      </w:r>
      <w:r w:rsidRPr="000462F1">
        <w:t>(</w:t>
      </w:r>
      <w:r w:rsidRPr="00EC78E7">
        <w:t>http://creativecommons.org/licenses/by/3.0/au/</w:t>
      </w:r>
      <w:r w:rsidRPr="000462F1">
        <w:t xml:space="preserve">) licence. </w:t>
      </w:r>
    </w:p>
    <w:p w14:paraId="5874FFAD" w14:textId="77777777" w:rsidR="00130923" w:rsidRPr="000462F1" w:rsidRDefault="00130923" w:rsidP="007D58FB">
      <w:r w:rsidRPr="000462F1">
        <w:t xml:space="preserve">The details of the relevant licence conditions are available on the Creative Commons website (accessible using the links provided) as is the full legal code for the </w:t>
      </w:r>
      <w:hyperlink r:id="rId19" w:history="1">
        <w:r w:rsidRPr="00EC78E7">
          <w:rPr>
            <w:rStyle w:val="Hyperlink"/>
          </w:rPr>
          <w:t>CC BY 3.0 AU licence</w:t>
        </w:r>
      </w:hyperlink>
      <w:r w:rsidRPr="000462F1">
        <w:t xml:space="preserve"> (</w:t>
      </w:r>
      <w:r w:rsidRPr="00EC78E7">
        <w:t>http://creativecommons.org/licenses/by/3.0/au/legalcode</w:t>
      </w:r>
      <w:r w:rsidRPr="000462F1">
        <w:t xml:space="preserve">). </w:t>
      </w:r>
    </w:p>
    <w:p w14:paraId="1B81772E" w14:textId="77777777" w:rsidR="00130923" w:rsidRDefault="00130923" w:rsidP="007D58FB">
      <w:r w:rsidRPr="000462F1">
        <w:t>The document must be attributed as the</w:t>
      </w:r>
      <w:r w:rsidR="007134DE">
        <w:t xml:space="preserve"> Transition to Work Evaluation Strategy</w:t>
      </w:r>
      <w:r w:rsidR="00A924BD">
        <w:t>, May 2017</w:t>
      </w:r>
      <w:r>
        <w:t>.</w:t>
      </w:r>
    </w:p>
    <w:p w14:paraId="50C5D655" w14:textId="77777777" w:rsidR="00130923" w:rsidRDefault="00130923" w:rsidP="00130923">
      <w:pPr>
        <w:pStyle w:val="numberedpara"/>
        <w:numPr>
          <w:ilvl w:val="0"/>
          <w:numId w:val="0"/>
        </w:numPr>
        <w:tabs>
          <w:tab w:val="left" w:pos="720"/>
        </w:tabs>
        <w:spacing w:before="120" w:after="120"/>
        <w:rPr>
          <w:sz w:val="20"/>
          <w:szCs w:val="20"/>
        </w:rPr>
        <w:sectPr w:rsidR="00130923" w:rsidSect="005E1673">
          <w:type w:val="continuous"/>
          <w:pgSz w:w="11906" w:h="16838"/>
          <w:pgMar w:top="10348" w:right="1440" w:bottom="1440" w:left="1440" w:header="708" w:footer="708" w:gutter="0"/>
          <w:cols w:space="708"/>
          <w:docGrid w:linePitch="360"/>
        </w:sectPr>
      </w:pPr>
    </w:p>
    <w:sdt>
      <w:sdtPr>
        <w:rPr>
          <w:rFonts w:asciiTheme="minorHAnsi" w:eastAsiaTheme="minorEastAsia" w:hAnsiTheme="minorHAnsi" w:cstheme="minorBidi"/>
          <w:b w:val="0"/>
          <w:bCs w:val="0"/>
          <w:color w:val="auto"/>
          <w:sz w:val="22"/>
          <w:szCs w:val="22"/>
          <w:lang w:bidi="ar-SA"/>
        </w:rPr>
        <w:id w:val="-139263470"/>
        <w:docPartObj>
          <w:docPartGallery w:val="Table of Contents"/>
          <w:docPartUnique/>
        </w:docPartObj>
      </w:sdtPr>
      <w:sdtEndPr>
        <w:rPr>
          <w:noProof/>
        </w:rPr>
      </w:sdtEndPr>
      <w:sdtContent>
        <w:p w14:paraId="50BC64AD" w14:textId="77777777" w:rsidR="00913848" w:rsidRDefault="00913848" w:rsidP="00913848">
          <w:pPr>
            <w:pStyle w:val="TOCHeading"/>
          </w:pPr>
          <w:r>
            <w:t>Contents</w:t>
          </w:r>
        </w:p>
        <w:p w14:paraId="666F2CF8" w14:textId="77777777" w:rsidR="00B07EFA" w:rsidRDefault="00404F5B">
          <w:pPr>
            <w:pStyle w:val="TOC1"/>
            <w:rPr>
              <w:noProof/>
              <w:lang w:eastAsia="en-AU"/>
            </w:rPr>
          </w:pPr>
          <w:r>
            <w:fldChar w:fldCharType="begin"/>
          </w:r>
          <w:r>
            <w:instrText xml:space="preserve"> TOC \o "1-2" \h \z \u </w:instrText>
          </w:r>
          <w:r>
            <w:fldChar w:fldCharType="separate"/>
          </w:r>
          <w:hyperlink w:anchor="_Toc469333748" w:history="1">
            <w:r w:rsidR="00B07EFA" w:rsidRPr="00893B2A">
              <w:rPr>
                <w:rStyle w:val="Hyperlink"/>
                <w:noProof/>
              </w:rPr>
              <w:t>1</w:t>
            </w:r>
            <w:r w:rsidR="00B07EFA">
              <w:rPr>
                <w:noProof/>
                <w:lang w:eastAsia="en-AU"/>
              </w:rPr>
              <w:tab/>
            </w:r>
            <w:r w:rsidR="00B07EFA" w:rsidRPr="00893B2A">
              <w:rPr>
                <w:rStyle w:val="Hyperlink"/>
                <w:noProof/>
              </w:rPr>
              <w:t>Introduction</w:t>
            </w:r>
            <w:r w:rsidR="00B07EFA">
              <w:rPr>
                <w:noProof/>
                <w:webHidden/>
              </w:rPr>
              <w:tab/>
            </w:r>
            <w:r w:rsidR="00B07EFA">
              <w:rPr>
                <w:noProof/>
                <w:webHidden/>
              </w:rPr>
              <w:fldChar w:fldCharType="begin"/>
            </w:r>
            <w:r w:rsidR="00B07EFA">
              <w:rPr>
                <w:noProof/>
                <w:webHidden/>
              </w:rPr>
              <w:instrText xml:space="preserve"> PAGEREF _Toc469333748 \h </w:instrText>
            </w:r>
            <w:r w:rsidR="00B07EFA">
              <w:rPr>
                <w:noProof/>
                <w:webHidden/>
              </w:rPr>
            </w:r>
            <w:r w:rsidR="00B07EFA">
              <w:rPr>
                <w:noProof/>
                <w:webHidden/>
              </w:rPr>
              <w:fldChar w:fldCharType="separate"/>
            </w:r>
            <w:r w:rsidR="00FA59F1">
              <w:rPr>
                <w:noProof/>
                <w:webHidden/>
              </w:rPr>
              <w:t>1</w:t>
            </w:r>
            <w:r w:rsidR="00B07EFA">
              <w:rPr>
                <w:noProof/>
                <w:webHidden/>
              </w:rPr>
              <w:fldChar w:fldCharType="end"/>
            </w:r>
          </w:hyperlink>
        </w:p>
        <w:p w14:paraId="521D040E" w14:textId="77777777" w:rsidR="00B07EFA" w:rsidRDefault="00EC2CEE">
          <w:pPr>
            <w:pStyle w:val="TOC2"/>
            <w:tabs>
              <w:tab w:val="left" w:pos="880"/>
              <w:tab w:val="right" w:leader="dot" w:pos="9016"/>
            </w:tabs>
            <w:rPr>
              <w:noProof/>
              <w:lang w:eastAsia="en-AU"/>
            </w:rPr>
          </w:pPr>
          <w:hyperlink w:anchor="_Toc469333749" w:history="1">
            <w:r w:rsidR="00B07EFA" w:rsidRPr="00893B2A">
              <w:rPr>
                <w:rStyle w:val="Hyperlink"/>
                <w:noProof/>
              </w:rPr>
              <w:t>1.1</w:t>
            </w:r>
            <w:r w:rsidR="00B07EFA">
              <w:rPr>
                <w:noProof/>
                <w:lang w:eastAsia="en-AU"/>
              </w:rPr>
              <w:tab/>
            </w:r>
            <w:r w:rsidR="00B07EFA" w:rsidRPr="00893B2A">
              <w:rPr>
                <w:rStyle w:val="Hyperlink"/>
                <w:noProof/>
              </w:rPr>
              <w:t>Transition to Work Service</w:t>
            </w:r>
            <w:r w:rsidR="00B07EFA">
              <w:rPr>
                <w:noProof/>
                <w:webHidden/>
              </w:rPr>
              <w:tab/>
            </w:r>
            <w:r w:rsidR="00B07EFA">
              <w:rPr>
                <w:noProof/>
                <w:webHidden/>
              </w:rPr>
              <w:fldChar w:fldCharType="begin"/>
            </w:r>
            <w:r w:rsidR="00B07EFA">
              <w:rPr>
                <w:noProof/>
                <w:webHidden/>
              </w:rPr>
              <w:instrText xml:space="preserve"> PAGEREF _Toc469333749 \h </w:instrText>
            </w:r>
            <w:r w:rsidR="00B07EFA">
              <w:rPr>
                <w:noProof/>
                <w:webHidden/>
              </w:rPr>
            </w:r>
            <w:r w:rsidR="00B07EFA">
              <w:rPr>
                <w:noProof/>
                <w:webHidden/>
              </w:rPr>
              <w:fldChar w:fldCharType="separate"/>
            </w:r>
            <w:r w:rsidR="00FA59F1">
              <w:rPr>
                <w:noProof/>
                <w:webHidden/>
              </w:rPr>
              <w:t>1</w:t>
            </w:r>
            <w:r w:rsidR="00B07EFA">
              <w:rPr>
                <w:noProof/>
                <w:webHidden/>
              </w:rPr>
              <w:fldChar w:fldCharType="end"/>
            </w:r>
          </w:hyperlink>
        </w:p>
        <w:p w14:paraId="3E315E62" w14:textId="77777777" w:rsidR="00B07EFA" w:rsidRDefault="00EC2CEE">
          <w:pPr>
            <w:pStyle w:val="TOC2"/>
            <w:tabs>
              <w:tab w:val="left" w:pos="880"/>
              <w:tab w:val="right" w:leader="dot" w:pos="9016"/>
            </w:tabs>
            <w:rPr>
              <w:noProof/>
              <w:lang w:eastAsia="en-AU"/>
            </w:rPr>
          </w:pPr>
          <w:hyperlink w:anchor="_Toc469333750" w:history="1">
            <w:r w:rsidR="00B07EFA" w:rsidRPr="00893B2A">
              <w:rPr>
                <w:rStyle w:val="Hyperlink"/>
                <w:noProof/>
              </w:rPr>
              <w:t>1.2</w:t>
            </w:r>
            <w:r w:rsidR="00B07EFA">
              <w:rPr>
                <w:noProof/>
                <w:lang w:eastAsia="en-AU"/>
              </w:rPr>
              <w:tab/>
            </w:r>
            <w:r w:rsidR="00B07EFA" w:rsidRPr="00893B2A">
              <w:rPr>
                <w:rStyle w:val="Hyperlink"/>
                <w:noProof/>
              </w:rPr>
              <w:t>Transition to Work Target Groups</w:t>
            </w:r>
            <w:r w:rsidR="00B07EFA">
              <w:rPr>
                <w:noProof/>
                <w:webHidden/>
              </w:rPr>
              <w:tab/>
            </w:r>
            <w:r w:rsidR="00B07EFA">
              <w:rPr>
                <w:noProof/>
                <w:webHidden/>
              </w:rPr>
              <w:fldChar w:fldCharType="begin"/>
            </w:r>
            <w:r w:rsidR="00B07EFA">
              <w:rPr>
                <w:noProof/>
                <w:webHidden/>
              </w:rPr>
              <w:instrText xml:space="preserve"> PAGEREF _Toc469333750 \h </w:instrText>
            </w:r>
            <w:r w:rsidR="00B07EFA">
              <w:rPr>
                <w:noProof/>
                <w:webHidden/>
              </w:rPr>
            </w:r>
            <w:r w:rsidR="00B07EFA">
              <w:rPr>
                <w:noProof/>
                <w:webHidden/>
              </w:rPr>
              <w:fldChar w:fldCharType="separate"/>
            </w:r>
            <w:r w:rsidR="00FA59F1">
              <w:rPr>
                <w:noProof/>
                <w:webHidden/>
              </w:rPr>
              <w:t>1</w:t>
            </w:r>
            <w:r w:rsidR="00B07EFA">
              <w:rPr>
                <w:noProof/>
                <w:webHidden/>
              </w:rPr>
              <w:fldChar w:fldCharType="end"/>
            </w:r>
          </w:hyperlink>
        </w:p>
        <w:p w14:paraId="06FEB284" w14:textId="77777777" w:rsidR="00B07EFA" w:rsidRDefault="00EC2CEE">
          <w:pPr>
            <w:pStyle w:val="TOC2"/>
            <w:tabs>
              <w:tab w:val="left" w:pos="880"/>
              <w:tab w:val="right" w:leader="dot" w:pos="9016"/>
            </w:tabs>
            <w:rPr>
              <w:noProof/>
              <w:lang w:eastAsia="en-AU"/>
            </w:rPr>
          </w:pPr>
          <w:hyperlink w:anchor="_Toc469333751" w:history="1">
            <w:r w:rsidR="00B07EFA" w:rsidRPr="00893B2A">
              <w:rPr>
                <w:rStyle w:val="Hyperlink"/>
                <w:noProof/>
              </w:rPr>
              <w:t>1.3</w:t>
            </w:r>
            <w:r w:rsidR="00B07EFA">
              <w:rPr>
                <w:noProof/>
                <w:lang w:eastAsia="en-AU"/>
              </w:rPr>
              <w:tab/>
            </w:r>
            <w:r w:rsidR="00B07EFA" w:rsidRPr="00893B2A">
              <w:rPr>
                <w:rStyle w:val="Hyperlink"/>
                <w:noProof/>
              </w:rPr>
              <w:t>Transfers between Transition to Work and jobactive</w:t>
            </w:r>
            <w:r w:rsidR="00B07EFA">
              <w:rPr>
                <w:noProof/>
                <w:webHidden/>
              </w:rPr>
              <w:tab/>
            </w:r>
            <w:r w:rsidR="00B07EFA">
              <w:rPr>
                <w:noProof/>
                <w:webHidden/>
              </w:rPr>
              <w:fldChar w:fldCharType="begin"/>
            </w:r>
            <w:r w:rsidR="00B07EFA">
              <w:rPr>
                <w:noProof/>
                <w:webHidden/>
              </w:rPr>
              <w:instrText xml:space="preserve"> PAGEREF _Toc469333751 \h </w:instrText>
            </w:r>
            <w:r w:rsidR="00B07EFA">
              <w:rPr>
                <w:noProof/>
                <w:webHidden/>
              </w:rPr>
            </w:r>
            <w:r w:rsidR="00B07EFA">
              <w:rPr>
                <w:noProof/>
                <w:webHidden/>
              </w:rPr>
              <w:fldChar w:fldCharType="separate"/>
            </w:r>
            <w:r w:rsidR="00FA59F1">
              <w:rPr>
                <w:noProof/>
                <w:webHidden/>
              </w:rPr>
              <w:t>3</w:t>
            </w:r>
            <w:r w:rsidR="00B07EFA">
              <w:rPr>
                <w:noProof/>
                <w:webHidden/>
              </w:rPr>
              <w:fldChar w:fldCharType="end"/>
            </w:r>
          </w:hyperlink>
        </w:p>
        <w:p w14:paraId="74132E6B" w14:textId="77777777" w:rsidR="00B07EFA" w:rsidRDefault="00EC2CEE">
          <w:pPr>
            <w:pStyle w:val="TOC2"/>
            <w:tabs>
              <w:tab w:val="left" w:pos="880"/>
              <w:tab w:val="right" w:leader="dot" w:pos="9016"/>
            </w:tabs>
            <w:rPr>
              <w:noProof/>
              <w:lang w:eastAsia="en-AU"/>
            </w:rPr>
          </w:pPr>
          <w:hyperlink w:anchor="_Toc469333752" w:history="1">
            <w:r w:rsidR="00B07EFA" w:rsidRPr="00893B2A">
              <w:rPr>
                <w:rStyle w:val="Hyperlink"/>
                <w:noProof/>
              </w:rPr>
              <w:t>1.4</w:t>
            </w:r>
            <w:r w:rsidR="00B07EFA">
              <w:rPr>
                <w:noProof/>
                <w:lang w:eastAsia="en-AU"/>
              </w:rPr>
              <w:tab/>
            </w:r>
            <w:r w:rsidR="00B07EFA" w:rsidRPr="00893B2A">
              <w:rPr>
                <w:rStyle w:val="Hyperlink"/>
                <w:noProof/>
              </w:rPr>
              <w:t>Quality and Performance</w:t>
            </w:r>
            <w:r w:rsidR="00B07EFA">
              <w:rPr>
                <w:noProof/>
                <w:webHidden/>
              </w:rPr>
              <w:tab/>
            </w:r>
            <w:r w:rsidR="00B07EFA">
              <w:rPr>
                <w:noProof/>
                <w:webHidden/>
              </w:rPr>
              <w:fldChar w:fldCharType="begin"/>
            </w:r>
            <w:r w:rsidR="00B07EFA">
              <w:rPr>
                <w:noProof/>
                <w:webHidden/>
              </w:rPr>
              <w:instrText xml:space="preserve"> PAGEREF _Toc469333752 \h </w:instrText>
            </w:r>
            <w:r w:rsidR="00B07EFA">
              <w:rPr>
                <w:noProof/>
                <w:webHidden/>
              </w:rPr>
            </w:r>
            <w:r w:rsidR="00B07EFA">
              <w:rPr>
                <w:noProof/>
                <w:webHidden/>
              </w:rPr>
              <w:fldChar w:fldCharType="separate"/>
            </w:r>
            <w:r w:rsidR="00FA59F1">
              <w:rPr>
                <w:noProof/>
                <w:webHidden/>
              </w:rPr>
              <w:t>3</w:t>
            </w:r>
            <w:r w:rsidR="00B07EFA">
              <w:rPr>
                <w:noProof/>
                <w:webHidden/>
              </w:rPr>
              <w:fldChar w:fldCharType="end"/>
            </w:r>
          </w:hyperlink>
        </w:p>
        <w:p w14:paraId="1EE8AF1E" w14:textId="77777777" w:rsidR="00B07EFA" w:rsidRDefault="00EC2CEE">
          <w:pPr>
            <w:pStyle w:val="TOC2"/>
            <w:tabs>
              <w:tab w:val="left" w:pos="880"/>
              <w:tab w:val="right" w:leader="dot" w:pos="9016"/>
            </w:tabs>
            <w:rPr>
              <w:noProof/>
              <w:lang w:eastAsia="en-AU"/>
            </w:rPr>
          </w:pPr>
          <w:hyperlink w:anchor="_Toc469333753" w:history="1">
            <w:r w:rsidR="00B07EFA" w:rsidRPr="00893B2A">
              <w:rPr>
                <w:rStyle w:val="Hyperlink"/>
                <w:noProof/>
              </w:rPr>
              <w:t>1.5</w:t>
            </w:r>
            <w:r w:rsidR="00B07EFA">
              <w:rPr>
                <w:noProof/>
                <w:lang w:eastAsia="en-AU"/>
              </w:rPr>
              <w:tab/>
            </w:r>
            <w:r w:rsidR="00B07EFA" w:rsidRPr="00893B2A">
              <w:rPr>
                <w:rStyle w:val="Hyperlink"/>
                <w:noProof/>
              </w:rPr>
              <w:t>Performance Targets</w:t>
            </w:r>
            <w:r w:rsidR="00B07EFA">
              <w:rPr>
                <w:noProof/>
                <w:webHidden/>
              </w:rPr>
              <w:tab/>
            </w:r>
            <w:r w:rsidR="00B07EFA">
              <w:rPr>
                <w:noProof/>
                <w:webHidden/>
              </w:rPr>
              <w:fldChar w:fldCharType="begin"/>
            </w:r>
            <w:r w:rsidR="00B07EFA">
              <w:rPr>
                <w:noProof/>
                <w:webHidden/>
              </w:rPr>
              <w:instrText xml:space="preserve"> PAGEREF _Toc469333753 \h </w:instrText>
            </w:r>
            <w:r w:rsidR="00B07EFA">
              <w:rPr>
                <w:noProof/>
                <w:webHidden/>
              </w:rPr>
            </w:r>
            <w:r w:rsidR="00B07EFA">
              <w:rPr>
                <w:noProof/>
                <w:webHidden/>
              </w:rPr>
              <w:fldChar w:fldCharType="separate"/>
            </w:r>
            <w:r w:rsidR="00FA59F1">
              <w:rPr>
                <w:noProof/>
                <w:webHidden/>
              </w:rPr>
              <w:t>3</w:t>
            </w:r>
            <w:r w:rsidR="00B07EFA">
              <w:rPr>
                <w:noProof/>
                <w:webHidden/>
              </w:rPr>
              <w:fldChar w:fldCharType="end"/>
            </w:r>
          </w:hyperlink>
        </w:p>
        <w:p w14:paraId="5F92C945" w14:textId="77777777" w:rsidR="00B07EFA" w:rsidRDefault="00EC2CEE">
          <w:pPr>
            <w:pStyle w:val="TOC2"/>
            <w:tabs>
              <w:tab w:val="left" w:pos="880"/>
              <w:tab w:val="right" w:leader="dot" w:pos="9016"/>
            </w:tabs>
            <w:rPr>
              <w:noProof/>
              <w:lang w:eastAsia="en-AU"/>
            </w:rPr>
          </w:pPr>
          <w:hyperlink w:anchor="_Toc469333754" w:history="1">
            <w:r w:rsidR="00B07EFA" w:rsidRPr="00893B2A">
              <w:rPr>
                <w:rStyle w:val="Hyperlink"/>
                <w:noProof/>
              </w:rPr>
              <w:t>1.6</w:t>
            </w:r>
            <w:r w:rsidR="00B07EFA">
              <w:rPr>
                <w:noProof/>
                <w:lang w:eastAsia="en-AU"/>
              </w:rPr>
              <w:tab/>
            </w:r>
            <w:r w:rsidR="00B07EFA" w:rsidRPr="00893B2A">
              <w:rPr>
                <w:rStyle w:val="Hyperlink"/>
                <w:noProof/>
              </w:rPr>
              <w:t>Payments to Providers</w:t>
            </w:r>
            <w:r w:rsidR="00B07EFA">
              <w:rPr>
                <w:noProof/>
                <w:webHidden/>
              </w:rPr>
              <w:tab/>
            </w:r>
            <w:r w:rsidR="00B07EFA">
              <w:rPr>
                <w:noProof/>
                <w:webHidden/>
              </w:rPr>
              <w:fldChar w:fldCharType="begin"/>
            </w:r>
            <w:r w:rsidR="00B07EFA">
              <w:rPr>
                <w:noProof/>
                <w:webHidden/>
              </w:rPr>
              <w:instrText xml:space="preserve"> PAGEREF _Toc469333754 \h </w:instrText>
            </w:r>
            <w:r w:rsidR="00B07EFA">
              <w:rPr>
                <w:noProof/>
                <w:webHidden/>
              </w:rPr>
            </w:r>
            <w:r w:rsidR="00B07EFA">
              <w:rPr>
                <w:noProof/>
                <w:webHidden/>
              </w:rPr>
              <w:fldChar w:fldCharType="separate"/>
            </w:r>
            <w:r w:rsidR="00FA59F1">
              <w:rPr>
                <w:noProof/>
                <w:webHidden/>
              </w:rPr>
              <w:t>4</w:t>
            </w:r>
            <w:r w:rsidR="00B07EFA">
              <w:rPr>
                <w:noProof/>
                <w:webHidden/>
              </w:rPr>
              <w:fldChar w:fldCharType="end"/>
            </w:r>
          </w:hyperlink>
        </w:p>
        <w:p w14:paraId="1D403ED3" w14:textId="77777777" w:rsidR="00B07EFA" w:rsidRDefault="00EC2CEE">
          <w:pPr>
            <w:pStyle w:val="TOC2"/>
            <w:tabs>
              <w:tab w:val="left" w:pos="880"/>
              <w:tab w:val="right" w:leader="dot" w:pos="9016"/>
            </w:tabs>
            <w:rPr>
              <w:noProof/>
              <w:lang w:eastAsia="en-AU"/>
            </w:rPr>
          </w:pPr>
          <w:hyperlink w:anchor="_Toc469333755" w:history="1">
            <w:r w:rsidR="00B07EFA" w:rsidRPr="00893B2A">
              <w:rPr>
                <w:rStyle w:val="Hyperlink"/>
                <w:noProof/>
              </w:rPr>
              <w:t>1.7</w:t>
            </w:r>
            <w:r w:rsidR="00B07EFA">
              <w:rPr>
                <w:noProof/>
                <w:lang w:eastAsia="en-AU"/>
              </w:rPr>
              <w:tab/>
            </w:r>
            <w:r w:rsidR="00B07EFA" w:rsidRPr="00893B2A">
              <w:rPr>
                <w:rStyle w:val="Hyperlink"/>
                <w:noProof/>
              </w:rPr>
              <w:t>Implementation of the TtW Service</w:t>
            </w:r>
            <w:r w:rsidR="00B07EFA">
              <w:rPr>
                <w:noProof/>
                <w:webHidden/>
              </w:rPr>
              <w:tab/>
            </w:r>
            <w:r w:rsidR="00B07EFA">
              <w:rPr>
                <w:noProof/>
                <w:webHidden/>
              </w:rPr>
              <w:fldChar w:fldCharType="begin"/>
            </w:r>
            <w:r w:rsidR="00B07EFA">
              <w:rPr>
                <w:noProof/>
                <w:webHidden/>
              </w:rPr>
              <w:instrText xml:space="preserve"> PAGEREF _Toc469333755 \h </w:instrText>
            </w:r>
            <w:r w:rsidR="00B07EFA">
              <w:rPr>
                <w:noProof/>
                <w:webHidden/>
              </w:rPr>
            </w:r>
            <w:r w:rsidR="00B07EFA">
              <w:rPr>
                <w:noProof/>
                <w:webHidden/>
              </w:rPr>
              <w:fldChar w:fldCharType="separate"/>
            </w:r>
            <w:r w:rsidR="00FA59F1">
              <w:rPr>
                <w:noProof/>
                <w:webHidden/>
              </w:rPr>
              <w:t>4</w:t>
            </w:r>
            <w:r w:rsidR="00B07EFA">
              <w:rPr>
                <w:noProof/>
                <w:webHidden/>
              </w:rPr>
              <w:fldChar w:fldCharType="end"/>
            </w:r>
          </w:hyperlink>
        </w:p>
        <w:p w14:paraId="44B6E790" w14:textId="77777777" w:rsidR="00B07EFA" w:rsidRDefault="00EC2CEE">
          <w:pPr>
            <w:pStyle w:val="TOC1"/>
            <w:rPr>
              <w:noProof/>
              <w:lang w:eastAsia="en-AU"/>
            </w:rPr>
          </w:pPr>
          <w:hyperlink w:anchor="_Toc469333756" w:history="1">
            <w:r w:rsidR="00B07EFA" w:rsidRPr="00893B2A">
              <w:rPr>
                <w:rStyle w:val="Hyperlink"/>
                <w:noProof/>
              </w:rPr>
              <w:t>2</w:t>
            </w:r>
            <w:r w:rsidR="00B07EFA">
              <w:rPr>
                <w:noProof/>
                <w:lang w:eastAsia="en-AU"/>
              </w:rPr>
              <w:tab/>
            </w:r>
            <w:r w:rsidR="00B07EFA" w:rsidRPr="00893B2A">
              <w:rPr>
                <w:rStyle w:val="Hyperlink"/>
                <w:noProof/>
              </w:rPr>
              <w:t>Evaluation of Transition to Work</w:t>
            </w:r>
            <w:r w:rsidR="00B07EFA">
              <w:rPr>
                <w:noProof/>
                <w:webHidden/>
              </w:rPr>
              <w:tab/>
            </w:r>
            <w:r w:rsidR="00B07EFA">
              <w:rPr>
                <w:noProof/>
                <w:webHidden/>
              </w:rPr>
              <w:fldChar w:fldCharType="begin"/>
            </w:r>
            <w:r w:rsidR="00B07EFA">
              <w:rPr>
                <w:noProof/>
                <w:webHidden/>
              </w:rPr>
              <w:instrText xml:space="preserve"> PAGEREF _Toc469333756 \h </w:instrText>
            </w:r>
            <w:r w:rsidR="00B07EFA">
              <w:rPr>
                <w:noProof/>
                <w:webHidden/>
              </w:rPr>
            </w:r>
            <w:r w:rsidR="00B07EFA">
              <w:rPr>
                <w:noProof/>
                <w:webHidden/>
              </w:rPr>
              <w:fldChar w:fldCharType="separate"/>
            </w:r>
            <w:r w:rsidR="00FA59F1">
              <w:rPr>
                <w:noProof/>
                <w:webHidden/>
              </w:rPr>
              <w:t>6</w:t>
            </w:r>
            <w:r w:rsidR="00B07EFA">
              <w:rPr>
                <w:noProof/>
                <w:webHidden/>
              </w:rPr>
              <w:fldChar w:fldCharType="end"/>
            </w:r>
          </w:hyperlink>
        </w:p>
        <w:p w14:paraId="37DE6105" w14:textId="77777777" w:rsidR="00B07EFA" w:rsidRDefault="00EC2CEE">
          <w:pPr>
            <w:pStyle w:val="TOC2"/>
            <w:tabs>
              <w:tab w:val="left" w:pos="880"/>
              <w:tab w:val="right" w:leader="dot" w:pos="9016"/>
            </w:tabs>
            <w:rPr>
              <w:noProof/>
              <w:lang w:eastAsia="en-AU"/>
            </w:rPr>
          </w:pPr>
          <w:hyperlink w:anchor="_Toc469333757" w:history="1">
            <w:r w:rsidR="00B07EFA" w:rsidRPr="00893B2A">
              <w:rPr>
                <w:rStyle w:val="Hyperlink"/>
                <w:noProof/>
              </w:rPr>
              <w:t>2.1</w:t>
            </w:r>
            <w:r w:rsidR="00B07EFA">
              <w:rPr>
                <w:noProof/>
                <w:lang w:eastAsia="en-AU"/>
              </w:rPr>
              <w:tab/>
            </w:r>
            <w:r w:rsidR="00B07EFA" w:rsidRPr="00893B2A">
              <w:rPr>
                <w:rStyle w:val="Hyperlink"/>
                <w:noProof/>
              </w:rPr>
              <w:t>Evaluation Outline</w:t>
            </w:r>
            <w:r w:rsidR="00B07EFA">
              <w:rPr>
                <w:noProof/>
                <w:webHidden/>
              </w:rPr>
              <w:tab/>
            </w:r>
            <w:r w:rsidR="00B07EFA">
              <w:rPr>
                <w:noProof/>
                <w:webHidden/>
              </w:rPr>
              <w:fldChar w:fldCharType="begin"/>
            </w:r>
            <w:r w:rsidR="00B07EFA">
              <w:rPr>
                <w:noProof/>
                <w:webHidden/>
              </w:rPr>
              <w:instrText xml:space="preserve"> PAGEREF _Toc469333757 \h </w:instrText>
            </w:r>
            <w:r w:rsidR="00B07EFA">
              <w:rPr>
                <w:noProof/>
                <w:webHidden/>
              </w:rPr>
            </w:r>
            <w:r w:rsidR="00B07EFA">
              <w:rPr>
                <w:noProof/>
                <w:webHidden/>
              </w:rPr>
              <w:fldChar w:fldCharType="separate"/>
            </w:r>
            <w:r w:rsidR="00FA59F1">
              <w:rPr>
                <w:noProof/>
                <w:webHidden/>
              </w:rPr>
              <w:t>6</w:t>
            </w:r>
            <w:r w:rsidR="00B07EFA">
              <w:rPr>
                <w:noProof/>
                <w:webHidden/>
              </w:rPr>
              <w:fldChar w:fldCharType="end"/>
            </w:r>
          </w:hyperlink>
        </w:p>
        <w:p w14:paraId="693CD142" w14:textId="77777777" w:rsidR="00B07EFA" w:rsidRDefault="00EC2CEE">
          <w:pPr>
            <w:pStyle w:val="TOC2"/>
            <w:tabs>
              <w:tab w:val="left" w:pos="880"/>
              <w:tab w:val="right" w:leader="dot" w:pos="9016"/>
            </w:tabs>
            <w:rPr>
              <w:noProof/>
              <w:lang w:eastAsia="en-AU"/>
            </w:rPr>
          </w:pPr>
          <w:hyperlink w:anchor="_Toc469333758" w:history="1">
            <w:r w:rsidR="00B07EFA" w:rsidRPr="00893B2A">
              <w:rPr>
                <w:rStyle w:val="Hyperlink"/>
                <w:noProof/>
              </w:rPr>
              <w:t>2.2</w:t>
            </w:r>
            <w:r w:rsidR="00B07EFA">
              <w:rPr>
                <w:noProof/>
                <w:lang w:eastAsia="en-AU"/>
              </w:rPr>
              <w:tab/>
            </w:r>
            <w:r w:rsidR="00B07EFA" w:rsidRPr="00893B2A">
              <w:rPr>
                <w:rStyle w:val="Hyperlink"/>
                <w:noProof/>
              </w:rPr>
              <w:t>Scope of the Evaluation</w:t>
            </w:r>
            <w:r w:rsidR="00B07EFA">
              <w:rPr>
                <w:noProof/>
                <w:webHidden/>
              </w:rPr>
              <w:tab/>
            </w:r>
            <w:r w:rsidR="00B07EFA">
              <w:rPr>
                <w:noProof/>
                <w:webHidden/>
              </w:rPr>
              <w:fldChar w:fldCharType="begin"/>
            </w:r>
            <w:r w:rsidR="00B07EFA">
              <w:rPr>
                <w:noProof/>
                <w:webHidden/>
              </w:rPr>
              <w:instrText xml:space="preserve"> PAGEREF _Toc469333758 \h </w:instrText>
            </w:r>
            <w:r w:rsidR="00B07EFA">
              <w:rPr>
                <w:noProof/>
                <w:webHidden/>
              </w:rPr>
            </w:r>
            <w:r w:rsidR="00B07EFA">
              <w:rPr>
                <w:noProof/>
                <w:webHidden/>
              </w:rPr>
              <w:fldChar w:fldCharType="separate"/>
            </w:r>
            <w:r w:rsidR="00FA59F1">
              <w:rPr>
                <w:noProof/>
                <w:webHidden/>
              </w:rPr>
              <w:t>9</w:t>
            </w:r>
            <w:r w:rsidR="00B07EFA">
              <w:rPr>
                <w:noProof/>
                <w:webHidden/>
              </w:rPr>
              <w:fldChar w:fldCharType="end"/>
            </w:r>
          </w:hyperlink>
        </w:p>
        <w:p w14:paraId="5D34C603" w14:textId="77777777" w:rsidR="00B07EFA" w:rsidRDefault="00EC2CEE">
          <w:pPr>
            <w:pStyle w:val="TOC2"/>
            <w:tabs>
              <w:tab w:val="left" w:pos="880"/>
              <w:tab w:val="right" w:leader="dot" w:pos="9016"/>
            </w:tabs>
            <w:rPr>
              <w:noProof/>
              <w:lang w:eastAsia="en-AU"/>
            </w:rPr>
          </w:pPr>
          <w:hyperlink w:anchor="_Toc469333759" w:history="1">
            <w:r w:rsidR="00B07EFA" w:rsidRPr="00893B2A">
              <w:rPr>
                <w:rStyle w:val="Hyperlink"/>
                <w:noProof/>
              </w:rPr>
              <w:t>2.3</w:t>
            </w:r>
            <w:r w:rsidR="00B07EFA">
              <w:rPr>
                <w:noProof/>
                <w:lang w:eastAsia="en-AU"/>
              </w:rPr>
              <w:tab/>
            </w:r>
            <w:r w:rsidR="00B07EFA" w:rsidRPr="00893B2A">
              <w:rPr>
                <w:rStyle w:val="Hyperlink"/>
                <w:noProof/>
              </w:rPr>
              <w:t>Evaluation Reporting</w:t>
            </w:r>
            <w:r w:rsidR="00B07EFA">
              <w:rPr>
                <w:noProof/>
                <w:webHidden/>
              </w:rPr>
              <w:tab/>
            </w:r>
            <w:r w:rsidR="00B07EFA">
              <w:rPr>
                <w:noProof/>
                <w:webHidden/>
              </w:rPr>
              <w:fldChar w:fldCharType="begin"/>
            </w:r>
            <w:r w:rsidR="00B07EFA">
              <w:rPr>
                <w:noProof/>
                <w:webHidden/>
              </w:rPr>
              <w:instrText xml:space="preserve"> PAGEREF _Toc469333759 \h </w:instrText>
            </w:r>
            <w:r w:rsidR="00B07EFA">
              <w:rPr>
                <w:noProof/>
                <w:webHidden/>
              </w:rPr>
            </w:r>
            <w:r w:rsidR="00B07EFA">
              <w:rPr>
                <w:noProof/>
                <w:webHidden/>
              </w:rPr>
              <w:fldChar w:fldCharType="separate"/>
            </w:r>
            <w:r w:rsidR="00FA59F1">
              <w:rPr>
                <w:noProof/>
                <w:webHidden/>
              </w:rPr>
              <w:t>9</w:t>
            </w:r>
            <w:r w:rsidR="00B07EFA">
              <w:rPr>
                <w:noProof/>
                <w:webHidden/>
              </w:rPr>
              <w:fldChar w:fldCharType="end"/>
            </w:r>
          </w:hyperlink>
        </w:p>
        <w:p w14:paraId="4C9D56A7" w14:textId="77777777" w:rsidR="00B07EFA" w:rsidRDefault="00EC2CEE">
          <w:pPr>
            <w:pStyle w:val="TOC1"/>
            <w:rPr>
              <w:noProof/>
              <w:lang w:eastAsia="en-AU"/>
            </w:rPr>
          </w:pPr>
          <w:hyperlink w:anchor="_Toc469333760" w:history="1">
            <w:r w:rsidR="00B07EFA" w:rsidRPr="00893B2A">
              <w:rPr>
                <w:rStyle w:val="Hyperlink"/>
                <w:noProof/>
              </w:rPr>
              <w:t>3</w:t>
            </w:r>
            <w:r w:rsidR="00B07EFA">
              <w:rPr>
                <w:noProof/>
                <w:lang w:eastAsia="en-AU"/>
              </w:rPr>
              <w:tab/>
            </w:r>
            <w:r w:rsidR="00B07EFA" w:rsidRPr="00893B2A">
              <w:rPr>
                <w:rStyle w:val="Hyperlink"/>
                <w:noProof/>
              </w:rPr>
              <w:t>Evaluation Method</w:t>
            </w:r>
            <w:r w:rsidR="00B07EFA">
              <w:rPr>
                <w:noProof/>
                <w:webHidden/>
              </w:rPr>
              <w:tab/>
            </w:r>
            <w:r w:rsidR="00B07EFA">
              <w:rPr>
                <w:noProof/>
                <w:webHidden/>
              </w:rPr>
              <w:fldChar w:fldCharType="begin"/>
            </w:r>
            <w:r w:rsidR="00B07EFA">
              <w:rPr>
                <w:noProof/>
                <w:webHidden/>
              </w:rPr>
              <w:instrText xml:space="preserve"> PAGEREF _Toc469333760 \h </w:instrText>
            </w:r>
            <w:r w:rsidR="00B07EFA">
              <w:rPr>
                <w:noProof/>
                <w:webHidden/>
              </w:rPr>
            </w:r>
            <w:r w:rsidR="00B07EFA">
              <w:rPr>
                <w:noProof/>
                <w:webHidden/>
              </w:rPr>
              <w:fldChar w:fldCharType="separate"/>
            </w:r>
            <w:r w:rsidR="00FA59F1">
              <w:rPr>
                <w:noProof/>
                <w:webHidden/>
              </w:rPr>
              <w:t>11</w:t>
            </w:r>
            <w:r w:rsidR="00B07EFA">
              <w:rPr>
                <w:noProof/>
                <w:webHidden/>
              </w:rPr>
              <w:fldChar w:fldCharType="end"/>
            </w:r>
          </w:hyperlink>
        </w:p>
        <w:p w14:paraId="4B121E48" w14:textId="77777777" w:rsidR="00B07EFA" w:rsidRDefault="00EC2CEE">
          <w:pPr>
            <w:pStyle w:val="TOC2"/>
            <w:tabs>
              <w:tab w:val="left" w:pos="880"/>
              <w:tab w:val="right" w:leader="dot" w:pos="9016"/>
            </w:tabs>
            <w:rPr>
              <w:noProof/>
              <w:lang w:eastAsia="en-AU"/>
            </w:rPr>
          </w:pPr>
          <w:hyperlink w:anchor="_Toc469333761" w:history="1">
            <w:r w:rsidR="00B07EFA" w:rsidRPr="00893B2A">
              <w:rPr>
                <w:rStyle w:val="Hyperlink"/>
                <w:noProof/>
              </w:rPr>
              <w:t>3.1</w:t>
            </w:r>
            <w:r w:rsidR="00B07EFA">
              <w:rPr>
                <w:noProof/>
                <w:lang w:eastAsia="en-AU"/>
              </w:rPr>
              <w:tab/>
            </w:r>
            <w:r w:rsidR="00B07EFA" w:rsidRPr="00893B2A">
              <w:rPr>
                <w:rStyle w:val="Hyperlink"/>
                <w:noProof/>
              </w:rPr>
              <w:t>Analytical Approach</w:t>
            </w:r>
            <w:r w:rsidR="00B07EFA">
              <w:rPr>
                <w:noProof/>
                <w:webHidden/>
              </w:rPr>
              <w:tab/>
            </w:r>
            <w:r w:rsidR="00B07EFA">
              <w:rPr>
                <w:noProof/>
                <w:webHidden/>
              </w:rPr>
              <w:fldChar w:fldCharType="begin"/>
            </w:r>
            <w:r w:rsidR="00B07EFA">
              <w:rPr>
                <w:noProof/>
                <w:webHidden/>
              </w:rPr>
              <w:instrText xml:space="preserve"> PAGEREF _Toc469333761 \h </w:instrText>
            </w:r>
            <w:r w:rsidR="00B07EFA">
              <w:rPr>
                <w:noProof/>
                <w:webHidden/>
              </w:rPr>
            </w:r>
            <w:r w:rsidR="00B07EFA">
              <w:rPr>
                <w:noProof/>
                <w:webHidden/>
              </w:rPr>
              <w:fldChar w:fldCharType="separate"/>
            </w:r>
            <w:r w:rsidR="00FA59F1">
              <w:rPr>
                <w:noProof/>
                <w:webHidden/>
              </w:rPr>
              <w:t>11</w:t>
            </w:r>
            <w:r w:rsidR="00B07EFA">
              <w:rPr>
                <w:noProof/>
                <w:webHidden/>
              </w:rPr>
              <w:fldChar w:fldCharType="end"/>
            </w:r>
          </w:hyperlink>
        </w:p>
        <w:p w14:paraId="1120934A" w14:textId="77777777" w:rsidR="00B07EFA" w:rsidRDefault="00EC2CEE">
          <w:pPr>
            <w:pStyle w:val="TOC2"/>
            <w:tabs>
              <w:tab w:val="left" w:pos="880"/>
              <w:tab w:val="right" w:leader="dot" w:pos="9016"/>
            </w:tabs>
            <w:rPr>
              <w:noProof/>
              <w:lang w:eastAsia="en-AU"/>
            </w:rPr>
          </w:pPr>
          <w:hyperlink w:anchor="_Toc469333762" w:history="1">
            <w:r w:rsidR="00B07EFA" w:rsidRPr="00893B2A">
              <w:rPr>
                <w:rStyle w:val="Hyperlink"/>
                <w:noProof/>
              </w:rPr>
              <w:t>3.2</w:t>
            </w:r>
            <w:r w:rsidR="00B07EFA">
              <w:rPr>
                <w:noProof/>
                <w:lang w:eastAsia="en-AU"/>
              </w:rPr>
              <w:tab/>
            </w:r>
            <w:r w:rsidR="00B07EFA" w:rsidRPr="00893B2A">
              <w:rPr>
                <w:rStyle w:val="Hyperlink"/>
                <w:noProof/>
              </w:rPr>
              <w:t>Data Sources</w:t>
            </w:r>
            <w:r w:rsidR="00B07EFA">
              <w:rPr>
                <w:noProof/>
                <w:webHidden/>
              </w:rPr>
              <w:tab/>
            </w:r>
            <w:r w:rsidR="00B07EFA">
              <w:rPr>
                <w:noProof/>
                <w:webHidden/>
              </w:rPr>
              <w:fldChar w:fldCharType="begin"/>
            </w:r>
            <w:r w:rsidR="00B07EFA">
              <w:rPr>
                <w:noProof/>
                <w:webHidden/>
              </w:rPr>
              <w:instrText xml:space="preserve"> PAGEREF _Toc469333762 \h </w:instrText>
            </w:r>
            <w:r w:rsidR="00B07EFA">
              <w:rPr>
                <w:noProof/>
                <w:webHidden/>
              </w:rPr>
            </w:r>
            <w:r w:rsidR="00B07EFA">
              <w:rPr>
                <w:noProof/>
                <w:webHidden/>
              </w:rPr>
              <w:fldChar w:fldCharType="separate"/>
            </w:r>
            <w:r w:rsidR="00FA59F1">
              <w:rPr>
                <w:noProof/>
                <w:webHidden/>
              </w:rPr>
              <w:t>13</w:t>
            </w:r>
            <w:r w:rsidR="00B07EFA">
              <w:rPr>
                <w:noProof/>
                <w:webHidden/>
              </w:rPr>
              <w:fldChar w:fldCharType="end"/>
            </w:r>
          </w:hyperlink>
        </w:p>
        <w:p w14:paraId="29BF3D46" w14:textId="77777777" w:rsidR="00B07EFA" w:rsidRDefault="00EC2CEE">
          <w:pPr>
            <w:pStyle w:val="TOC1"/>
            <w:rPr>
              <w:noProof/>
              <w:lang w:eastAsia="en-AU"/>
            </w:rPr>
          </w:pPr>
          <w:hyperlink w:anchor="_Toc469333763" w:history="1">
            <w:r w:rsidR="00B07EFA" w:rsidRPr="00893B2A">
              <w:rPr>
                <w:rStyle w:val="Hyperlink"/>
                <w:noProof/>
              </w:rPr>
              <w:t>4</w:t>
            </w:r>
            <w:r w:rsidR="00B07EFA">
              <w:rPr>
                <w:noProof/>
                <w:lang w:eastAsia="en-AU"/>
              </w:rPr>
              <w:tab/>
            </w:r>
            <w:r w:rsidR="00B07EFA" w:rsidRPr="00893B2A">
              <w:rPr>
                <w:rStyle w:val="Hyperlink"/>
                <w:noProof/>
              </w:rPr>
              <w:t>Evaluation Management</w:t>
            </w:r>
            <w:r w:rsidR="00B07EFA">
              <w:rPr>
                <w:noProof/>
                <w:webHidden/>
              </w:rPr>
              <w:tab/>
            </w:r>
            <w:r w:rsidR="00B07EFA">
              <w:rPr>
                <w:noProof/>
                <w:webHidden/>
              </w:rPr>
              <w:fldChar w:fldCharType="begin"/>
            </w:r>
            <w:r w:rsidR="00B07EFA">
              <w:rPr>
                <w:noProof/>
                <w:webHidden/>
              </w:rPr>
              <w:instrText xml:space="preserve"> PAGEREF _Toc469333763 \h </w:instrText>
            </w:r>
            <w:r w:rsidR="00B07EFA">
              <w:rPr>
                <w:noProof/>
                <w:webHidden/>
              </w:rPr>
            </w:r>
            <w:r w:rsidR="00B07EFA">
              <w:rPr>
                <w:noProof/>
                <w:webHidden/>
              </w:rPr>
              <w:fldChar w:fldCharType="separate"/>
            </w:r>
            <w:r w:rsidR="00FA59F1">
              <w:rPr>
                <w:noProof/>
                <w:webHidden/>
              </w:rPr>
              <w:t>15</w:t>
            </w:r>
            <w:r w:rsidR="00B07EFA">
              <w:rPr>
                <w:noProof/>
                <w:webHidden/>
              </w:rPr>
              <w:fldChar w:fldCharType="end"/>
            </w:r>
          </w:hyperlink>
        </w:p>
        <w:p w14:paraId="289E7388" w14:textId="77777777" w:rsidR="00B07EFA" w:rsidRDefault="00EC2CEE">
          <w:pPr>
            <w:pStyle w:val="TOC2"/>
            <w:tabs>
              <w:tab w:val="left" w:pos="880"/>
              <w:tab w:val="right" w:leader="dot" w:pos="9016"/>
            </w:tabs>
            <w:rPr>
              <w:noProof/>
              <w:lang w:eastAsia="en-AU"/>
            </w:rPr>
          </w:pPr>
          <w:hyperlink w:anchor="_Toc469333764" w:history="1">
            <w:r w:rsidR="00B07EFA" w:rsidRPr="00893B2A">
              <w:rPr>
                <w:rStyle w:val="Hyperlink"/>
                <w:noProof/>
              </w:rPr>
              <w:t>4.1</w:t>
            </w:r>
            <w:r w:rsidR="00B07EFA">
              <w:rPr>
                <w:noProof/>
                <w:lang w:eastAsia="en-AU"/>
              </w:rPr>
              <w:tab/>
            </w:r>
            <w:r w:rsidR="00B07EFA" w:rsidRPr="00893B2A">
              <w:rPr>
                <w:rStyle w:val="Hyperlink"/>
                <w:noProof/>
              </w:rPr>
              <w:t>Governance</w:t>
            </w:r>
            <w:r w:rsidR="00B07EFA">
              <w:rPr>
                <w:noProof/>
                <w:webHidden/>
              </w:rPr>
              <w:tab/>
            </w:r>
            <w:r w:rsidR="00B07EFA">
              <w:rPr>
                <w:noProof/>
                <w:webHidden/>
              </w:rPr>
              <w:fldChar w:fldCharType="begin"/>
            </w:r>
            <w:r w:rsidR="00B07EFA">
              <w:rPr>
                <w:noProof/>
                <w:webHidden/>
              </w:rPr>
              <w:instrText xml:space="preserve"> PAGEREF _Toc469333764 \h </w:instrText>
            </w:r>
            <w:r w:rsidR="00B07EFA">
              <w:rPr>
                <w:noProof/>
                <w:webHidden/>
              </w:rPr>
            </w:r>
            <w:r w:rsidR="00B07EFA">
              <w:rPr>
                <w:noProof/>
                <w:webHidden/>
              </w:rPr>
              <w:fldChar w:fldCharType="separate"/>
            </w:r>
            <w:r w:rsidR="00FA59F1">
              <w:rPr>
                <w:noProof/>
                <w:webHidden/>
              </w:rPr>
              <w:t>15</w:t>
            </w:r>
            <w:r w:rsidR="00B07EFA">
              <w:rPr>
                <w:noProof/>
                <w:webHidden/>
              </w:rPr>
              <w:fldChar w:fldCharType="end"/>
            </w:r>
          </w:hyperlink>
        </w:p>
        <w:p w14:paraId="61C2FEB9" w14:textId="77777777" w:rsidR="00B07EFA" w:rsidRDefault="00EC2CEE">
          <w:pPr>
            <w:pStyle w:val="TOC2"/>
            <w:tabs>
              <w:tab w:val="left" w:pos="880"/>
              <w:tab w:val="right" w:leader="dot" w:pos="9016"/>
            </w:tabs>
            <w:rPr>
              <w:noProof/>
              <w:lang w:eastAsia="en-AU"/>
            </w:rPr>
          </w:pPr>
          <w:hyperlink w:anchor="_Toc469333765" w:history="1">
            <w:r w:rsidR="00B07EFA" w:rsidRPr="00893B2A">
              <w:rPr>
                <w:rStyle w:val="Hyperlink"/>
                <w:noProof/>
              </w:rPr>
              <w:t>4.2</w:t>
            </w:r>
            <w:r w:rsidR="00B07EFA">
              <w:rPr>
                <w:noProof/>
                <w:lang w:eastAsia="en-AU"/>
              </w:rPr>
              <w:tab/>
            </w:r>
            <w:r w:rsidR="00B07EFA" w:rsidRPr="00893B2A">
              <w:rPr>
                <w:rStyle w:val="Hyperlink"/>
                <w:noProof/>
              </w:rPr>
              <w:t>Stakeholders</w:t>
            </w:r>
            <w:r w:rsidR="00B07EFA">
              <w:rPr>
                <w:noProof/>
                <w:webHidden/>
              </w:rPr>
              <w:tab/>
            </w:r>
            <w:r w:rsidR="00B07EFA">
              <w:rPr>
                <w:noProof/>
                <w:webHidden/>
              </w:rPr>
              <w:fldChar w:fldCharType="begin"/>
            </w:r>
            <w:r w:rsidR="00B07EFA">
              <w:rPr>
                <w:noProof/>
                <w:webHidden/>
              </w:rPr>
              <w:instrText xml:space="preserve"> PAGEREF _Toc469333765 \h </w:instrText>
            </w:r>
            <w:r w:rsidR="00B07EFA">
              <w:rPr>
                <w:noProof/>
                <w:webHidden/>
              </w:rPr>
            </w:r>
            <w:r w:rsidR="00B07EFA">
              <w:rPr>
                <w:noProof/>
                <w:webHidden/>
              </w:rPr>
              <w:fldChar w:fldCharType="separate"/>
            </w:r>
            <w:r w:rsidR="00FA59F1">
              <w:rPr>
                <w:noProof/>
                <w:webHidden/>
              </w:rPr>
              <w:t>15</w:t>
            </w:r>
            <w:r w:rsidR="00B07EFA">
              <w:rPr>
                <w:noProof/>
                <w:webHidden/>
              </w:rPr>
              <w:fldChar w:fldCharType="end"/>
            </w:r>
          </w:hyperlink>
        </w:p>
        <w:p w14:paraId="10B2E2A4" w14:textId="77777777" w:rsidR="00B07EFA" w:rsidRDefault="00EC2CEE">
          <w:pPr>
            <w:pStyle w:val="TOC2"/>
            <w:tabs>
              <w:tab w:val="left" w:pos="880"/>
              <w:tab w:val="right" w:leader="dot" w:pos="9016"/>
            </w:tabs>
            <w:rPr>
              <w:noProof/>
              <w:lang w:eastAsia="en-AU"/>
            </w:rPr>
          </w:pPr>
          <w:hyperlink w:anchor="_Toc469333766" w:history="1">
            <w:r w:rsidR="00B07EFA" w:rsidRPr="00893B2A">
              <w:rPr>
                <w:rStyle w:val="Hyperlink"/>
                <w:noProof/>
              </w:rPr>
              <w:t>4.3</w:t>
            </w:r>
            <w:r w:rsidR="00B07EFA">
              <w:rPr>
                <w:noProof/>
                <w:lang w:eastAsia="en-AU"/>
              </w:rPr>
              <w:tab/>
            </w:r>
            <w:r w:rsidR="00B07EFA" w:rsidRPr="00893B2A">
              <w:rPr>
                <w:rStyle w:val="Hyperlink"/>
                <w:noProof/>
              </w:rPr>
              <w:t>Risks</w:t>
            </w:r>
            <w:r w:rsidR="00B07EFA">
              <w:rPr>
                <w:noProof/>
                <w:webHidden/>
              </w:rPr>
              <w:tab/>
            </w:r>
            <w:r w:rsidR="00B07EFA">
              <w:rPr>
                <w:noProof/>
                <w:webHidden/>
              </w:rPr>
              <w:fldChar w:fldCharType="begin"/>
            </w:r>
            <w:r w:rsidR="00B07EFA">
              <w:rPr>
                <w:noProof/>
                <w:webHidden/>
              </w:rPr>
              <w:instrText xml:space="preserve"> PAGEREF _Toc469333766 \h </w:instrText>
            </w:r>
            <w:r w:rsidR="00B07EFA">
              <w:rPr>
                <w:noProof/>
                <w:webHidden/>
              </w:rPr>
            </w:r>
            <w:r w:rsidR="00B07EFA">
              <w:rPr>
                <w:noProof/>
                <w:webHidden/>
              </w:rPr>
              <w:fldChar w:fldCharType="separate"/>
            </w:r>
            <w:r w:rsidR="00FA59F1">
              <w:rPr>
                <w:noProof/>
                <w:webHidden/>
              </w:rPr>
              <w:t>15</w:t>
            </w:r>
            <w:r w:rsidR="00B07EFA">
              <w:rPr>
                <w:noProof/>
                <w:webHidden/>
              </w:rPr>
              <w:fldChar w:fldCharType="end"/>
            </w:r>
          </w:hyperlink>
        </w:p>
        <w:p w14:paraId="39AD627A" w14:textId="77777777" w:rsidR="00EF4A38" w:rsidRDefault="00404F5B">
          <w:r>
            <w:fldChar w:fldCharType="end"/>
          </w:r>
        </w:p>
      </w:sdtContent>
    </w:sdt>
    <w:p w14:paraId="4BA7C54D" w14:textId="77777777" w:rsidR="00EF4A38" w:rsidRDefault="00EF4A38" w:rsidP="00EF4A38">
      <w:pPr>
        <w:pStyle w:val="numberedpara"/>
        <w:numPr>
          <w:ilvl w:val="0"/>
          <w:numId w:val="0"/>
        </w:numPr>
        <w:tabs>
          <w:tab w:val="left" w:pos="720"/>
        </w:tabs>
        <w:spacing w:before="120" w:after="120"/>
        <w:rPr>
          <w:sz w:val="20"/>
          <w:szCs w:val="20"/>
        </w:rPr>
        <w:sectPr w:rsidR="00EF4A38" w:rsidSect="005E1673">
          <w:type w:val="continuous"/>
          <w:pgSz w:w="11906" w:h="16838"/>
          <w:pgMar w:top="3544" w:right="1440" w:bottom="1440" w:left="1440" w:header="708" w:footer="708" w:gutter="0"/>
          <w:cols w:space="708"/>
          <w:docGrid w:linePitch="360"/>
        </w:sectPr>
      </w:pPr>
    </w:p>
    <w:p w14:paraId="7E48F2C9" w14:textId="77777777" w:rsidR="00130923" w:rsidRDefault="00130923">
      <w:pPr>
        <w:rPr>
          <w:rFonts w:ascii="Calibri" w:eastAsiaTheme="majorEastAsia" w:hAnsi="Calibri" w:cstheme="majorBidi"/>
          <w:b/>
          <w:spacing w:val="5"/>
          <w:sz w:val="56"/>
          <w:szCs w:val="52"/>
        </w:rPr>
      </w:pPr>
      <w:r>
        <w:br w:type="page"/>
      </w:r>
    </w:p>
    <w:p w14:paraId="4F9704BA" w14:textId="77777777" w:rsidR="00C10C19" w:rsidRDefault="007134DE" w:rsidP="00BE5008">
      <w:pPr>
        <w:pStyle w:val="Heading1"/>
      </w:pPr>
      <w:bookmarkStart w:id="0" w:name="_Toc469333748"/>
      <w:r>
        <w:t>Introduction</w:t>
      </w:r>
      <w:bookmarkEnd w:id="0"/>
    </w:p>
    <w:p w14:paraId="6F9D2936" w14:textId="77777777" w:rsidR="007134DE" w:rsidRDefault="007134DE" w:rsidP="007134DE">
      <w:r w:rsidRPr="00D365DD">
        <w:t xml:space="preserve">The Department of Employment (the </w:t>
      </w:r>
      <w:r>
        <w:t>D</w:t>
      </w:r>
      <w:r w:rsidRPr="00D365DD">
        <w:t>epartment) is required to monitor and evaluate</w:t>
      </w:r>
      <w:r>
        <w:t xml:space="preserve"> Australian Government employment services programs under the terms of the </w:t>
      </w:r>
      <w:r w:rsidRPr="007134DE">
        <w:rPr>
          <w:i/>
        </w:rPr>
        <w:t xml:space="preserve">Public Governance, Performance and Accountability Act 2013 </w:t>
      </w:r>
      <w:r w:rsidRPr="00CC3DCF">
        <w:t>(</w:t>
      </w:r>
      <w:r w:rsidRPr="007134DE">
        <w:rPr>
          <w:i/>
        </w:rPr>
        <w:t>PGPA Act</w:t>
      </w:r>
      <w:r w:rsidRPr="00CC3DCF">
        <w:t>)</w:t>
      </w:r>
      <w:r w:rsidRPr="007134DE">
        <w:rPr>
          <w:i/>
        </w:rPr>
        <w:t xml:space="preserve"> </w:t>
      </w:r>
      <w:r>
        <w:t>and specific directives from Cabinet.</w:t>
      </w:r>
    </w:p>
    <w:p w14:paraId="7B42EE0E" w14:textId="77777777" w:rsidR="007134DE" w:rsidRDefault="007134DE" w:rsidP="007134DE">
      <w:r>
        <w:t>This document outlines a strategy for evaluating the Transition to Work (TtW) service. It begins with a brief description of the service and then outlines evaluation questions and reporting timelines for the evaluation. The document subsequently discusses the analytical approach for the evaluation and finally explains how the overall evaluation will be managed.</w:t>
      </w:r>
    </w:p>
    <w:p w14:paraId="51B38F96" w14:textId="77777777" w:rsidR="00C10C19" w:rsidRDefault="00B07EFA" w:rsidP="007134DE">
      <w:pPr>
        <w:pStyle w:val="Heading2"/>
        <w:numPr>
          <w:ilvl w:val="1"/>
          <w:numId w:val="26"/>
        </w:numPr>
        <w:ind w:hanging="792"/>
      </w:pPr>
      <w:bookmarkStart w:id="1" w:name="_Toc469333749"/>
      <w:r>
        <w:t>Transition to Work S</w:t>
      </w:r>
      <w:r w:rsidR="007134DE">
        <w:t>ervice</w:t>
      </w:r>
      <w:bookmarkEnd w:id="1"/>
    </w:p>
    <w:p w14:paraId="70985B1C" w14:textId="77777777" w:rsidR="007134DE" w:rsidRDefault="007134DE" w:rsidP="007134DE">
      <w:r w:rsidRPr="00002AEC">
        <w:t>As part of the 201</w:t>
      </w:r>
      <w:r>
        <w:t>5–</w:t>
      </w:r>
      <w:r w:rsidRPr="00002AEC">
        <w:t>1</w:t>
      </w:r>
      <w:r>
        <w:t>6</w:t>
      </w:r>
      <w:r w:rsidRPr="00002AEC">
        <w:t xml:space="preserve"> Budget, the </w:t>
      </w:r>
      <w:r>
        <w:t xml:space="preserve">Australian </w:t>
      </w:r>
      <w:r w:rsidRPr="00002AEC">
        <w:t xml:space="preserve">Government </w:t>
      </w:r>
      <w:r>
        <w:t xml:space="preserve">(the Government) </w:t>
      </w:r>
      <w:r w:rsidRPr="00002AEC">
        <w:t>announced the</w:t>
      </w:r>
      <w:r>
        <w:t xml:space="preserve"> $322 million </w:t>
      </w:r>
      <w:r w:rsidRPr="007134DE">
        <w:rPr>
          <w:bCs/>
        </w:rPr>
        <w:t>TtW service, which targets young people at risk of long-term unemployment</w:t>
      </w:r>
      <w:r w:rsidRPr="00002AEC">
        <w:t xml:space="preserve">. </w:t>
      </w:r>
      <w:r w:rsidRPr="008E72B8">
        <w:t xml:space="preserve">The </w:t>
      </w:r>
      <w:r>
        <w:t>objective of TtW</w:t>
      </w:r>
      <w:r w:rsidRPr="008E72B8" w:rsidDel="00431638">
        <w:t xml:space="preserve"> </w:t>
      </w:r>
      <w:r>
        <w:t xml:space="preserve">is to </w:t>
      </w:r>
      <w:r w:rsidRPr="008E72B8">
        <w:t xml:space="preserve">provide intensive, pre-employment support to improve the work readiness of young people and to help them into work (including </w:t>
      </w:r>
      <w:r>
        <w:t>a</w:t>
      </w:r>
      <w:r w:rsidRPr="008E72B8">
        <w:t xml:space="preserve">pprenticeships or </w:t>
      </w:r>
      <w:r>
        <w:t>t</w:t>
      </w:r>
      <w:r w:rsidRPr="008E72B8">
        <w:t>raineeships) or education.</w:t>
      </w:r>
    </w:p>
    <w:p w14:paraId="1FEC3769" w14:textId="77777777" w:rsidR="007134DE" w:rsidRDefault="007134DE" w:rsidP="007134DE">
      <w:r>
        <w:t>TtW</w:t>
      </w:r>
      <w:r w:rsidDel="00431638">
        <w:t xml:space="preserve"> </w:t>
      </w:r>
      <w:r>
        <w:t xml:space="preserve">aims to provide more intensive support than is currently available through existing employment services to </w:t>
      </w:r>
      <w:r w:rsidRPr="007134DE">
        <w:rPr>
          <w:rFonts w:ascii="Calibri" w:hAnsi="Calibri" w:cs="Calibri"/>
          <w:color w:val="000000"/>
        </w:rPr>
        <w:t>assist young people aged 15-21 years who are not in employment or education</w:t>
      </w:r>
      <w:r>
        <w:t xml:space="preserve"> to develop the attitudes and behaviours sought by employers. The service </w:t>
      </w:r>
      <w:r>
        <w:rPr>
          <w:lang w:eastAsia="en-AU"/>
        </w:rPr>
        <w:t>operates separately from the Government’s mainstream employment service, jobactive, and targeted employment services such as the Disability Employment Service and the Community Development Programme.</w:t>
      </w:r>
    </w:p>
    <w:p w14:paraId="441682E6" w14:textId="77777777" w:rsidR="007134DE" w:rsidRDefault="007134DE" w:rsidP="007134DE">
      <w:r w:rsidRPr="007134DE">
        <w:rPr>
          <w:bCs/>
        </w:rPr>
        <w:t xml:space="preserve">TtW </w:t>
      </w:r>
      <w:r>
        <w:t>participant</w:t>
      </w:r>
      <w:r w:rsidRPr="00EC667C">
        <w:t xml:space="preserve">s receiving income support with Mutual Obligation </w:t>
      </w:r>
      <w:r>
        <w:t xml:space="preserve">Requirements </w:t>
      </w:r>
      <w:r w:rsidRPr="00EC667C">
        <w:t>fully meet the</w:t>
      </w:r>
      <w:r>
        <w:t xml:space="preserve">se requirements </w:t>
      </w:r>
      <w:r w:rsidRPr="00EC667C">
        <w:t xml:space="preserve">by participating in </w:t>
      </w:r>
      <w:r>
        <w:t>the service</w:t>
      </w:r>
      <w:r w:rsidRPr="00EC667C">
        <w:t xml:space="preserve">. </w:t>
      </w:r>
      <w:r>
        <w:t>Participa</w:t>
      </w:r>
      <w:r w:rsidR="00F80F0E">
        <w:t>tion</w:t>
      </w:r>
      <w:r w:rsidRPr="00EC667C">
        <w:t xml:space="preserve"> in </w:t>
      </w:r>
      <w:r>
        <w:t>TtW</w:t>
      </w:r>
      <w:r w:rsidRPr="00EC667C">
        <w:t xml:space="preserve"> services</w:t>
      </w:r>
      <w:r w:rsidR="00F80F0E">
        <w:t xml:space="preserve"> is expected to be</w:t>
      </w:r>
      <w:r w:rsidRPr="00EC667C">
        <w:t xml:space="preserve"> for 25 hours per week and up to a maximum of 12 months</w:t>
      </w:r>
      <w:r w:rsidRPr="0009175E">
        <w:t xml:space="preserve">. </w:t>
      </w:r>
    </w:p>
    <w:p w14:paraId="2EA87D89" w14:textId="77777777" w:rsidR="007134DE" w:rsidRDefault="007134DE" w:rsidP="007134DE">
      <w:r>
        <w:t>Providers are able to determine the appropriate mix of individual, group and self-directed activities for a participant to meet their 25 hours per week participation requirement. This may include paid employment, activities hosted by the p</w:t>
      </w:r>
      <w:r w:rsidRPr="0039057E">
        <w:t xml:space="preserve">rovider, attendance at </w:t>
      </w:r>
      <w:r>
        <w:t>education and training courses, and attending a</w:t>
      </w:r>
      <w:r w:rsidRPr="0039057E">
        <w:t>ctivities or appointments to address non-vocational barriers.</w:t>
      </w:r>
    </w:p>
    <w:p w14:paraId="10E4AB4B" w14:textId="77777777" w:rsidR="007134DE" w:rsidRDefault="00B07EFA" w:rsidP="007134DE">
      <w:pPr>
        <w:pStyle w:val="Heading2"/>
        <w:numPr>
          <w:ilvl w:val="1"/>
          <w:numId w:val="26"/>
        </w:numPr>
        <w:ind w:hanging="792"/>
      </w:pPr>
      <w:bookmarkStart w:id="2" w:name="_Toc469333750"/>
      <w:r>
        <w:t>Transition to Work Target G</w:t>
      </w:r>
      <w:r w:rsidR="007134DE">
        <w:t>roups</w:t>
      </w:r>
      <w:bookmarkEnd w:id="2"/>
    </w:p>
    <w:p w14:paraId="2F8C0A67" w14:textId="77777777" w:rsidR="007134DE" w:rsidRPr="007134DE" w:rsidRDefault="007134DE" w:rsidP="007134DE">
      <w:r>
        <w:t>TtW</w:t>
      </w:r>
      <w:r w:rsidRPr="00904B5B">
        <w:t xml:space="preserve"> </w:t>
      </w:r>
      <w:r>
        <w:t>targets</w:t>
      </w:r>
      <w:r w:rsidRPr="00904B5B">
        <w:t xml:space="preserve"> three groups of young </w:t>
      </w:r>
      <w:r>
        <w:t>job seekers</w:t>
      </w:r>
      <w:r w:rsidRPr="00904B5B">
        <w:t xml:space="preserve"> aged 15-21 years who are considered most at risk of disengagement or disadvantage in moving into work</w:t>
      </w:r>
      <w:r>
        <w:t>.</w:t>
      </w:r>
      <w:r w:rsidRPr="00904B5B">
        <w:t xml:space="preserve"> </w:t>
      </w:r>
      <w:r w:rsidRPr="007134DE">
        <w:t>Young people may be referred to TtW services through different pathways, reflecting the different circumstances of young people in each of the three target groups (see Box 1).</w:t>
      </w:r>
    </w:p>
    <w:p w14:paraId="2A77E710" w14:textId="77777777" w:rsidR="007134DE" w:rsidRDefault="007134DE">
      <w:pPr>
        <w:rPr>
          <w:rFonts w:ascii="Calibri" w:eastAsiaTheme="majorEastAsia" w:hAnsi="Calibri" w:cstheme="majorBidi"/>
          <w:b/>
          <w:bCs/>
        </w:rPr>
      </w:pPr>
      <w:r>
        <w:br w:type="page"/>
      </w:r>
    </w:p>
    <w:p w14:paraId="54E81BE4" w14:textId="77777777" w:rsidR="00596374" w:rsidRDefault="00596374" w:rsidP="00596374">
      <w:pPr>
        <w:pBdr>
          <w:top w:val="single" w:sz="4" w:space="1" w:color="auto"/>
          <w:left w:val="single" w:sz="4" w:space="1" w:color="auto"/>
          <w:bottom w:val="single" w:sz="4" w:space="1" w:color="auto"/>
          <w:right w:val="single" w:sz="4" w:space="1" w:color="auto"/>
        </w:pBdr>
        <w:spacing w:after="0" w:line="240" w:lineRule="auto"/>
        <w:ind w:left="360"/>
        <w:rPr>
          <w:b/>
        </w:rPr>
      </w:pPr>
      <w:r w:rsidRPr="00BD3668">
        <w:rPr>
          <w:b/>
        </w:rPr>
        <w:t xml:space="preserve">Box 1: Transition to Work </w:t>
      </w:r>
      <w:r>
        <w:rPr>
          <w:b/>
        </w:rPr>
        <w:t>t</w:t>
      </w:r>
      <w:r w:rsidRPr="00BD3668">
        <w:rPr>
          <w:b/>
        </w:rPr>
        <w:t xml:space="preserve">arget </w:t>
      </w:r>
      <w:r>
        <w:rPr>
          <w:b/>
        </w:rPr>
        <w:t>g</w:t>
      </w:r>
      <w:r w:rsidRPr="00BD3668">
        <w:rPr>
          <w:b/>
        </w:rPr>
        <w:t xml:space="preserve">roups: </w:t>
      </w:r>
      <w:r>
        <w:rPr>
          <w:b/>
        </w:rPr>
        <w:t>eligibility,</w:t>
      </w:r>
      <w:r w:rsidRPr="00BD3668">
        <w:rPr>
          <w:b/>
        </w:rPr>
        <w:t xml:space="preserve"> </w:t>
      </w:r>
      <w:r>
        <w:rPr>
          <w:b/>
        </w:rPr>
        <w:t>r</w:t>
      </w:r>
      <w:r w:rsidRPr="00BD3668">
        <w:rPr>
          <w:b/>
        </w:rPr>
        <w:t xml:space="preserve">eferral </w:t>
      </w:r>
      <w:r>
        <w:rPr>
          <w:b/>
        </w:rPr>
        <w:t>p</w:t>
      </w:r>
      <w:r w:rsidRPr="00BD3668">
        <w:rPr>
          <w:b/>
        </w:rPr>
        <w:t>rocess</w:t>
      </w:r>
      <w:r>
        <w:rPr>
          <w:b/>
        </w:rPr>
        <w:t xml:space="preserve"> and caseload profile</w:t>
      </w:r>
    </w:p>
    <w:p w14:paraId="6782D3D1" w14:textId="77777777" w:rsidR="00596374" w:rsidRPr="00BD3668" w:rsidRDefault="00596374" w:rsidP="00596374">
      <w:pPr>
        <w:pBdr>
          <w:top w:val="single" w:sz="4" w:space="1" w:color="auto"/>
          <w:left w:val="single" w:sz="4" w:space="1" w:color="auto"/>
          <w:bottom w:val="single" w:sz="4" w:space="1" w:color="auto"/>
          <w:right w:val="single" w:sz="4" w:space="1" w:color="auto"/>
        </w:pBdr>
        <w:spacing w:after="0" w:line="240" w:lineRule="auto"/>
        <w:ind w:left="360"/>
        <w:rPr>
          <w:i/>
          <w:sz w:val="20"/>
        </w:rPr>
      </w:pPr>
      <w:r>
        <w:rPr>
          <w:b/>
        </w:rPr>
        <w:br/>
      </w:r>
      <w:r>
        <w:rPr>
          <w:sz w:val="20"/>
          <w:u w:val="single"/>
        </w:rPr>
        <w:t>Group One – Early School Leavers</w:t>
      </w:r>
      <w:r>
        <w:rPr>
          <w:sz w:val="20"/>
          <w:u w:val="single"/>
        </w:rPr>
        <w:br/>
      </w:r>
      <w:r>
        <w:rPr>
          <w:i/>
          <w:sz w:val="20"/>
        </w:rPr>
        <w:t>Eligibility:</w:t>
      </w:r>
    </w:p>
    <w:p w14:paraId="2104D889" w14:textId="77777777" w:rsidR="00596374" w:rsidRPr="004E236B" w:rsidRDefault="00596374" w:rsidP="00596374">
      <w:pPr>
        <w:numPr>
          <w:ilvl w:val="0"/>
          <w:numId w:val="27"/>
        </w:numPr>
        <w:pBdr>
          <w:top w:val="single" w:sz="4" w:space="1" w:color="auto"/>
          <w:left w:val="single" w:sz="4" w:space="1" w:color="auto"/>
          <w:bottom w:val="single" w:sz="4" w:space="1" w:color="auto"/>
          <w:right w:val="single" w:sz="4" w:space="1" w:color="auto"/>
        </w:pBdr>
        <w:spacing w:after="0" w:line="240" w:lineRule="auto"/>
        <w:rPr>
          <w:sz w:val="20"/>
        </w:rPr>
      </w:pPr>
      <w:r>
        <w:rPr>
          <w:sz w:val="20"/>
        </w:rPr>
        <w:t>h</w:t>
      </w:r>
      <w:r w:rsidRPr="004E236B">
        <w:rPr>
          <w:sz w:val="20"/>
        </w:rPr>
        <w:t>ave not been awarded a Year 12 certificate or a Certificate III</w:t>
      </w:r>
    </w:p>
    <w:p w14:paraId="51F3D0EB" w14:textId="77777777" w:rsidR="00596374" w:rsidRPr="004E236B" w:rsidRDefault="00596374" w:rsidP="00596374">
      <w:pPr>
        <w:numPr>
          <w:ilvl w:val="0"/>
          <w:numId w:val="27"/>
        </w:numPr>
        <w:pBdr>
          <w:top w:val="single" w:sz="4" w:space="1" w:color="auto"/>
          <w:left w:val="single" w:sz="4" w:space="1" w:color="auto"/>
          <w:bottom w:val="single" w:sz="4" w:space="1" w:color="auto"/>
          <w:right w:val="single" w:sz="4" w:space="1" w:color="auto"/>
        </w:pBdr>
        <w:spacing w:after="0" w:line="240" w:lineRule="auto"/>
        <w:rPr>
          <w:sz w:val="20"/>
        </w:rPr>
      </w:pPr>
      <w:r>
        <w:rPr>
          <w:sz w:val="20"/>
        </w:rPr>
        <w:t>a</w:t>
      </w:r>
      <w:r w:rsidRPr="004E236B">
        <w:rPr>
          <w:sz w:val="20"/>
        </w:rPr>
        <w:t>re receiving Youth Allowance (</w:t>
      </w:r>
      <w:r>
        <w:rPr>
          <w:sz w:val="20"/>
        </w:rPr>
        <w:t>O</w:t>
      </w:r>
      <w:r w:rsidRPr="004E236B">
        <w:rPr>
          <w:sz w:val="20"/>
        </w:rPr>
        <w:t>ther)</w:t>
      </w:r>
      <w:r>
        <w:rPr>
          <w:sz w:val="20"/>
        </w:rPr>
        <w:t xml:space="preserve"> (YA(O))</w:t>
      </w:r>
      <w:r w:rsidRPr="004E236B">
        <w:rPr>
          <w:sz w:val="20"/>
        </w:rPr>
        <w:t xml:space="preserve">, or any other activity tested </w:t>
      </w:r>
      <w:r>
        <w:rPr>
          <w:sz w:val="20"/>
        </w:rPr>
        <w:t>i</w:t>
      </w:r>
      <w:r w:rsidRPr="004E236B">
        <w:rPr>
          <w:sz w:val="20"/>
        </w:rPr>
        <w:t xml:space="preserve">ncome </w:t>
      </w:r>
      <w:r>
        <w:rPr>
          <w:sz w:val="20"/>
        </w:rPr>
        <w:t>s</w:t>
      </w:r>
      <w:r w:rsidRPr="004E236B">
        <w:rPr>
          <w:sz w:val="20"/>
        </w:rPr>
        <w:t xml:space="preserve">upport </w:t>
      </w:r>
      <w:r>
        <w:rPr>
          <w:sz w:val="20"/>
        </w:rPr>
        <w:t>p</w:t>
      </w:r>
      <w:r w:rsidRPr="004E236B">
        <w:rPr>
          <w:sz w:val="20"/>
        </w:rPr>
        <w:t>ayments</w:t>
      </w:r>
    </w:p>
    <w:p w14:paraId="11A29659" w14:textId="77777777" w:rsidR="00596374" w:rsidRPr="00CC3DCF" w:rsidRDefault="00596374" w:rsidP="00596374">
      <w:pPr>
        <w:numPr>
          <w:ilvl w:val="0"/>
          <w:numId w:val="27"/>
        </w:numPr>
        <w:pBdr>
          <w:top w:val="single" w:sz="4" w:space="1" w:color="auto"/>
          <w:left w:val="single" w:sz="4" w:space="1" w:color="auto"/>
          <w:bottom w:val="single" w:sz="4" w:space="1" w:color="auto"/>
          <w:right w:val="single" w:sz="4" w:space="1" w:color="auto"/>
        </w:pBdr>
        <w:spacing w:after="0" w:line="240" w:lineRule="auto"/>
        <w:rPr>
          <w:sz w:val="20"/>
        </w:rPr>
      </w:pPr>
      <w:r>
        <w:rPr>
          <w:sz w:val="20"/>
        </w:rPr>
        <w:t>a</w:t>
      </w:r>
      <w:r w:rsidRPr="004E236B">
        <w:rPr>
          <w:sz w:val="20"/>
        </w:rPr>
        <w:t xml:space="preserve">re assessed as eligible for Stream B in jobactive, but </w:t>
      </w:r>
      <w:r>
        <w:rPr>
          <w:sz w:val="20"/>
        </w:rPr>
        <w:t>not</w:t>
      </w:r>
      <w:r w:rsidRPr="004E236B">
        <w:rPr>
          <w:sz w:val="20"/>
        </w:rPr>
        <w:t xml:space="preserve"> a person with a pending Employment Services Assessment (ESAt).</w:t>
      </w:r>
      <w:r>
        <w:rPr>
          <w:sz w:val="20"/>
        </w:rPr>
        <w:br/>
      </w:r>
    </w:p>
    <w:p w14:paraId="256E990B" w14:textId="77777777" w:rsidR="00596374" w:rsidRPr="00BD3668" w:rsidRDefault="00596374" w:rsidP="00596374">
      <w:pPr>
        <w:pBdr>
          <w:top w:val="single" w:sz="4" w:space="1" w:color="auto"/>
          <w:left w:val="single" w:sz="4" w:space="1" w:color="auto"/>
          <w:bottom w:val="single" w:sz="4" w:space="1" w:color="auto"/>
          <w:right w:val="single" w:sz="4" w:space="1" w:color="auto"/>
        </w:pBdr>
        <w:spacing w:after="0" w:line="240" w:lineRule="auto"/>
        <w:ind w:left="360"/>
        <w:rPr>
          <w:sz w:val="20"/>
        </w:rPr>
      </w:pPr>
      <w:r w:rsidRPr="00BD3668">
        <w:rPr>
          <w:i/>
          <w:sz w:val="20"/>
        </w:rPr>
        <w:t>Referral process</w:t>
      </w:r>
    </w:p>
    <w:p w14:paraId="1EF20421" w14:textId="77777777" w:rsidR="00596374" w:rsidRDefault="00596374" w:rsidP="00596374">
      <w:pPr>
        <w:numPr>
          <w:ilvl w:val="0"/>
          <w:numId w:val="27"/>
        </w:numPr>
        <w:pBdr>
          <w:top w:val="single" w:sz="4" w:space="1" w:color="auto"/>
          <w:left w:val="single" w:sz="4" w:space="1" w:color="auto"/>
          <w:bottom w:val="single" w:sz="4" w:space="1" w:color="auto"/>
          <w:right w:val="single" w:sz="4" w:space="1" w:color="auto"/>
        </w:pBdr>
        <w:spacing w:after="0" w:line="240" w:lineRule="auto"/>
        <w:rPr>
          <w:sz w:val="20"/>
        </w:rPr>
      </w:pPr>
      <w:r>
        <w:rPr>
          <w:sz w:val="20"/>
        </w:rPr>
        <w:t>E</w:t>
      </w:r>
      <w:r w:rsidRPr="00BD3668">
        <w:rPr>
          <w:sz w:val="20"/>
        </w:rPr>
        <w:t xml:space="preserve">ligible young people </w:t>
      </w:r>
      <w:r>
        <w:rPr>
          <w:sz w:val="20"/>
        </w:rPr>
        <w:t>are</w:t>
      </w:r>
      <w:r w:rsidRPr="00BD3668">
        <w:rPr>
          <w:sz w:val="20"/>
        </w:rPr>
        <w:t xml:space="preserve"> referred to the </w:t>
      </w:r>
      <w:r>
        <w:rPr>
          <w:sz w:val="20"/>
        </w:rPr>
        <w:t>TtW</w:t>
      </w:r>
      <w:r w:rsidRPr="00BD3668">
        <w:rPr>
          <w:sz w:val="20"/>
        </w:rPr>
        <w:t xml:space="preserve"> service in their </w:t>
      </w:r>
      <w:r>
        <w:rPr>
          <w:sz w:val="20"/>
        </w:rPr>
        <w:t>l</w:t>
      </w:r>
      <w:r w:rsidRPr="00BD3668">
        <w:rPr>
          <w:sz w:val="20"/>
        </w:rPr>
        <w:t xml:space="preserve">ocation by the Department of Human Services (Centrelink) when they first claim income support. They </w:t>
      </w:r>
      <w:r>
        <w:rPr>
          <w:sz w:val="20"/>
        </w:rPr>
        <w:t>are</w:t>
      </w:r>
      <w:r w:rsidRPr="00BD3668">
        <w:rPr>
          <w:sz w:val="20"/>
        </w:rPr>
        <w:t xml:space="preserve"> expected to commence in the se</w:t>
      </w:r>
      <w:r>
        <w:rPr>
          <w:sz w:val="20"/>
        </w:rPr>
        <w:t>rvice within two business days after referral.</w:t>
      </w:r>
    </w:p>
    <w:p w14:paraId="45952441" w14:textId="77777777" w:rsidR="00596374" w:rsidRDefault="00596374" w:rsidP="00596374">
      <w:pPr>
        <w:numPr>
          <w:ilvl w:val="0"/>
          <w:numId w:val="27"/>
        </w:numPr>
        <w:pBdr>
          <w:top w:val="single" w:sz="4" w:space="1" w:color="auto"/>
          <w:left w:val="single" w:sz="4" w:space="1" w:color="auto"/>
          <w:bottom w:val="single" w:sz="4" w:space="1" w:color="auto"/>
          <w:right w:val="single" w:sz="4" w:space="1" w:color="auto"/>
        </w:pBdr>
        <w:spacing w:after="0" w:line="240" w:lineRule="auto"/>
        <w:rPr>
          <w:sz w:val="20"/>
        </w:rPr>
      </w:pPr>
      <w:r>
        <w:rPr>
          <w:sz w:val="20"/>
        </w:rPr>
        <w:t>P</w:t>
      </w:r>
      <w:r w:rsidRPr="00BD3668">
        <w:rPr>
          <w:sz w:val="20"/>
        </w:rPr>
        <w:t>articipants in this group may opt</w:t>
      </w:r>
      <w:r>
        <w:rPr>
          <w:sz w:val="20"/>
        </w:rPr>
        <w:t xml:space="preserve"> </w:t>
      </w:r>
      <w:r w:rsidRPr="00BD3668">
        <w:rPr>
          <w:sz w:val="20"/>
        </w:rPr>
        <w:t xml:space="preserve">out and elect to participate in jobactive services instead. The </w:t>
      </w:r>
      <w:r>
        <w:rPr>
          <w:sz w:val="20"/>
        </w:rPr>
        <w:t>opportunity</w:t>
      </w:r>
      <w:r w:rsidRPr="00BD3668">
        <w:rPr>
          <w:sz w:val="20"/>
        </w:rPr>
        <w:t xml:space="preserve"> to opt</w:t>
      </w:r>
      <w:r>
        <w:rPr>
          <w:sz w:val="20"/>
        </w:rPr>
        <w:t xml:space="preserve"> </w:t>
      </w:r>
      <w:r w:rsidRPr="00BD3668">
        <w:rPr>
          <w:sz w:val="20"/>
        </w:rPr>
        <w:t xml:space="preserve">out </w:t>
      </w:r>
      <w:r>
        <w:rPr>
          <w:sz w:val="20"/>
        </w:rPr>
        <w:t>is</w:t>
      </w:r>
      <w:r w:rsidRPr="00BD3668">
        <w:rPr>
          <w:sz w:val="20"/>
        </w:rPr>
        <w:t xml:space="preserve"> </w:t>
      </w:r>
      <w:r>
        <w:rPr>
          <w:sz w:val="20"/>
        </w:rPr>
        <w:t>not available until</w:t>
      </w:r>
      <w:r w:rsidRPr="00BD3668">
        <w:rPr>
          <w:sz w:val="20"/>
        </w:rPr>
        <w:t xml:space="preserve"> after </w:t>
      </w:r>
      <w:r>
        <w:rPr>
          <w:sz w:val="20"/>
        </w:rPr>
        <w:t>c</w:t>
      </w:r>
      <w:r w:rsidRPr="00BD3668">
        <w:rPr>
          <w:sz w:val="20"/>
        </w:rPr>
        <w:t xml:space="preserve">ommencement to give </w:t>
      </w:r>
      <w:r w:rsidRPr="00A416D5">
        <w:rPr>
          <w:sz w:val="20"/>
        </w:rPr>
        <w:t>TtW</w:t>
      </w:r>
      <w:r w:rsidRPr="00BD3668" w:rsidDel="00CC56CD">
        <w:rPr>
          <w:sz w:val="20"/>
        </w:rPr>
        <w:t xml:space="preserve"> </w:t>
      </w:r>
      <w:r>
        <w:rPr>
          <w:sz w:val="20"/>
        </w:rPr>
        <w:t>p</w:t>
      </w:r>
      <w:r w:rsidRPr="00BD3668">
        <w:rPr>
          <w:sz w:val="20"/>
        </w:rPr>
        <w:t>roviders an opportun</w:t>
      </w:r>
      <w:r>
        <w:rPr>
          <w:sz w:val="20"/>
        </w:rPr>
        <w:t>ity to engage the young person.</w:t>
      </w:r>
    </w:p>
    <w:p w14:paraId="059CA949" w14:textId="77777777" w:rsidR="00596374" w:rsidRPr="00BD3668" w:rsidRDefault="00596374" w:rsidP="00596374">
      <w:pPr>
        <w:pBdr>
          <w:top w:val="single" w:sz="4" w:space="1" w:color="auto"/>
          <w:left w:val="single" w:sz="4" w:space="1" w:color="auto"/>
          <w:bottom w:val="single" w:sz="4" w:space="1" w:color="auto"/>
          <w:right w:val="single" w:sz="4" w:space="1" w:color="auto"/>
        </w:pBdr>
        <w:spacing w:after="0" w:line="240" w:lineRule="auto"/>
        <w:ind w:left="360"/>
        <w:rPr>
          <w:sz w:val="20"/>
        </w:rPr>
      </w:pPr>
    </w:p>
    <w:p w14:paraId="6616F690" w14:textId="77777777" w:rsidR="00596374" w:rsidRPr="00BD3668" w:rsidRDefault="00596374" w:rsidP="00596374">
      <w:pPr>
        <w:pBdr>
          <w:top w:val="single" w:sz="4" w:space="1" w:color="auto"/>
          <w:left w:val="single" w:sz="4" w:space="1" w:color="auto"/>
          <w:bottom w:val="single" w:sz="4" w:space="1" w:color="auto"/>
          <w:right w:val="single" w:sz="4" w:space="1" w:color="auto"/>
        </w:pBdr>
        <w:spacing w:after="0" w:line="240" w:lineRule="auto"/>
        <w:ind w:left="360"/>
        <w:rPr>
          <w:sz w:val="20"/>
        </w:rPr>
      </w:pPr>
      <w:r>
        <w:rPr>
          <w:i/>
          <w:sz w:val="20"/>
        </w:rPr>
        <w:t>Caseload</w:t>
      </w:r>
    </w:p>
    <w:p w14:paraId="19FDD020" w14:textId="77777777" w:rsidR="00596374" w:rsidRDefault="00596374" w:rsidP="00596374">
      <w:pPr>
        <w:numPr>
          <w:ilvl w:val="0"/>
          <w:numId w:val="27"/>
        </w:numPr>
        <w:pBdr>
          <w:top w:val="single" w:sz="4" w:space="1" w:color="auto"/>
          <w:left w:val="single" w:sz="4" w:space="1" w:color="auto"/>
          <w:bottom w:val="single" w:sz="4" w:space="1" w:color="auto"/>
          <w:right w:val="single" w:sz="4" w:space="1" w:color="auto"/>
        </w:pBdr>
        <w:spacing w:after="0" w:line="240" w:lineRule="auto"/>
        <w:rPr>
          <w:sz w:val="20"/>
        </w:rPr>
      </w:pPr>
      <w:r>
        <w:rPr>
          <w:sz w:val="20"/>
        </w:rPr>
        <w:t>P</w:t>
      </w:r>
      <w:r w:rsidRPr="00BD3668">
        <w:rPr>
          <w:sz w:val="20"/>
        </w:rPr>
        <w:t xml:space="preserve">articipants in this group </w:t>
      </w:r>
      <w:r>
        <w:rPr>
          <w:sz w:val="20"/>
        </w:rPr>
        <w:t>are</w:t>
      </w:r>
      <w:r w:rsidRPr="00BD3668">
        <w:rPr>
          <w:sz w:val="20"/>
        </w:rPr>
        <w:t xml:space="preserve"> given priority access to </w:t>
      </w:r>
      <w:r>
        <w:rPr>
          <w:sz w:val="20"/>
        </w:rPr>
        <w:t>TtW</w:t>
      </w:r>
      <w:r w:rsidRPr="00BD3668">
        <w:rPr>
          <w:sz w:val="20"/>
        </w:rPr>
        <w:t xml:space="preserve"> services and are </w:t>
      </w:r>
      <w:r>
        <w:rPr>
          <w:sz w:val="20"/>
        </w:rPr>
        <w:t>expected to make up approximately 70 per cent</w:t>
      </w:r>
      <w:r w:rsidRPr="00BD3668">
        <w:rPr>
          <w:sz w:val="20"/>
        </w:rPr>
        <w:t xml:space="preserve"> of the</w:t>
      </w:r>
      <w:r>
        <w:rPr>
          <w:sz w:val="20"/>
        </w:rPr>
        <w:t xml:space="preserve"> </w:t>
      </w:r>
      <w:r w:rsidRPr="00BD3668">
        <w:rPr>
          <w:sz w:val="20"/>
        </w:rPr>
        <w:t>caseload, wit</w:t>
      </w:r>
      <w:r>
        <w:rPr>
          <w:sz w:val="20"/>
        </w:rPr>
        <w:t>h places available as required.</w:t>
      </w:r>
    </w:p>
    <w:p w14:paraId="39261EFC" w14:textId="77777777" w:rsidR="00596374" w:rsidRPr="008C141C" w:rsidRDefault="00596374" w:rsidP="00596374">
      <w:pPr>
        <w:pBdr>
          <w:top w:val="single" w:sz="4" w:space="1" w:color="auto"/>
          <w:left w:val="single" w:sz="4" w:space="1" w:color="auto"/>
          <w:bottom w:val="single" w:sz="4" w:space="1" w:color="auto"/>
          <w:right w:val="single" w:sz="4" w:space="1" w:color="auto"/>
        </w:pBdr>
        <w:spacing w:after="0" w:line="240" w:lineRule="auto"/>
        <w:ind w:left="360"/>
        <w:rPr>
          <w:sz w:val="20"/>
        </w:rPr>
      </w:pPr>
    </w:p>
    <w:p w14:paraId="067F8EB4" w14:textId="77777777" w:rsidR="00596374" w:rsidRPr="004E236B" w:rsidRDefault="00596374" w:rsidP="00596374">
      <w:pPr>
        <w:pBdr>
          <w:top w:val="single" w:sz="4" w:space="1" w:color="auto"/>
          <w:left w:val="single" w:sz="4" w:space="1" w:color="auto"/>
          <w:bottom w:val="single" w:sz="4" w:space="1" w:color="auto"/>
          <w:right w:val="single" w:sz="4" w:space="1" w:color="auto"/>
        </w:pBdr>
        <w:spacing w:after="0"/>
        <w:ind w:left="360"/>
        <w:rPr>
          <w:sz w:val="20"/>
        </w:rPr>
      </w:pPr>
      <w:r w:rsidRPr="004E236B">
        <w:rPr>
          <w:sz w:val="20"/>
          <w:u w:val="single"/>
        </w:rPr>
        <w:t>Group Two – disengaged young people</w:t>
      </w:r>
      <w:r>
        <w:rPr>
          <w:sz w:val="20"/>
          <w:u w:val="single"/>
        </w:rPr>
        <w:br/>
      </w:r>
      <w:r>
        <w:rPr>
          <w:i/>
          <w:sz w:val="20"/>
        </w:rPr>
        <w:t>Eligibility</w:t>
      </w:r>
      <w:r w:rsidRPr="004E236B">
        <w:rPr>
          <w:i/>
          <w:sz w:val="20"/>
        </w:rPr>
        <w:t>:</w:t>
      </w:r>
    </w:p>
    <w:p w14:paraId="66924B1B" w14:textId="77777777" w:rsidR="00596374" w:rsidRPr="00BD3668" w:rsidRDefault="00596374" w:rsidP="00596374">
      <w:pPr>
        <w:numPr>
          <w:ilvl w:val="0"/>
          <w:numId w:val="27"/>
        </w:numPr>
        <w:pBdr>
          <w:top w:val="single" w:sz="4" w:space="1" w:color="auto"/>
          <w:left w:val="single" w:sz="4" w:space="1" w:color="auto"/>
          <w:bottom w:val="single" w:sz="4" w:space="1" w:color="auto"/>
          <w:right w:val="single" w:sz="4" w:space="1" w:color="auto"/>
        </w:pBdr>
        <w:spacing w:after="0" w:line="240" w:lineRule="auto"/>
        <w:rPr>
          <w:sz w:val="20"/>
        </w:rPr>
      </w:pPr>
      <w:r w:rsidRPr="00BD3668">
        <w:rPr>
          <w:sz w:val="20"/>
        </w:rPr>
        <w:t>have not been awarded a Year 12 certificate or a Certificate III, or have completed Year 12 but have not engaged with employment or education for six months or more</w:t>
      </w:r>
    </w:p>
    <w:p w14:paraId="15584219" w14:textId="77777777" w:rsidR="00596374" w:rsidRPr="00BD3668" w:rsidRDefault="00596374" w:rsidP="00596374">
      <w:pPr>
        <w:numPr>
          <w:ilvl w:val="0"/>
          <w:numId w:val="27"/>
        </w:numPr>
        <w:pBdr>
          <w:top w:val="single" w:sz="4" w:space="1" w:color="auto"/>
          <w:left w:val="single" w:sz="4" w:space="1" w:color="auto"/>
          <w:bottom w:val="single" w:sz="4" w:space="1" w:color="auto"/>
          <w:right w:val="single" w:sz="4" w:space="1" w:color="auto"/>
        </w:pBdr>
        <w:spacing w:after="0" w:line="240" w:lineRule="auto"/>
        <w:rPr>
          <w:sz w:val="20"/>
        </w:rPr>
      </w:pPr>
      <w:r w:rsidRPr="00BD3668">
        <w:rPr>
          <w:sz w:val="20"/>
        </w:rPr>
        <w:t>are not already participating in employment services</w:t>
      </w:r>
    </w:p>
    <w:p w14:paraId="75EC7326" w14:textId="77777777" w:rsidR="00596374" w:rsidRPr="00BD3668" w:rsidRDefault="00596374" w:rsidP="00596374">
      <w:pPr>
        <w:numPr>
          <w:ilvl w:val="0"/>
          <w:numId w:val="27"/>
        </w:numPr>
        <w:pBdr>
          <w:top w:val="single" w:sz="4" w:space="1" w:color="auto"/>
          <w:left w:val="single" w:sz="4" w:space="1" w:color="auto"/>
          <w:bottom w:val="single" w:sz="4" w:space="1" w:color="auto"/>
          <w:right w:val="single" w:sz="4" w:space="1" w:color="auto"/>
        </w:pBdr>
        <w:spacing w:after="0" w:line="240" w:lineRule="auto"/>
        <w:rPr>
          <w:sz w:val="20"/>
        </w:rPr>
      </w:pPr>
      <w:r w:rsidRPr="00BD3668">
        <w:rPr>
          <w:sz w:val="20"/>
        </w:rPr>
        <w:t xml:space="preserve">are not currently working an average of eight hours or more per </w:t>
      </w:r>
      <w:r>
        <w:rPr>
          <w:sz w:val="20"/>
        </w:rPr>
        <w:t xml:space="preserve">week for a period of 13 weeks </w:t>
      </w:r>
    </w:p>
    <w:p w14:paraId="0B0A703E" w14:textId="77777777" w:rsidR="00596374" w:rsidRPr="00BD3668" w:rsidRDefault="00596374" w:rsidP="00596374">
      <w:pPr>
        <w:numPr>
          <w:ilvl w:val="0"/>
          <w:numId w:val="27"/>
        </w:numPr>
        <w:pBdr>
          <w:top w:val="single" w:sz="4" w:space="1" w:color="auto"/>
          <w:left w:val="single" w:sz="4" w:space="1" w:color="auto"/>
          <w:bottom w:val="single" w:sz="4" w:space="1" w:color="auto"/>
          <w:right w:val="single" w:sz="4" w:space="1" w:color="auto"/>
        </w:pBdr>
        <w:spacing w:after="0" w:line="240" w:lineRule="auto"/>
        <w:rPr>
          <w:sz w:val="20"/>
        </w:rPr>
      </w:pPr>
      <w:r w:rsidRPr="00BD3668">
        <w:rPr>
          <w:sz w:val="20"/>
        </w:rPr>
        <w:t>have not attended education for a period of 13 weeks, or are not currently enrolled in education, or have an approved exemption from legal requirements to attend school</w:t>
      </w:r>
    </w:p>
    <w:p w14:paraId="2A80C2AE" w14:textId="77777777" w:rsidR="00596374" w:rsidRPr="004E236B" w:rsidRDefault="00596374" w:rsidP="00596374">
      <w:pPr>
        <w:numPr>
          <w:ilvl w:val="0"/>
          <w:numId w:val="27"/>
        </w:numPr>
        <w:pBdr>
          <w:top w:val="single" w:sz="4" w:space="1" w:color="auto"/>
          <w:left w:val="single" w:sz="4" w:space="1" w:color="auto"/>
          <w:bottom w:val="single" w:sz="4" w:space="1" w:color="auto"/>
          <w:right w:val="single" w:sz="4" w:space="1" w:color="auto"/>
        </w:pBdr>
        <w:spacing w:after="0" w:line="240" w:lineRule="auto"/>
        <w:rPr>
          <w:sz w:val="20"/>
        </w:rPr>
      </w:pPr>
      <w:r w:rsidRPr="00BD3668">
        <w:rPr>
          <w:sz w:val="20"/>
        </w:rPr>
        <w:t xml:space="preserve">are not receiving income support or are receiving non-activity tested income support such as Parenting Payment. </w:t>
      </w:r>
      <w:r>
        <w:rPr>
          <w:sz w:val="20"/>
        </w:rPr>
        <w:br/>
      </w:r>
    </w:p>
    <w:p w14:paraId="28B963FB" w14:textId="77777777" w:rsidR="00596374" w:rsidRPr="00990DF9" w:rsidRDefault="00596374" w:rsidP="00596374">
      <w:pPr>
        <w:pBdr>
          <w:top w:val="single" w:sz="4" w:space="1" w:color="auto"/>
          <w:left w:val="single" w:sz="4" w:space="1" w:color="auto"/>
          <w:bottom w:val="single" w:sz="4" w:space="1" w:color="auto"/>
          <w:right w:val="single" w:sz="4" w:space="1" w:color="auto"/>
        </w:pBdr>
        <w:spacing w:after="0"/>
        <w:ind w:left="360"/>
        <w:rPr>
          <w:i/>
          <w:sz w:val="20"/>
        </w:rPr>
      </w:pPr>
      <w:r w:rsidRPr="00990DF9">
        <w:rPr>
          <w:i/>
          <w:sz w:val="20"/>
        </w:rPr>
        <w:t>Referral process:</w:t>
      </w:r>
    </w:p>
    <w:p w14:paraId="6B3D54B2" w14:textId="77777777" w:rsidR="00596374" w:rsidRPr="00BD3668" w:rsidRDefault="00596374" w:rsidP="00596374">
      <w:pPr>
        <w:numPr>
          <w:ilvl w:val="0"/>
          <w:numId w:val="27"/>
        </w:numPr>
        <w:pBdr>
          <w:top w:val="single" w:sz="4" w:space="1" w:color="auto"/>
          <w:left w:val="single" w:sz="4" w:space="1" w:color="auto"/>
          <w:bottom w:val="single" w:sz="4" w:space="1" w:color="auto"/>
          <w:right w:val="single" w:sz="4" w:space="1" w:color="auto"/>
        </w:pBdr>
        <w:spacing w:after="0" w:line="240" w:lineRule="auto"/>
        <w:rPr>
          <w:sz w:val="20"/>
        </w:rPr>
      </w:pPr>
      <w:r>
        <w:rPr>
          <w:sz w:val="20"/>
        </w:rPr>
        <w:t>E</w:t>
      </w:r>
      <w:r w:rsidRPr="00BD3668">
        <w:rPr>
          <w:sz w:val="20"/>
        </w:rPr>
        <w:t xml:space="preserve">ligible young people </w:t>
      </w:r>
      <w:r>
        <w:rPr>
          <w:sz w:val="20"/>
        </w:rPr>
        <w:t>are</w:t>
      </w:r>
      <w:r w:rsidRPr="00BD3668">
        <w:rPr>
          <w:sz w:val="20"/>
        </w:rPr>
        <w:t xml:space="preserve"> able to dir</w:t>
      </w:r>
      <w:r>
        <w:rPr>
          <w:sz w:val="20"/>
        </w:rPr>
        <w:t>ectly register with a provider.</w:t>
      </w:r>
    </w:p>
    <w:p w14:paraId="2AE71991" w14:textId="77777777" w:rsidR="00596374" w:rsidRDefault="00596374" w:rsidP="00596374">
      <w:pPr>
        <w:numPr>
          <w:ilvl w:val="0"/>
          <w:numId w:val="27"/>
        </w:numPr>
        <w:pBdr>
          <w:top w:val="single" w:sz="4" w:space="1" w:color="auto"/>
          <w:left w:val="single" w:sz="4" w:space="1" w:color="auto"/>
          <w:bottom w:val="single" w:sz="4" w:space="1" w:color="auto"/>
          <w:right w:val="single" w:sz="4" w:space="1" w:color="auto"/>
        </w:pBdr>
        <w:spacing w:after="0" w:line="240" w:lineRule="auto"/>
        <w:rPr>
          <w:sz w:val="20"/>
        </w:rPr>
      </w:pPr>
      <w:r>
        <w:rPr>
          <w:sz w:val="20"/>
        </w:rPr>
        <w:t>P</w:t>
      </w:r>
      <w:r w:rsidRPr="00BD3668">
        <w:rPr>
          <w:sz w:val="20"/>
        </w:rPr>
        <w:t xml:space="preserve">roviders </w:t>
      </w:r>
      <w:r>
        <w:rPr>
          <w:sz w:val="20"/>
        </w:rPr>
        <w:t>are</w:t>
      </w:r>
      <w:r w:rsidRPr="00BD3668">
        <w:rPr>
          <w:sz w:val="20"/>
        </w:rPr>
        <w:t xml:space="preserve"> expected to undertake engagement activities to promote and attract disengaged youth to fully pa</w:t>
      </w:r>
      <w:r>
        <w:rPr>
          <w:sz w:val="20"/>
        </w:rPr>
        <w:t>rticipate in the service.</w:t>
      </w:r>
    </w:p>
    <w:p w14:paraId="7ECC8E8A" w14:textId="77777777" w:rsidR="00596374" w:rsidRDefault="00596374" w:rsidP="00596374">
      <w:pPr>
        <w:pBdr>
          <w:top w:val="single" w:sz="4" w:space="1" w:color="auto"/>
          <w:left w:val="single" w:sz="4" w:space="1" w:color="auto"/>
          <w:bottom w:val="single" w:sz="4" w:space="1" w:color="auto"/>
          <w:right w:val="single" w:sz="4" w:space="1" w:color="auto"/>
        </w:pBdr>
        <w:spacing w:after="0" w:line="240" w:lineRule="auto"/>
        <w:ind w:left="360"/>
        <w:rPr>
          <w:i/>
          <w:sz w:val="20"/>
        </w:rPr>
      </w:pPr>
    </w:p>
    <w:p w14:paraId="08852D30" w14:textId="77777777" w:rsidR="00596374" w:rsidRPr="006A590C" w:rsidRDefault="00596374" w:rsidP="00596374">
      <w:pPr>
        <w:pBdr>
          <w:top w:val="single" w:sz="4" w:space="1" w:color="auto"/>
          <w:left w:val="single" w:sz="4" w:space="1" w:color="auto"/>
          <w:bottom w:val="single" w:sz="4" w:space="1" w:color="auto"/>
          <w:right w:val="single" w:sz="4" w:space="1" w:color="auto"/>
        </w:pBdr>
        <w:spacing w:after="0" w:line="240" w:lineRule="auto"/>
        <w:ind w:left="360"/>
        <w:rPr>
          <w:sz w:val="20"/>
        </w:rPr>
      </w:pPr>
      <w:r w:rsidRPr="006A590C">
        <w:rPr>
          <w:i/>
          <w:sz w:val="20"/>
        </w:rPr>
        <w:t>Caseload</w:t>
      </w:r>
    </w:p>
    <w:p w14:paraId="78233106" w14:textId="77777777" w:rsidR="00596374" w:rsidRDefault="00596374" w:rsidP="00596374">
      <w:pPr>
        <w:numPr>
          <w:ilvl w:val="0"/>
          <w:numId w:val="27"/>
        </w:numPr>
        <w:pBdr>
          <w:top w:val="single" w:sz="4" w:space="1" w:color="auto"/>
          <w:left w:val="single" w:sz="4" w:space="1" w:color="auto"/>
          <w:bottom w:val="single" w:sz="4" w:space="1" w:color="auto"/>
          <w:right w:val="single" w:sz="4" w:space="1" w:color="auto"/>
        </w:pBdr>
        <w:spacing w:after="0" w:line="240" w:lineRule="auto"/>
        <w:rPr>
          <w:sz w:val="20"/>
        </w:rPr>
      </w:pPr>
      <w:r w:rsidRPr="00990DF9">
        <w:rPr>
          <w:sz w:val="20"/>
        </w:rPr>
        <w:t>Group Two is expected to make up around 20 per cent of the caseload.</w:t>
      </w:r>
      <w:r>
        <w:rPr>
          <w:sz w:val="20"/>
        </w:rPr>
        <w:br/>
      </w:r>
    </w:p>
    <w:p w14:paraId="791CA1EC" w14:textId="77777777" w:rsidR="00596374" w:rsidRPr="004E236B" w:rsidRDefault="00596374" w:rsidP="00596374">
      <w:pPr>
        <w:pBdr>
          <w:top w:val="single" w:sz="4" w:space="1" w:color="auto"/>
          <w:left w:val="single" w:sz="4" w:space="1" w:color="auto"/>
          <w:bottom w:val="single" w:sz="4" w:space="1" w:color="auto"/>
          <w:right w:val="single" w:sz="4" w:space="1" w:color="auto"/>
        </w:pBdr>
        <w:spacing w:after="0"/>
        <w:ind w:left="360"/>
        <w:rPr>
          <w:sz w:val="20"/>
        </w:rPr>
      </w:pPr>
      <w:r w:rsidRPr="00990DF9">
        <w:rPr>
          <w:sz w:val="20"/>
          <w:u w:val="single"/>
        </w:rPr>
        <w:t xml:space="preserve">Group Three – jobactive referrals </w:t>
      </w:r>
      <w:r>
        <w:rPr>
          <w:sz w:val="20"/>
          <w:u w:val="single"/>
        </w:rPr>
        <w:br/>
      </w:r>
      <w:r>
        <w:rPr>
          <w:i/>
          <w:sz w:val="20"/>
        </w:rPr>
        <w:t>Eligibility</w:t>
      </w:r>
      <w:r w:rsidRPr="004E236B">
        <w:rPr>
          <w:i/>
          <w:sz w:val="20"/>
        </w:rPr>
        <w:t>:</w:t>
      </w:r>
    </w:p>
    <w:p w14:paraId="5A7CC68E" w14:textId="77777777" w:rsidR="00596374" w:rsidRPr="00990DF9" w:rsidRDefault="00596374" w:rsidP="00596374">
      <w:pPr>
        <w:numPr>
          <w:ilvl w:val="0"/>
          <w:numId w:val="27"/>
        </w:numPr>
        <w:pBdr>
          <w:top w:val="single" w:sz="4" w:space="1" w:color="auto"/>
          <w:left w:val="single" w:sz="4" w:space="1" w:color="auto"/>
          <w:bottom w:val="single" w:sz="4" w:space="1" w:color="auto"/>
          <w:right w:val="single" w:sz="4" w:space="1" w:color="auto"/>
        </w:pBdr>
        <w:spacing w:after="0" w:line="240" w:lineRule="auto"/>
        <w:rPr>
          <w:sz w:val="20"/>
        </w:rPr>
      </w:pPr>
      <w:r w:rsidRPr="00990DF9">
        <w:rPr>
          <w:sz w:val="20"/>
        </w:rPr>
        <w:t xml:space="preserve">are </w:t>
      </w:r>
      <w:r>
        <w:rPr>
          <w:sz w:val="20"/>
        </w:rPr>
        <w:t xml:space="preserve">in </w:t>
      </w:r>
      <w:r w:rsidRPr="00990DF9">
        <w:rPr>
          <w:sz w:val="20"/>
        </w:rPr>
        <w:t xml:space="preserve">Stream C in jobactive </w:t>
      </w:r>
    </w:p>
    <w:p w14:paraId="7FDA1E1B" w14:textId="77777777" w:rsidR="00596374" w:rsidRPr="00990DF9" w:rsidRDefault="00596374" w:rsidP="00596374">
      <w:pPr>
        <w:numPr>
          <w:ilvl w:val="0"/>
          <w:numId w:val="27"/>
        </w:numPr>
        <w:pBdr>
          <w:top w:val="single" w:sz="4" w:space="1" w:color="auto"/>
          <w:left w:val="single" w:sz="4" w:space="1" w:color="auto"/>
          <w:bottom w:val="single" w:sz="4" w:space="1" w:color="auto"/>
          <w:right w:val="single" w:sz="4" w:space="1" w:color="auto"/>
        </w:pBdr>
        <w:spacing w:after="0" w:line="240" w:lineRule="auto"/>
        <w:rPr>
          <w:sz w:val="20"/>
        </w:rPr>
      </w:pPr>
      <w:r w:rsidRPr="00990DF9">
        <w:rPr>
          <w:sz w:val="20"/>
        </w:rPr>
        <w:t>are identified by their jobactive providers as having capacity to benefit from</w:t>
      </w:r>
      <w:r>
        <w:rPr>
          <w:sz w:val="20"/>
        </w:rPr>
        <w:t xml:space="preserve"> the</w:t>
      </w:r>
      <w:r w:rsidRPr="00990DF9">
        <w:rPr>
          <w:sz w:val="20"/>
        </w:rPr>
        <w:t xml:space="preserve"> </w:t>
      </w:r>
      <w:r>
        <w:rPr>
          <w:sz w:val="20"/>
        </w:rPr>
        <w:t>TtW</w:t>
      </w:r>
      <w:r w:rsidRPr="00990DF9">
        <w:rPr>
          <w:sz w:val="20"/>
        </w:rPr>
        <w:t xml:space="preserve"> service (e.g. young </w:t>
      </w:r>
      <w:r>
        <w:rPr>
          <w:sz w:val="20"/>
        </w:rPr>
        <w:t>j</w:t>
      </w:r>
      <w:r w:rsidRPr="00990DF9">
        <w:rPr>
          <w:sz w:val="20"/>
        </w:rPr>
        <w:t xml:space="preserve">ob </w:t>
      </w:r>
      <w:r>
        <w:rPr>
          <w:sz w:val="20"/>
        </w:rPr>
        <w:t>s</w:t>
      </w:r>
      <w:r w:rsidRPr="00990DF9">
        <w:rPr>
          <w:sz w:val="20"/>
        </w:rPr>
        <w:t>eeker</w:t>
      </w:r>
      <w:r>
        <w:rPr>
          <w:sz w:val="20"/>
        </w:rPr>
        <w:t>s</w:t>
      </w:r>
      <w:r w:rsidRPr="00990DF9">
        <w:rPr>
          <w:sz w:val="20"/>
        </w:rPr>
        <w:t xml:space="preserve"> who </w:t>
      </w:r>
      <w:r>
        <w:rPr>
          <w:sz w:val="20"/>
        </w:rPr>
        <w:t xml:space="preserve">have addressed areas of disadvantage such as </w:t>
      </w:r>
      <w:r w:rsidRPr="00990DF9">
        <w:rPr>
          <w:sz w:val="20"/>
        </w:rPr>
        <w:t>unstable housing)</w:t>
      </w:r>
      <w:r>
        <w:rPr>
          <w:sz w:val="20"/>
        </w:rPr>
        <w:t>.</w:t>
      </w:r>
      <w:r>
        <w:rPr>
          <w:sz w:val="20"/>
        </w:rPr>
        <w:br/>
      </w:r>
    </w:p>
    <w:p w14:paraId="6DC200EB" w14:textId="77777777" w:rsidR="00596374" w:rsidRPr="00990DF9" w:rsidRDefault="00596374" w:rsidP="00596374">
      <w:pPr>
        <w:pBdr>
          <w:top w:val="single" w:sz="4" w:space="1" w:color="auto"/>
          <w:left w:val="single" w:sz="4" w:space="1" w:color="auto"/>
          <w:bottom w:val="single" w:sz="4" w:space="1" w:color="auto"/>
          <w:right w:val="single" w:sz="4" w:space="1" w:color="auto"/>
        </w:pBdr>
        <w:spacing w:after="0" w:line="240" w:lineRule="auto"/>
        <w:ind w:left="360"/>
        <w:rPr>
          <w:i/>
          <w:sz w:val="20"/>
        </w:rPr>
      </w:pPr>
      <w:r w:rsidRPr="00990DF9">
        <w:rPr>
          <w:i/>
          <w:sz w:val="20"/>
        </w:rPr>
        <w:t>Referral process</w:t>
      </w:r>
    </w:p>
    <w:p w14:paraId="46AA352D" w14:textId="77777777" w:rsidR="00596374" w:rsidRPr="006A590C" w:rsidRDefault="00596374" w:rsidP="00596374">
      <w:pPr>
        <w:numPr>
          <w:ilvl w:val="0"/>
          <w:numId w:val="27"/>
        </w:numPr>
        <w:pBdr>
          <w:top w:val="single" w:sz="4" w:space="1" w:color="auto"/>
          <w:left w:val="single" w:sz="4" w:space="1" w:color="auto"/>
          <w:bottom w:val="single" w:sz="4" w:space="1" w:color="auto"/>
          <w:right w:val="single" w:sz="4" w:space="1" w:color="auto"/>
        </w:pBdr>
        <w:spacing w:after="0" w:line="240" w:lineRule="auto"/>
        <w:rPr>
          <w:sz w:val="20"/>
        </w:rPr>
      </w:pPr>
      <w:r w:rsidRPr="00990DF9">
        <w:rPr>
          <w:sz w:val="20"/>
        </w:rPr>
        <w:t xml:space="preserve">jobactive providers </w:t>
      </w:r>
      <w:r>
        <w:rPr>
          <w:sz w:val="20"/>
        </w:rPr>
        <w:t>are</w:t>
      </w:r>
      <w:r w:rsidRPr="00990DF9">
        <w:rPr>
          <w:sz w:val="20"/>
        </w:rPr>
        <w:t xml:space="preserve"> able to directly refer young people </w:t>
      </w:r>
      <w:r>
        <w:rPr>
          <w:sz w:val="20"/>
        </w:rPr>
        <w:t>in this category to TtW providers.</w:t>
      </w:r>
    </w:p>
    <w:p w14:paraId="0AC6D84B" w14:textId="77777777" w:rsidR="00596374" w:rsidRDefault="00596374" w:rsidP="00596374">
      <w:pPr>
        <w:pBdr>
          <w:top w:val="single" w:sz="4" w:space="1" w:color="auto"/>
          <w:left w:val="single" w:sz="4" w:space="1" w:color="auto"/>
          <w:bottom w:val="single" w:sz="4" w:space="1" w:color="auto"/>
          <w:right w:val="single" w:sz="4" w:space="1" w:color="auto"/>
        </w:pBdr>
        <w:spacing w:after="0" w:line="240" w:lineRule="auto"/>
        <w:ind w:left="360"/>
        <w:rPr>
          <w:i/>
          <w:sz w:val="20"/>
        </w:rPr>
      </w:pPr>
    </w:p>
    <w:p w14:paraId="096459AA" w14:textId="77777777" w:rsidR="00596374" w:rsidRPr="006A590C" w:rsidRDefault="00596374" w:rsidP="00596374">
      <w:pPr>
        <w:pBdr>
          <w:top w:val="single" w:sz="4" w:space="1" w:color="auto"/>
          <w:left w:val="single" w:sz="4" w:space="1" w:color="auto"/>
          <w:bottom w:val="single" w:sz="4" w:space="1" w:color="auto"/>
          <w:right w:val="single" w:sz="4" w:space="1" w:color="auto"/>
        </w:pBdr>
        <w:spacing w:after="0" w:line="240" w:lineRule="auto"/>
        <w:ind w:left="360"/>
        <w:rPr>
          <w:sz w:val="20"/>
        </w:rPr>
      </w:pPr>
      <w:r w:rsidRPr="006A590C">
        <w:rPr>
          <w:i/>
          <w:sz w:val="20"/>
        </w:rPr>
        <w:t>Caseload</w:t>
      </w:r>
    </w:p>
    <w:p w14:paraId="69D08CDF" w14:textId="77777777" w:rsidR="00596374" w:rsidRPr="006A590C" w:rsidRDefault="00596374" w:rsidP="00596374">
      <w:pPr>
        <w:numPr>
          <w:ilvl w:val="0"/>
          <w:numId w:val="27"/>
        </w:numPr>
        <w:pBdr>
          <w:top w:val="single" w:sz="4" w:space="1" w:color="auto"/>
          <w:left w:val="single" w:sz="4" w:space="1" w:color="auto"/>
          <w:bottom w:val="single" w:sz="4" w:space="1" w:color="auto"/>
          <w:right w:val="single" w:sz="4" w:space="1" w:color="auto"/>
        </w:pBdr>
        <w:spacing w:after="0" w:line="240" w:lineRule="auto"/>
        <w:rPr>
          <w:sz w:val="20"/>
        </w:rPr>
      </w:pPr>
      <w:r>
        <w:rPr>
          <w:sz w:val="20"/>
        </w:rPr>
        <w:t>T</w:t>
      </w:r>
      <w:r w:rsidRPr="00990DF9">
        <w:rPr>
          <w:sz w:val="20"/>
        </w:rPr>
        <w:t xml:space="preserve">he participation of young people in Group Three is subject to a cap on places, which </w:t>
      </w:r>
      <w:r>
        <w:rPr>
          <w:sz w:val="20"/>
        </w:rPr>
        <w:t>is</w:t>
      </w:r>
      <w:r w:rsidRPr="00990DF9">
        <w:rPr>
          <w:sz w:val="20"/>
        </w:rPr>
        <w:t xml:space="preserve"> set at approximately 10 per cent of all places allocated (excluding</w:t>
      </w:r>
      <w:r>
        <w:rPr>
          <w:sz w:val="20"/>
        </w:rPr>
        <w:t xml:space="preserve"> during the initial c</w:t>
      </w:r>
      <w:r w:rsidRPr="00990DF9">
        <w:rPr>
          <w:sz w:val="20"/>
        </w:rPr>
        <w:t>ommencement stage).</w:t>
      </w:r>
    </w:p>
    <w:p w14:paraId="00B9371C" w14:textId="77777777" w:rsidR="00596374" w:rsidRDefault="00596374" w:rsidP="00596374">
      <w:pPr>
        <w:pStyle w:val="Heading2"/>
        <w:numPr>
          <w:ilvl w:val="1"/>
          <w:numId w:val="26"/>
        </w:numPr>
        <w:ind w:hanging="792"/>
      </w:pPr>
      <w:bookmarkStart w:id="3" w:name="_Toc469333751"/>
      <w:r>
        <w:t>Transfers between Transition to Work and jobactive</w:t>
      </w:r>
      <w:bookmarkEnd w:id="3"/>
    </w:p>
    <w:p w14:paraId="5C83D675" w14:textId="77777777" w:rsidR="00596374" w:rsidRPr="00630E09" w:rsidRDefault="00596374" w:rsidP="00596374">
      <w:r>
        <w:t>TtW</w:t>
      </w:r>
      <w:r w:rsidRPr="00630E09">
        <w:t xml:space="preserve"> </w:t>
      </w:r>
      <w:r>
        <w:t>p</w:t>
      </w:r>
      <w:r w:rsidRPr="00630E09">
        <w:t xml:space="preserve">roviders and jobactive providers </w:t>
      </w:r>
      <w:r>
        <w:t xml:space="preserve">are </w:t>
      </w:r>
      <w:r w:rsidRPr="00630E09">
        <w:t xml:space="preserve">expected to cooperate in helping young people to move between the two services when required. </w:t>
      </w:r>
    </w:p>
    <w:p w14:paraId="48C72391" w14:textId="77777777" w:rsidR="00596374" w:rsidRPr="00EC667C" w:rsidRDefault="00596374" w:rsidP="00596374">
      <w:r>
        <w:t>TtW p</w:t>
      </w:r>
      <w:r w:rsidRPr="00455FA1">
        <w:t xml:space="preserve">articipants with Mutual Obligation Requirements </w:t>
      </w:r>
      <w:r w:rsidRPr="00630E09">
        <w:t>who have not moved int</w:t>
      </w:r>
      <w:r>
        <w:t>o work or education within 12 months of entering the service will e</w:t>
      </w:r>
      <w:r w:rsidRPr="00630E09">
        <w:t xml:space="preserve">xit </w:t>
      </w:r>
      <w:r>
        <w:t>TtW</w:t>
      </w:r>
      <w:r w:rsidRPr="00630E09">
        <w:t xml:space="preserve"> and be transferred to jobactive, commencing in the Work for the Dole phase. Participants with Mutual Obligation Requirements who opt</w:t>
      </w:r>
      <w:r>
        <w:t xml:space="preserve"> </w:t>
      </w:r>
      <w:r w:rsidRPr="00630E09">
        <w:t xml:space="preserve">out of the service, or who are </w:t>
      </w:r>
      <w:r w:rsidR="00BD44A3">
        <w:t>excited</w:t>
      </w:r>
      <w:r w:rsidRPr="00630E09">
        <w:t xml:space="preserve"> by the </w:t>
      </w:r>
      <w:r>
        <w:t>TtW p</w:t>
      </w:r>
      <w:r w:rsidRPr="00630E09">
        <w:t xml:space="preserve">rovider for not participating adequately, will commence in the jobactive phase most appropriate to their </w:t>
      </w:r>
      <w:r>
        <w:t>stream type and how long they have been in the service</w:t>
      </w:r>
      <w:r w:rsidRPr="00630E09">
        <w:t>.</w:t>
      </w:r>
    </w:p>
    <w:p w14:paraId="1AAC478C" w14:textId="77777777" w:rsidR="00596374" w:rsidRDefault="00B07EFA" w:rsidP="00596374">
      <w:pPr>
        <w:pStyle w:val="Heading2"/>
        <w:numPr>
          <w:ilvl w:val="1"/>
          <w:numId w:val="26"/>
        </w:numPr>
        <w:ind w:hanging="792"/>
      </w:pPr>
      <w:bookmarkStart w:id="4" w:name="_Toc469333752"/>
      <w:r>
        <w:t>Quality and P</w:t>
      </w:r>
      <w:r w:rsidR="00596374">
        <w:t>erformance</w:t>
      </w:r>
      <w:bookmarkEnd w:id="4"/>
    </w:p>
    <w:p w14:paraId="5E417F7A" w14:textId="77777777" w:rsidR="00596374" w:rsidRPr="00EC667C" w:rsidRDefault="00596374" w:rsidP="00596374">
      <w:pPr>
        <w:spacing w:after="120" w:line="288" w:lineRule="auto"/>
      </w:pPr>
      <w:r>
        <w:t>TtW</w:t>
      </w:r>
      <w:r w:rsidDel="00CC56CD">
        <w:t xml:space="preserve"> </w:t>
      </w:r>
      <w:r>
        <w:t xml:space="preserve">has </w:t>
      </w:r>
      <w:r w:rsidRPr="00EC667C">
        <w:t xml:space="preserve">a Service Guarantee setting out the standard of service delivery that </w:t>
      </w:r>
      <w:r>
        <w:t>participant</w:t>
      </w:r>
      <w:r w:rsidRPr="00EC667C">
        <w:t>s</w:t>
      </w:r>
      <w:r w:rsidR="00F858D7">
        <w:t>,</w:t>
      </w:r>
      <w:r w:rsidRPr="00EC667C">
        <w:t xml:space="preserve"> and </w:t>
      </w:r>
      <w:r>
        <w:t>employer</w:t>
      </w:r>
      <w:r w:rsidRPr="00EC667C">
        <w:t>s</w:t>
      </w:r>
      <w:r w:rsidR="00F858D7">
        <w:t>,</w:t>
      </w:r>
      <w:r w:rsidRPr="00EC667C">
        <w:t xml:space="preserve"> can expect from a </w:t>
      </w:r>
      <w:r>
        <w:t xml:space="preserve">provider. This is complemented by Service Delivery Plans </w:t>
      </w:r>
      <w:r w:rsidRPr="00EC667C">
        <w:t>outlining the agreed suite of services to be delivered</w:t>
      </w:r>
      <w:r>
        <w:t xml:space="preserve"> by TtW</w:t>
      </w:r>
      <w:r w:rsidDel="00CC56CD">
        <w:t xml:space="preserve"> </w:t>
      </w:r>
      <w:r>
        <w:t>provider</w:t>
      </w:r>
      <w:r w:rsidRPr="00EC667C">
        <w:t xml:space="preserve">s </w:t>
      </w:r>
      <w:r>
        <w:t>including highly flexible strategies that are appropriately tailored to meet the circumstances of individual participants</w:t>
      </w:r>
      <w:r w:rsidRPr="00EC667C">
        <w:t xml:space="preserve">, </w:t>
      </w:r>
      <w:r>
        <w:t>employer</w:t>
      </w:r>
      <w:r w:rsidRPr="00EC667C">
        <w:t>s and other stakeholders</w:t>
      </w:r>
      <w:r>
        <w:t>.</w:t>
      </w:r>
    </w:p>
    <w:p w14:paraId="11C45F50" w14:textId="77777777" w:rsidR="00596374" w:rsidRDefault="00596374" w:rsidP="00596374">
      <w:pPr>
        <w:spacing w:after="120" w:line="288" w:lineRule="auto"/>
      </w:pPr>
      <w:r w:rsidRPr="00EC667C">
        <w:t>Key Performance Indicators</w:t>
      </w:r>
      <w:r>
        <w:t xml:space="preserve"> (KPIs)</w:t>
      </w:r>
      <w:r w:rsidRPr="00EC667C">
        <w:t xml:space="preserve"> </w:t>
      </w:r>
      <w:r>
        <w:t>are being</w:t>
      </w:r>
      <w:r w:rsidRPr="00EC667C">
        <w:t xml:space="preserve"> used by the Department to assess the effectiveness, efficiency and quality of a </w:t>
      </w:r>
      <w:r>
        <w:t>provider</w:t>
      </w:r>
      <w:r w:rsidRPr="00EC667C">
        <w:t>’s service delivery</w:t>
      </w:r>
      <w:r>
        <w:t>. For example, the Department monitors:</w:t>
      </w:r>
    </w:p>
    <w:p w14:paraId="35893A6F" w14:textId="77777777" w:rsidR="00596374" w:rsidRDefault="00596374" w:rsidP="00596374">
      <w:pPr>
        <w:pStyle w:val="Normal18ptbefore"/>
        <w:numPr>
          <w:ilvl w:val="0"/>
          <w:numId w:val="28"/>
        </w:numPr>
        <w:spacing w:before="0" w:after="0"/>
      </w:pPr>
      <w:r>
        <w:t xml:space="preserve">the </w:t>
      </w:r>
      <w:r w:rsidRPr="00EC667C">
        <w:t xml:space="preserve">number of </w:t>
      </w:r>
      <w:r>
        <w:t>o</w:t>
      </w:r>
      <w:r w:rsidRPr="00EC667C">
        <w:t xml:space="preserve">utcomes </w:t>
      </w:r>
      <w:r w:rsidR="00F86E91">
        <w:t xml:space="preserve">(excluding sustainability outcomes) </w:t>
      </w:r>
      <w:r w:rsidRPr="00EC667C">
        <w:t xml:space="preserve">achieved </w:t>
      </w:r>
      <w:r w:rsidR="009046A8">
        <w:t>for participants relative to the outcome performance target</w:t>
      </w:r>
      <w:r>
        <w:t xml:space="preserve"> (effectiveness indicator)</w:t>
      </w:r>
    </w:p>
    <w:p w14:paraId="6C937AE7" w14:textId="77777777" w:rsidR="00596374" w:rsidRDefault="00596374" w:rsidP="00596374">
      <w:pPr>
        <w:pStyle w:val="Normal18ptbefore"/>
        <w:numPr>
          <w:ilvl w:val="0"/>
          <w:numId w:val="28"/>
        </w:numPr>
        <w:spacing w:before="0" w:after="0"/>
      </w:pPr>
      <w:r w:rsidRPr="00EC667C">
        <w:t>time</w:t>
      </w:r>
      <w:r>
        <w:t xml:space="preserve"> </w:t>
      </w:r>
      <w:r w:rsidRPr="005F393E">
        <w:t>laps</w:t>
      </w:r>
      <w:r w:rsidR="009046A8">
        <w:t>ing</w:t>
      </w:r>
      <w:r w:rsidRPr="005F393E">
        <w:t xml:space="preserve"> between </w:t>
      </w:r>
      <w:r>
        <w:t>referral and commencement</w:t>
      </w:r>
      <w:r w:rsidRPr="005F393E">
        <w:t xml:space="preserve"> of </w:t>
      </w:r>
      <w:r>
        <w:t>p</w:t>
      </w:r>
      <w:r w:rsidRPr="005F393E">
        <w:t>articipants</w:t>
      </w:r>
      <w:r>
        <w:t xml:space="preserve"> (efficiency indicator)</w:t>
      </w:r>
    </w:p>
    <w:p w14:paraId="70DEF42A" w14:textId="77777777" w:rsidR="00596374" w:rsidRPr="00EC667C" w:rsidRDefault="009046A8" w:rsidP="00636B52">
      <w:pPr>
        <w:pStyle w:val="Normal18ptbefore"/>
        <w:numPr>
          <w:ilvl w:val="0"/>
          <w:numId w:val="28"/>
        </w:numPr>
        <w:spacing w:before="0"/>
        <w:ind w:left="714" w:hanging="357"/>
      </w:pPr>
      <w:r>
        <w:t>service delivery against the Service Guarantee and the Service Delivery Plans</w:t>
      </w:r>
      <w:r w:rsidR="00596374">
        <w:t xml:space="preserve"> (quality indicator).</w:t>
      </w:r>
    </w:p>
    <w:p w14:paraId="3449E007" w14:textId="77777777" w:rsidR="00596374" w:rsidRDefault="00596374" w:rsidP="00596374">
      <w:pPr>
        <w:spacing w:after="120" w:line="288" w:lineRule="auto"/>
      </w:pPr>
      <w:r>
        <w:t xml:space="preserve">The Department continuously monitors service delivery, including through regular meetings with providers, and undertake service assurance activities. Formal performance reviews will commence progressively from January 2017 and then on an annual basis. </w:t>
      </w:r>
      <w:r w:rsidRPr="00EC667C">
        <w:t xml:space="preserve">The Department may gather information on a </w:t>
      </w:r>
      <w:r>
        <w:t>provider</w:t>
      </w:r>
      <w:r w:rsidRPr="00EC667C">
        <w:t>’s performance from a variety of sources, including through client satisfaction surveys and post</w:t>
      </w:r>
      <w:r>
        <w:rPr>
          <w:rFonts w:ascii="American Typewriter" w:hAnsi="American Typewriter" w:cs="American Typewriter"/>
        </w:rPr>
        <w:t xml:space="preserve"> </w:t>
      </w:r>
      <w:r w:rsidRPr="00EC667C">
        <w:t>program monitoring surveys.</w:t>
      </w:r>
    </w:p>
    <w:p w14:paraId="11242E42" w14:textId="77777777" w:rsidR="00596374" w:rsidRDefault="00596374" w:rsidP="00596374">
      <w:r w:rsidRPr="004418E1">
        <w:t xml:space="preserve">Indigenous </w:t>
      </w:r>
      <w:r>
        <w:t>youth</w:t>
      </w:r>
      <w:r w:rsidRPr="004418E1">
        <w:t xml:space="preserve"> and other highly </w:t>
      </w:r>
      <w:r>
        <w:t>v</w:t>
      </w:r>
      <w:r w:rsidRPr="004418E1">
        <w:t xml:space="preserve">ulnerable </w:t>
      </w:r>
      <w:r>
        <w:t>g</w:t>
      </w:r>
      <w:r w:rsidRPr="004418E1">
        <w:t xml:space="preserve">roups are a priority </w:t>
      </w:r>
      <w:r>
        <w:t xml:space="preserve">under this service </w:t>
      </w:r>
      <w:r w:rsidRPr="004418E1">
        <w:t>and the Department continue</w:t>
      </w:r>
      <w:r>
        <w:t>s</w:t>
      </w:r>
      <w:r w:rsidRPr="004418E1">
        <w:t xml:space="preserve"> to monitor</w:t>
      </w:r>
      <w:r>
        <w:t xml:space="preserve"> outcomes </w:t>
      </w:r>
      <w:r w:rsidRPr="004418E1">
        <w:t xml:space="preserve">for these groups. </w:t>
      </w:r>
      <w:r>
        <w:t>Indigenous Australians make up an estimated one-fifth</w:t>
      </w:r>
      <w:r w:rsidRPr="00681527">
        <w:t xml:space="preserve"> </w:t>
      </w:r>
      <w:r>
        <w:t>of TtW participants, although this varies considerably by employment region.</w:t>
      </w:r>
    </w:p>
    <w:p w14:paraId="340F58EB" w14:textId="77777777" w:rsidR="00596374" w:rsidRDefault="00B07EFA" w:rsidP="00596374">
      <w:pPr>
        <w:pStyle w:val="Heading2"/>
        <w:numPr>
          <w:ilvl w:val="1"/>
          <w:numId w:val="26"/>
        </w:numPr>
        <w:ind w:hanging="792"/>
      </w:pPr>
      <w:bookmarkStart w:id="5" w:name="_Toc469333753"/>
      <w:r>
        <w:t>Performance T</w:t>
      </w:r>
      <w:r w:rsidR="00596374">
        <w:t>argets</w:t>
      </w:r>
      <w:bookmarkEnd w:id="5"/>
    </w:p>
    <w:p w14:paraId="4BD2F906" w14:textId="77777777" w:rsidR="00596374" w:rsidRDefault="00596374" w:rsidP="00596374">
      <w:pPr>
        <w:keepNext/>
      </w:pPr>
      <w:r w:rsidRPr="00EC667C">
        <w:t>As a condition of the upfront payment</w:t>
      </w:r>
      <w:r>
        <w:t xml:space="preserve"> for each participant (see Section 1.6)</w:t>
      </w:r>
      <w:r w:rsidRPr="00EC667C">
        <w:t xml:space="preserve">, </w:t>
      </w:r>
      <w:r>
        <w:t>p</w:t>
      </w:r>
      <w:r w:rsidRPr="00EC667C">
        <w:t xml:space="preserve">roviders </w:t>
      </w:r>
      <w:r>
        <w:t>are</w:t>
      </w:r>
      <w:r w:rsidRPr="00EC667C">
        <w:t xml:space="preserve"> required to achieve an agreed number </w:t>
      </w:r>
      <w:r w:rsidRPr="00960A48">
        <w:t>of Employment, Education or ‘Hybrid’ Outcomes (Hybrid Outcomes are a combination of education and employment)</w:t>
      </w:r>
      <w:r>
        <w:t>:</w:t>
      </w:r>
    </w:p>
    <w:p w14:paraId="77A84A38" w14:textId="77777777" w:rsidR="00596374" w:rsidRDefault="00596374" w:rsidP="00596374">
      <w:pPr>
        <w:pStyle w:val="Normal18ptbefore"/>
        <w:numPr>
          <w:ilvl w:val="0"/>
          <w:numId w:val="28"/>
        </w:numPr>
        <w:spacing w:before="0" w:after="0"/>
      </w:pPr>
      <w:r w:rsidRPr="003F1F49">
        <w:t>A</w:t>
      </w:r>
      <w:r>
        <w:t>n</w:t>
      </w:r>
      <w:r w:rsidRPr="003F1F49">
        <w:t xml:space="preserve"> Employment Outcome is 12 cumulative weeks of </w:t>
      </w:r>
      <w:r>
        <w:t>e</w:t>
      </w:r>
      <w:r w:rsidRPr="003F1F49">
        <w:t xml:space="preserve">mployment where the </w:t>
      </w:r>
      <w:r>
        <w:t>e</w:t>
      </w:r>
      <w:r w:rsidRPr="003F1F49">
        <w:t xml:space="preserve">mployment </w:t>
      </w:r>
      <w:r>
        <w:t>has been</w:t>
      </w:r>
      <w:r w:rsidRPr="003F1F49">
        <w:t xml:space="preserve"> confirmed and </w:t>
      </w:r>
      <w:r>
        <w:t xml:space="preserve">is </w:t>
      </w:r>
      <w:r w:rsidRPr="003F1F49">
        <w:t xml:space="preserve">tracking during a </w:t>
      </w:r>
      <w:r>
        <w:t>p</w:t>
      </w:r>
      <w:r w:rsidRPr="003F1F49">
        <w:t>articipant’s Period of Service.</w:t>
      </w:r>
    </w:p>
    <w:p w14:paraId="0E344DE4" w14:textId="77777777" w:rsidR="00596374" w:rsidRDefault="00596374" w:rsidP="00596374">
      <w:pPr>
        <w:pStyle w:val="Normal18ptbefore"/>
        <w:numPr>
          <w:ilvl w:val="0"/>
          <w:numId w:val="28"/>
        </w:numPr>
        <w:spacing w:before="0" w:after="0"/>
      </w:pPr>
      <w:r w:rsidRPr="003F1F49">
        <w:t xml:space="preserve">A Hybrid Outcome is achieved where a </w:t>
      </w:r>
      <w:r>
        <w:t>p</w:t>
      </w:r>
      <w:r w:rsidRPr="003F1F49">
        <w:t xml:space="preserve">articipant </w:t>
      </w:r>
      <w:r>
        <w:t>has participated</w:t>
      </w:r>
      <w:r w:rsidRPr="003F1F49">
        <w:t xml:space="preserve"> for 12 </w:t>
      </w:r>
      <w:r w:rsidRPr="0033592A">
        <w:t>cumulative</w:t>
      </w:r>
      <w:r w:rsidRPr="003F1F49">
        <w:t xml:space="preserve"> weeks in a combination of </w:t>
      </w:r>
      <w:r>
        <w:t>e</w:t>
      </w:r>
      <w:r w:rsidRPr="003F1F49">
        <w:t xml:space="preserve">ducation and </w:t>
      </w:r>
      <w:r>
        <w:t>e</w:t>
      </w:r>
      <w:r w:rsidRPr="003F1F49">
        <w:t>mployment for no less than 25 hours on average per week</w:t>
      </w:r>
      <w:r>
        <w:t>.</w:t>
      </w:r>
    </w:p>
    <w:p w14:paraId="079CEDF0" w14:textId="77777777" w:rsidR="00596374" w:rsidRDefault="00596374" w:rsidP="00596374">
      <w:pPr>
        <w:pStyle w:val="Normal18ptbefore"/>
        <w:numPr>
          <w:ilvl w:val="0"/>
          <w:numId w:val="28"/>
        </w:numPr>
        <w:spacing w:before="0"/>
      </w:pPr>
      <w:r w:rsidRPr="00EC667C">
        <w:t xml:space="preserve">An Education Outcome is the </w:t>
      </w:r>
      <w:r w:rsidRPr="006A7BC5">
        <w:t xml:space="preserve">successful </w:t>
      </w:r>
      <w:r w:rsidRPr="00EC667C">
        <w:t xml:space="preserve">completion of Year 12, a Certificate III </w:t>
      </w:r>
      <w:r w:rsidRPr="006A7BC5">
        <w:t>or higher course</w:t>
      </w:r>
      <w:r>
        <w:t>,</w:t>
      </w:r>
      <w:r w:rsidRPr="006A7BC5">
        <w:t xml:space="preserve"> </w:t>
      </w:r>
      <w:r w:rsidRPr="00EC667C">
        <w:t>or participation in a qualifying education course</w:t>
      </w:r>
      <w:r>
        <w:t xml:space="preserve"> or program </w:t>
      </w:r>
      <w:r w:rsidRPr="006A7BC5">
        <w:t>full</w:t>
      </w:r>
      <w:r>
        <w:t>-</w:t>
      </w:r>
      <w:r w:rsidRPr="006A7BC5">
        <w:t xml:space="preserve">time </w:t>
      </w:r>
      <w:r>
        <w:t xml:space="preserve">for </w:t>
      </w:r>
      <w:r w:rsidRPr="006A7BC5">
        <w:t xml:space="preserve">26 consecutive </w:t>
      </w:r>
      <w:r>
        <w:t>week</w:t>
      </w:r>
      <w:r w:rsidRPr="006A7BC5">
        <w:t>s</w:t>
      </w:r>
      <w:r w:rsidRPr="00EC667C">
        <w:t>.</w:t>
      </w:r>
    </w:p>
    <w:p w14:paraId="2A60B5F4" w14:textId="77777777" w:rsidR="00596374" w:rsidRPr="00EC667C" w:rsidRDefault="00596374" w:rsidP="00596374">
      <w:r>
        <w:t>T</w:t>
      </w:r>
      <w:r w:rsidRPr="00EC667C">
        <w:t xml:space="preserve">he </w:t>
      </w:r>
      <w:r>
        <w:t>Outcome Performance T</w:t>
      </w:r>
      <w:r w:rsidRPr="00EC667C">
        <w:t xml:space="preserve">arget </w:t>
      </w:r>
      <w:r>
        <w:t>is</w:t>
      </w:r>
      <w:r w:rsidRPr="00EC667C">
        <w:t xml:space="preserve"> set at 25 per cent above the average employment and education outcome rates achieved </w:t>
      </w:r>
      <w:r>
        <w:t xml:space="preserve">for each region </w:t>
      </w:r>
      <w:r w:rsidRPr="00EC667C">
        <w:t xml:space="preserve">through jobactive. For example, in a region where a jobactive provider is achieving 100 outcomes, a </w:t>
      </w:r>
      <w:r>
        <w:t xml:space="preserve">TtW </w:t>
      </w:r>
      <w:r w:rsidRPr="00EC667C">
        <w:t xml:space="preserve">provider with the same caseload would be expected to achieve 125 outcomes. </w:t>
      </w:r>
    </w:p>
    <w:p w14:paraId="5B311A18" w14:textId="77777777" w:rsidR="00596374" w:rsidRPr="00EC667C" w:rsidRDefault="00596374" w:rsidP="00596374">
      <w:r w:rsidRPr="00EC667C">
        <w:t xml:space="preserve">To account for variations in labour market conditions the </w:t>
      </w:r>
      <w:r>
        <w:t>Outcome Performance T</w:t>
      </w:r>
      <w:r w:rsidRPr="00EC667C">
        <w:t xml:space="preserve">arget </w:t>
      </w:r>
      <w:r>
        <w:t>is</w:t>
      </w:r>
      <w:r w:rsidRPr="00EC667C">
        <w:t xml:space="preserve"> calculated separately for each of the 51 Employment Regions</w:t>
      </w:r>
      <w:r>
        <w:t>.</w:t>
      </w:r>
    </w:p>
    <w:p w14:paraId="05C2FD5D" w14:textId="77777777" w:rsidR="00596374" w:rsidRDefault="00596374" w:rsidP="00596374">
      <w:pPr>
        <w:rPr>
          <w:b/>
          <w:lang w:eastAsia="en-AU"/>
        </w:rPr>
      </w:pPr>
      <w:r w:rsidRPr="00EC667C">
        <w:t xml:space="preserve">In the first year, performance targets </w:t>
      </w:r>
      <w:r w:rsidR="003327DC">
        <w:t>are</w:t>
      </w:r>
      <w:r w:rsidRPr="00EC667C">
        <w:t xml:space="preserve"> set using three</w:t>
      </w:r>
      <w:r>
        <w:t>-</w:t>
      </w:r>
      <w:r w:rsidRPr="00EC667C">
        <w:t>year average outcome rates from Job Services Australia</w:t>
      </w:r>
      <w:r>
        <w:t xml:space="preserve"> (JSA)</w:t>
      </w:r>
      <w:r w:rsidRPr="00EC667C">
        <w:t xml:space="preserve"> and, when available, jobactive comparable data. The first year performance targets </w:t>
      </w:r>
      <w:r>
        <w:t>are</w:t>
      </w:r>
      <w:r w:rsidRPr="00EC667C">
        <w:t xml:space="preserve"> lower than subsequent years, reflecting the shorter period of operation.</w:t>
      </w:r>
      <w:r w:rsidRPr="00EC667C">
        <w:rPr>
          <w:b/>
          <w:lang w:eastAsia="en-AU"/>
        </w:rPr>
        <w:t xml:space="preserve"> </w:t>
      </w:r>
    </w:p>
    <w:p w14:paraId="247E88D1" w14:textId="77777777" w:rsidR="00596374" w:rsidRDefault="00B07EFA" w:rsidP="00596374">
      <w:pPr>
        <w:pStyle w:val="Heading2"/>
        <w:numPr>
          <w:ilvl w:val="1"/>
          <w:numId w:val="26"/>
        </w:numPr>
        <w:ind w:hanging="792"/>
      </w:pPr>
      <w:bookmarkStart w:id="6" w:name="_Toc469333754"/>
      <w:r>
        <w:t>Payments to P</w:t>
      </w:r>
      <w:r w:rsidR="00596374">
        <w:t>roviders</w:t>
      </w:r>
      <w:bookmarkEnd w:id="6"/>
    </w:p>
    <w:p w14:paraId="25537DF6" w14:textId="77777777" w:rsidR="00596374" w:rsidRPr="00EC667C" w:rsidRDefault="00596374" w:rsidP="00596374">
      <w:r w:rsidRPr="00EC667C">
        <w:t xml:space="preserve">The payment structure for </w:t>
      </w:r>
      <w:r>
        <w:t xml:space="preserve">TtW </w:t>
      </w:r>
      <w:r w:rsidRPr="00EC667C">
        <w:t>includes both an upfront payment and additional outcome payments to drive high performance. There are three elements to the payments providers can receive:</w:t>
      </w:r>
    </w:p>
    <w:p w14:paraId="0F141D83" w14:textId="77777777" w:rsidR="00596374" w:rsidRPr="00EC667C" w:rsidRDefault="00596374" w:rsidP="00596374">
      <w:pPr>
        <w:pStyle w:val="Normal18ptbefore"/>
        <w:numPr>
          <w:ilvl w:val="0"/>
          <w:numId w:val="28"/>
        </w:numPr>
        <w:spacing w:before="0" w:after="0"/>
      </w:pPr>
      <w:r w:rsidRPr="00EC667C">
        <w:t>an upfront</w:t>
      </w:r>
      <w:r>
        <w:t xml:space="preserve"> payment of $5,</w:t>
      </w:r>
      <w:r w:rsidRPr="00EC667C">
        <w:t xml:space="preserve">300 per place per annum paid on a quarterly basis with the requirement that </w:t>
      </w:r>
      <w:r w:rsidRPr="00B005AF">
        <w:t>an Outcome Performance Target will be achieved</w:t>
      </w:r>
    </w:p>
    <w:p w14:paraId="11BCE796" w14:textId="77777777" w:rsidR="00596374" w:rsidRPr="00EC667C" w:rsidRDefault="00596374" w:rsidP="00596374">
      <w:pPr>
        <w:pStyle w:val="Normal18ptbefore"/>
        <w:numPr>
          <w:ilvl w:val="0"/>
          <w:numId w:val="28"/>
        </w:numPr>
        <w:spacing w:before="0" w:after="0"/>
      </w:pPr>
      <w:r w:rsidRPr="00EC667C">
        <w:t>a Bonus Outc</w:t>
      </w:r>
      <w:r>
        <w:t>ome Payment of $3,</w:t>
      </w:r>
      <w:r w:rsidRPr="00EC667C">
        <w:t>500 for every</w:t>
      </w:r>
      <w:r>
        <w:t xml:space="preserve"> </w:t>
      </w:r>
      <w:r w:rsidRPr="00B005AF">
        <w:t xml:space="preserve">Outcome achieved above the Outcome Performance Target which is paid as </w:t>
      </w:r>
      <w:r>
        <w:t>o</w:t>
      </w:r>
      <w:r w:rsidRPr="00B005AF">
        <w:t>utcomes are achieved</w:t>
      </w:r>
    </w:p>
    <w:p w14:paraId="170D136D" w14:textId="77777777" w:rsidR="00596374" w:rsidRDefault="00596374" w:rsidP="00596374">
      <w:pPr>
        <w:pStyle w:val="Normal18ptbefore"/>
        <w:numPr>
          <w:ilvl w:val="0"/>
          <w:numId w:val="28"/>
        </w:numPr>
        <w:spacing w:before="0"/>
        <w:ind w:left="714" w:hanging="357"/>
      </w:pPr>
      <w:r w:rsidRPr="00EC667C">
        <w:t>a Susta</w:t>
      </w:r>
      <w:r>
        <w:t>inability Outcome Payment of $3,</w:t>
      </w:r>
      <w:r w:rsidRPr="00EC667C">
        <w:t>500 for every 26 week</w:t>
      </w:r>
      <w:r>
        <w:t xml:space="preserve"> </w:t>
      </w:r>
      <w:r w:rsidRPr="00B005AF">
        <w:t xml:space="preserve">Outcome which is paid as </w:t>
      </w:r>
      <w:r>
        <w:t>o</w:t>
      </w:r>
      <w:r w:rsidRPr="00B005AF">
        <w:t>utcomes are achieved.</w:t>
      </w:r>
    </w:p>
    <w:p w14:paraId="6BAEFD55" w14:textId="77777777" w:rsidR="00596374" w:rsidRPr="001B6575" w:rsidRDefault="00596374" w:rsidP="00596374">
      <w:pPr>
        <w:rPr>
          <w:rFonts w:ascii="Calibri" w:hAnsi="Calibri" w:cs="Calibri"/>
        </w:rPr>
      </w:pPr>
      <w:r w:rsidRPr="009E1DF7">
        <w:rPr>
          <w:rFonts w:ascii="Calibri" w:hAnsi="Calibri" w:cs="Calibri"/>
        </w:rPr>
        <w:t xml:space="preserve">Sustainability Outcomes </w:t>
      </w:r>
      <w:r w:rsidRPr="001B6575">
        <w:rPr>
          <w:rFonts w:ascii="Calibri" w:hAnsi="Calibri" w:cs="Calibri"/>
        </w:rPr>
        <w:t xml:space="preserve">are Employment and Hybrid Outcomes over 14 consecutive weeks which follow a 12 </w:t>
      </w:r>
      <w:r w:rsidRPr="009E1DF7">
        <w:rPr>
          <w:rFonts w:ascii="Calibri" w:hAnsi="Calibri" w:cs="Calibri"/>
        </w:rPr>
        <w:t>week Employment or Hybrid O</w:t>
      </w:r>
      <w:r w:rsidRPr="001B6575">
        <w:rPr>
          <w:rFonts w:ascii="Calibri" w:hAnsi="Calibri" w:cs="Calibri"/>
        </w:rPr>
        <w:t xml:space="preserve">utcome. </w:t>
      </w:r>
    </w:p>
    <w:p w14:paraId="3339A3AF" w14:textId="77777777" w:rsidR="00596374" w:rsidRPr="00C648C7" w:rsidRDefault="00596374" w:rsidP="00596374">
      <w:pPr>
        <w:rPr>
          <w:b/>
          <w:lang w:eastAsia="en-AU"/>
        </w:rPr>
      </w:pPr>
      <w:r w:rsidRPr="004A6E85">
        <w:rPr>
          <w:rFonts w:ascii="Calibri" w:hAnsi="Calibri" w:cs="Calibri"/>
        </w:rPr>
        <w:t xml:space="preserve">The </w:t>
      </w:r>
      <w:r>
        <w:rPr>
          <w:rFonts w:ascii="Calibri" w:hAnsi="Calibri" w:cs="Calibri"/>
        </w:rPr>
        <w:t>u</w:t>
      </w:r>
      <w:r w:rsidRPr="004A6E85">
        <w:rPr>
          <w:rFonts w:ascii="Calibri" w:hAnsi="Calibri" w:cs="Calibri"/>
        </w:rPr>
        <w:t xml:space="preserve">pfront </w:t>
      </w:r>
      <w:r>
        <w:rPr>
          <w:rFonts w:ascii="Calibri" w:hAnsi="Calibri" w:cs="Calibri"/>
        </w:rPr>
        <w:t>p</w:t>
      </w:r>
      <w:r w:rsidRPr="004A6E85">
        <w:rPr>
          <w:rFonts w:ascii="Calibri" w:hAnsi="Calibri" w:cs="Calibri"/>
        </w:rPr>
        <w:t xml:space="preserve">ayment is designed to allow </w:t>
      </w:r>
      <w:r>
        <w:rPr>
          <w:rFonts w:ascii="Calibri" w:hAnsi="Calibri" w:cs="Calibri"/>
        </w:rPr>
        <w:t>p</w:t>
      </w:r>
      <w:r w:rsidRPr="004A6E85">
        <w:rPr>
          <w:rFonts w:ascii="Calibri" w:hAnsi="Calibri" w:cs="Calibri"/>
        </w:rPr>
        <w:t xml:space="preserve">roviders to fund services or activities that support </w:t>
      </w:r>
      <w:r>
        <w:rPr>
          <w:rFonts w:ascii="Calibri" w:hAnsi="Calibri" w:cs="Calibri"/>
        </w:rPr>
        <w:t>p</w:t>
      </w:r>
      <w:r w:rsidRPr="004A6E85">
        <w:rPr>
          <w:rFonts w:ascii="Calibri" w:hAnsi="Calibri" w:cs="Calibri"/>
        </w:rPr>
        <w:t>articipant</w:t>
      </w:r>
      <w:r w:rsidR="00B43F85">
        <w:rPr>
          <w:rFonts w:ascii="Calibri" w:hAnsi="Calibri" w:cs="Calibri"/>
        </w:rPr>
        <w:t>s</w:t>
      </w:r>
      <w:r w:rsidRPr="004A6E85">
        <w:rPr>
          <w:rFonts w:ascii="Calibri" w:hAnsi="Calibri" w:cs="Calibri"/>
        </w:rPr>
        <w:t xml:space="preserve"> to gain employment, participate in education and increase work readiness.</w:t>
      </w:r>
    </w:p>
    <w:p w14:paraId="45494984" w14:textId="77777777" w:rsidR="00596374" w:rsidRDefault="00596374" w:rsidP="00596374">
      <w:pPr>
        <w:pStyle w:val="Heading2"/>
        <w:numPr>
          <w:ilvl w:val="1"/>
          <w:numId w:val="26"/>
        </w:numPr>
        <w:ind w:hanging="792"/>
      </w:pPr>
      <w:bookmarkStart w:id="7" w:name="_Toc469333755"/>
      <w:r>
        <w:t xml:space="preserve">Implementation of the </w:t>
      </w:r>
      <w:r w:rsidR="00B07EFA">
        <w:t>TtW S</w:t>
      </w:r>
      <w:r>
        <w:t>ervice</w:t>
      </w:r>
      <w:bookmarkEnd w:id="7"/>
    </w:p>
    <w:p w14:paraId="279617BC" w14:textId="77777777" w:rsidR="00596374" w:rsidRDefault="00596374" w:rsidP="00596374">
      <w:r>
        <w:t xml:space="preserve">The TtW service commenced </w:t>
      </w:r>
      <w:r w:rsidR="00EC0AA4">
        <w:t>in</w:t>
      </w:r>
      <w:r>
        <w:t xml:space="preserve"> February 2016 in the first seven employment regions, with rolling commencements in the remaining employment regions up </w:t>
      </w:r>
      <w:r w:rsidR="00EC0AA4">
        <w:t xml:space="preserve">to </w:t>
      </w:r>
      <w:r>
        <w:t xml:space="preserve">April 2016. TtW Deeds are </w:t>
      </w:r>
      <w:r w:rsidR="00EC0AA4">
        <w:t xml:space="preserve">to be </w:t>
      </w:r>
      <w:r>
        <w:t>offered up until 26 June 2020, with an option to extend for a further two years from 1 July 2020 to 24 June 2022.</w:t>
      </w:r>
    </w:p>
    <w:p w14:paraId="4419456A" w14:textId="77777777" w:rsidR="00596374" w:rsidRPr="00596374" w:rsidRDefault="00596374" w:rsidP="00596374">
      <w:pPr>
        <w:rPr>
          <w:rStyle w:val="Heading7Char"/>
          <w:i w:val="0"/>
        </w:rPr>
      </w:pPr>
      <w:r>
        <w:t>To support the commencement of TtW, each provider received transition participants from jobactive in the first three months following the Service Start Date for each Employment Region. The Department advised jobactive providers which participants were eligible for TtW and then worked with jobactive providers to determine which participants (based on the needs of the individual) were best suited for moving to TtW, for example, by offering flexibility for those participants who were actively progressing towards achieving an employment or education outcome in jobactive.</w:t>
      </w:r>
    </w:p>
    <w:p w14:paraId="1888BD3D" w14:textId="77777777" w:rsidR="00596374" w:rsidRDefault="00596374" w:rsidP="00596374">
      <w:pPr>
        <w:sectPr w:rsidR="00596374" w:rsidSect="00C27AA5">
          <w:headerReference w:type="default" r:id="rId20"/>
          <w:footerReference w:type="default" r:id="rId21"/>
          <w:type w:val="continuous"/>
          <w:pgSz w:w="11906" w:h="16838"/>
          <w:pgMar w:top="1985" w:right="1440" w:bottom="1440" w:left="1440" w:header="708" w:footer="1011" w:gutter="0"/>
          <w:pgNumType w:start="0"/>
          <w:cols w:space="708"/>
          <w:docGrid w:linePitch="360"/>
        </w:sectPr>
      </w:pPr>
    </w:p>
    <w:p w14:paraId="50D09CCF" w14:textId="77777777" w:rsidR="00BE5008" w:rsidRDefault="00BE5008" w:rsidP="00BE5008">
      <w:pPr>
        <w:pStyle w:val="Heading1"/>
      </w:pPr>
      <w:bookmarkStart w:id="8" w:name="_Toc469333756"/>
      <w:r>
        <w:t>Evaluation of Transition to Work</w:t>
      </w:r>
      <w:bookmarkEnd w:id="8"/>
    </w:p>
    <w:p w14:paraId="6E1C8E42" w14:textId="77777777" w:rsidR="00596374" w:rsidRDefault="00596374" w:rsidP="00596374">
      <w:r>
        <w:t>Program evaluation contributes to the Australian Government’s transparency and accountability agenda, informing future policy development, and to driving continuous improvement and innovation. With the implementation of th</w:t>
      </w:r>
      <w:r w:rsidRPr="005E5570">
        <w:t xml:space="preserve">e </w:t>
      </w:r>
      <w:r>
        <w:t>e</w:t>
      </w:r>
      <w:r w:rsidRPr="005E5570">
        <w:t xml:space="preserve">nhanced Commonwealth </w:t>
      </w:r>
      <w:r>
        <w:t>p</w:t>
      </w:r>
      <w:r w:rsidRPr="005E5570">
        <w:t xml:space="preserve">erformance </w:t>
      </w:r>
      <w:r>
        <w:t>f</w:t>
      </w:r>
      <w:r w:rsidRPr="005E5570">
        <w:t>ramework</w:t>
      </w:r>
      <w:r>
        <w:t xml:space="preserve"> in July 2015 under the requirements stipulated within the </w:t>
      </w:r>
      <w:r w:rsidRPr="00596374">
        <w:rPr>
          <w:i/>
        </w:rPr>
        <w:t>PGPA Act</w:t>
      </w:r>
      <w:r>
        <w:t>, evidence generated from evaluations can also be used to support</w:t>
      </w:r>
      <w:r w:rsidR="005F1FD6">
        <w:t xml:space="preserve"> </w:t>
      </w:r>
      <w:r>
        <w:t xml:space="preserve">performance reporting in </w:t>
      </w:r>
      <w:r w:rsidRPr="008C13C1">
        <w:t>annual performance statements</w:t>
      </w:r>
      <w:r>
        <w:t xml:space="preserve">. To that end, the evaluation of TtW focuses on supporting continuous improvement for the service, and assessing how effectively and efficiently the service meets its objectives. </w:t>
      </w:r>
    </w:p>
    <w:p w14:paraId="588A6ABE" w14:textId="77777777" w:rsidR="00996B52" w:rsidRDefault="00596374" w:rsidP="00996B52">
      <w:r w:rsidRPr="00C94295">
        <w:t>Given the recency and new features of TtW, in addition to the routine element of summative evaluation which focuses on outcomes, a formative evaluation element that examines service implementation and operational processes will assist ongoing improvement of TtW</w:t>
      </w:r>
      <w:bookmarkStart w:id="9" w:name="_Toc469329287"/>
      <w:bookmarkEnd w:id="9"/>
      <w:r w:rsidR="005F1FD6">
        <w:t>.</w:t>
      </w:r>
    </w:p>
    <w:p w14:paraId="512DE319" w14:textId="77777777" w:rsidR="007134DE" w:rsidRDefault="001B74B8" w:rsidP="001B74B8">
      <w:pPr>
        <w:pStyle w:val="Heading2"/>
      </w:pPr>
      <w:bookmarkStart w:id="10" w:name="_Toc469331516"/>
      <w:bookmarkStart w:id="11" w:name="_Toc469333757"/>
      <w:bookmarkEnd w:id="10"/>
      <w:r>
        <w:t>Evaluation Outline</w:t>
      </w:r>
      <w:bookmarkEnd w:id="11"/>
    </w:p>
    <w:p w14:paraId="686E1B62" w14:textId="77777777" w:rsidR="001B74B8" w:rsidRDefault="001B74B8" w:rsidP="001B74B8">
      <w:r>
        <w:t>In line with the</w:t>
      </w:r>
      <w:r w:rsidR="00B43F85">
        <w:t xml:space="preserve"> </w:t>
      </w:r>
      <w:r>
        <w:t>dual objectives, the TtW evaluation will be conducted in two stages. Stage one will focus on examining the service implementation processes, operational parameters and participant engagement with findings presented in an Interim Evaluation Report. With a longer operational time period and more administrative data available, stage two will focus on assessing service effectiveness, efficiency, service quality and identifying good practice, resulting in the Final Evaluation Report.</w:t>
      </w:r>
    </w:p>
    <w:p w14:paraId="631D6E9E" w14:textId="77777777" w:rsidR="001B74B8" w:rsidRDefault="001B74B8" w:rsidP="001B74B8">
      <w:r>
        <w:t>The two stages of the evaluation are further outlined below by key evaluation questions, subordinate elements or associated indicators.</w:t>
      </w:r>
    </w:p>
    <w:p w14:paraId="7B299270" w14:textId="77777777" w:rsidR="001B74B8" w:rsidRPr="00404F5B" w:rsidRDefault="001B74B8" w:rsidP="00B07EFA">
      <w:pPr>
        <w:pStyle w:val="Heading3"/>
      </w:pPr>
      <w:bookmarkStart w:id="12" w:name="_Toc437243157"/>
      <w:bookmarkStart w:id="13" w:name="_Toc437252552"/>
      <w:r w:rsidRPr="00404F5B">
        <w:t>Stage one</w:t>
      </w:r>
      <w:bookmarkEnd w:id="12"/>
      <w:bookmarkEnd w:id="13"/>
    </w:p>
    <w:p w14:paraId="04E3DA3D" w14:textId="77777777" w:rsidR="001B74B8" w:rsidRDefault="001B74B8" w:rsidP="001B74B8">
      <w:r>
        <w:t xml:space="preserve">Stage one of the evaluation is </w:t>
      </w:r>
      <w:r w:rsidR="00EC0AA4">
        <w:t xml:space="preserve">to be </w:t>
      </w:r>
      <w:r>
        <w:t>conducted early in the operation of TtW. The evaluation is largely formative in nature</w:t>
      </w:r>
      <w:r w:rsidR="00F858D7">
        <w:t>,</w:t>
      </w:r>
      <w:r>
        <w:t xml:space="preserve"> and focuses on the service implementation and operational processes and the initial stage of job seeker participation. Although outcomes will be examined, the analysis can realistically only provide a tentative assessment due to the </w:t>
      </w:r>
      <w:r w:rsidR="00B36FDF">
        <w:t xml:space="preserve">short period of TtW operation and limited </w:t>
      </w:r>
      <w:r w:rsidR="0021045D">
        <w:t xml:space="preserve">availability of </w:t>
      </w:r>
      <w:r w:rsidR="00B36FDF">
        <w:t xml:space="preserve">outcome </w:t>
      </w:r>
      <w:r>
        <w:t>data.</w:t>
      </w:r>
    </w:p>
    <w:p w14:paraId="3437F9E7" w14:textId="77777777" w:rsidR="001B74B8" w:rsidRDefault="001B74B8" w:rsidP="001B74B8">
      <w:r>
        <w:t xml:space="preserve">Analyses in stage one are based </w:t>
      </w:r>
      <w:r w:rsidR="00EC0AA4">
        <w:t xml:space="preserve">mainly </w:t>
      </w:r>
      <w:r>
        <w:t xml:space="preserve">on qualitative research of participants, providers and other key stakeholders. Quantitative analysis will be conducted using administrative data </w:t>
      </w:r>
      <w:r w:rsidR="0021045D">
        <w:t xml:space="preserve">available </w:t>
      </w:r>
      <w:r>
        <w:t xml:space="preserve">for the first </w:t>
      </w:r>
      <w:r w:rsidR="00E00E7E">
        <w:t>ten</w:t>
      </w:r>
      <w:r>
        <w:t xml:space="preserve"> months of the service being fully operational. The Interim Evaluation Report is expected to address the following questions:</w:t>
      </w:r>
    </w:p>
    <w:p w14:paraId="627ADF0B" w14:textId="77777777" w:rsidR="001B74B8" w:rsidRDefault="001B74B8">
      <w:r>
        <w:br w:type="page"/>
      </w:r>
    </w:p>
    <w:p w14:paraId="1ECB97D1" w14:textId="77777777" w:rsidR="001B74B8" w:rsidRDefault="001B74B8" w:rsidP="001B74B8">
      <w:pPr>
        <w:rPr>
          <w:b/>
        </w:rPr>
      </w:pPr>
      <w:r w:rsidRPr="00EA460F">
        <w:rPr>
          <w:b/>
        </w:rPr>
        <w:t>Question 1</w:t>
      </w:r>
      <w:r>
        <w:rPr>
          <w:b/>
        </w:rPr>
        <w:t>.1</w:t>
      </w:r>
      <w:r w:rsidRPr="00EA460F">
        <w:rPr>
          <w:b/>
        </w:rPr>
        <w:t>:</w:t>
      </w:r>
      <w:r>
        <w:rPr>
          <w:b/>
        </w:rPr>
        <w:t xml:space="preserve"> To what extent do the service implementation and operational processes enable effective and efficient service delivery?</w:t>
      </w:r>
    </w:p>
    <w:p w14:paraId="038BF935" w14:textId="77777777" w:rsidR="001B74B8" w:rsidDel="00CC6D12" w:rsidRDefault="001B74B8" w:rsidP="001B74B8">
      <w:pPr>
        <w:rPr>
          <w:b/>
        </w:rPr>
      </w:pPr>
      <w:r>
        <w:rPr>
          <w:b/>
        </w:rPr>
        <w:t>Key service elements/indicators:</w:t>
      </w:r>
    </w:p>
    <w:p w14:paraId="2BE41649" w14:textId="77777777" w:rsidR="001B74B8" w:rsidRDefault="001B74B8" w:rsidP="001B74B8">
      <w:pPr>
        <w:pStyle w:val="Normal18ptbefore"/>
        <w:numPr>
          <w:ilvl w:val="0"/>
          <w:numId w:val="32"/>
        </w:numPr>
        <w:spacing w:before="0" w:after="0"/>
      </w:pPr>
      <w:r>
        <w:t>implementation planning</w:t>
      </w:r>
    </w:p>
    <w:p w14:paraId="6837B28D" w14:textId="77777777" w:rsidR="001B74B8" w:rsidRPr="00AC4F78" w:rsidRDefault="001B74B8" w:rsidP="001B74B8">
      <w:pPr>
        <w:pStyle w:val="Normal18ptbefore"/>
        <w:numPr>
          <w:ilvl w:val="0"/>
          <w:numId w:val="32"/>
        </w:numPr>
        <w:spacing w:before="0" w:after="0"/>
      </w:pPr>
      <w:r>
        <w:t>p</w:t>
      </w:r>
      <w:r w:rsidRPr="00AC4F78">
        <w:t>hased roll-out</w:t>
      </w:r>
    </w:p>
    <w:p w14:paraId="3BC9C8BA" w14:textId="77777777" w:rsidR="001B74B8" w:rsidRDefault="001B74B8" w:rsidP="001B74B8">
      <w:pPr>
        <w:pStyle w:val="Normal18ptbefore"/>
        <w:numPr>
          <w:ilvl w:val="0"/>
          <w:numId w:val="32"/>
        </w:numPr>
        <w:spacing w:before="0" w:after="0"/>
      </w:pPr>
      <w:r>
        <w:t>operational processes</w:t>
      </w:r>
    </w:p>
    <w:p w14:paraId="47266AED" w14:textId="77777777" w:rsidR="001B74B8" w:rsidRDefault="001B74B8" w:rsidP="001B74B8">
      <w:pPr>
        <w:pStyle w:val="Normal18ptbefore"/>
        <w:numPr>
          <w:ilvl w:val="0"/>
          <w:numId w:val="32"/>
        </w:numPr>
        <w:spacing w:before="0" w:after="0"/>
      </w:pPr>
      <w:r>
        <w:t>service appropriateness</w:t>
      </w:r>
    </w:p>
    <w:p w14:paraId="27E0DA65" w14:textId="77777777" w:rsidR="001B74B8" w:rsidRDefault="001B74B8" w:rsidP="001B74B8">
      <w:pPr>
        <w:pStyle w:val="Normal18ptbefore"/>
        <w:numPr>
          <w:ilvl w:val="0"/>
          <w:numId w:val="32"/>
        </w:numPr>
        <w:spacing w:before="0" w:after="0"/>
      </w:pPr>
      <w:r>
        <w:t>standard of service (under Service Delivery Plans)</w:t>
      </w:r>
    </w:p>
    <w:p w14:paraId="7827156D" w14:textId="77777777" w:rsidR="001B74B8" w:rsidRPr="00AD5C8C" w:rsidRDefault="001B74B8" w:rsidP="001B74B8">
      <w:pPr>
        <w:pStyle w:val="Normal18ptbefore"/>
        <w:numPr>
          <w:ilvl w:val="0"/>
          <w:numId w:val="32"/>
        </w:numPr>
        <w:spacing w:before="0"/>
      </w:pPr>
      <w:r>
        <w:t>interactions of key parties.</w:t>
      </w:r>
    </w:p>
    <w:p w14:paraId="0E6DF468" w14:textId="77777777" w:rsidR="001B74B8" w:rsidRPr="00AD5C8C" w:rsidRDefault="001B74B8" w:rsidP="001B74B8">
      <w:pPr>
        <w:rPr>
          <w:b/>
        </w:rPr>
      </w:pPr>
      <w:r w:rsidRPr="00AD5C8C">
        <w:rPr>
          <w:b/>
        </w:rPr>
        <w:t>Question 1.2: How efficient</w:t>
      </w:r>
      <w:r>
        <w:rPr>
          <w:b/>
        </w:rPr>
        <w:t>ly</w:t>
      </w:r>
      <w:r w:rsidRPr="00AD5C8C">
        <w:rPr>
          <w:b/>
        </w:rPr>
        <w:t xml:space="preserve"> and effective</w:t>
      </w:r>
      <w:r>
        <w:rPr>
          <w:b/>
        </w:rPr>
        <w:t>ly</w:t>
      </w:r>
      <w:r w:rsidRPr="00AD5C8C">
        <w:rPr>
          <w:b/>
        </w:rPr>
        <w:t xml:space="preserve"> does the </w:t>
      </w:r>
      <w:r>
        <w:rPr>
          <w:b/>
        </w:rPr>
        <w:t>service engage and retain p</w:t>
      </w:r>
      <w:r w:rsidRPr="00AD5C8C">
        <w:rPr>
          <w:b/>
        </w:rPr>
        <w:t>articipants?</w:t>
      </w:r>
    </w:p>
    <w:p w14:paraId="2B45EC5C" w14:textId="77777777" w:rsidR="001B74B8" w:rsidRPr="002D0AF6" w:rsidRDefault="001B74B8" w:rsidP="001B74B8">
      <w:pPr>
        <w:rPr>
          <w:b/>
        </w:rPr>
      </w:pPr>
      <w:r w:rsidRPr="000D6864">
        <w:rPr>
          <w:b/>
        </w:rPr>
        <w:t xml:space="preserve">Key </w:t>
      </w:r>
      <w:r>
        <w:rPr>
          <w:b/>
        </w:rPr>
        <w:t>indicators:</w:t>
      </w:r>
    </w:p>
    <w:p w14:paraId="34895034" w14:textId="77777777" w:rsidR="001B74B8" w:rsidRDefault="001B74B8" w:rsidP="001B74B8">
      <w:pPr>
        <w:pStyle w:val="Normal18ptbefore"/>
        <w:numPr>
          <w:ilvl w:val="0"/>
          <w:numId w:val="37"/>
        </w:numPr>
        <w:spacing w:before="0" w:after="0"/>
      </w:pPr>
      <w:r>
        <w:t xml:space="preserve">number of participant commencements relative to number of funded places </w:t>
      </w:r>
    </w:p>
    <w:p w14:paraId="12D69902" w14:textId="77777777" w:rsidR="001B74B8" w:rsidRDefault="001B74B8" w:rsidP="001B74B8">
      <w:pPr>
        <w:pStyle w:val="Normal18ptbefore"/>
        <w:numPr>
          <w:ilvl w:val="0"/>
          <w:numId w:val="37"/>
        </w:numPr>
        <w:spacing w:before="0" w:after="0"/>
      </w:pPr>
      <w:r>
        <w:t>characteristics of participants</w:t>
      </w:r>
    </w:p>
    <w:p w14:paraId="4DB8AB75" w14:textId="77777777" w:rsidR="001B74B8" w:rsidRDefault="001B74B8" w:rsidP="001B74B8">
      <w:pPr>
        <w:pStyle w:val="Normal18ptbefore"/>
        <w:numPr>
          <w:ilvl w:val="0"/>
          <w:numId w:val="37"/>
        </w:numPr>
        <w:spacing w:before="0" w:after="0"/>
      </w:pPr>
      <w:r>
        <w:t>time between referral and commencement</w:t>
      </w:r>
    </w:p>
    <w:p w14:paraId="40967727" w14:textId="77777777" w:rsidR="001B74B8" w:rsidRPr="00D50D94" w:rsidRDefault="001B74B8" w:rsidP="001B74B8">
      <w:pPr>
        <w:pStyle w:val="Normal18ptbefore"/>
        <w:numPr>
          <w:ilvl w:val="0"/>
          <w:numId w:val="37"/>
        </w:numPr>
        <w:spacing w:before="0" w:after="0"/>
      </w:pPr>
      <w:r w:rsidRPr="00D50D94">
        <w:t>appointment and activity attendance rates (if available)</w:t>
      </w:r>
    </w:p>
    <w:p w14:paraId="6765F03A" w14:textId="77777777" w:rsidR="001B74B8" w:rsidRDefault="001B74B8" w:rsidP="001B74B8">
      <w:pPr>
        <w:pStyle w:val="Normal18ptbefore"/>
        <w:numPr>
          <w:ilvl w:val="0"/>
          <w:numId w:val="37"/>
        </w:numPr>
        <w:spacing w:before="0"/>
      </w:pPr>
      <w:r>
        <w:t>exit rates (and reasons).</w:t>
      </w:r>
    </w:p>
    <w:p w14:paraId="4CBDD1D6" w14:textId="77777777" w:rsidR="001B74B8" w:rsidRDefault="001B74B8" w:rsidP="001B74B8">
      <w:pPr>
        <w:rPr>
          <w:b/>
        </w:rPr>
      </w:pPr>
      <w:r>
        <w:rPr>
          <w:b/>
        </w:rPr>
        <w:t>Question 1.3</w:t>
      </w:r>
      <w:r w:rsidRPr="00EA460F">
        <w:rPr>
          <w:b/>
        </w:rPr>
        <w:t xml:space="preserve">: </w:t>
      </w:r>
      <w:r w:rsidR="001307E8">
        <w:rPr>
          <w:b/>
        </w:rPr>
        <w:t>Do early employment and education outcomes</w:t>
      </w:r>
      <w:r w:rsidR="00CF5CDD">
        <w:rPr>
          <w:b/>
        </w:rPr>
        <w:t xml:space="preserve"> indicate </w:t>
      </w:r>
      <w:r w:rsidR="00A92FFA">
        <w:rPr>
          <w:b/>
        </w:rPr>
        <w:t xml:space="preserve">participants </w:t>
      </w:r>
      <w:r w:rsidR="005268D8">
        <w:rPr>
          <w:b/>
        </w:rPr>
        <w:t xml:space="preserve">are </w:t>
      </w:r>
      <w:r w:rsidR="00A92FFA">
        <w:rPr>
          <w:b/>
        </w:rPr>
        <w:t>benefit</w:t>
      </w:r>
      <w:r w:rsidR="005268D8">
        <w:rPr>
          <w:b/>
        </w:rPr>
        <w:t>ing</w:t>
      </w:r>
      <w:r w:rsidR="004D4FA3">
        <w:rPr>
          <w:b/>
        </w:rPr>
        <w:t xml:space="preserve"> from TtW? </w:t>
      </w:r>
      <w:r w:rsidR="00CF5CDD">
        <w:rPr>
          <w:b/>
        </w:rPr>
        <w:t xml:space="preserve"> </w:t>
      </w:r>
    </w:p>
    <w:p w14:paraId="2927E6BF" w14:textId="77777777" w:rsidR="001B74B8" w:rsidRDefault="001B74B8" w:rsidP="001B74B8">
      <w:pPr>
        <w:rPr>
          <w:b/>
        </w:rPr>
      </w:pPr>
      <w:r>
        <w:rPr>
          <w:b/>
        </w:rPr>
        <w:t>Key indicators:</w:t>
      </w:r>
    </w:p>
    <w:p w14:paraId="7ACBE55B" w14:textId="77777777" w:rsidR="001B74B8" w:rsidRDefault="001B74B8" w:rsidP="001B74B8">
      <w:pPr>
        <w:pStyle w:val="Normal18ptbefore"/>
        <w:numPr>
          <w:ilvl w:val="0"/>
          <w:numId w:val="36"/>
        </w:numPr>
        <w:spacing w:before="0" w:after="0"/>
      </w:pPr>
      <w:r>
        <w:t>proportion of participants placed in employment or education</w:t>
      </w:r>
    </w:p>
    <w:p w14:paraId="7B2AC832" w14:textId="77777777" w:rsidR="001B74B8" w:rsidRDefault="001B74B8" w:rsidP="001B74B8">
      <w:pPr>
        <w:pStyle w:val="Normal18ptbefore"/>
        <w:numPr>
          <w:ilvl w:val="0"/>
          <w:numId w:val="36"/>
        </w:numPr>
        <w:spacing w:before="0" w:after="0"/>
      </w:pPr>
      <w:r>
        <w:t>number of 12 week outcomes against the set performance targets</w:t>
      </w:r>
    </w:p>
    <w:p w14:paraId="334F14FC" w14:textId="77777777" w:rsidR="001B74B8" w:rsidRDefault="001B74B8" w:rsidP="00404F5B">
      <w:pPr>
        <w:pStyle w:val="Normal18ptbefore"/>
        <w:numPr>
          <w:ilvl w:val="0"/>
          <w:numId w:val="36"/>
        </w:numPr>
        <w:spacing w:before="0"/>
        <w:ind w:left="714" w:hanging="357"/>
      </w:pPr>
      <w:r>
        <w:t>proportion of participants leaving income support or with reduced income support reliance as compared to the proportion of similar cohorts in other employment services.</w:t>
      </w:r>
    </w:p>
    <w:p w14:paraId="7BE4D3E5" w14:textId="77777777" w:rsidR="001B74B8" w:rsidRPr="00404F5B" w:rsidRDefault="001B74B8" w:rsidP="00B07EFA">
      <w:pPr>
        <w:pStyle w:val="Heading3"/>
      </w:pPr>
      <w:bookmarkStart w:id="14" w:name="_Toc437243158"/>
      <w:bookmarkStart w:id="15" w:name="_Toc437252553"/>
      <w:r w:rsidRPr="00404F5B">
        <w:t>Stage two</w:t>
      </w:r>
      <w:bookmarkEnd w:id="14"/>
      <w:bookmarkEnd w:id="15"/>
    </w:p>
    <w:p w14:paraId="14A1FBEB" w14:textId="77777777" w:rsidR="001B74B8" w:rsidRDefault="001B74B8" w:rsidP="001B74B8">
      <w:r>
        <w:t>The final stage of the evaluation will provide an assessment of the overall performance of the TtW model, addressing questions of service quality, effectiveness, efficiency and good practice. With more data available for analysis compared with the stage one report, the final (stage two) report will offer more robust assessments on outcomes, including: improvement of participant work readiness; cost and time effectiveness</w:t>
      </w:r>
      <w:r w:rsidR="00BD44A3">
        <w:t>;</w:t>
      </w:r>
      <w:r>
        <w:t xml:space="preserve"> and service quality. The final report will also assess the impact of specific service elements on employment and education outcomes.</w:t>
      </w:r>
    </w:p>
    <w:p w14:paraId="254A2670" w14:textId="77777777" w:rsidR="001B74B8" w:rsidRDefault="001B74B8" w:rsidP="001B74B8">
      <w:r>
        <w:br w:type="page"/>
      </w:r>
    </w:p>
    <w:p w14:paraId="28B155C7" w14:textId="77777777" w:rsidR="001B74B8" w:rsidRDefault="001B74B8" w:rsidP="001B74B8">
      <w:r>
        <w:t>Where feasible, the performance of TtW will be compared to jobactive or JSA. The final report is expected to cover the following key questions:</w:t>
      </w:r>
    </w:p>
    <w:p w14:paraId="36348AE3" w14:textId="77777777" w:rsidR="001B74B8" w:rsidRDefault="001B74B8" w:rsidP="001B74B8">
      <w:pPr>
        <w:keepNext/>
        <w:rPr>
          <w:b/>
        </w:rPr>
      </w:pPr>
      <w:r w:rsidRPr="00EA460F">
        <w:rPr>
          <w:b/>
        </w:rPr>
        <w:t xml:space="preserve">Question </w:t>
      </w:r>
      <w:r>
        <w:rPr>
          <w:b/>
        </w:rPr>
        <w:t>2.</w:t>
      </w:r>
      <w:r w:rsidRPr="00EA460F">
        <w:rPr>
          <w:b/>
        </w:rPr>
        <w:t xml:space="preserve">1: </w:t>
      </w:r>
      <w:r>
        <w:rPr>
          <w:b/>
        </w:rPr>
        <w:tab/>
      </w:r>
      <w:r w:rsidRPr="00EA460F">
        <w:rPr>
          <w:b/>
        </w:rPr>
        <w:t xml:space="preserve">Does </w:t>
      </w:r>
      <w:r>
        <w:rPr>
          <w:b/>
        </w:rPr>
        <w:t xml:space="preserve">participation in </w:t>
      </w:r>
      <w:r w:rsidRPr="00E62D62">
        <w:rPr>
          <w:b/>
        </w:rPr>
        <w:t>TtW</w:t>
      </w:r>
      <w:r>
        <w:t xml:space="preserve"> </w:t>
      </w:r>
      <w:r w:rsidRPr="00EA460F">
        <w:rPr>
          <w:b/>
        </w:rPr>
        <w:t>lead to improved</w:t>
      </w:r>
      <w:r>
        <w:rPr>
          <w:b/>
        </w:rPr>
        <w:t xml:space="preserve"> work readiness</w:t>
      </w:r>
      <w:r>
        <w:rPr>
          <w:rStyle w:val="FootnoteReference"/>
          <w:b/>
        </w:rPr>
        <w:footnoteReference w:id="1"/>
      </w:r>
      <w:r>
        <w:rPr>
          <w:b/>
        </w:rPr>
        <w:t>, and employment and educational outcomes for participants?</w:t>
      </w:r>
    </w:p>
    <w:p w14:paraId="18C0E6E8" w14:textId="77777777" w:rsidR="001B74B8" w:rsidRDefault="001B74B8" w:rsidP="001B74B8">
      <w:pPr>
        <w:rPr>
          <w:b/>
        </w:rPr>
      </w:pPr>
      <w:r>
        <w:rPr>
          <w:b/>
        </w:rPr>
        <w:t>Key indicators:</w:t>
      </w:r>
    </w:p>
    <w:p w14:paraId="3B670DDA" w14:textId="77777777" w:rsidR="001B74B8" w:rsidRDefault="001B74B8" w:rsidP="001B74B8">
      <w:pPr>
        <w:pStyle w:val="Normal18ptbefore"/>
        <w:numPr>
          <w:ilvl w:val="0"/>
          <w:numId w:val="35"/>
        </w:numPr>
        <w:spacing w:before="0" w:after="0"/>
      </w:pPr>
      <w:r>
        <w:t>proportion of participants with improved work readiness</w:t>
      </w:r>
    </w:p>
    <w:p w14:paraId="7B8B272E" w14:textId="77777777" w:rsidR="001B74B8" w:rsidRDefault="001B74B8" w:rsidP="001B74B8">
      <w:pPr>
        <w:pStyle w:val="Normal18ptbefore"/>
        <w:numPr>
          <w:ilvl w:val="0"/>
          <w:numId w:val="35"/>
        </w:numPr>
        <w:spacing w:before="0" w:after="0"/>
      </w:pPr>
      <w:r>
        <w:t>proportion of participants placed in employment or education</w:t>
      </w:r>
    </w:p>
    <w:p w14:paraId="246AF863" w14:textId="77777777" w:rsidR="001B74B8" w:rsidRDefault="001B74B8" w:rsidP="001B74B8">
      <w:pPr>
        <w:pStyle w:val="Normal18ptbefore"/>
        <w:numPr>
          <w:ilvl w:val="0"/>
          <w:numId w:val="35"/>
        </w:numPr>
        <w:spacing w:before="0" w:after="0"/>
      </w:pPr>
      <w:r>
        <w:t>number of 12 week outcomes exceeding performance targets</w:t>
      </w:r>
    </w:p>
    <w:p w14:paraId="36C7BE5D" w14:textId="77777777" w:rsidR="001B74B8" w:rsidRDefault="001B74B8" w:rsidP="001B74B8">
      <w:pPr>
        <w:pStyle w:val="Normal18ptbefore"/>
        <w:numPr>
          <w:ilvl w:val="0"/>
          <w:numId w:val="35"/>
        </w:numPr>
        <w:spacing w:before="0" w:after="0"/>
      </w:pPr>
      <w:r>
        <w:t>number of 26 week outcomes</w:t>
      </w:r>
    </w:p>
    <w:p w14:paraId="27DECBCE" w14:textId="77777777" w:rsidR="001B74B8" w:rsidRDefault="001B74B8" w:rsidP="001B74B8">
      <w:pPr>
        <w:pStyle w:val="Normal18ptbefore"/>
        <w:numPr>
          <w:ilvl w:val="0"/>
          <w:numId w:val="35"/>
        </w:numPr>
        <w:spacing w:before="0" w:after="0"/>
      </w:pPr>
      <w:r>
        <w:t xml:space="preserve">proportion of participants leaving income support or with reduced income support reliance </w:t>
      </w:r>
    </w:p>
    <w:p w14:paraId="293D6565" w14:textId="77777777" w:rsidR="001B74B8" w:rsidRPr="00AD5C8C" w:rsidRDefault="001B74B8" w:rsidP="001B74B8">
      <w:pPr>
        <w:pStyle w:val="Normal18ptbefore"/>
        <w:numPr>
          <w:ilvl w:val="0"/>
          <w:numId w:val="35"/>
        </w:numPr>
        <w:spacing w:before="0"/>
        <w:ind w:left="714" w:hanging="357"/>
      </w:pPr>
      <w:r>
        <w:t>income support status three months after employment.</w:t>
      </w:r>
    </w:p>
    <w:p w14:paraId="33679913" w14:textId="77777777" w:rsidR="001B74B8" w:rsidRPr="00AD5C8C" w:rsidRDefault="001B74B8" w:rsidP="001B74B8">
      <w:pPr>
        <w:rPr>
          <w:b/>
        </w:rPr>
      </w:pPr>
      <w:r w:rsidRPr="00AD5C8C">
        <w:rPr>
          <w:b/>
        </w:rPr>
        <w:t xml:space="preserve">Question 2.2: </w:t>
      </w:r>
      <w:r w:rsidRPr="00AD5C8C">
        <w:rPr>
          <w:b/>
        </w:rPr>
        <w:tab/>
        <w:t xml:space="preserve">Does </w:t>
      </w:r>
      <w:r w:rsidRPr="006C65F6">
        <w:rPr>
          <w:b/>
        </w:rPr>
        <w:t>TtW</w:t>
      </w:r>
      <w:r>
        <w:t xml:space="preserve"> </w:t>
      </w:r>
      <w:r w:rsidRPr="00AD5C8C">
        <w:rPr>
          <w:b/>
        </w:rPr>
        <w:t xml:space="preserve">deliver cost-effective and time-effective outcomes? </w:t>
      </w:r>
    </w:p>
    <w:p w14:paraId="28684F63" w14:textId="77777777" w:rsidR="001B74B8" w:rsidRPr="00AD5C8C" w:rsidRDefault="001B74B8" w:rsidP="001B74B8">
      <w:pPr>
        <w:rPr>
          <w:b/>
        </w:rPr>
      </w:pPr>
      <w:r w:rsidRPr="00AD5C8C">
        <w:rPr>
          <w:b/>
        </w:rPr>
        <w:t>Key indicators:</w:t>
      </w:r>
    </w:p>
    <w:p w14:paraId="44BA4881" w14:textId="77777777" w:rsidR="001B74B8" w:rsidRPr="00EC667C" w:rsidRDefault="001B74B8" w:rsidP="001B74B8">
      <w:pPr>
        <w:pStyle w:val="Normal18ptbefore"/>
        <w:numPr>
          <w:ilvl w:val="0"/>
          <w:numId w:val="34"/>
        </w:numPr>
        <w:spacing w:before="0" w:after="0"/>
      </w:pPr>
      <w:r>
        <w:t>t</w:t>
      </w:r>
      <w:r w:rsidRPr="00EC667C">
        <w:t>ime</w:t>
      </w:r>
      <w:r>
        <w:t xml:space="preserve"> </w:t>
      </w:r>
      <w:r w:rsidRPr="005F393E">
        <w:t xml:space="preserve">between </w:t>
      </w:r>
      <w:r>
        <w:t>referral and commencement</w:t>
      </w:r>
      <w:r w:rsidRPr="005F393E">
        <w:t xml:space="preserve"> of </w:t>
      </w:r>
      <w:r>
        <w:t>participants</w:t>
      </w:r>
    </w:p>
    <w:p w14:paraId="397C57E7" w14:textId="77777777" w:rsidR="001B74B8" w:rsidRDefault="001B74B8" w:rsidP="001B74B8">
      <w:pPr>
        <w:pStyle w:val="Normal18ptbefore"/>
        <w:numPr>
          <w:ilvl w:val="0"/>
          <w:numId w:val="34"/>
        </w:numPr>
        <w:spacing w:before="0" w:after="0"/>
      </w:pPr>
      <w:r w:rsidRPr="00EC667C">
        <w:t xml:space="preserve">time </w:t>
      </w:r>
      <w:r>
        <w:t>between commencements and the achievement of o</w:t>
      </w:r>
      <w:r w:rsidRPr="005F393E">
        <w:t>utcome</w:t>
      </w:r>
      <w:r>
        <w:t>s</w:t>
      </w:r>
    </w:p>
    <w:p w14:paraId="724506FE" w14:textId="77777777" w:rsidR="001B74B8" w:rsidRDefault="001B74B8" w:rsidP="001B74B8">
      <w:pPr>
        <w:pStyle w:val="Normal18ptbefore"/>
        <w:numPr>
          <w:ilvl w:val="0"/>
          <w:numId w:val="34"/>
        </w:numPr>
        <w:spacing w:before="0" w:after="0"/>
      </w:pPr>
      <w:r>
        <w:t>cost per outcome</w:t>
      </w:r>
    </w:p>
    <w:p w14:paraId="5D2A2273" w14:textId="77777777" w:rsidR="001B74B8" w:rsidRDefault="001B74B8" w:rsidP="001B74B8">
      <w:pPr>
        <w:pStyle w:val="Normal18ptbefore"/>
        <w:numPr>
          <w:ilvl w:val="0"/>
          <w:numId w:val="34"/>
        </w:numPr>
        <w:spacing w:before="0"/>
        <w:ind w:left="714" w:hanging="357"/>
      </w:pPr>
      <w:r w:rsidRPr="00EC667C">
        <w:t xml:space="preserve">time </w:t>
      </w:r>
      <w:r w:rsidRPr="005F393E">
        <w:t xml:space="preserve">between </w:t>
      </w:r>
      <w:r>
        <w:t xml:space="preserve">completion of </w:t>
      </w:r>
      <w:r w:rsidRPr="005F393E">
        <w:t xml:space="preserve">participation in </w:t>
      </w:r>
      <w:r>
        <w:t xml:space="preserve">TtW </w:t>
      </w:r>
      <w:r w:rsidRPr="005F393E">
        <w:t xml:space="preserve">and </w:t>
      </w:r>
      <w:r>
        <w:t>commencement</w:t>
      </w:r>
      <w:r w:rsidRPr="005F393E">
        <w:t xml:space="preserve"> in jobactive</w:t>
      </w:r>
      <w:r>
        <w:t>.</w:t>
      </w:r>
    </w:p>
    <w:p w14:paraId="34789070" w14:textId="77777777" w:rsidR="001B74B8" w:rsidRDefault="001B74B8" w:rsidP="001B74B8">
      <w:pPr>
        <w:rPr>
          <w:b/>
        </w:rPr>
      </w:pPr>
      <w:r>
        <w:rPr>
          <w:b/>
        </w:rPr>
        <w:t>Question 2.3</w:t>
      </w:r>
      <w:r w:rsidRPr="00050F87">
        <w:rPr>
          <w:b/>
        </w:rPr>
        <w:t xml:space="preserve">: </w:t>
      </w:r>
      <w:r>
        <w:rPr>
          <w:b/>
        </w:rPr>
        <w:t xml:space="preserve"> </w:t>
      </w:r>
      <w:r w:rsidRPr="00692DA7">
        <w:rPr>
          <w:b/>
        </w:rPr>
        <w:t xml:space="preserve">What service elements are </w:t>
      </w:r>
      <w:r>
        <w:rPr>
          <w:b/>
        </w:rPr>
        <w:t>associated with improved education and employment</w:t>
      </w:r>
      <w:r w:rsidRPr="00692DA7">
        <w:rPr>
          <w:b/>
        </w:rPr>
        <w:t xml:space="preserve"> outcomes</w:t>
      </w:r>
      <w:r>
        <w:rPr>
          <w:b/>
        </w:rPr>
        <w:t xml:space="preserve"> and from which providers</w:t>
      </w:r>
      <w:r w:rsidRPr="00692DA7">
        <w:rPr>
          <w:b/>
        </w:rPr>
        <w:t>?</w:t>
      </w:r>
    </w:p>
    <w:p w14:paraId="1049D96E" w14:textId="77777777" w:rsidR="001B74B8" w:rsidRDefault="001B74B8" w:rsidP="001B74B8">
      <w:pPr>
        <w:rPr>
          <w:b/>
        </w:rPr>
      </w:pPr>
      <w:r>
        <w:rPr>
          <w:b/>
        </w:rPr>
        <w:t>Possible service elements:</w:t>
      </w:r>
    </w:p>
    <w:p w14:paraId="7C270209" w14:textId="77777777" w:rsidR="001B74B8" w:rsidRDefault="001B74B8" w:rsidP="001B74B8">
      <w:pPr>
        <w:pStyle w:val="Normal18ptbefore"/>
        <w:numPr>
          <w:ilvl w:val="0"/>
          <w:numId w:val="38"/>
        </w:numPr>
        <w:spacing w:before="0" w:after="0"/>
      </w:pPr>
      <w:r>
        <w:t>work experience placements</w:t>
      </w:r>
    </w:p>
    <w:p w14:paraId="7F86127F" w14:textId="77777777" w:rsidR="001B74B8" w:rsidRDefault="001B74B8" w:rsidP="001B74B8">
      <w:pPr>
        <w:pStyle w:val="Normal18ptbefore"/>
        <w:numPr>
          <w:ilvl w:val="0"/>
          <w:numId w:val="38"/>
        </w:numPr>
        <w:spacing w:before="0" w:after="0"/>
      </w:pPr>
      <w:r>
        <w:t>wage subsidies uptake</w:t>
      </w:r>
    </w:p>
    <w:p w14:paraId="55807C75" w14:textId="77777777" w:rsidR="001B74B8" w:rsidRDefault="001B74B8" w:rsidP="001B74B8">
      <w:pPr>
        <w:pStyle w:val="Normal18ptbefore"/>
        <w:numPr>
          <w:ilvl w:val="0"/>
          <w:numId w:val="38"/>
        </w:numPr>
        <w:spacing w:before="0"/>
      </w:pPr>
      <w:r>
        <w:t>attendance at education and training courses.</w:t>
      </w:r>
    </w:p>
    <w:p w14:paraId="3D338B1E" w14:textId="77777777" w:rsidR="001B74B8" w:rsidRDefault="001B74B8" w:rsidP="001B74B8">
      <w:pPr>
        <w:rPr>
          <w:b/>
        </w:rPr>
      </w:pPr>
      <w:r>
        <w:rPr>
          <w:b/>
        </w:rPr>
        <w:t>Question 2.4</w:t>
      </w:r>
      <w:r w:rsidRPr="00050F87">
        <w:rPr>
          <w:b/>
        </w:rPr>
        <w:t xml:space="preserve">: </w:t>
      </w:r>
      <w:r>
        <w:rPr>
          <w:b/>
        </w:rPr>
        <w:tab/>
        <w:t xml:space="preserve">Does </w:t>
      </w:r>
      <w:r w:rsidRPr="00B72B0E">
        <w:rPr>
          <w:b/>
        </w:rPr>
        <w:t>TtW</w:t>
      </w:r>
      <w:r>
        <w:t xml:space="preserve"> </w:t>
      </w:r>
      <w:r>
        <w:rPr>
          <w:b/>
        </w:rPr>
        <w:t>deliver targeted and quality service to participants?</w:t>
      </w:r>
    </w:p>
    <w:p w14:paraId="7D6CC5FA" w14:textId="77777777" w:rsidR="001B74B8" w:rsidRDefault="001B74B8" w:rsidP="001B74B8">
      <w:pPr>
        <w:rPr>
          <w:b/>
        </w:rPr>
      </w:pPr>
      <w:r>
        <w:rPr>
          <w:b/>
        </w:rPr>
        <w:t>Key indicators:</w:t>
      </w:r>
    </w:p>
    <w:p w14:paraId="50F3FDFB" w14:textId="77777777" w:rsidR="001B74B8" w:rsidRDefault="001B74B8" w:rsidP="001B74B8">
      <w:pPr>
        <w:pStyle w:val="Normal18ptbefore"/>
        <w:numPr>
          <w:ilvl w:val="0"/>
          <w:numId w:val="33"/>
        </w:numPr>
        <w:spacing w:before="0" w:after="0"/>
      </w:pPr>
      <w:r>
        <w:t>participants’ satisfaction with the quality and relevance of assistance received</w:t>
      </w:r>
    </w:p>
    <w:p w14:paraId="3B637142" w14:textId="77777777" w:rsidR="001B74B8" w:rsidRDefault="001B74B8" w:rsidP="001B74B8">
      <w:pPr>
        <w:pStyle w:val="Normal18ptbefore"/>
        <w:numPr>
          <w:ilvl w:val="0"/>
          <w:numId w:val="33"/>
        </w:numPr>
        <w:spacing w:before="0" w:after="0"/>
      </w:pPr>
      <w:r>
        <w:t>providers’ views of the service’s viability and appropriateness</w:t>
      </w:r>
    </w:p>
    <w:p w14:paraId="70FCBA1B" w14:textId="77777777" w:rsidR="001B74B8" w:rsidRDefault="001B74B8" w:rsidP="001B74B8">
      <w:pPr>
        <w:pStyle w:val="Normal18ptbefore"/>
        <w:numPr>
          <w:ilvl w:val="0"/>
          <w:numId w:val="33"/>
        </w:numPr>
        <w:spacing w:before="0" w:after="0"/>
      </w:pPr>
      <w:r>
        <w:t>e</w:t>
      </w:r>
      <w:r w:rsidRPr="005F431E">
        <w:t>mployer</w:t>
      </w:r>
      <w:r>
        <w:t>s’</w:t>
      </w:r>
      <w:r w:rsidRPr="005F431E">
        <w:t xml:space="preserve"> views of the </w:t>
      </w:r>
      <w:r>
        <w:t>TtW service</w:t>
      </w:r>
    </w:p>
    <w:p w14:paraId="2A7C8270" w14:textId="77777777" w:rsidR="001B74B8" w:rsidRDefault="001B74B8" w:rsidP="001B74B8">
      <w:pPr>
        <w:pStyle w:val="Normal18ptbefore"/>
        <w:numPr>
          <w:ilvl w:val="0"/>
          <w:numId w:val="33"/>
        </w:numPr>
        <w:spacing w:before="0" w:after="0"/>
      </w:pPr>
      <w:r>
        <w:t>e</w:t>
      </w:r>
      <w:r w:rsidRPr="005F431E">
        <w:t xml:space="preserve">mployer satisfaction with </w:t>
      </w:r>
      <w:r>
        <w:t>TtW participants.</w:t>
      </w:r>
    </w:p>
    <w:p w14:paraId="05A4DA6F" w14:textId="77777777" w:rsidR="001B74B8" w:rsidRDefault="001B74B8" w:rsidP="001B74B8">
      <w:pPr>
        <w:spacing w:after="0"/>
        <w:rPr>
          <w:b/>
        </w:rPr>
      </w:pPr>
    </w:p>
    <w:p w14:paraId="205C7C57" w14:textId="77777777" w:rsidR="001B74B8" w:rsidRDefault="001B74B8" w:rsidP="001B74B8">
      <w:pPr>
        <w:rPr>
          <w:b/>
        </w:rPr>
      </w:pPr>
      <w:r>
        <w:rPr>
          <w:b/>
        </w:rPr>
        <w:br w:type="page"/>
      </w:r>
    </w:p>
    <w:p w14:paraId="171AC8EF" w14:textId="77777777" w:rsidR="001B74B8" w:rsidRPr="00D43B1E" w:rsidRDefault="001B74B8" w:rsidP="001B74B8">
      <w:pPr>
        <w:pStyle w:val="Heading2"/>
      </w:pPr>
      <w:bookmarkStart w:id="16" w:name="_Toc469333758"/>
      <w:r>
        <w:t>Scope of the Evaluation</w:t>
      </w:r>
      <w:bookmarkEnd w:id="16"/>
    </w:p>
    <w:p w14:paraId="799B3C8E" w14:textId="77777777" w:rsidR="001B74B8" w:rsidRDefault="001B74B8" w:rsidP="001B74B8">
      <w:pPr>
        <w:pStyle w:val="Normal18ptbefore"/>
        <w:spacing w:before="0" w:after="120"/>
      </w:pPr>
      <w:r>
        <w:t>The evaluation will focus on the core function of the TtW service. The impact of related programs or changes to mainstream services will not be the focus of this evaluation. As some of these programs and services interact with TtW, their potential impact on TtW as revealed by other evaluations will be discussed, where relevant and possible. Those elements and programs that are considered out of scope for the TtW evaluation include:</w:t>
      </w:r>
    </w:p>
    <w:p w14:paraId="536F1B94" w14:textId="77777777" w:rsidR="001B74B8" w:rsidRDefault="001B74B8" w:rsidP="001B74B8">
      <w:pPr>
        <w:pStyle w:val="Normal18ptbefore"/>
        <w:numPr>
          <w:ilvl w:val="0"/>
          <w:numId w:val="28"/>
        </w:numPr>
        <w:spacing w:before="0" w:after="0"/>
      </w:pPr>
      <w:r>
        <w:t>changes coinciding with the transition of JSA to jobactive</w:t>
      </w:r>
    </w:p>
    <w:p w14:paraId="6881F0AD" w14:textId="77777777" w:rsidR="001B74B8" w:rsidRDefault="001B74B8" w:rsidP="001B74B8">
      <w:pPr>
        <w:pStyle w:val="Normal18ptbefore"/>
        <w:numPr>
          <w:ilvl w:val="0"/>
          <w:numId w:val="28"/>
        </w:numPr>
        <w:spacing w:before="0" w:after="0"/>
      </w:pPr>
      <w:r>
        <w:t>changes to job seeker streaming arrangements</w:t>
      </w:r>
    </w:p>
    <w:p w14:paraId="5BFB1CF9" w14:textId="77777777" w:rsidR="001B74B8" w:rsidRDefault="001B74B8" w:rsidP="001B74B8">
      <w:pPr>
        <w:pStyle w:val="Normal18ptbefore"/>
        <w:numPr>
          <w:ilvl w:val="0"/>
          <w:numId w:val="28"/>
        </w:numPr>
        <w:spacing w:before="0" w:after="0"/>
      </w:pPr>
      <w:r>
        <w:t>other related Commonwealth-administered employment initiatives including:</w:t>
      </w:r>
    </w:p>
    <w:p w14:paraId="4B936D86" w14:textId="77777777" w:rsidR="001B74B8" w:rsidRPr="00032DD5" w:rsidRDefault="001B74B8" w:rsidP="001B74B8">
      <w:pPr>
        <w:pStyle w:val="Normal18ptbefore"/>
        <w:numPr>
          <w:ilvl w:val="1"/>
          <w:numId w:val="28"/>
        </w:numPr>
        <w:spacing w:before="0" w:after="0"/>
      </w:pPr>
      <w:r>
        <w:t>wage subsidies</w:t>
      </w:r>
    </w:p>
    <w:p w14:paraId="71DD8B30" w14:textId="77777777" w:rsidR="001B74B8" w:rsidRDefault="001B74B8" w:rsidP="001B74B8">
      <w:pPr>
        <w:pStyle w:val="Normal18ptbefore"/>
        <w:numPr>
          <w:ilvl w:val="1"/>
          <w:numId w:val="28"/>
        </w:numPr>
        <w:spacing w:before="0" w:after="0"/>
      </w:pPr>
      <w:r>
        <w:t>National Work Experience Programme (NWEP)</w:t>
      </w:r>
    </w:p>
    <w:p w14:paraId="5B31A4A6" w14:textId="77777777" w:rsidR="001B74B8" w:rsidRPr="00D432CC" w:rsidRDefault="001B74B8" w:rsidP="001B74B8">
      <w:pPr>
        <w:pStyle w:val="Normal18ptbefore"/>
        <w:numPr>
          <w:ilvl w:val="1"/>
          <w:numId w:val="28"/>
        </w:numPr>
        <w:spacing w:before="0" w:after="0"/>
      </w:pPr>
      <w:r w:rsidRPr="00D432CC">
        <w:t>Green Army Programme</w:t>
      </w:r>
    </w:p>
    <w:p w14:paraId="1A866A05" w14:textId="77777777" w:rsidR="001B74B8" w:rsidRPr="0033093C" w:rsidRDefault="001B74B8" w:rsidP="001B74B8">
      <w:pPr>
        <w:pStyle w:val="Normal18ptbefore"/>
        <w:numPr>
          <w:ilvl w:val="1"/>
          <w:numId w:val="28"/>
        </w:numPr>
        <w:spacing w:before="0" w:after="0"/>
      </w:pPr>
      <w:r>
        <w:rPr>
          <w:lang w:val="en-GB"/>
        </w:rPr>
        <w:t>Empowering YOUth Initiatives (EYI)</w:t>
      </w:r>
    </w:p>
    <w:p w14:paraId="319E0301" w14:textId="77777777" w:rsidR="001B74B8" w:rsidRDefault="003765EE" w:rsidP="001B74B8">
      <w:pPr>
        <w:pStyle w:val="Normal18ptbefore"/>
        <w:numPr>
          <w:ilvl w:val="1"/>
          <w:numId w:val="28"/>
        </w:numPr>
        <w:spacing w:before="0" w:after="0"/>
      </w:pPr>
      <w:r>
        <w:rPr>
          <w:lang w:val="en-GB"/>
        </w:rPr>
        <w:t>Youth Jobs</w:t>
      </w:r>
      <w:r w:rsidR="001B74B8">
        <w:rPr>
          <w:lang w:val="en-GB"/>
        </w:rPr>
        <w:t xml:space="preserve"> PaTH (Prepare-Trial-Hire)</w:t>
      </w:r>
    </w:p>
    <w:p w14:paraId="15E61841" w14:textId="77777777" w:rsidR="001B74B8" w:rsidRDefault="001B74B8" w:rsidP="001B74B8">
      <w:pPr>
        <w:pStyle w:val="Normal18ptbefore"/>
        <w:numPr>
          <w:ilvl w:val="0"/>
          <w:numId w:val="28"/>
        </w:numPr>
        <w:spacing w:before="0" w:after="0"/>
      </w:pPr>
      <w:r>
        <w:t>services and regions under the Community Development Programme (CDP) (previously known as Remote Jobs and Communities Programme (RJCP))</w:t>
      </w:r>
    </w:p>
    <w:p w14:paraId="373D35C1" w14:textId="77777777" w:rsidR="001B74B8" w:rsidRDefault="001B74B8" w:rsidP="001B74B8">
      <w:pPr>
        <w:pStyle w:val="Normal18ptbefore"/>
        <w:numPr>
          <w:ilvl w:val="0"/>
          <w:numId w:val="28"/>
        </w:numPr>
        <w:spacing w:before="0"/>
      </w:pPr>
      <w:r>
        <w:t>state and territory funded youth employment initiatives and programs.</w:t>
      </w:r>
    </w:p>
    <w:p w14:paraId="4243F32C" w14:textId="77777777" w:rsidR="001B74B8" w:rsidRDefault="001B74B8" w:rsidP="007F12AD">
      <w:pPr>
        <w:pStyle w:val="Normal18ptbefore"/>
        <w:spacing w:before="0"/>
      </w:pPr>
      <w:r>
        <w:t>Evaluation findings will be presented at the overall service level, for each state and territory, as well as for key participant sub-populations (for example: the three different target gro</w:t>
      </w:r>
      <w:r w:rsidR="005F1FD6">
        <w:t>ups and the ‘start-up’ caseload;</w:t>
      </w:r>
      <w:r>
        <w:t xml:space="preserve"> Indigenous participants, etc.).</w:t>
      </w:r>
    </w:p>
    <w:p w14:paraId="43D4B274" w14:textId="77777777" w:rsidR="001B74B8" w:rsidRDefault="001B74B8" w:rsidP="001B74B8">
      <w:pPr>
        <w:pStyle w:val="Heading2"/>
      </w:pPr>
      <w:bookmarkStart w:id="17" w:name="_Toc469333759"/>
      <w:r>
        <w:t>Evaluation Reporting</w:t>
      </w:r>
      <w:bookmarkEnd w:id="17"/>
    </w:p>
    <w:p w14:paraId="51CEF351" w14:textId="77777777" w:rsidR="001B74B8" w:rsidRDefault="001B74B8" w:rsidP="001B74B8">
      <w:r>
        <w:t>This evaluation will produce two evaluation reports. The planned completion time of the two reports is shown in Table 1.</w:t>
      </w:r>
    </w:p>
    <w:p w14:paraId="0B5948D7" w14:textId="77777777" w:rsidR="001B74B8" w:rsidRPr="00FB5373" w:rsidRDefault="001B74B8" w:rsidP="001B74B8">
      <w:pPr>
        <w:pStyle w:val="FigureHeading"/>
        <w:keepNext/>
        <w:spacing w:before="0" w:after="240"/>
      </w:pPr>
      <w:r w:rsidRPr="00FB5373">
        <w:t xml:space="preserve">Table 1: Planned evaluation reports and completion </w:t>
      </w:r>
      <w:r>
        <w:t>dates</w:t>
      </w:r>
    </w:p>
    <w:tbl>
      <w:tblPr>
        <w:tblStyle w:val="DEEWRTable"/>
        <w:tblW w:w="3144" w:type="pct"/>
        <w:tblInd w:w="250" w:type="dxa"/>
        <w:tblLook w:val="0420" w:firstRow="1" w:lastRow="0" w:firstColumn="0" w:lastColumn="0" w:noHBand="0" w:noVBand="1"/>
        <w:tblCaption w:val="Table 1: Planned evaluation reports and completion dates"/>
        <w:tblDescription w:val="Lists the deliverables and expected completion dates.&#10;Interim Evaluation Report is expected to be completed in February 2017.&#10;Final Evaluation Report is expected to be completed in September 2018."/>
      </w:tblPr>
      <w:tblGrid>
        <w:gridCol w:w="2907"/>
        <w:gridCol w:w="2769"/>
      </w:tblGrid>
      <w:tr w:rsidR="001B74B8" w:rsidRPr="00FB5373" w14:paraId="097BCD73" w14:textId="77777777" w:rsidTr="00404F5B">
        <w:trPr>
          <w:cnfStyle w:val="100000000000" w:firstRow="1" w:lastRow="0" w:firstColumn="0" w:lastColumn="0" w:oddVBand="0" w:evenVBand="0" w:oddHBand="0" w:evenHBand="0" w:firstRowFirstColumn="0" w:firstRowLastColumn="0" w:lastRowFirstColumn="0" w:lastRowLastColumn="0"/>
        </w:trPr>
        <w:tc>
          <w:tcPr>
            <w:tcW w:w="2561" w:type="pct"/>
            <w:tcBorders>
              <w:bottom w:val="nil"/>
            </w:tcBorders>
            <w:shd w:val="clear" w:color="auto" w:fill="104165" w:themeFill="accent1" w:themeFillShade="BF"/>
          </w:tcPr>
          <w:p w14:paraId="7B4C0E7C" w14:textId="77777777" w:rsidR="001B74B8" w:rsidRPr="00FB5373" w:rsidRDefault="001B74B8" w:rsidP="00404F5B">
            <w:pPr>
              <w:spacing w:before="120" w:after="120"/>
              <w:rPr>
                <w:sz w:val="24"/>
                <w:szCs w:val="24"/>
              </w:rPr>
            </w:pPr>
            <w:r w:rsidRPr="00FB5373">
              <w:rPr>
                <w:sz w:val="24"/>
                <w:szCs w:val="24"/>
              </w:rPr>
              <w:t>Deliverable</w:t>
            </w:r>
          </w:p>
        </w:tc>
        <w:tc>
          <w:tcPr>
            <w:tcW w:w="2439" w:type="pct"/>
            <w:tcBorders>
              <w:bottom w:val="nil"/>
            </w:tcBorders>
            <w:shd w:val="clear" w:color="auto" w:fill="104165" w:themeFill="accent1" w:themeFillShade="BF"/>
          </w:tcPr>
          <w:p w14:paraId="2FD49599" w14:textId="77777777" w:rsidR="001B74B8" w:rsidRPr="00FB5373" w:rsidRDefault="001B74B8" w:rsidP="00404F5B">
            <w:pPr>
              <w:spacing w:before="120" w:after="120"/>
              <w:rPr>
                <w:b w:val="0"/>
                <w:sz w:val="24"/>
                <w:szCs w:val="24"/>
              </w:rPr>
            </w:pPr>
            <w:r w:rsidRPr="00FB5373">
              <w:rPr>
                <w:sz w:val="24"/>
                <w:szCs w:val="24"/>
              </w:rPr>
              <w:t>Completion Date</w:t>
            </w:r>
          </w:p>
        </w:tc>
      </w:tr>
      <w:tr w:rsidR="001B74B8" w:rsidRPr="00FB5373" w14:paraId="50E05CCA" w14:textId="77777777" w:rsidTr="00404F5B">
        <w:tc>
          <w:tcPr>
            <w:tcW w:w="2561" w:type="pct"/>
            <w:tcBorders>
              <w:top w:val="nil"/>
              <w:bottom w:val="single" w:sz="4" w:space="0" w:color="auto"/>
            </w:tcBorders>
          </w:tcPr>
          <w:p w14:paraId="6D857776" w14:textId="77777777" w:rsidR="001B74B8" w:rsidRPr="00FB5373" w:rsidRDefault="001B74B8" w:rsidP="00404F5B">
            <w:pPr>
              <w:spacing w:before="120" w:after="120"/>
            </w:pPr>
            <w:r w:rsidRPr="00FB5373">
              <w:t>Interim Evaluation Report</w:t>
            </w:r>
          </w:p>
        </w:tc>
        <w:tc>
          <w:tcPr>
            <w:tcW w:w="2439" w:type="pct"/>
            <w:tcBorders>
              <w:top w:val="nil"/>
              <w:bottom w:val="single" w:sz="4" w:space="0" w:color="auto"/>
            </w:tcBorders>
          </w:tcPr>
          <w:p w14:paraId="3444DD08" w14:textId="77777777" w:rsidR="001B74B8" w:rsidRPr="00FB5373" w:rsidRDefault="00A424B6" w:rsidP="00404F5B">
            <w:pPr>
              <w:spacing w:before="120" w:after="120"/>
            </w:pPr>
            <w:r>
              <w:t>June</w:t>
            </w:r>
            <w:r w:rsidRPr="00FB5373">
              <w:t xml:space="preserve"> </w:t>
            </w:r>
            <w:r w:rsidR="001B74B8" w:rsidRPr="00FB5373">
              <w:t>2017</w:t>
            </w:r>
          </w:p>
        </w:tc>
      </w:tr>
      <w:tr w:rsidR="001B74B8" w:rsidRPr="00FB5373" w14:paraId="03FE9365" w14:textId="77777777" w:rsidTr="00404F5B">
        <w:tc>
          <w:tcPr>
            <w:tcW w:w="2561" w:type="pct"/>
            <w:tcBorders>
              <w:top w:val="single" w:sz="4" w:space="0" w:color="auto"/>
              <w:bottom w:val="single" w:sz="4" w:space="0" w:color="auto"/>
            </w:tcBorders>
          </w:tcPr>
          <w:p w14:paraId="4A5485E7" w14:textId="77777777" w:rsidR="001B74B8" w:rsidRPr="00FB5373" w:rsidRDefault="001B74B8" w:rsidP="00404F5B">
            <w:pPr>
              <w:spacing w:before="120" w:after="120"/>
            </w:pPr>
            <w:r w:rsidRPr="00FB5373">
              <w:t>Final</w:t>
            </w:r>
            <w:r>
              <w:t xml:space="preserve"> Evaluation</w:t>
            </w:r>
            <w:r w:rsidRPr="00FB5373">
              <w:t xml:space="preserve"> Report</w:t>
            </w:r>
          </w:p>
        </w:tc>
        <w:tc>
          <w:tcPr>
            <w:tcW w:w="2439" w:type="pct"/>
            <w:tcBorders>
              <w:top w:val="single" w:sz="4" w:space="0" w:color="auto"/>
              <w:bottom w:val="single" w:sz="4" w:space="0" w:color="auto"/>
            </w:tcBorders>
          </w:tcPr>
          <w:p w14:paraId="27A1C490" w14:textId="77777777" w:rsidR="001B74B8" w:rsidRPr="00FB5373" w:rsidRDefault="001B74B8" w:rsidP="00404F5B">
            <w:pPr>
              <w:spacing w:before="120" w:after="120"/>
            </w:pPr>
            <w:r w:rsidRPr="00FB5373">
              <w:t>September 2018</w:t>
            </w:r>
          </w:p>
        </w:tc>
      </w:tr>
    </w:tbl>
    <w:p w14:paraId="58693D51" w14:textId="77777777" w:rsidR="001B74B8" w:rsidRDefault="001B74B8" w:rsidP="001B74B8">
      <w:pPr>
        <w:pStyle w:val="Heading3"/>
      </w:pPr>
      <w:bookmarkStart w:id="18" w:name="_Toc437243161"/>
      <w:bookmarkStart w:id="19" w:name="_Toc437252556"/>
      <w:r>
        <w:t>Interim evaluation report</w:t>
      </w:r>
      <w:bookmarkEnd w:id="18"/>
      <w:bookmarkEnd w:id="19"/>
    </w:p>
    <w:p w14:paraId="58622C08" w14:textId="77777777" w:rsidR="001B74B8" w:rsidRDefault="001B74B8" w:rsidP="001B74B8">
      <w:r w:rsidRPr="009D032C">
        <w:t xml:space="preserve">The </w:t>
      </w:r>
      <w:r>
        <w:t>I</w:t>
      </w:r>
      <w:r w:rsidRPr="009D032C">
        <w:t xml:space="preserve">nterim </w:t>
      </w:r>
      <w:r>
        <w:t>Evaluation R</w:t>
      </w:r>
      <w:r w:rsidRPr="009D032C">
        <w:t xml:space="preserve">eport </w:t>
      </w:r>
      <w:r>
        <w:t>is expected to</w:t>
      </w:r>
      <w:r w:rsidRPr="00F06BF4">
        <w:t xml:space="preserve"> be </w:t>
      </w:r>
      <w:r>
        <w:t xml:space="preserve">completed early in 2017. The report will </w:t>
      </w:r>
      <w:r w:rsidRPr="00F06BF4">
        <w:t>focus</w:t>
      </w:r>
      <w:r>
        <w:t xml:space="preserve"> on </w:t>
      </w:r>
      <w:r w:rsidRPr="009D032C">
        <w:t xml:space="preserve">the </w:t>
      </w:r>
      <w:r>
        <w:t xml:space="preserve">phased roll-out period and the first </w:t>
      </w:r>
      <w:r w:rsidR="00E00E7E">
        <w:t xml:space="preserve">ten </w:t>
      </w:r>
      <w:r>
        <w:t>months of the s</w:t>
      </w:r>
      <w:r w:rsidR="00E00E7E">
        <w:t xml:space="preserve">ervice being fully operational. </w:t>
      </w:r>
      <w:r>
        <w:t>The primary purpose of the interim report is to inform ongoing improvement of the TtW service by examining the implementation and operational processes. Findings from the report will assist the Department and providers, where necessary, to refine the delivery of the service early in its life.</w:t>
      </w:r>
    </w:p>
    <w:p w14:paraId="4940266B" w14:textId="77777777" w:rsidR="001B74B8" w:rsidRDefault="001B74B8">
      <w:pPr>
        <w:rPr>
          <w:rFonts w:ascii="Calibri" w:eastAsiaTheme="majorEastAsia" w:hAnsi="Calibri" w:cstheme="majorBidi"/>
          <w:b/>
          <w:bCs/>
        </w:rPr>
      </w:pPr>
      <w:r>
        <w:br w:type="page"/>
      </w:r>
    </w:p>
    <w:p w14:paraId="3D0EA5D9" w14:textId="77777777" w:rsidR="001B74B8" w:rsidRDefault="001B74B8" w:rsidP="001B74B8">
      <w:pPr>
        <w:pStyle w:val="Heading3"/>
      </w:pPr>
      <w:r>
        <w:t>Final evaluation report</w:t>
      </w:r>
    </w:p>
    <w:p w14:paraId="75FD3A8A" w14:textId="77777777" w:rsidR="001B74B8" w:rsidRDefault="001B74B8" w:rsidP="001B74B8">
      <w:r>
        <w:t xml:space="preserve">The Final Evaluation Report will provide an in-depth assessment of the overall performance of TtW from commencement of the service to </w:t>
      </w:r>
      <w:r w:rsidR="00F277BC">
        <w:t>March 2018</w:t>
      </w:r>
      <w:r>
        <w:t>. The final report is expected to</w:t>
      </w:r>
      <w:r w:rsidRPr="00F06BF4">
        <w:t xml:space="preserve"> </w:t>
      </w:r>
      <w:r>
        <w:t>be delivered in September 2018 and will provide detailed:</w:t>
      </w:r>
    </w:p>
    <w:p w14:paraId="0EBBAFA1" w14:textId="77777777" w:rsidR="001B74B8" w:rsidRDefault="001B74B8" w:rsidP="001B74B8">
      <w:pPr>
        <w:numPr>
          <w:ilvl w:val="0"/>
          <w:numId w:val="40"/>
        </w:numPr>
        <w:spacing w:after="0"/>
      </w:pPr>
      <w:r>
        <w:t>quantitative measures of service effectiveness (Evaluation Question 2.1)</w:t>
      </w:r>
      <w:r w:rsidRPr="002A1AF0">
        <w:t xml:space="preserve"> </w:t>
      </w:r>
      <w:r>
        <w:t>for participants who commence during the first 12 months of the service, including 12 month outcome assessments</w:t>
      </w:r>
    </w:p>
    <w:p w14:paraId="514D71C1" w14:textId="77777777" w:rsidR="001B74B8" w:rsidRDefault="001B74B8" w:rsidP="001B74B8">
      <w:pPr>
        <w:numPr>
          <w:ilvl w:val="0"/>
          <w:numId w:val="40"/>
        </w:numPr>
        <w:spacing w:after="0"/>
      </w:pPr>
      <w:r>
        <w:t xml:space="preserve">assessment of service efficiency (Evaluation Question 2.2) </w:t>
      </w:r>
    </w:p>
    <w:p w14:paraId="2311D0C8" w14:textId="77777777" w:rsidR="001B74B8" w:rsidRDefault="001B74B8" w:rsidP="001B74B8">
      <w:pPr>
        <w:numPr>
          <w:ilvl w:val="0"/>
          <w:numId w:val="40"/>
        </w:numPr>
        <w:spacing w:after="0"/>
      </w:pPr>
      <w:r>
        <w:t xml:space="preserve">analysis of what service elements </w:t>
      </w:r>
      <w:r w:rsidRPr="00810AA3">
        <w:t>are associated with improved education and employment outcomes</w:t>
      </w:r>
      <w:r>
        <w:t xml:space="preserve"> (Evaluation Question 2.3)</w:t>
      </w:r>
    </w:p>
    <w:p w14:paraId="7D83500F" w14:textId="77777777" w:rsidR="001B74B8" w:rsidRDefault="001B74B8" w:rsidP="00F071C7">
      <w:pPr>
        <w:numPr>
          <w:ilvl w:val="0"/>
          <w:numId w:val="40"/>
        </w:numPr>
      </w:pPr>
      <w:r>
        <w:t>assessment of service quality and appropriateness (Evaluation Question 2.4).</w:t>
      </w:r>
    </w:p>
    <w:p w14:paraId="31A353A0" w14:textId="77777777" w:rsidR="001B74B8" w:rsidRDefault="001B74B8" w:rsidP="001B74B8">
      <w:pPr>
        <w:sectPr w:rsidR="001B74B8" w:rsidSect="00596374">
          <w:pgSz w:w="11906" w:h="16838"/>
          <w:pgMar w:top="1985" w:right="1440" w:bottom="1440" w:left="1440" w:header="708" w:footer="1011" w:gutter="0"/>
          <w:cols w:space="708"/>
          <w:docGrid w:linePitch="360"/>
        </w:sectPr>
      </w:pPr>
      <w:r>
        <w:t>Where possible, the longer-term effectiveness and efficiency of TtW will be compared to those of mainstream employment service programs.</w:t>
      </w:r>
    </w:p>
    <w:p w14:paraId="61CBE47C" w14:textId="77777777" w:rsidR="001B74B8" w:rsidRDefault="001B74B8" w:rsidP="001B74B8">
      <w:pPr>
        <w:pStyle w:val="Heading1"/>
      </w:pPr>
      <w:bookmarkStart w:id="20" w:name="_Toc469333760"/>
      <w:r>
        <w:t>Evaluation Method</w:t>
      </w:r>
      <w:bookmarkEnd w:id="20"/>
    </w:p>
    <w:p w14:paraId="66094E33" w14:textId="77777777" w:rsidR="001B74B8" w:rsidRDefault="001B74B8" w:rsidP="001B74B8">
      <w:r w:rsidRPr="003F4A1E">
        <w:t xml:space="preserve">The evaluation </w:t>
      </w:r>
      <w:r>
        <w:t>needs to adopt</w:t>
      </w:r>
      <w:r w:rsidRPr="003F4A1E">
        <w:t xml:space="preserve"> a flexible approach, recognising that as the evaluation progresses new questions </w:t>
      </w:r>
      <w:r>
        <w:t>may</w:t>
      </w:r>
      <w:r w:rsidRPr="003F4A1E">
        <w:t xml:space="preserve"> emerge, </w:t>
      </w:r>
      <w:r w:rsidR="00654B9B">
        <w:t xml:space="preserve">while </w:t>
      </w:r>
      <w:r w:rsidRPr="003F4A1E">
        <w:t xml:space="preserve">some of the questions identified as </w:t>
      </w:r>
      <w:r>
        <w:t>important</w:t>
      </w:r>
      <w:r w:rsidRPr="003F4A1E">
        <w:t xml:space="preserve"> at the outset </w:t>
      </w:r>
      <w:r>
        <w:t>may</w:t>
      </w:r>
      <w:r w:rsidRPr="003F4A1E">
        <w:t xml:space="preserve"> become less </w:t>
      </w:r>
      <w:r w:rsidR="00654B9B">
        <w:t>significant</w:t>
      </w:r>
      <w:r w:rsidRPr="003F4A1E">
        <w:t xml:space="preserve"> over time. As the evaluation </w:t>
      </w:r>
      <w:r w:rsidR="00654B9B">
        <w:t>moves forward</w:t>
      </w:r>
      <w:r>
        <w:t>,</w:t>
      </w:r>
      <w:r w:rsidRPr="003F4A1E">
        <w:t xml:space="preserve"> its content </w:t>
      </w:r>
      <w:r w:rsidR="00654B9B">
        <w:t>should</w:t>
      </w:r>
      <w:r w:rsidRPr="003F4A1E">
        <w:t xml:space="preserve"> </w:t>
      </w:r>
      <w:r>
        <w:t>adapt</w:t>
      </w:r>
      <w:r w:rsidRPr="003F4A1E">
        <w:t xml:space="preserve"> to reflect </w:t>
      </w:r>
      <w:r>
        <w:t xml:space="preserve">changes to policy or </w:t>
      </w:r>
      <w:r w:rsidRPr="003F4A1E">
        <w:t>the relative importance of issues and the availability of resources and data.</w:t>
      </w:r>
    </w:p>
    <w:p w14:paraId="0E09DC9D" w14:textId="77777777" w:rsidR="001B74B8" w:rsidRDefault="001B74B8" w:rsidP="001B74B8">
      <w:pPr>
        <w:pStyle w:val="Heading2"/>
      </w:pPr>
      <w:bookmarkStart w:id="21" w:name="_Toc469333761"/>
      <w:r>
        <w:t>Analytical Approach</w:t>
      </w:r>
      <w:bookmarkEnd w:id="21"/>
    </w:p>
    <w:p w14:paraId="2B611D99" w14:textId="77777777" w:rsidR="001B74B8" w:rsidRDefault="001B74B8" w:rsidP="001B74B8">
      <w:r>
        <w:t xml:space="preserve">Broadly, this evaluation will use both qualitative and quantitative data to assess processes and service appropriateness, and the effectiveness and efficiency of the service. For quantitative data, both descriptive and regression analyses will be undertaken. </w:t>
      </w:r>
      <w:r w:rsidR="00EC0AA4">
        <w:t>Where feasible d</w:t>
      </w:r>
      <w:r>
        <w:t>escriptive statistics and regression results will be reported at the whole service level and disaggregated for different: demographic groups; service activities; and provider groups</w:t>
      </w:r>
      <w:r w:rsidR="00EC0AA4">
        <w:t>.</w:t>
      </w:r>
    </w:p>
    <w:p w14:paraId="47B930A7" w14:textId="77777777" w:rsidR="001B74B8" w:rsidRDefault="001B74B8" w:rsidP="001B74B8">
      <w:r>
        <w:t>For assessing program impact, a</w:t>
      </w:r>
      <w:r w:rsidRPr="00147D6C">
        <w:t xml:space="preserve"> net impact study</w:t>
      </w:r>
      <w:r>
        <w:t xml:space="preserve"> </w:t>
      </w:r>
      <w:r w:rsidRPr="00147D6C">
        <w:t>which attempts to determine the difference between outcome rates in the presence</w:t>
      </w:r>
      <w:r>
        <w:t xml:space="preserve"> and absence of an intervention</w:t>
      </w:r>
      <w:r w:rsidR="00EC0AA4">
        <w:t>,</w:t>
      </w:r>
      <w:r w:rsidRPr="00147D6C">
        <w:t xml:space="preserve"> is widely regarded as best practice in evaluation</w:t>
      </w:r>
      <w:r>
        <w:rPr>
          <w:rStyle w:val="FootnoteReference"/>
        </w:rPr>
        <w:footnoteReference w:id="2"/>
      </w:r>
      <w:r w:rsidRPr="00147D6C">
        <w:t>.</w:t>
      </w:r>
      <w:r w:rsidRPr="00147D6C">
        <w:rPr>
          <w:rStyle w:val="FootnoteReference"/>
          <w:rFonts w:ascii="Calibri" w:hAnsi="Calibri"/>
          <w:bCs/>
          <w:sz w:val="28"/>
          <w:szCs w:val="26"/>
        </w:rPr>
        <w:t xml:space="preserve"> </w:t>
      </w:r>
      <w:r w:rsidRPr="00147D6C">
        <w:t xml:space="preserve">However, a net impact study for </w:t>
      </w:r>
      <w:r>
        <w:t xml:space="preserve">TtW </w:t>
      </w:r>
      <w:r w:rsidRPr="00147D6C">
        <w:t xml:space="preserve">at the whole program level is not feasible as a credible </w:t>
      </w:r>
      <w:r>
        <w:t>control group</w:t>
      </w:r>
      <w:r w:rsidRPr="009758D0">
        <w:rPr>
          <w:vertAlign w:val="superscript"/>
        </w:rPr>
        <w:footnoteReference w:id="3"/>
      </w:r>
      <w:r w:rsidRPr="00147D6C">
        <w:t xml:space="preserve"> does not exist and </w:t>
      </w:r>
      <w:r>
        <w:t>cannot</w:t>
      </w:r>
      <w:r w:rsidRPr="00147D6C">
        <w:t xml:space="preserve"> be constructed</w:t>
      </w:r>
      <w:r>
        <w:t xml:space="preserve"> for </w:t>
      </w:r>
      <w:r w:rsidRPr="00147D6C">
        <w:t>several reasons, including:</w:t>
      </w:r>
    </w:p>
    <w:p w14:paraId="268C47BE" w14:textId="77777777" w:rsidR="001B74B8" w:rsidRDefault="001B74B8" w:rsidP="001B74B8">
      <w:pPr>
        <w:numPr>
          <w:ilvl w:val="0"/>
          <w:numId w:val="40"/>
        </w:numPr>
        <w:spacing w:after="0"/>
      </w:pPr>
      <w:r>
        <w:t>Group One and Three participants, and similar youth in receipt of activity tested income support</w:t>
      </w:r>
      <w:r w:rsidR="00EC0AA4">
        <w:t>,</w:t>
      </w:r>
      <w:r>
        <w:t xml:space="preserve"> have compulsory participation requirements through program intervention (such as JSA, jobactive or TtW). This leads to difficulties in selecting a control group for Group One and </w:t>
      </w:r>
      <w:r w:rsidR="00EC0AA4">
        <w:t xml:space="preserve">Group </w:t>
      </w:r>
      <w:r>
        <w:t>Three participants who are not exposed to an intervention. This issue also applies to using volunteer youth job seekers in JSA or jobactive as a control for Group Two participants.</w:t>
      </w:r>
    </w:p>
    <w:p w14:paraId="6EA90C07" w14:textId="77777777" w:rsidR="001B74B8" w:rsidRDefault="001B74B8" w:rsidP="001B74B8">
      <w:pPr>
        <w:numPr>
          <w:ilvl w:val="0"/>
          <w:numId w:val="40"/>
        </w:numPr>
        <w:ind w:left="714" w:hanging="357"/>
        <w:contextualSpacing/>
      </w:pPr>
      <w:r>
        <w:t>I</w:t>
      </w:r>
      <w:r w:rsidRPr="00147D6C">
        <w:t>t is not possible to create a control group</w:t>
      </w:r>
      <w:r>
        <w:t xml:space="preserve"> </w:t>
      </w:r>
      <w:r w:rsidRPr="00147D6C">
        <w:t xml:space="preserve">for Group </w:t>
      </w:r>
      <w:r>
        <w:t>Two</w:t>
      </w:r>
      <w:r w:rsidRPr="00147D6C">
        <w:t xml:space="preserve"> </w:t>
      </w:r>
      <w:r>
        <w:t>participants from disengaged youth</w:t>
      </w:r>
      <w:r w:rsidRPr="00147D6C">
        <w:t xml:space="preserve">. </w:t>
      </w:r>
      <w:r>
        <w:t xml:space="preserve">A control group should consist of youth who are similar to Group Two participants but not subject to any program intervention. Because of their nature of disengagement, there is no systematic data collected on non-participants. </w:t>
      </w:r>
    </w:p>
    <w:p w14:paraId="663F57BC" w14:textId="77777777" w:rsidR="001B74B8" w:rsidRDefault="001B74B8" w:rsidP="001B74B8">
      <w:pPr>
        <w:numPr>
          <w:ilvl w:val="0"/>
          <w:numId w:val="40"/>
        </w:numPr>
      </w:pPr>
      <w:r>
        <w:t>I</w:t>
      </w:r>
      <w:r w:rsidRPr="00147D6C">
        <w:t xml:space="preserve">t is also difficult to control for factors, such as </w:t>
      </w:r>
      <w:r>
        <w:t xml:space="preserve">participants’ </w:t>
      </w:r>
      <w:r w:rsidRPr="00147D6C">
        <w:t>motivation,</w:t>
      </w:r>
      <w:r>
        <w:t xml:space="preserve"> which are potentially</w:t>
      </w:r>
      <w:r w:rsidRPr="00147D6C">
        <w:t xml:space="preserve"> linked to </w:t>
      </w:r>
      <w:r>
        <w:t xml:space="preserve">the </w:t>
      </w:r>
      <w:r w:rsidRPr="00147D6C">
        <w:t xml:space="preserve">propensity to enrol in </w:t>
      </w:r>
      <w:r>
        <w:t>TtW.</w:t>
      </w:r>
    </w:p>
    <w:p w14:paraId="2715B66B" w14:textId="77777777" w:rsidR="001B74B8" w:rsidRDefault="001B74B8" w:rsidP="001B74B8">
      <w:r>
        <w:t>Instead of taking a net impact approach, where possible, the evaluation</w:t>
      </w:r>
      <w:r w:rsidRPr="003F4A1E">
        <w:t xml:space="preserve"> </w:t>
      </w:r>
      <w:r>
        <w:t>will compare TtW participants with similar job seekers in jobactive or</w:t>
      </w:r>
      <w:r w:rsidRPr="003F4A1E">
        <w:t xml:space="preserve"> its predecessor, JSA</w:t>
      </w:r>
      <w:r>
        <w:t xml:space="preserve">, to assess the </w:t>
      </w:r>
      <w:r w:rsidR="00106ABC">
        <w:t xml:space="preserve">relative effectiveness of the </w:t>
      </w:r>
      <w:r>
        <w:t>services</w:t>
      </w:r>
      <w:r w:rsidRPr="003F4A1E">
        <w:t>.</w:t>
      </w:r>
      <w:r>
        <w:t xml:space="preserve"> Comparison (not control) groups will be constructed for Group One and Three participants by selecting similar job seekers in the same age group and with the same participation requirements from the jobactive and/or JSA population. Statistical regression modelling will be used to estimate the relative effect of TtW, </w:t>
      </w:r>
      <w:r w:rsidR="001A193A">
        <w:t xml:space="preserve">and to control for </w:t>
      </w:r>
      <w:r>
        <w:t>changes in the macroeconomic environment and effect of observable differences in the unmatched characteristics of the participant populations.</w:t>
      </w:r>
    </w:p>
    <w:p w14:paraId="0703E8A9" w14:textId="77777777" w:rsidR="001B74B8" w:rsidRDefault="001B74B8" w:rsidP="001B74B8">
      <w:r>
        <w:t>It will be difficult to create a comparison group for Group Two participants as it is not possible to control for factors such as motivation, potentially linked</w:t>
      </w:r>
      <w:r w:rsidRPr="00147D6C">
        <w:t xml:space="preserve"> to</w:t>
      </w:r>
      <w:r>
        <w:t xml:space="preserve"> both employability and </w:t>
      </w:r>
      <w:r w:rsidRPr="00147D6C">
        <w:t xml:space="preserve">propensity to enrol in the </w:t>
      </w:r>
      <w:r>
        <w:t>TtW service</w:t>
      </w:r>
      <w:r w:rsidRPr="00147D6C">
        <w:t>.</w:t>
      </w:r>
      <w:r w:rsidRPr="004B6517">
        <w:t xml:space="preserve"> </w:t>
      </w:r>
      <w:r>
        <w:t>Group Two participants could be compared to young volunteer job seekers in jobactive who enrolled before TtW commenced. However, TtW providers actively market to disengaged youth, potentially making disengaged youth more likely to enrol in TtW, relative to jobactive.</w:t>
      </w:r>
    </w:p>
    <w:p w14:paraId="3C01614E" w14:textId="77777777" w:rsidR="001B74B8" w:rsidRDefault="001B74B8" w:rsidP="001B74B8">
      <w:pPr>
        <w:pStyle w:val="Heading3"/>
      </w:pPr>
      <w:r>
        <w:t>Key subpopulations</w:t>
      </w:r>
    </w:p>
    <w:p w14:paraId="1BFEB2DF" w14:textId="77777777" w:rsidR="001B74B8" w:rsidRPr="00A81D7C" w:rsidRDefault="001B74B8" w:rsidP="001B74B8">
      <w:pPr>
        <w:keepNext/>
        <w:rPr>
          <w:highlight w:val="yellow"/>
        </w:rPr>
      </w:pPr>
      <w:r>
        <w:t>The key subpopulations of interest for analytical purposes include:</w:t>
      </w:r>
    </w:p>
    <w:p w14:paraId="1520DE12" w14:textId="77777777" w:rsidR="001B74B8" w:rsidRPr="00FB7491" w:rsidRDefault="001B74B8" w:rsidP="001B74B8">
      <w:pPr>
        <w:numPr>
          <w:ilvl w:val="0"/>
          <w:numId w:val="40"/>
        </w:numPr>
        <w:spacing w:after="0"/>
      </w:pPr>
      <w:r>
        <w:t>s</w:t>
      </w:r>
      <w:r w:rsidRPr="004B6517">
        <w:t xml:space="preserve">tart-up cases in </w:t>
      </w:r>
      <w:r>
        <w:t>TtW</w:t>
      </w:r>
    </w:p>
    <w:p w14:paraId="28F40FD6" w14:textId="77777777" w:rsidR="001B74B8" w:rsidRPr="006263D5" w:rsidRDefault="001B74B8" w:rsidP="001B74B8">
      <w:pPr>
        <w:numPr>
          <w:ilvl w:val="0"/>
          <w:numId w:val="40"/>
        </w:numPr>
        <w:spacing w:after="0"/>
      </w:pPr>
      <w:r w:rsidRPr="004B6517">
        <w:t xml:space="preserve">Group </w:t>
      </w:r>
      <w:r>
        <w:t>One, Two and Three</w:t>
      </w:r>
      <w:r w:rsidRPr="004B6517">
        <w:t xml:space="preserve"> participants</w:t>
      </w:r>
    </w:p>
    <w:p w14:paraId="36106088" w14:textId="77777777" w:rsidR="001B74B8" w:rsidRPr="00457588" w:rsidRDefault="001B74B8" w:rsidP="001B74B8">
      <w:pPr>
        <w:numPr>
          <w:ilvl w:val="0"/>
          <w:numId w:val="40"/>
        </w:numPr>
        <w:spacing w:after="0"/>
      </w:pPr>
      <w:r>
        <w:t>a</w:t>
      </w:r>
      <w:r w:rsidRPr="004B6517">
        <w:t>t risk early school leavers aged 15-21 years who received employment services under JSA or jobactive</w:t>
      </w:r>
    </w:p>
    <w:p w14:paraId="2D540871" w14:textId="77777777" w:rsidR="001B74B8" w:rsidRDefault="001B74B8" w:rsidP="001B74B8">
      <w:pPr>
        <w:numPr>
          <w:ilvl w:val="0"/>
          <w:numId w:val="40"/>
        </w:numPr>
        <w:spacing w:after="0"/>
      </w:pPr>
      <w:r>
        <w:t>participants</w:t>
      </w:r>
      <w:r w:rsidRPr="006263D5">
        <w:t xml:space="preserve"> </w:t>
      </w:r>
      <w:r w:rsidRPr="00630E09">
        <w:t xml:space="preserve">who </w:t>
      </w:r>
      <w:r>
        <w:t>are</w:t>
      </w:r>
      <w:r w:rsidRPr="00630E09">
        <w:t xml:space="preserve"> transferred to jobactive</w:t>
      </w:r>
      <w:r>
        <w:t xml:space="preserve"> for not moving</w:t>
      </w:r>
      <w:r w:rsidRPr="00630E09">
        <w:t xml:space="preserve"> int</w:t>
      </w:r>
      <w:r>
        <w:t>o work or education within 12 months of entering TtW</w:t>
      </w:r>
    </w:p>
    <w:p w14:paraId="0BD49206" w14:textId="77777777" w:rsidR="001B74B8" w:rsidRPr="00457588" w:rsidRDefault="001B74B8" w:rsidP="001B74B8">
      <w:pPr>
        <w:numPr>
          <w:ilvl w:val="0"/>
          <w:numId w:val="40"/>
        </w:numPr>
        <w:spacing w:after="0"/>
      </w:pPr>
      <w:r>
        <w:t xml:space="preserve">TtW participants who are exited </w:t>
      </w:r>
      <w:r w:rsidRPr="00630E09">
        <w:t xml:space="preserve">by the </w:t>
      </w:r>
      <w:r>
        <w:t>p</w:t>
      </w:r>
      <w:r w:rsidRPr="00630E09">
        <w:t>rovider for not participating adequately</w:t>
      </w:r>
    </w:p>
    <w:p w14:paraId="74F2A1C8" w14:textId="77777777" w:rsidR="001B74B8" w:rsidRDefault="001B74B8" w:rsidP="001B74B8">
      <w:pPr>
        <w:numPr>
          <w:ilvl w:val="0"/>
          <w:numId w:val="40"/>
        </w:numPr>
        <w:spacing w:after="0"/>
      </w:pPr>
      <w:r>
        <w:t xml:space="preserve">job seekers who are referred to TtW as Group One or Three participants but </w:t>
      </w:r>
      <w:r w:rsidRPr="006263D5">
        <w:t>opt</w:t>
      </w:r>
      <w:r>
        <w:t xml:space="preserve"> </w:t>
      </w:r>
      <w:r w:rsidRPr="006263D5">
        <w:t>out and elect to participate in jobactive services instead</w:t>
      </w:r>
      <w:r>
        <w:t>.</w:t>
      </w:r>
    </w:p>
    <w:p w14:paraId="1B3558F0" w14:textId="77777777" w:rsidR="001B74B8" w:rsidRDefault="001B74B8" w:rsidP="001B74B8">
      <w:pPr>
        <w:pStyle w:val="Heading3"/>
      </w:pPr>
      <w:r>
        <w:t>Limitations</w:t>
      </w:r>
    </w:p>
    <w:p w14:paraId="68A1BC96" w14:textId="77777777" w:rsidR="001B74B8" w:rsidRDefault="001B74B8" w:rsidP="001B74B8">
      <w:r>
        <w:t>The main limitation to the evaluation methodology, as outlined in Section 3.1, is the absence of a control group, which renders a net impact study infeasible</w:t>
      </w:r>
      <w:r w:rsidRPr="00B824EA">
        <w:t xml:space="preserve"> </w:t>
      </w:r>
      <w:r>
        <w:t xml:space="preserve">at a whole service level. The comparative approach proposed for this evaluation will lead to conclusions </w:t>
      </w:r>
      <w:r w:rsidR="00106ABC">
        <w:t>about</w:t>
      </w:r>
      <w:r>
        <w:t xml:space="preserve"> how effective and efficient TtW is in comparison to other programs and services, but not </w:t>
      </w:r>
      <w:r w:rsidR="00106ABC">
        <w:t xml:space="preserve">how effective and efficient it is </w:t>
      </w:r>
      <w:r>
        <w:t>relative to a control group where no TtW or other service and programs are present.</w:t>
      </w:r>
    </w:p>
    <w:p w14:paraId="1FCCB8AF" w14:textId="77777777" w:rsidR="001B74B8" w:rsidRPr="00F7425C" w:rsidRDefault="001B74B8" w:rsidP="001B74B8">
      <w:r>
        <w:t>Other potential limitations to the analysis include:</w:t>
      </w:r>
    </w:p>
    <w:p w14:paraId="0BD5E486" w14:textId="77777777" w:rsidR="001B74B8" w:rsidRDefault="001B74B8" w:rsidP="001B74B8">
      <w:pPr>
        <w:numPr>
          <w:ilvl w:val="0"/>
          <w:numId w:val="40"/>
        </w:numPr>
        <w:spacing w:after="0"/>
      </w:pPr>
      <w:r>
        <w:t>data quality issues –</w:t>
      </w:r>
      <w:r w:rsidRPr="0079489C">
        <w:t xml:space="preserve"> </w:t>
      </w:r>
      <w:r>
        <w:t>m</w:t>
      </w:r>
      <w:r w:rsidRPr="0079489C">
        <w:t>issing or poorly recorded data (</w:t>
      </w:r>
      <w:r w:rsidR="00106ABC">
        <w:t>such as</w:t>
      </w:r>
      <w:r w:rsidRPr="0079489C">
        <w:t>, missing exit reasons and poorly recorded hours and earnings data) may af</w:t>
      </w:r>
      <w:r>
        <w:t>fect some parts of the analysis</w:t>
      </w:r>
    </w:p>
    <w:p w14:paraId="27AC9F14" w14:textId="77777777" w:rsidR="001B74B8" w:rsidRDefault="001B74B8" w:rsidP="001B74B8">
      <w:pPr>
        <w:numPr>
          <w:ilvl w:val="0"/>
          <w:numId w:val="40"/>
        </w:numPr>
        <w:spacing w:after="0"/>
      </w:pPr>
      <w:r>
        <w:t>comparison groups – difficulty creating comparison groups even under the comparative approach, especially for Group Two participants</w:t>
      </w:r>
    </w:p>
    <w:p w14:paraId="245F9729" w14:textId="77777777" w:rsidR="001B74B8" w:rsidRDefault="001B74B8" w:rsidP="001B74B8">
      <w:pPr>
        <w:numPr>
          <w:ilvl w:val="0"/>
          <w:numId w:val="40"/>
        </w:numPr>
        <w:spacing w:after="0"/>
      </w:pPr>
      <w:r>
        <w:t>c</w:t>
      </w:r>
      <w:r w:rsidRPr="00AC47FE">
        <w:t xml:space="preserve">onsistency in service delivery – </w:t>
      </w:r>
      <w:r>
        <w:t>t</w:t>
      </w:r>
      <w:r w:rsidRPr="00AC47FE">
        <w:t>he highly flexible</w:t>
      </w:r>
      <w:r>
        <w:t xml:space="preserve"> nature of the</w:t>
      </w:r>
      <w:r w:rsidRPr="00AC47FE">
        <w:t xml:space="preserve"> training and services offered by </w:t>
      </w:r>
      <w:r>
        <w:t xml:space="preserve">TtW </w:t>
      </w:r>
      <w:r w:rsidRPr="00AC47FE">
        <w:t>providers</w:t>
      </w:r>
      <w:r>
        <w:t>, under Service Delivery Plans,</w:t>
      </w:r>
      <w:r w:rsidRPr="00AC47FE">
        <w:t xml:space="preserve"> may </w:t>
      </w:r>
      <w:r>
        <w:t xml:space="preserve">make it difficult to distinguish the effects of the TtW service model as a whole </w:t>
      </w:r>
      <w:r w:rsidRPr="00AC47FE">
        <w:t xml:space="preserve">from </w:t>
      </w:r>
      <w:r>
        <w:t xml:space="preserve">the </w:t>
      </w:r>
      <w:r w:rsidRPr="00AC47FE">
        <w:t>effects</w:t>
      </w:r>
      <w:r>
        <w:t xml:space="preserve"> of particular providers</w:t>
      </w:r>
    </w:p>
    <w:p w14:paraId="0236D205" w14:textId="77777777" w:rsidR="001B74B8" w:rsidRDefault="001B74B8" w:rsidP="001B74B8">
      <w:pPr>
        <w:numPr>
          <w:ilvl w:val="0"/>
          <w:numId w:val="40"/>
        </w:numPr>
        <w:spacing w:after="0"/>
      </w:pPr>
      <w:r>
        <w:t>differences in program operation parameters – there are a number of differences between TtW and JSA or jobactive which will make direct comparison difficult, including:</w:t>
      </w:r>
    </w:p>
    <w:p w14:paraId="0C23C04B" w14:textId="77777777" w:rsidR="001B74B8" w:rsidRDefault="001B74B8" w:rsidP="001B74B8">
      <w:pPr>
        <w:numPr>
          <w:ilvl w:val="1"/>
          <w:numId w:val="40"/>
        </w:numPr>
        <w:spacing w:after="0"/>
      </w:pPr>
      <w:r>
        <w:t>the definitions of paid outcomes</w:t>
      </w:r>
    </w:p>
    <w:p w14:paraId="5294B2BF" w14:textId="77777777" w:rsidR="001B74B8" w:rsidRDefault="001B74B8" w:rsidP="001B74B8">
      <w:pPr>
        <w:numPr>
          <w:ilvl w:val="1"/>
          <w:numId w:val="40"/>
        </w:numPr>
        <w:spacing w:after="0"/>
      </w:pPr>
      <w:r>
        <w:t>payment structures</w:t>
      </w:r>
    </w:p>
    <w:p w14:paraId="2D9A2E62" w14:textId="77777777" w:rsidR="001B74B8" w:rsidRDefault="001B74B8" w:rsidP="001B74B8">
      <w:pPr>
        <w:numPr>
          <w:ilvl w:val="1"/>
          <w:numId w:val="40"/>
        </w:numPr>
        <w:spacing w:after="0"/>
      </w:pPr>
      <w:r>
        <w:t>recording of expenditure on participants</w:t>
      </w:r>
    </w:p>
    <w:p w14:paraId="0EF22A77" w14:textId="77777777" w:rsidR="001B74B8" w:rsidRDefault="001B74B8" w:rsidP="001B74B8">
      <w:pPr>
        <w:numPr>
          <w:ilvl w:val="1"/>
          <w:numId w:val="40"/>
        </w:numPr>
        <w:spacing w:after="0"/>
      </w:pPr>
      <w:r>
        <w:t>the focus on improving and assessing work readiness</w:t>
      </w:r>
    </w:p>
    <w:p w14:paraId="7B53C7EE" w14:textId="77777777" w:rsidR="001B74B8" w:rsidRDefault="001B74B8" w:rsidP="001B74B8">
      <w:pPr>
        <w:numPr>
          <w:ilvl w:val="1"/>
          <w:numId w:val="40"/>
        </w:numPr>
        <w:spacing w:after="0"/>
      </w:pPr>
      <w:r>
        <w:t>service duration (TtW is capped at 12 months)</w:t>
      </w:r>
    </w:p>
    <w:p w14:paraId="5829F836" w14:textId="77777777" w:rsidR="005C1DA7" w:rsidRDefault="005C1DA7" w:rsidP="005C1DA7">
      <w:pPr>
        <w:numPr>
          <w:ilvl w:val="0"/>
          <w:numId w:val="40"/>
        </w:numPr>
        <w:spacing w:after="0"/>
      </w:pPr>
      <w:r>
        <w:t>changes introduced with the implementation of jobactive:</w:t>
      </w:r>
    </w:p>
    <w:p w14:paraId="5D24081B" w14:textId="77777777" w:rsidR="005C1DA7" w:rsidRPr="0079489C" w:rsidRDefault="005C1DA7" w:rsidP="005C1DA7">
      <w:pPr>
        <w:numPr>
          <w:ilvl w:val="1"/>
          <w:numId w:val="40"/>
        </w:numPr>
        <w:spacing w:after="0"/>
      </w:pPr>
      <w:r>
        <w:t>s</w:t>
      </w:r>
      <w:r w:rsidRPr="0079489C">
        <w:t xml:space="preserve">treaming changes – </w:t>
      </w:r>
      <w:r>
        <w:t>j</w:t>
      </w:r>
      <w:r w:rsidRPr="0079489C">
        <w:t xml:space="preserve">ob </w:t>
      </w:r>
      <w:r>
        <w:t>s</w:t>
      </w:r>
      <w:r w:rsidRPr="0079489C">
        <w:t xml:space="preserve">eekers </w:t>
      </w:r>
      <w:r>
        <w:t>are streamed differently under</w:t>
      </w:r>
      <w:r w:rsidRPr="0079489C">
        <w:t xml:space="preserve"> </w:t>
      </w:r>
      <w:r>
        <w:t>jobactive</w:t>
      </w:r>
      <w:r w:rsidRPr="0079489C">
        <w:t xml:space="preserve">, causing </w:t>
      </w:r>
      <w:r>
        <w:t>some issues with identification of JSA</w:t>
      </w:r>
      <w:r w:rsidRPr="0079489C">
        <w:t xml:space="preserve"> groups</w:t>
      </w:r>
      <w:r>
        <w:t xml:space="preserve"> (pre-1 July 2015) to compare to TtW groups</w:t>
      </w:r>
      <w:r>
        <w:rPr>
          <w:rStyle w:val="FootnoteReference"/>
        </w:rPr>
        <w:footnoteReference w:id="4"/>
      </w:r>
    </w:p>
    <w:p w14:paraId="4A57E181" w14:textId="77777777" w:rsidR="005C1DA7" w:rsidRDefault="005C1DA7" w:rsidP="005C1DA7">
      <w:pPr>
        <w:numPr>
          <w:ilvl w:val="1"/>
          <w:numId w:val="40"/>
        </w:numPr>
        <w:spacing w:after="0"/>
      </w:pPr>
      <w:r w:rsidRPr="007775E3">
        <w:t xml:space="preserve">Job Seeker Classification Instrument </w:t>
      </w:r>
      <w:r>
        <w:t xml:space="preserve">(JSCI) </w:t>
      </w:r>
      <w:r w:rsidRPr="007775E3">
        <w:t>change</w:t>
      </w:r>
      <w:r>
        <w:t xml:space="preserve">s </w:t>
      </w:r>
      <w:r w:rsidRPr="007775E3">
        <w:t xml:space="preserve">– </w:t>
      </w:r>
      <w:r>
        <w:t>t</w:t>
      </w:r>
      <w:r w:rsidRPr="007775E3">
        <w:t>he</w:t>
      </w:r>
      <w:r>
        <w:t xml:space="preserve"> JSCI</w:t>
      </w:r>
      <w:r w:rsidRPr="007775E3">
        <w:t xml:space="preserve"> change</w:t>
      </w:r>
      <w:r>
        <w:t>d</w:t>
      </w:r>
      <w:r w:rsidRPr="007775E3">
        <w:t xml:space="preserve"> under </w:t>
      </w:r>
      <w:r>
        <w:t>jobactive, compounding with streaming changes to make the identification of comparable job seekers more difficult</w:t>
      </w:r>
      <w:r>
        <w:rPr>
          <w:rStyle w:val="FootnoteReference"/>
        </w:rPr>
        <w:footnoteReference w:id="5"/>
      </w:r>
    </w:p>
    <w:p w14:paraId="2872E8B5" w14:textId="77777777" w:rsidR="005C1DA7" w:rsidRPr="007775E3" w:rsidRDefault="005C1DA7" w:rsidP="005C1DA7">
      <w:pPr>
        <w:numPr>
          <w:ilvl w:val="1"/>
          <w:numId w:val="40"/>
        </w:numPr>
        <w:spacing w:after="0"/>
      </w:pPr>
      <w:r>
        <w:t>administrative data changes – the nature of data collected by the Department under</w:t>
      </w:r>
      <w:r w:rsidR="00A0317A">
        <w:t>went</w:t>
      </w:r>
      <w:r>
        <w:t xml:space="preserve"> changes in line with changes to the employment services model. Not all data previously collected continue and likewise some data collected under the jobactive model </w:t>
      </w:r>
      <w:r w:rsidR="00A0317A">
        <w:t>are</w:t>
      </w:r>
      <w:r>
        <w:t xml:space="preserve"> not available for the previous model.</w:t>
      </w:r>
    </w:p>
    <w:p w14:paraId="5B562F3C" w14:textId="77777777" w:rsidR="001B74B8" w:rsidRPr="001B74B8" w:rsidRDefault="005C1DA7" w:rsidP="005C1DA7">
      <w:pPr>
        <w:pStyle w:val="Heading2"/>
      </w:pPr>
      <w:bookmarkStart w:id="22" w:name="_Toc469333762"/>
      <w:r>
        <w:t>Data Sources</w:t>
      </w:r>
      <w:bookmarkEnd w:id="22"/>
    </w:p>
    <w:p w14:paraId="145EF594" w14:textId="77777777" w:rsidR="005C1DA7" w:rsidRPr="00AD525A" w:rsidRDefault="005C1DA7" w:rsidP="005C1DA7">
      <w:r w:rsidRPr="00AD525A">
        <w:t>Data for the evaluation</w:t>
      </w:r>
      <w:r>
        <w:t xml:space="preserve"> </w:t>
      </w:r>
      <w:r w:rsidRPr="00AD525A">
        <w:t xml:space="preserve">come </w:t>
      </w:r>
      <w:r w:rsidR="00106ABC">
        <w:t>mainly</w:t>
      </w:r>
      <w:r w:rsidR="00106ABC" w:rsidRPr="00AD525A">
        <w:t xml:space="preserve"> </w:t>
      </w:r>
      <w:r w:rsidRPr="00AD525A">
        <w:t>from the Department’s existing data collections, including administrative data from the Employment Services System</w:t>
      </w:r>
      <w:r>
        <w:t xml:space="preserve"> (ESS)</w:t>
      </w:r>
      <w:r w:rsidRPr="00AD525A">
        <w:t xml:space="preserve"> and data from surveys conducted by the </w:t>
      </w:r>
      <w:r>
        <w:t>D</w:t>
      </w:r>
      <w:r w:rsidRPr="00AD525A">
        <w:t>epartment</w:t>
      </w:r>
      <w:r w:rsidR="00106ABC">
        <w:t>;</w:t>
      </w:r>
      <w:r w:rsidRPr="00AD525A">
        <w:t xml:space="preserve"> in particular the </w:t>
      </w:r>
      <w:r w:rsidRPr="00AD525A">
        <w:rPr>
          <w:rFonts w:eastAsia="Times New Roman"/>
          <w:kern w:val="32"/>
        </w:rPr>
        <w:t>Post Programme Monitoring</w:t>
      </w:r>
      <w:r>
        <w:t xml:space="preserve"> (PPM) survey and </w:t>
      </w:r>
      <w:r w:rsidR="00106ABC">
        <w:t xml:space="preserve">from </w:t>
      </w:r>
      <w:r>
        <w:t xml:space="preserve">a suitable work readiness assessment </w:t>
      </w:r>
      <w:r w:rsidR="00C54DB9">
        <w:t>measure</w:t>
      </w:r>
      <w:r>
        <w:rPr>
          <w:rStyle w:val="FootnoteReference"/>
        </w:rPr>
        <w:footnoteReference w:id="6"/>
      </w:r>
      <w:r>
        <w:t>. Qualitative research will also be conducted to assess participant and provider views of TtW service.</w:t>
      </w:r>
    </w:p>
    <w:p w14:paraId="19FFEE02" w14:textId="77777777" w:rsidR="001B74B8" w:rsidRDefault="005C1DA7" w:rsidP="005C1DA7">
      <w:pPr>
        <w:pStyle w:val="Heading3"/>
      </w:pPr>
      <w:r>
        <w:t>Administrative data</w:t>
      </w:r>
    </w:p>
    <w:p w14:paraId="0A5A81E5" w14:textId="77777777" w:rsidR="005C1DA7" w:rsidRPr="00FD7DB4" w:rsidRDefault="005C1DA7" w:rsidP="005C1DA7">
      <w:r>
        <w:t xml:space="preserve">The </w:t>
      </w:r>
      <w:r w:rsidRPr="00FD7DB4">
        <w:t>Department</w:t>
      </w:r>
      <w:r>
        <w:t>’s</w:t>
      </w:r>
      <w:r w:rsidRPr="00FD7DB4">
        <w:t xml:space="preserve"> administrative data </w:t>
      </w:r>
      <w:r>
        <w:t xml:space="preserve">includes </w:t>
      </w:r>
      <w:r w:rsidRPr="00FD7DB4">
        <w:t>caseload information (</w:t>
      </w:r>
      <w:r w:rsidR="00106ABC">
        <w:t>such as</w:t>
      </w:r>
      <w:r w:rsidRPr="00FD7DB4">
        <w:t xml:space="preserve"> </w:t>
      </w:r>
      <w:r w:rsidR="00136948">
        <w:t>participant</w:t>
      </w:r>
      <w:r w:rsidRPr="00FD7DB4">
        <w:t xml:space="preserve"> demographics, referrals, c</w:t>
      </w:r>
      <w:r w:rsidR="00A1670F">
        <w:t xml:space="preserve">ommencements and paid outcomes) and </w:t>
      </w:r>
      <w:r w:rsidRPr="00FD7DB4">
        <w:t>payment transactions (e.g. claims for service and outcome fees</w:t>
      </w:r>
      <w:r w:rsidR="00106ABC">
        <w:t>,</w:t>
      </w:r>
      <w:r w:rsidRPr="00FD7DB4">
        <w:t xml:space="preserve"> and wage subsidies</w:t>
      </w:r>
      <w:r w:rsidR="00A1670F">
        <w:t xml:space="preserve"> etc.</w:t>
      </w:r>
      <w:r w:rsidRPr="00FD7DB4">
        <w:t>).</w:t>
      </w:r>
    </w:p>
    <w:p w14:paraId="4D35E663" w14:textId="77777777" w:rsidR="005C1DA7" w:rsidRPr="00AD525A" w:rsidRDefault="005C1DA7" w:rsidP="005C1DA7">
      <w:r w:rsidRPr="00AD525A">
        <w:t xml:space="preserve">The </w:t>
      </w:r>
      <w:r>
        <w:t>D</w:t>
      </w:r>
      <w:r w:rsidRPr="00AD525A">
        <w:t xml:space="preserve">epartment also has access to </w:t>
      </w:r>
      <w:r>
        <w:t>i</w:t>
      </w:r>
      <w:r w:rsidRPr="00AD525A">
        <w:t xml:space="preserve">ncome </w:t>
      </w:r>
      <w:r>
        <w:t>s</w:t>
      </w:r>
      <w:r w:rsidRPr="00AD525A">
        <w:t>upport data collected by the Department of Human Services</w:t>
      </w:r>
      <w:r>
        <w:t xml:space="preserve"> (DHS)</w:t>
      </w:r>
      <w:r w:rsidRPr="00AD525A">
        <w:t xml:space="preserve"> through the administration of </w:t>
      </w:r>
      <w:r>
        <w:t>i</w:t>
      </w:r>
      <w:r w:rsidRPr="00AD525A">
        <w:t xml:space="preserve">ncome </w:t>
      </w:r>
      <w:r>
        <w:t>s</w:t>
      </w:r>
      <w:r w:rsidRPr="00AD525A">
        <w:t>upport.</w:t>
      </w:r>
    </w:p>
    <w:p w14:paraId="27D446A6" w14:textId="77777777" w:rsidR="005C1DA7" w:rsidRDefault="005C1DA7" w:rsidP="005C1DA7">
      <w:pPr>
        <w:pStyle w:val="Heading3"/>
      </w:pPr>
      <w:r>
        <w:t>Participant feedback</w:t>
      </w:r>
    </w:p>
    <w:p w14:paraId="15A70A40" w14:textId="77777777" w:rsidR="005C1DA7" w:rsidRDefault="005C1DA7" w:rsidP="005C1DA7">
      <w:r>
        <w:t xml:space="preserve">Conducted </w:t>
      </w:r>
      <w:r w:rsidRPr="00AD525A">
        <w:t>since 1987, the PPM</w:t>
      </w:r>
      <w:r>
        <w:rPr>
          <w:rFonts w:eastAsia="Times New Roman"/>
          <w:kern w:val="32"/>
        </w:rPr>
        <w:t xml:space="preserve"> s</w:t>
      </w:r>
      <w:r w:rsidRPr="00AD525A">
        <w:rPr>
          <w:rFonts w:eastAsia="Times New Roman"/>
          <w:kern w:val="32"/>
        </w:rPr>
        <w:t>urvey</w:t>
      </w:r>
      <w:r w:rsidRPr="00AD525A">
        <w:t xml:space="preserve"> is an ongoing mail and telephone survey run by the Department that collects information from </w:t>
      </w:r>
      <w:r>
        <w:t>j</w:t>
      </w:r>
      <w:r w:rsidRPr="00AD525A">
        <w:t xml:space="preserve">ob </w:t>
      </w:r>
      <w:r>
        <w:t>s</w:t>
      </w:r>
      <w:r w:rsidRPr="00AD525A">
        <w:t>eekers</w:t>
      </w:r>
      <w:r>
        <w:t>/participants</w:t>
      </w:r>
      <w:r w:rsidRPr="00AD525A">
        <w:t xml:space="preserve"> who have participated in, or are participating in, Government funded employment assistance such as </w:t>
      </w:r>
      <w:r>
        <w:t>jobactive and TtW</w:t>
      </w:r>
      <w:r w:rsidRPr="00AD525A">
        <w:t xml:space="preserve">. The PPM survey collects data on </w:t>
      </w:r>
      <w:r>
        <w:t>j</w:t>
      </w:r>
      <w:r w:rsidRPr="00AD525A">
        <w:t xml:space="preserve">ob </w:t>
      </w:r>
      <w:r>
        <w:t>s</w:t>
      </w:r>
      <w:r w:rsidRPr="00AD525A">
        <w:t xml:space="preserve">eekers’ labour market and educational status after employment assistance, as well as </w:t>
      </w:r>
      <w:r>
        <w:t>j</w:t>
      </w:r>
      <w:r w:rsidRPr="00AD525A">
        <w:t xml:space="preserve">ob </w:t>
      </w:r>
      <w:r>
        <w:t>s</w:t>
      </w:r>
      <w:r w:rsidRPr="00AD525A">
        <w:t xml:space="preserve">eekers’ </w:t>
      </w:r>
      <w:r w:rsidR="00136948">
        <w:t>satisfaction</w:t>
      </w:r>
      <w:r w:rsidRPr="00AD525A">
        <w:t xml:space="preserve"> on the assistance received. </w:t>
      </w:r>
    </w:p>
    <w:p w14:paraId="4440F8B7" w14:textId="77777777" w:rsidR="005C1DA7" w:rsidRDefault="005C1DA7" w:rsidP="005C1DA7">
      <w:pPr>
        <w:pStyle w:val="Heading3"/>
      </w:pPr>
      <w:r>
        <w:t>Survey of Employers</w:t>
      </w:r>
    </w:p>
    <w:p w14:paraId="0B92588E" w14:textId="77777777" w:rsidR="005C1DA7" w:rsidRDefault="005C1DA7" w:rsidP="005C1DA7">
      <w:r w:rsidRPr="00871F97">
        <w:t xml:space="preserve">The </w:t>
      </w:r>
      <w:r w:rsidR="00237EAE">
        <w:t xml:space="preserve">Survey of Employers is a biennial </w:t>
      </w:r>
      <w:r>
        <w:t>survey conducted by the Evaluation, Research and Evidence Branch (EREB) within the Department.</w:t>
      </w:r>
    </w:p>
    <w:p w14:paraId="085BEB6C" w14:textId="77777777" w:rsidR="005C1DA7" w:rsidRPr="00ED2861" w:rsidRDefault="005C1DA7" w:rsidP="005C1DA7">
      <w:pPr>
        <w:rPr>
          <w:rFonts w:ascii="Calibri" w:hAnsi="Calibri"/>
        </w:rPr>
      </w:pPr>
      <w:r>
        <w:t xml:space="preserve">It </w:t>
      </w:r>
      <w:r w:rsidRPr="00D6555E">
        <w:rPr>
          <w:rFonts w:ascii="Calibri" w:hAnsi="Calibri" w:cs="Calibri"/>
        </w:rPr>
        <w:t>collect</w:t>
      </w:r>
      <w:r>
        <w:rPr>
          <w:rFonts w:ascii="Calibri" w:hAnsi="Calibri" w:cs="Calibri"/>
        </w:rPr>
        <w:t>s information on</w:t>
      </w:r>
      <w:r>
        <w:rPr>
          <w:rFonts w:ascii="Calibri" w:hAnsi="Calibri"/>
        </w:rPr>
        <w:t>:</w:t>
      </w:r>
    </w:p>
    <w:p w14:paraId="49634BAD" w14:textId="77777777" w:rsidR="005C1DA7" w:rsidRPr="00B01F11" w:rsidRDefault="00107D72" w:rsidP="005C1DA7">
      <w:pPr>
        <w:numPr>
          <w:ilvl w:val="0"/>
          <w:numId w:val="40"/>
        </w:numPr>
        <w:spacing w:after="0"/>
      </w:pPr>
      <w:r>
        <w:t>a</w:t>
      </w:r>
      <w:r w:rsidRPr="00B01F11">
        <w:t>wareness</w:t>
      </w:r>
      <w:r>
        <w:t xml:space="preserve">, </w:t>
      </w:r>
      <w:r w:rsidR="005C1DA7">
        <w:t>use, and satisfaction with</w:t>
      </w:r>
      <w:r w:rsidR="005C1DA7" w:rsidRPr="00B01F11">
        <w:t xml:space="preserve"> the quality</w:t>
      </w:r>
      <w:r>
        <w:t>,</w:t>
      </w:r>
      <w:r w:rsidR="005C1DA7" w:rsidRPr="00B01F11">
        <w:t xml:space="preserve"> of </w:t>
      </w:r>
      <w:r w:rsidR="005C1DA7">
        <w:t>Government</w:t>
      </w:r>
      <w:r w:rsidR="005C1DA7" w:rsidRPr="00B01F11">
        <w:t xml:space="preserve"> employment services and programs</w:t>
      </w:r>
    </w:p>
    <w:p w14:paraId="015B0398" w14:textId="77777777" w:rsidR="005C1DA7" w:rsidRPr="00B01F11" w:rsidRDefault="005C1DA7" w:rsidP="005C1DA7">
      <w:pPr>
        <w:numPr>
          <w:ilvl w:val="0"/>
          <w:numId w:val="40"/>
        </w:numPr>
        <w:spacing w:after="0"/>
      </w:pPr>
      <w:r w:rsidRPr="00B01F11">
        <w:t xml:space="preserve">attitudes and behaviours of employers towards hiring people in key groups of interest, </w:t>
      </w:r>
      <w:r w:rsidR="00107D72">
        <w:t>including</w:t>
      </w:r>
      <w:r w:rsidRPr="00B01F11">
        <w:t xml:space="preserve"> </w:t>
      </w:r>
      <w:r>
        <w:t>job seeker</w:t>
      </w:r>
      <w:r w:rsidRPr="00B01F11">
        <w:t>s who are mature age</w:t>
      </w:r>
      <w:r>
        <w:t>d</w:t>
      </w:r>
      <w:r w:rsidRPr="00B01F11">
        <w:t>, people with disability, long</w:t>
      </w:r>
      <w:r>
        <w:t>-</w:t>
      </w:r>
      <w:r w:rsidRPr="00B01F11">
        <w:t>term unemployed, youth and Indigenous Australians.</w:t>
      </w:r>
    </w:p>
    <w:p w14:paraId="1BA5863C" w14:textId="77777777" w:rsidR="005C1DA7" w:rsidRPr="005C1DA7" w:rsidRDefault="005C1DA7" w:rsidP="005C1DA7">
      <w:pPr>
        <w:pStyle w:val="Heading3"/>
      </w:pPr>
      <w:r>
        <w:t>Survey of Employment Service Providers</w:t>
      </w:r>
    </w:p>
    <w:p w14:paraId="381B5F20" w14:textId="77777777" w:rsidR="005C1DA7" w:rsidRDefault="005C1DA7" w:rsidP="005C1DA7">
      <w:r w:rsidRPr="006866DA">
        <w:t xml:space="preserve">It is anticipated that </w:t>
      </w:r>
      <w:r>
        <w:t xml:space="preserve">the annual </w:t>
      </w:r>
      <w:r w:rsidRPr="006866DA">
        <w:t xml:space="preserve">Survey of </w:t>
      </w:r>
      <w:r>
        <w:rPr>
          <w:rFonts w:eastAsia="Times New Roman"/>
          <w:kern w:val="32"/>
        </w:rPr>
        <w:t xml:space="preserve">Employment Services Providers, also administered by </w:t>
      </w:r>
      <w:r>
        <w:t>EREB,</w:t>
      </w:r>
      <w:r>
        <w:rPr>
          <w:rFonts w:eastAsia="Times New Roman"/>
          <w:kern w:val="32"/>
        </w:rPr>
        <w:t xml:space="preserve"> </w:t>
      </w:r>
      <w:r w:rsidRPr="006866DA">
        <w:t xml:space="preserve">will </w:t>
      </w:r>
      <w:r>
        <w:t>include TtW providers</w:t>
      </w:r>
      <w:r w:rsidRPr="006866DA">
        <w:t xml:space="preserve">. The survey is usually conducted at the site level of organisations providing </w:t>
      </w:r>
      <w:r w:rsidR="00237EAE">
        <w:t>employment</w:t>
      </w:r>
      <w:r w:rsidRPr="006866DA">
        <w:t xml:space="preserve"> </w:t>
      </w:r>
      <w:r>
        <w:t>s</w:t>
      </w:r>
      <w:r w:rsidRPr="006866DA">
        <w:t xml:space="preserve">ervices. The primary focus of the survey </w:t>
      </w:r>
      <w:r>
        <w:t>is</w:t>
      </w:r>
      <w:r w:rsidRPr="006866DA">
        <w:t xml:space="preserve"> to gather </w:t>
      </w:r>
      <w:r>
        <w:t xml:space="preserve">views of </w:t>
      </w:r>
      <w:r w:rsidR="00237EAE">
        <w:t>service</w:t>
      </w:r>
      <w:r>
        <w:t xml:space="preserve"> providers</w:t>
      </w:r>
      <w:r w:rsidRPr="006866DA">
        <w:t xml:space="preserve"> on the </w:t>
      </w:r>
      <w:r w:rsidR="00237EAE">
        <w:t>design, operation of the service and adequacy</w:t>
      </w:r>
      <w:r w:rsidRPr="006866DA">
        <w:t xml:space="preserve"> of </w:t>
      </w:r>
      <w:r w:rsidR="00237EAE">
        <w:t>support</w:t>
      </w:r>
      <w:r w:rsidRPr="006866DA">
        <w:t xml:space="preserve"> provided by the Depa</w:t>
      </w:r>
      <w:r w:rsidR="00B557BC">
        <w:t>rtment.</w:t>
      </w:r>
    </w:p>
    <w:p w14:paraId="0D1D1DDD" w14:textId="77777777" w:rsidR="005C1DA7" w:rsidRDefault="005C1DA7" w:rsidP="005C1DA7">
      <w:pPr>
        <w:pStyle w:val="Heading3"/>
      </w:pPr>
      <w:r>
        <w:t>Other qualitative research</w:t>
      </w:r>
    </w:p>
    <w:p w14:paraId="310F712A" w14:textId="77777777" w:rsidR="005C1DA7" w:rsidRDefault="005C1DA7" w:rsidP="005C1DA7">
      <w:r>
        <w:t>EREB will engage consultants to collect qualitative information</w:t>
      </w:r>
      <w:r w:rsidR="00106ABC" w:rsidRPr="00106ABC">
        <w:t xml:space="preserve"> </w:t>
      </w:r>
      <w:r w:rsidR="00106ABC">
        <w:t>on program operation and service quality</w:t>
      </w:r>
      <w:r>
        <w:t xml:space="preserve"> from providers, participants and other stakeholders.</w:t>
      </w:r>
    </w:p>
    <w:p w14:paraId="387535D8" w14:textId="77777777" w:rsidR="005C1DA7" w:rsidRPr="005C1DA7" w:rsidRDefault="005C1DA7" w:rsidP="005C1DA7">
      <w:pPr>
        <w:pStyle w:val="Heading3"/>
      </w:pPr>
      <w:r>
        <w:t>Other data sources</w:t>
      </w:r>
    </w:p>
    <w:p w14:paraId="039F744B" w14:textId="77777777" w:rsidR="005C1DA7" w:rsidRDefault="00106ABC" w:rsidP="005C1DA7">
      <w:pPr>
        <w:rPr>
          <w:rFonts w:ascii="Calibri" w:hAnsi="Calibri"/>
        </w:rPr>
      </w:pPr>
      <w:r>
        <w:rPr>
          <w:rFonts w:ascii="Calibri" w:hAnsi="Calibri"/>
        </w:rPr>
        <w:t>Additional</w:t>
      </w:r>
      <w:r w:rsidRPr="00AD525A">
        <w:rPr>
          <w:rFonts w:ascii="Calibri" w:hAnsi="Calibri"/>
        </w:rPr>
        <w:t xml:space="preserve"> available </w:t>
      </w:r>
      <w:r w:rsidR="005C1DA7" w:rsidRPr="00AD525A">
        <w:rPr>
          <w:rFonts w:ascii="Calibri" w:hAnsi="Calibri"/>
        </w:rPr>
        <w:t xml:space="preserve">data, including </w:t>
      </w:r>
      <w:r>
        <w:rPr>
          <w:rFonts w:ascii="Calibri" w:hAnsi="Calibri"/>
        </w:rPr>
        <w:t>that</w:t>
      </w:r>
      <w:r w:rsidRPr="00AD525A">
        <w:rPr>
          <w:rFonts w:ascii="Calibri" w:hAnsi="Calibri"/>
        </w:rPr>
        <w:t xml:space="preserve"> </w:t>
      </w:r>
      <w:r w:rsidR="005C1DA7" w:rsidRPr="00AD525A">
        <w:rPr>
          <w:rFonts w:ascii="Calibri" w:hAnsi="Calibri"/>
        </w:rPr>
        <w:t>from other agencies</w:t>
      </w:r>
      <w:r w:rsidR="007705A8">
        <w:rPr>
          <w:rFonts w:ascii="Calibri" w:hAnsi="Calibri"/>
        </w:rPr>
        <w:t xml:space="preserve"> such as</w:t>
      </w:r>
      <w:r w:rsidR="005C1DA7" w:rsidRPr="00AD525A">
        <w:rPr>
          <w:rFonts w:ascii="Calibri" w:hAnsi="Calibri"/>
        </w:rPr>
        <w:t xml:space="preserve"> </w:t>
      </w:r>
      <w:r w:rsidRPr="00AD525A">
        <w:rPr>
          <w:rFonts w:ascii="Calibri" w:hAnsi="Calibri"/>
        </w:rPr>
        <w:t>the Australian Bureau of Statistics</w:t>
      </w:r>
      <w:r>
        <w:rPr>
          <w:rFonts w:ascii="Calibri" w:hAnsi="Calibri"/>
        </w:rPr>
        <w:t xml:space="preserve"> (ABS)</w:t>
      </w:r>
      <w:r w:rsidR="007705A8">
        <w:rPr>
          <w:rFonts w:ascii="Calibri" w:hAnsi="Calibri"/>
        </w:rPr>
        <w:t xml:space="preserve">, </w:t>
      </w:r>
      <w:r w:rsidR="005C1DA7" w:rsidRPr="00AD525A">
        <w:rPr>
          <w:rFonts w:ascii="Calibri" w:hAnsi="Calibri"/>
        </w:rPr>
        <w:t>may be used to support the evaluation where appropriate</w:t>
      </w:r>
      <w:r w:rsidR="007705A8">
        <w:rPr>
          <w:rFonts w:ascii="Calibri" w:hAnsi="Calibri"/>
        </w:rPr>
        <w:t>.</w:t>
      </w:r>
      <w:r w:rsidR="005C1DA7" w:rsidRPr="00AD525A">
        <w:rPr>
          <w:rFonts w:ascii="Calibri" w:hAnsi="Calibri"/>
        </w:rPr>
        <w:t xml:space="preserve"> </w:t>
      </w:r>
    </w:p>
    <w:p w14:paraId="173D060A" w14:textId="77777777" w:rsidR="005C1DA7" w:rsidRDefault="005C1DA7" w:rsidP="001B74B8">
      <w:pPr>
        <w:sectPr w:rsidR="005C1DA7" w:rsidSect="00596374">
          <w:pgSz w:w="11906" w:h="16838"/>
          <w:pgMar w:top="1985" w:right="1440" w:bottom="1440" w:left="1440" w:header="708" w:footer="1011" w:gutter="0"/>
          <w:cols w:space="708"/>
          <w:docGrid w:linePitch="360"/>
        </w:sectPr>
      </w:pPr>
    </w:p>
    <w:p w14:paraId="1B1D683B" w14:textId="77777777" w:rsidR="005C1DA7" w:rsidRDefault="005C1DA7" w:rsidP="005C1DA7">
      <w:pPr>
        <w:pStyle w:val="Heading1"/>
      </w:pPr>
      <w:bookmarkStart w:id="23" w:name="_Toc469333763"/>
      <w:r>
        <w:t>Evaluation Management</w:t>
      </w:r>
      <w:bookmarkEnd w:id="23"/>
    </w:p>
    <w:p w14:paraId="5234548F" w14:textId="77777777" w:rsidR="005C1DA7" w:rsidRDefault="005C1DA7" w:rsidP="005C1DA7">
      <w:pPr>
        <w:pStyle w:val="Heading2"/>
      </w:pPr>
      <w:bookmarkStart w:id="24" w:name="_Toc469333764"/>
      <w:r>
        <w:t>Governance</w:t>
      </w:r>
      <w:bookmarkEnd w:id="24"/>
    </w:p>
    <w:p w14:paraId="3C9CC379" w14:textId="77777777" w:rsidR="005C1DA7" w:rsidRDefault="005C1DA7" w:rsidP="005C1DA7">
      <w:r>
        <w:t xml:space="preserve">The TtW evaluation will be undertaken by the </w:t>
      </w:r>
      <w:r w:rsidR="006E36C1">
        <w:t>EREB</w:t>
      </w:r>
      <w:r>
        <w:t xml:space="preserve"> with oversight from </w:t>
      </w:r>
      <w:r w:rsidR="00C54DB9">
        <w:t>departmental governance committees</w:t>
      </w:r>
      <w:r>
        <w:t>.</w:t>
      </w:r>
    </w:p>
    <w:p w14:paraId="6503C468" w14:textId="77777777" w:rsidR="005C1DA7" w:rsidRDefault="005C1DA7" w:rsidP="005C1DA7">
      <w:r>
        <w:t xml:space="preserve">Advice </w:t>
      </w:r>
      <w:r w:rsidR="00C54DB9">
        <w:t>on the evaluation strategy</w:t>
      </w:r>
      <w:r w:rsidR="007705A8">
        <w:t xml:space="preserve"> has been </w:t>
      </w:r>
      <w:r>
        <w:t>sought from the TtW Working Group (TtWWG)</w:t>
      </w:r>
      <w:r w:rsidR="007705A8">
        <w:t xml:space="preserve"> which</w:t>
      </w:r>
      <w:r>
        <w:t xml:space="preserve"> include</w:t>
      </w:r>
      <w:r w:rsidR="007705A8">
        <w:t>d</w:t>
      </w:r>
      <w:r>
        <w:t xml:space="preserve"> members from the </w:t>
      </w:r>
      <w:r w:rsidRPr="002934F3">
        <w:rPr>
          <w:rFonts w:cstheme="minorHAnsi"/>
        </w:rPr>
        <w:t>Youth and Programmes</w:t>
      </w:r>
      <w:r w:rsidR="007705A8">
        <w:rPr>
          <w:rFonts w:cstheme="minorHAnsi"/>
        </w:rPr>
        <w:t>;</w:t>
      </w:r>
      <w:r>
        <w:rPr>
          <w:rFonts w:cstheme="minorHAnsi"/>
        </w:rPr>
        <w:t xml:space="preserve"> Delivery and Engagement</w:t>
      </w:r>
      <w:r w:rsidR="007705A8">
        <w:rPr>
          <w:rFonts w:cstheme="minorHAnsi"/>
        </w:rPr>
        <w:t>;</w:t>
      </w:r>
      <w:r>
        <w:rPr>
          <w:rFonts w:cstheme="minorHAnsi"/>
        </w:rPr>
        <w:t xml:space="preserve"> Employment Systems</w:t>
      </w:r>
      <w:r w:rsidR="007705A8">
        <w:rPr>
          <w:rFonts w:cstheme="minorHAnsi"/>
        </w:rPr>
        <w:t>;</w:t>
      </w:r>
      <w:r>
        <w:rPr>
          <w:rFonts w:cstheme="minorHAnsi"/>
        </w:rPr>
        <w:t xml:space="preserve"> </w:t>
      </w:r>
      <w:r w:rsidRPr="002934F3">
        <w:rPr>
          <w:rFonts w:cstheme="minorHAnsi"/>
        </w:rPr>
        <w:t>Activation and Work for the Dole</w:t>
      </w:r>
      <w:r w:rsidR="007705A8">
        <w:rPr>
          <w:rFonts w:cstheme="minorHAnsi"/>
        </w:rPr>
        <w:t>;</w:t>
      </w:r>
      <w:r>
        <w:rPr>
          <w:rFonts w:cstheme="minorHAnsi"/>
        </w:rPr>
        <w:t xml:space="preserve"> </w:t>
      </w:r>
      <w:r w:rsidRPr="002934F3">
        <w:rPr>
          <w:rFonts w:cstheme="minorHAnsi"/>
        </w:rPr>
        <w:t>Quality and Integrity</w:t>
      </w:r>
      <w:r w:rsidR="007705A8">
        <w:rPr>
          <w:rFonts w:cstheme="minorHAnsi"/>
        </w:rPr>
        <w:t>;</w:t>
      </w:r>
      <w:r>
        <w:rPr>
          <w:rFonts w:cstheme="minorHAnsi"/>
        </w:rPr>
        <w:t xml:space="preserve"> Labour Market Strategy and Economic Strategy Groups. External stakeholders, including members from relevant teams of the Department of Social Services (DSS) and DHS </w:t>
      </w:r>
      <w:r w:rsidR="00412CA6">
        <w:rPr>
          <w:rFonts w:cstheme="minorHAnsi"/>
        </w:rPr>
        <w:t>were</w:t>
      </w:r>
      <w:r>
        <w:rPr>
          <w:rFonts w:cstheme="minorHAnsi"/>
        </w:rPr>
        <w:t xml:space="preserve"> also included in the </w:t>
      </w:r>
      <w:r>
        <w:t>TtWWG</w:t>
      </w:r>
      <w:r>
        <w:rPr>
          <w:rFonts w:cstheme="minorHAnsi"/>
        </w:rPr>
        <w:t>.</w:t>
      </w:r>
    </w:p>
    <w:p w14:paraId="5C92C69C" w14:textId="77777777" w:rsidR="005C1DA7" w:rsidRDefault="005C1DA7" w:rsidP="005C1DA7">
      <w:pPr>
        <w:pStyle w:val="Heading2"/>
      </w:pPr>
      <w:bookmarkStart w:id="25" w:name="_Toc469333765"/>
      <w:r>
        <w:t>Stakeholders</w:t>
      </w:r>
      <w:bookmarkEnd w:id="25"/>
    </w:p>
    <w:p w14:paraId="05DA400B" w14:textId="77777777" w:rsidR="005C1DA7" w:rsidRDefault="005C1DA7" w:rsidP="005C1DA7">
      <w:r>
        <w:t>A range of key stakeholders will be consulted during the course of this evaluation. EREB</w:t>
      </w:r>
      <w:r w:rsidRPr="004654DD">
        <w:t xml:space="preserve"> anticipate</w:t>
      </w:r>
      <w:r>
        <w:t>s</w:t>
      </w:r>
      <w:r w:rsidRPr="004654DD">
        <w:t xml:space="preserve"> that </w:t>
      </w:r>
      <w:r w:rsidR="007705A8">
        <w:t>consultation</w:t>
      </w:r>
      <w:r>
        <w:t xml:space="preserve"> with </w:t>
      </w:r>
      <w:r w:rsidR="00EA382E">
        <w:t>various</w:t>
      </w:r>
      <w:r>
        <w:t xml:space="preserve"> areas of </w:t>
      </w:r>
      <w:r w:rsidRPr="004654DD">
        <w:t xml:space="preserve">the </w:t>
      </w:r>
      <w:r>
        <w:t>D</w:t>
      </w:r>
      <w:r w:rsidRPr="004654DD">
        <w:t>epartment</w:t>
      </w:r>
      <w:r>
        <w:t>,</w:t>
      </w:r>
      <w:r w:rsidR="00412CA6">
        <w:t xml:space="preserve"> DHS</w:t>
      </w:r>
      <w:r w:rsidRPr="004654DD">
        <w:t xml:space="preserve"> </w:t>
      </w:r>
      <w:r>
        <w:t xml:space="preserve">and </w:t>
      </w:r>
      <w:r w:rsidR="00412CA6">
        <w:t>DSS</w:t>
      </w:r>
      <w:r w:rsidRPr="004654DD">
        <w:t xml:space="preserve"> during the course of the evaluation.</w:t>
      </w:r>
      <w:r>
        <w:t xml:space="preserve"> In addition, EREB </w:t>
      </w:r>
      <w:r w:rsidR="00412CA6">
        <w:t>will seek feedback from</w:t>
      </w:r>
      <w:r>
        <w:t xml:space="preserve"> TtW providers, employers and peak bodies to inform </w:t>
      </w:r>
      <w:r w:rsidR="00412CA6">
        <w:t xml:space="preserve">the </w:t>
      </w:r>
      <w:r w:rsidR="007705A8">
        <w:t>process</w:t>
      </w:r>
      <w:r>
        <w:t xml:space="preserve">. </w:t>
      </w:r>
      <w:r w:rsidRPr="000C53AA">
        <w:t>The evaluation will aim to incorporate the views of relevant stakeholders</w:t>
      </w:r>
      <w:r w:rsidR="007705A8">
        <w:t xml:space="preserve"> where possible</w:t>
      </w:r>
      <w:r w:rsidRPr="000C53AA">
        <w:t>.</w:t>
      </w:r>
    </w:p>
    <w:p w14:paraId="20D792A8" w14:textId="77777777" w:rsidR="005C1DA7" w:rsidRDefault="005C1DA7" w:rsidP="005C1DA7">
      <w:pPr>
        <w:pStyle w:val="Heading2"/>
      </w:pPr>
      <w:bookmarkStart w:id="26" w:name="_Toc469333766"/>
      <w:r>
        <w:t>Risks</w:t>
      </w:r>
      <w:bookmarkEnd w:id="26"/>
    </w:p>
    <w:p w14:paraId="0921F467" w14:textId="77777777" w:rsidR="005C1DA7" w:rsidRDefault="005C1DA7" w:rsidP="005C1DA7">
      <w:pPr>
        <w:spacing w:after="0"/>
      </w:pPr>
      <w:r>
        <w:t xml:space="preserve">Evaluation risks have been identified and </w:t>
      </w:r>
      <w:r w:rsidR="00EA382E">
        <w:t>are</w:t>
      </w:r>
      <w:r>
        <w:t xml:space="preserve"> managed in RiskActive, the Department’s risk management system, in accordance with the Department’s Risk Management Framework and Risk Management Policy. The risks most relevant to this evaluation have been identified as:</w:t>
      </w:r>
    </w:p>
    <w:p w14:paraId="76A9BDD3" w14:textId="77777777" w:rsidR="005C1DA7" w:rsidRPr="00F32FB0" w:rsidRDefault="005C1DA7" w:rsidP="005C1DA7">
      <w:pPr>
        <w:numPr>
          <w:ilvl w:val="0"/>
          <w:numId w:val="40"/>
        </w:numPr>
        <w:spacing w:after="0"/>
      </w:pPr>
      <w:r>
        <w:t>t</w:t>
      </w:r>
      <w:r w:rsidRPr="00F32FB0">
        <w:t>ime pressures associated with reporting</w:t>
      </w:r>
      <w:r>
        <w:t xml:space="preserve"> </w:t>
      </w:r>
      <w:r w:rsidRPr="00F32FB0">
        <w:t xml:space="preserve">– </w:t>
      </w:r>
      <w:r>
        <w:t xml:space="preserve">the Interim Evaluation Report </w:t>
      </w:r>
      <w:r w:rsidR="006E36C1">
        <w:t xml:space="preserve">(June 2017) </w:t>
      </w:r>
      <w:r>
        <w:t xml:space="preserve">will need to be prepared within </w:t>
      </w:r>
      <w:r w:rsidR="00D6763B">
        <w:t>four</w:t>
      </w:r>
      <w:r>
        <w:t xml:space="preserve"> months after the end of the analysis period </w:t>
      </w:r>
      <w:r>
        <w:br/>
        <w:t>(</w:t>
      </w:r>
      <w:r w:rsidR="00D6763B">
        <w:t>February</w:t>
      </w:r>
      <w:r w:rsidR="006E36C1">
        <w:t xml:space="preserve"> 2017</w:t>
      </w:r>
      <w:r>
        <w:t>)</w:t>
      </w:r>
    </w:p>
    <w:p w14:paraId="68E44082" w14:textId="77777777" w:rsidR="005C1DA7" w:rsidRPr="00F32FB0" w:rsidRDefault="005C1DA7" w:rsidP="005C1DA7">
      <w:pPr>
        <w:numPr>
          <w:ilvl w:val="0"/>
          <w:numId w:val="40"/>
        </w:numPr>
        <w:spacing w:after="0"/>
      </w:pPr>
      <w:r>
        <w:t>r</w:t>
      </w:r>
      <w:r w:rsidRPr="00F32FB0">
        <w:t>esource management</w:t>
      </w:r>
      <w:r w:rsidR="007705A8">
        <w:t xml:space="preserve"> </w:t>
      </w:r>
      <w:r w:rsidR="007705A8" w:rsidRPr="00F32FB0">
        <w:t>–</w:t>
      </w:r>
      <w:r>
        <w:t xml:space="preserve"> including difficulty</w:t>
      </w:r>
      <w:r w:rsidRPr="00F32FB0">
        <w:t xml:space="preserve"> </w:t>
      </w:r>
      <w:r>
        <w:t xml:space="preserve">in </w:t>
      </w:r>
      <w:r w:rsidRPr="00F32FB0">
        <w:t>attracting and retaining specialist staff</w:t>
      </w:r>
    </w:p>
    <w:p w14:paraId="178BBAFB" w14:textId="77777777" w:rsidR="005C1DA7" w:rsidRDefault="005C1DA7" w:rsidP="00EA382E">
      <w:pPr>
        <w:numPr>
          <w:ilvl w:val="0"/>
          <w:numId w:val="40"/>
        </w:numPr>
      </w:pPr>
      <w:r>
        <w:t>d</w:t>
      </w:r>
      <w:r w:rsidRPr="00F32FB0">
        <w:t xml:space="preserve">ata </w:t>
      </w:r>
      <w:r>
        <w:t>availability</w:t>
      </w:r>
      <w:r w:rsidRPr="00F32FB0">
        <w:t xml:space="preserve"> – </w:t>
      </w:r>
      <w:r>
        <w:t xml:space="preserve">whether the evaluation questions outlined above can be successfully answered will depend on the availability and quality of data. </w:t>
      </w:r>
    </w:p>
    <w:p w14:paraId="6690FD68" w14:textId="77777777" w:rsidR="005C1DA7" w:rsidRDefault="005C1DA7" w:rsidP="005C1DA7">
      <w:pPr>
        <w:spacing w:after="0"/>
      </w:pPr>
      <w:r w:rsidRPr="0074213B">
        <w:t xml:space="preserve">This strategy assumes that adequate </w:t>
      </w:r>
      <w:r>
        <w:t xml:space="preserve">TtW </w:t>
      </w:r>
      <w:r w:rsidRPr="0074213B">
        <w:t xml:space="preserve">data will be collected in the ESS to allow for comparison with jobactive </w:t>
      </w:r>
      <w:r>
        <w:t>or</w:t>
      </w:r>
      <w:r w:rsidRPr="0074213B">
        <w:t xml:space="preserve"> JSA. If the scope and nature of the </w:t>
      </w:r>
      <w:r>
        <w:t xml:space="preserve">TtW </w:t>
      </w:r>
      <w:r w:rsidRPr="0074213B">
        <w:t xml:space="preserve">data is not sufficient, this may limit the scope and timeliness of the evaluation. </w:t>
      </w:r>
      <w:r w:rsidRPr="004654DD">
        <w:t>Th</w:t>
      </w:r>
      <w:r w:rsidR="0078231B">
        <w:t>e</w:t>
      </w:r>
      <w:r w:rsidRPr="004654DD">
        <w:t xml:space="preserve"> strategy </w:t>
      </w:r>
      <w:r w:rsidR="0078231B">
        <w:t>is also based on the assumption</w:t>
      </w:r>
      <w:r w:rsidRPr="004654DD">
        <w:t xml:space="preserve"> that the </w:t>
      </w:r>
      <w:r>
        <w:t>D</w:t>
      </w:r>
      <w:r w:rsidRPr="004654DD">
        <w:t xml:space="preserve">epartment will continue to have timely access to </w:t>
      </w:r>
      <w:r>
        <w:t>i</w:t>
      </w:r>
      <w:r w:rsidRPr="004654DD">
        <w:t xml:space="preserve">ncome </w:t>
      </w:r>
      <w:r>
        <w:t>s</w:t>
      </w:r>
      <w:r w:rsidRPr="004654DD">
        <w:t>upport data managed by the DHS and that this data will remain similar to the current data collected.</w:t>
      </w:r>
    </w:p>
    <w:sectPr w:rsidR="005C1DA7" w:rsidSect="00596374">
      <w:pgSz w:w="11906" w:h="16838"/>
      <w:pgMar w:top="1985" w:right="1440" w:bottom="1440" w:left="1440" w:header="708" w:footer="10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D873E" w14:textId="77777777" w:rsidR="00775FD3" w:rsidRDefault="00775FD3" w:rsidP="00130923">
      <w:pPr>
        <w:spacing w:after="0" w:line="240" w:lineRule="auto"/>
      </w:pPr>
      <w:r>
        <w:separator/>
      </w:r>
    </w:p>
  </w:endnote>
  <w:endnote w:type="continuationSeparator" w:id="0">
    <w:p w14:paraId="69D534F9" w14:textId="77777777" w:rsidR="00775FD3" w:rsidRDefault="00775FD3" w:rsidP="00130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merican Typewriter">
    <w:altName w:val="Nyala"/>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13D4D" w14:textId="77777777" w:rsidR="00EC2CEE" w:rsidRDefault="00EC2C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AABC8" w14:textId="77777777" w:rsidR="00404F5B" w:rsidRDefault="00404F5B" w:rsidP="003242B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D8F22" w14:textId="77777777" w:rsidR="00EC2CEE" w:rsidRDefault="00EC2C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95493" w14:textId="77777777" w:rsidR="00404F5B" w:rsidRDefault="00EC2CEE" w:rsidP="00A73406">
    <w:pPr>
      <w:pStyle w:val="Footer"/>
      <w:tabs>
        <w:tab w:val="clear" w:pos="9026"/>
        <w:tab w:val="right" w:pos="8647"/>
      </w:tabs>
      <w:ind w:firstLine="720"/>
      <w:jc w:val="right"/>
    </w:pPr>
    <w:sdt>
      <w:sdtPr>
        <w:id w:val="638927636"/>
        <w:docPartObj>
          <w:docPartGallery w:val="Page Numbers (Bottom of Page)"/>
          <w:docPartUnique/>
        </w:docPartObj>
      </w:sdtPr>
      <w:sdtEndPr>
        <w:rPr>
          <w:noProof/>
        </w:rPr>
      </w:sdtEndPr>
      <w:sdtContent>
        <w:r w:rsidR="00404F5B">
          <w:fldChar w:fldCharType="begin"/>
        </w:r>
        <w:r w:rsidR="00404F5B">
          <w:instrText xml:space="preserve"> PAGE   \* MERGEFORMAT </w:instrText>
        </w:r>
        <w:r w:rsidR="00404F5B">
          <w:fldChar w:fldCharType="separate"/>
        </w:r>
        <w:r w:rsidR="005F1FD6">
          <w:rPr>
            <w:noProof/>
          </w:rPr>
          <w:t>15</w:t>
        </w:r>
        <w:r w:rsidR="00404F5B">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111D2" w14:textId="77777777" w:rsidR="00775FD3" w:rsidRDefault="00775FD3" w:rsidP="00130923">
      <w:pPr>
        <w:spacing w:after="0" w:line="240" w:lineRule="auto"/>
      </w:pPr>
      <w:r>
        <w:separator/>
      </w:r>
    </w:p>
  </w:footnote>
  <w:footnote w:type="continuationSeparator" w:id="0">
    <w:p w14:paraId="27FB5ECA" w14:textId="77777777" w:rsidR="00775FD3" w:rsidRDefault="00775FD3" w:rsidP="00130923">
      <w:pPr>
        <w:spacing w:after="0" w:line="240" w:lineRule="auto"/>
      </w:pPr>
      <w:r>
        <w:continuationSeparator/>
      </w:r>
    </w:p>
  </w:footnote>
  <w:footnote w:id="1">
    <w:p w14:paraId="0573415D" w14:textId="77777777" w:rsidR="00404F5B" w:rsidRDefault="00404F5B" w:rsidP="001B74B8">
      <w:pPr>
        <w:pStyle w:val="FootnoteText"/>
      </w:pPr>
      <w:r>
        <w:rPr>
          <w:rStyle w:val="FootnoteReference"/>
        </w:rPr>
        <w:footnoteRef/>
      </w:r>
      <w:r>
        <w:t xml:space="preserve"> The Department will identify</w:t>
      </w:r>
      <w:r w:rsidR="00F53D2A">
        <w:t>/develop</w:t>
      </w:r>
      <w:r>
        <w:t xml:space="preserve"> a suitable work readiness assessment tool to use for TtW by July 2017.</w:t>
      </w:r>
    </w:p>
  </w:footnote>
  <w:footnote w:id="2">
    <w:p w14:paraId="319F4BF3" w14:textId="77777777" w:rsidR="00404F5B" w:rsidRDefault="00404F5B" w:rsidP="001B74B8">
      <w:pPr>
        <w:pStyle w:val="FootnoteText"/>
      </w:pPr>
      <w:r>
        <w:rPr>
          <w:rStyle w:val="FootnoteReference"/>
        </w:rPr>
        <w:footnoteRef/>
      </w:r>
      <w:r>
        <w:t xml:space="preserve"> A net impact study involves comparing a group of participants in a program (treatment group) with group which is similar, but did not participate in the program (control group) in order to quantify the overall benefit of the program.</w:t>
      </w:r>
    </w:p>
  </w:footnote>
  <w:footnote w:id="3">
    <w:p w14:paraId="473187D6" w14:textId="77777777" w:rsidR="00404F5B" w:rsidRDefault="00404F5B" w:rsidP="001B74B8">
      <w:pPr>
        <w:pStyle w:val="FootnoteText"/>
      </w:pPr>
      <w:r>
        <w:rPr>
          <w:rStyle w:val="FootnoteReference"/>
        </w:rPr>
        <w:footnoteRef/>
      </w:r>
      <w:r>
        <w:t xml:space="preserve"> A ‘control group’ is a group of non-participants with similar characteristics to participants.</w:t>
      </w:r>
    </w:p>
  </w:footnote>
  <w:footnote w:id="4">
    <w:p w14:paraId="5234FF6C" w14:textId="77777777" w:rsidR="00404F5B" w:rsidRDefault="00404F5B" w:rsidP="005C1DA7">
      <w:pPr>
        <w:pStyle w:val="FootnoteText"/>
      </w:pPr>
      <w:r>
        <w:rPr>
          <w:rStyle w:val="FootnoteReference"/>
        </w:rPr>
        <w:footnoteRef/>
      </w:r>
      <w:r>
        <w:t xml:space="preserve"> </w:t>
      </w:r>
      <w:r w:rsidRPr="006672BD">
        <w:t xml:space="preserve">The JSA model had 4 Streams. Under jobactive there are 3 Streams A, B and C. In transitioning job seekers from JSA to jobactive, Stream A consists of those job seekers from Stream 1 and those Stream 2 job seekers with a low to moderate JSCI score. Stream B consists of job seekers from Stream 2 with a moderate to high JSCI score and also Stream 3 job seekers. Stream 4 directly equates to Stream C, with eligibility determined by an ESAt. As a result of combining the </w:t>
      </w:r>
      <w:r>
        <w:t>s</w:t>
      </w:r>
      <w:r w:rsidRPr="006672BD">
        <w:t>treams, each is now broader than before.</w:t>
      </w:r>
    </w:p>
  </w:footnote>
  <w:footnote w:id="5">
    <w:p w14:paraId="5637B48A" w14:textId="77777777" w:rsidR="00404F5B" w:rsidRDefault="00404F5B" w:rsidP="005C1DA7">
      <w:pPr>
        <w:pStyle w:val="FootnoteText"/>
      </w:pPr>
      <w:r>
        <w:rPr>
          <w:rStyle w:val="FootnoteReference"/>
        </w:rPr>
        <w:footnoteRef/>
      </w:r>
      <w:r>
        <w:t xml:space="preserve"> The JSCI factors (and weights associated with them) are re-estimated every few years. A new set of JSCI factors and weights commenced at the same time as jobactive.</w:t>
      </w:r>
    </w:p>
  </w:footnote>
  <w:footnote w:id="6">
    <w:p w14:paraId="3215F7F6" w14:textId="77777777" w:rsidR="00404F5B" w:rsidRDefault="00404F5B" w:rsidP="005C1DA7">
      <w:pPr>
        <w:pStyle w:val="FootnoteText"/>
      </w:pPr>
      <w:r>
        <w:rPr>
          <w:rStyle w:val="FootnoteReference"/>
        </w:rPr>
        <w:footnoteRef/>
      </w:r>
      <w:r>
        <w:t xml:space="preserve"> The Department will identify</w:t>
      </w:r>
      <w:r w:rsidR="0071105E">
        <w:t>/develop</w:t>
      </w:r>
      <w:r>
        <w:t xml:space="preserve"> a suitable </w:t>
      </w:r>
      <w:r w:rsidR="00C54DB9">
        <w:t xml:space="preserve">method for measuring the </w:t>
      </w:r>
      <w:r>
        <w:t xml:space="preserve">work readiness </w:t>
      </w:r>
      <w:r w:rsidR="00C54DB9">
        <w:t>key performance indicator</w:t>
      </w:r>
      <w:r>
        <w:t xml:space="preserve"> for TtW by July 2017.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C994B" w14:textId="77777777" w:rsidR="00EC2CEE" w:rsidRDefault="00EC2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A7785" w14:textId="77777777" w:rsidR="00EC2CEE" w:rsidRDefault="00EC2C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CCD1" w14:textId="77777777" w:rsidR="00EC2CEE" w:rsidRDefault="00EC2C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0B6A4" w14:textId="77777777" w:rsidR="00404F5B" w:rsidRDefault="00404F5B" w:rsidP="00560CA0">
    <w:pPr>
      <w:pStyle w:val="Header"/>
      <w:jc w:val="right"/>
    </w:pPr>
    <w:r>
      <w:t>Transition to Work – Evaluation Strategy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0E477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2C02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D08C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942CF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F295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C8686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840E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FE16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2001698"/>
    <w:lvl w:ilvl="0">
      <w:start w:val="1"/>
      <w:numFmt w:val="decimal"/>
      <w:lvlText w:val="%1."/>
      <w:lvlJc w:val="left"/>
      <w:pPr>
        <w:tabs>
          <w:tab w:val="num" w:pos="360"/>
        </w:tabs>
        <w:ind w:left="360" w:hanging="360"/>
      </w:pPr>
    </w:lvl>
  </w:abstractNum>
  <w:abstractNum w:abstractNumId="9" w15:restartNumberingAfterBreak="0">
    <w:nsid w:val="02BB7E6A"/>
    <w:multiLevelType w:val="multilevel"/>
    <w:tmpl w:val="990E5E3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80F485D"/>
    <w:multiLevelType w:val="hybridMultilevel"/>
    <w:tmpl w:val="5BE4D756"/>
    <w:lvl w:ilvl="0" w:tplc="1A4409F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4E12691"/>
    <w:multiLevelType w:val="hybridMultilevel"/>
    <w:tmpl w:val="87F08D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3" w15:restartNumberingAfterBreak="0">
    <w:nsid w:val="1FBA5C77"/>
    <w:multiLevelType w:val="multilevel"/>
    <w:tmpl w:val="EA288A6C"/>
    <w:lvl w:ilvl="0">
      <w:start w:val="1"/>
      <w:numFmt w:val="decimal"/>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lvlText w:val="%1.%2.%3"/>
      <w:lvlJc w:val="left"/>
      <w:pPr>
        <w:ind w:left="1474" w:hanging="623"/>
      </w:pPr>
      <w:rPr>
        <w:rFonts w:hint="default"/>
      </w:rPr>
    </w:lvl>
    <w:lvl w:ilvl="3">
      <w:start w:val="1"/>
      <w:numFmt w:val="decimal"/>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24837845"/>
    <w:multiLevelType w:val="hybridMultilevel"/>
    <w:tmpl w:val="257A2C92"/>
    <w:lvl w:ilvl="0" w:tplc="2F8C9CEA">
      <w:start w:val="1"/>
      <w:numFmt w:val="decimal"/>
      <w:lvlText w:val="%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9B664C8"/>
    <w:multiLevelType w:val="hybridMultilevel"/>
    <w:tmpl w:val="ECF055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9D472E8"/>
    <w:multiLevelType w:val="hybridMultilevel"/>
    <w:tmpl w:val="4292421A"/>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EB345A"/>
    <w:multiLevelType w:val="hybridMultilevel"/>
    <w:tmpl w:val="4292421A"/>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15:restartNumberingAfterBreak="0">
    <w:nsid w:val="2FF74DDD"/>
    <w:multiLevelType w:val="hybridMultilevel"/>
    <w:tmpl w:val="C510A110"/>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20" w15:restartNumberingAfterBreak="0">
    <w:nsid w:val="35B77E7C"/>
    <w:multiLevelType w:val="multilevel"/>
    <w:tmpl w:val="6FA2FF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222605E"/>
    <w:multiLevelType w:val="hybridMultilevel"/>
    <w:tmpl w:val="4292421A"/>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5B85AB0"/>
    <w:multiLevelType w:val="hybridMultilevel"/>
    <w:tmpl w:val="4292421A"/>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A277B7E"/>
    <w:multiLevelType w:val="multilevel"/>
    <w:tmpl w:val="94224D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1B73210"/>
    <w:multiLevelType w:val="multilevel"/>
    <w:tmpl w:val="298AE12E"/>
    <w:lvl w:ilvl="0">
      <w:start w:val="1"/>
      <w:numFmt w:val="bullet"/>
      <w:lvlText w:val=""/>
      <w:lvlJc w:val="left"/>
      <w:pPr>
        <w:ind w:left="360" w:hanging="360"/>
      </w:pPr>
      <w:rPr>
        <w:rFonts w:ascii="Symbol" w:hAnsi="Symbol" w:hint="default"/>
      </w:rPr>
    </w:lvl>
    <w:lvl w:ilvl="1">
      <w:start w:val="1"/>
      <w:numFmt w:val="bullet"/>
      <w:lvlText w:val=""/>
      <w:lvlJc w:val="left"/>
      <w:pPr>
        <w:ind w:left="737" w:hanging="340"/>
      </w:pPr>
      <w:rPr>
        <w:rFonts w:ascii="Symbol" w:hAnsi="Symbol" w:hint="default"/>
      </w:rPr>
    </w:lvl>
    <w:lvl w:ilvl="2">
      <w:start w:val="1"/>
      <w:numFmt w:val="bullet"/>
      <w:lvlText w:val=""/>
      <w:lvlJc w:val="left"/>
      <w:pPr>
        <w:ind w:left="1134" w:hanging="340"/>
      </w:pPr>
      <w:rPr>
        <w:rFonts w:ascii="Wingdings" w:hAnsi="Wingdings" w:hint="default"/>
      </w:rPr>
    </w:lvl>
    <w:lvl w:ilvl="3">
      <w:start w:val="1"/>
      <w:numFmt w:val="bullet"/>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52C05D28"/>
    <w:multiLevelType w:val="hybridMultilevel"/>
    <w:tmpl w:val="34040E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8712B8E"/>
    <w:multiLevelType w:val="hybridMultilevel"/>
    <w:tmpl w:val="4292421A"/>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9CF1710"/>
    <w:multiLevelType w:val="multilevel"/>
    <w:tmpl w:val="835A880C"/>
    <w:lvl w:ilvl="0">
      <w:start w:val="1"/>
      <w:numFmt w:val="bullet"/>
      <w:lvlText w:val=""/>
      <w:lvlJc w:val="left"/>
      <w:pPr>
        <w:ind w:left="360" w:hanging="360"/>
      </w:pPr>
      <w:rPr>
        <w:rFonts w:ascii="Symbol" w:hAnsi="Symbol" w:hint="default"/>
        <w:color w:val="auto"/>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8" w15:restartNumberingAfterBreak="0">
    <w:nsid w:val="5A077652"/>
    <w:multiLevelType w:val="hybridMultilevel"/>
    <w:tmpl w:val="57723850"/>
    <w:lvl w:ilvl="0" w:tplc="0C090001">
      <w:start w:val="1"/>
      <w:numFmt w:val="bullet"/>
      <w:lvlText w:val=""/>
      <w:lvlJc w:val="left"/>
      <w:pPr>
        <w:ind w:left="720" w:hanging="360"/>
      </w:pPr>
      <w:rPr>
        <w:rFonts w:ascii="Symbol" w:hAnsi="Symbol" w:hint="default"/>
      </w:rPr>
    </w:lvl>
    <w:lvl w:ilvl="1" w:tplc="AA061462">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A6465B3"/>
    <w:multiLevelType w:val="hybridMultilevel"/>
    <w:tmpl w:val="4292421A"/>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64A6EC7"/>
    <w:multiLevelType w:val="hybridMultilevel"/>
    <w:tmpl w:val="4292421A"/>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13A20C8"/>
    <w:multiLevelType w:val="multilevel"/>
    <w:tmpl w:val="8FBE0AEE"/>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76BE2999"/>
    <w:multiLevelType w:val="hybridMultilevel"/>
    <w:tmpl w:val="BE9A9BF0"/>
    <w:lvl w:ilvl="0" w:tplc="CC821152">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79A3299B"/>
    <w:multiLevelType w:val="hybridMultilevel"/>
    <w:tmpl w:val="A280AC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7527803">
    <w:abstractNumId w:val="27"/>
  </w:num>
  <w:num w:numId="2" w16cid:durableId="492181885">
    <w:abstractNumId w:val="7"/>
  </w:num>
  <w:num w:numId="3" w16cid:durableId="1362822544">
    <w:abstractNumId w:val="6"/>
  </w:num>
  <w:num w:numId="4" w16cid:durableId="1202136884">
    <w:abstractNumId w:val="5"/>
  </w:num>
  <w:num w:numId="5" w16cid:durableId="1261063664">
    <w:abstractNumId w:val="4"/>
  </w:num>
  <w:num w:numId="6" w16cid:durableId="1822113435">
    <w:abstractNumId w:val="8"/>
  </w:num>
  <w:num w:numId="7" w16cid:durableId="1085303703">
    <w:abstractNumId w:val="3"/>
  </w:num>
  <w:num w:numId="8" w16cid:durableId="2030061471">
    <w:abstractNumId w:val="2"/>
  </w:num>
  <w:num w:numId="9" w16cid:durableId="996614772">
    <w:abstractNumId w:val="1"/>
  </w:num>
  <w:num w:numId="10" w16cid:durableId="1172643788">
    <w:abstractNumId w:val="0"/>
  </w:num>
  <w:num w:numId="11" w16cid:durableId="1810980263">
    <w:abstractNumId w:val="13"/>
  </w:num>
  <w:num w:numId="12" w16cid:durableId="159242305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40971389">
    <w:abstractNumId w:val="10"/>
  </w:num>
  <w:num w:numId="14" w16cid:durableId="1445079146">
    <w:abstractNumId w:val="32"/>
  </w:num>
  <w:num w:numId="15" w16cid:durableId="233319435">
    <w:abstractNumId w:val="11"/>
  </w:num>
  <w:num w:numId="16" w16cid:durableId="826088567">
    <w:abstractNumId w:val="24"/>
  </w:num>
  <w:num w:numId="17" w16cid:durableId="13917317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233121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1789914">
    <w:abstractNumId w:val="24"/>
  </w:num>
  <w:num w:numId="20" w16cid:durableId="1358190333">
    <w:abstractNumId w:val="12"/>
  </w:num>
  <w:num w:numId="21" w16cid:durableId="2097434816">
    <w:abstractNumId w:val="18"/>
  </w:num>
  <w:num w:numId="22" w16cid:durableId="16894073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76702865">
    <w:abstractNumId w:val="31"/>
  </w:num>
  <w:num w:numId="24" w16cid:durableId="184276988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39621697">
    <w:abstractNumId w:val="9"/>
  </w:num>
  <w:num w:numId="26" w16cid:durableId="1207446086">
    <w:abstractNumId w:val="20"/>
  </w:num>
  <w:num w:numId="27" w16cid:durableId="108015750">
    <w:abstractNumId w:val="25"/>
  </w:num>
  <w:num w:numId="28" w16cid:durableId="1260992142">
    <w:abstractNumId w:val="15"/>
  </w:num>
  <w:num w:numId="29" w16cid:durableId="1932228699">
    <w:abstractNumId w:val="23"/>
  </w:num>
  <w:num w:numId="30" w16cid:durableId="210849159">
    <w:abstractNumId w:val="14"/>
  </w:num>
  <w:num w:numId="31" w16cid:durableId="1632441967">
    <w:abstractNumId w:val="33"/>
  </w:num>
  <w:num w:numId="32" w16cid:durableId="537356486">
    <w:abstractNumId w:val="17"/>
  </w:num>
  <w:num w:numId="33" w16cid:durableId="1166096813">
    <w:abstractNumId w:val="29"/>
  </w:num>
  <w:num w:numId="34" w16cid:durableId="869882733">
    <w:abstractNumId w:val="30"/>
  </w:num>
  <w:num w:numId="35" w16cid:durableId="196698318">
    <w:abstractNumId w:val="22"/>
  </w:num>
  <w:num w:numId="36" w16cid:durableId="1648822868">
    <w:abstractNumId w:val="21"/>
  </w:num>
  <w:num w:numId="37" w16cid:durableId="699209389">
    <w:abstractNumId w:val="26"/>
  </w:num>
  <w:num w:numId="38" w16cid:durableId="1630431771">
    <w:abstractNumId w:val="16"/>
  </w:num>
  <w:num w:numId="39" w16cid:durableId="591549505">
    <w:abstractNumId w:val="19"/>
  </w:num>
  <w:num w:numId="40" w16cid:durableId="20133092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3686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XmlVersion" w:val="Empty"/>
  </w:docVars>
  <w:rsids>
    <w:rsidRoot w:val="00C10C19"/>
    <w:rsid w:val="00002721"/>
    <w:rsid w:val="00024E24"/>
    <w:rsid w:val="00034EAA"/>
    <w:rsid w:val="0005620B"/>
    <w:rsid w:val="000764F5"/>
    <w:rsid w:val="000861A6"/>
    <w:rsid w:val="000E7E7B"/>
    <w:rsid w:val="000F3BA2"/>
    <w:rsid w:val="00106ABC"/>
    <w:rsid w:val="00107D72"/>
    <w:rsid w:val="001175BF"/>
    <w:rsid w:val="001307E8"/>
    <w:rsid w:val="00130923"/>
    <w:rsid w:val="00136948"/>
    <w:rsid w:val="001414F3"/>
    <w:rsid w:val="00143FCD"/>
    <w:rsid w:val="001A193A"/>
    <w:rsid w:val="001B6467"/>
    <w:rsid w:val="001B74B8"/>
    <w:rsid w:val="001C2BE9"/>
    <w:rsid w:val="001F1C07"/>
    <w:rsid w:val="00203BF9"/>
    <w:rsid w:val="0021045D"/>
    <w:rsid w:val="00223EB1"/>
    <w:rsid w:val="00230396"/>
    <w:rsid w:val="00236917"/>
    <w:rsid w:val="00237EAE"/>
    <w:rsid w:val="00243D6B"/>
    <w:rsid w:val="0026226A"/>
    <w:rsid w:val="002B06E6"/>
    <w:rsid w:val="002D271F"/>
    <w:rsid w:val="002D6386"/>
    <w:rsid w:val="00305B35"/>
    <w:rsid w:val="003166C5"/>
    <w:rsid w:val="003242B9"/>
    <w:rsid w:val="003327DC"/>
    <w:rsid w:val="00354944"/>
    <w:rsid w:val="003765EE"/>
    <w:rsid w:val="003A4AD1"/>
    <w:rsid w:val="003D3621"/>
    <w:rsid w:val="003D67FC"/>
    <w:rsid w:val="00404043"/>
    <w:rsid w:val="00404F5B"/>
    <w:rsid w:val="00406E5A"/>
    <w:rsid w:val="00412CA6"/>
    <w:rsid w:val="00435B7B"/>
    <w:rsid w:val="00455B34"/>
    <w:rsid w:val="00486DA1"/>
    <w:rsid w:val="0048762C"/>
    <w:rsid w:val="004935CF"/>
    <w:rsid w:val="00494F65"/>
    <w:rsid w:val="004B1299"/>
    <w:rsid w:val="004B256F"/>
    <w:rsid w:val="004D4FA3"/>
    <w:rsid w:val="005113B6"/>
    <w:rsid w:val="0051670A"/>
    <w:rsid w:val="005268D8"/>
    <w:rsid w:val="00531817"/>
    <w:rsid w:val="00560CA0"/>
    <w:rsid w:val="005624F3"/>
    <w:rsid w:val="005811EF"/>
    <w:rsid w:val="00596374"/>
    <w:rsid w:val="005B0878"/>
    <w:rsid w:val="005C15C0"/>
    <w:rsid w:val="005C1DA7"/>
    <w:rsid w:val="005E1673"/>
    <w:rsid w:val="005F1FD6"/>
    <w:rsid w:val="00610654"/>
    <w:rsid w:val="006172EB"/>
    <w:rsid w:val="006318B9"/>
    <w:rsid w:val="00636B52"/>
    <w:rsid w:val="00654B9B"/>
    <w:rsid w:val="0067026C"/>
    <w:rsid w:val="00692776"/>
    <w:rsid w:val="006B0016"/>
    <w:rsid w:val="006E2D49"/>
    <w:rsid w:val="006E36C1"/>
    <w:rsid w:val="00700772"/>
    <w:rsid w:val="0071105E"/>
    <w:rsid w:val="007134DE"/>
    <w:rsid w:val="00716142"/>
    <w:rsid w:val="007468FC"/>
    <w:rsid w:val="00756759"/>
    <w:rsid w:val="007705A8"/>
    <w:rsid w:val="00775FD3"/>
    <w:rsid w:val="0078231B"/>
    <w:rsid w:val="00792CA3"/>
    <w:rsid w:val="007B2FDD"/>
    <w:rsid w:val="007D3880"/>
    <w:rsid w:val="007D58FB"/>
    <w:rsid w:val="007F12AD"/>
    <w:rsid w:val="00807979"/>
    <w:rsid w:val="0083468A"/>
    <w:rsid w:val="00842D43"/>
    <w:rsid w:val="00856D1C"/>
    <w:rsid w:val="008706D5"/>
    <w:rsid w:val="00876AC0"/>
    <w:rsid w:val="00894552"/>
    <w:rsid w:val="00903408"/>
    <w:rsid w:val="009046A8"/>
    <w:rsid w:val="009116EA"/>
    <w:rsid w:val="00913848"/>
    <w:rsid w:val="00933671"/>
    <w:rsid w:val="0094206E"/>
    <w:rsid w:val="0096483F"/>
    <w:rsid w:val="00972BF7"/>
    <w:rsid w:val="00972DD5"/>
    <w:rsid w:val="009756D7"/>
    <w:rsid w:val="00984879"/>
    <w:rsid w:val="00985632"/>
    <w:rsid w:val="00991B63"/>
    <w:rsid w:val="00996B52"/>
    <w:rsid w:val="009B2428"/>
    <w:rsid w:val="009B5CB7"/>
    <w:rsid w:val="009C5738"/>
    <w:rsid w:val="009C5CAC"/>
    <w:rsid w:val="009F0F4A"/>
    <w:rsid w:val="00A0317A"/>
    <w:rsid w:val="00A1670F"/>
    <w:rsid w:val="00A20A18"/>
    <w:rsid w:val="00A21FB0"/>
    <w:rsid w:val="00A31242"/>
    <w:rsid w:val="00A424B6"/>
    <w:rsid w:val="00A52530"/>
    <w:rsid w:val="00A551BF"/>
    <w:rsid w:val="00A6677B"/>
    <w:rsid w:val="00A70524"/>
    <w:rsid w:val="00A73406"/>
    <w:rsid w:val="00A82D3A"/>
    <w:rsid w:val="00A924BD"/>
    <w:rsid w:val="00A92FFA"/>
    <w:rsid w:val="00A9672C"/>
    <w:rsid w:val="00AC65DA"/>
    <w:rsid w:val="00B07EFA"/>
    <w:rsid w:val="00B2722A"/>
    <w:rsid w:val="00B36FDF"/>
    <w:rsid w:val="00B43F85"/>
    <w:rsid w:val="00B44FFE"/>
    <w:rsid w:val="00B557BC"/>
    <w:rsid w:val="00B618BA"/>
    <w:rsid w:val="00B64C95"/>
    <w:rsid w:val="00B72F20"/>
    <w:rsid w:val="00BA282D"/>
    <w:rsid w:val="00BB6260"/>
    <w:rsid w:val="00BD44A3"/>
    <w:rsid w:val="00BE5008"/>
    <w:rsid w:val="00BF10F4"/>
    <w:rsid w:val="00C05E74"/>
    <w:rsid w:val="00C10C19"/>
    <w:rsid w:val="00C143B8"/>
    <w:rsid w:val="00C169F7"/>
    <w:rsid w:val="00C17D02"/>
    <w:rsid w:val="00C27AA5"/>
    <w:rsid w:val="00C44AE6"/>
    <w:rsid w:val="00C54DB9"/>
    <w:rsid w:val="00C5649C"/>
    <w:rsid w:val="00C75486"/>
    <w:rsid w:val="00C8202C"/>
    <w:rsid w:val="00C92A5B"/>
    <w:rsid w:val="00CA46EC"/>
    <w:rsid w:val="00CF5CDD"/>
    <w:rsid w:val="00D05B29"/>
    <w:rsid w:val="00D1394D"/>
    <w:rsid w:val="00D47740"/>
    <w:rsid w:val="00D50B5E"/>
    <w:rsid w:val="00D50E7A"/>
    <w:rsid w:val="00D6763B"/>
    <w:rsid w:val="00D70453"/>
    <w:rsid w:val="00D812B9"/>
    <w:rsid w:val="00D903FD"/>
    <w:rsid w:val="00D94BC5"/>
    <w:rsid w:val="00D96C08"/>
    <w:rsid w:val="00DC3052"/>
    <w:rsid w:val="00DF46C4"/>
    <w:rsid w:val="00E00E7E"/>
    <w:rsid w:val="00E020A3"/>
    <w:rsid w:val="00E97FD8"/>
    <w:rsid w:val="00EA382E"/>
    <w:rsid w:val="00EA721F"/>
    <w:rsid w:val="00EC0AA4"/>
    <w:rsid w:val="00EC2CEE"/>
    <w:rsid w:val="00EC3958"/>
    <w:rsid w:val="00EC78E7"/>
    <w:rsid w:val="00ED43D2"/>
    <w:rsid w:val="00EE3B8C"/>
    <w:rsid w:val="00EF4A38"/>
    <w:rsid w:val="00F071C7"/>
    <w:rsid w:val="00F11B8F"/>
    <w:rsid w:val="00F277BC"/>
    <w:rsid w:val="00F53D2A"/>
    <w:rsid w:val="00F72C96"/>
    <w:rsid w:val="00F74011"/>
    <w:rsid w:val="00F777DE"/>
    <w:rsid w:val="00F80F0E"/>
    <w:rsid w:val="00F858D7"/>
    <w:rsid w:val="00F86E91"/>
    <w:rsid w:val="00F975AB"/>
    <w:rsid w:val="00FA59F1"/>
    <w:rsid w:val="00FB10CB"/>
    <w:rsid w:val="00FF1065"/>
    <w:rsid w:val="00FF79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2AE2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5DA"/>
  </w:style>
  <w:style w:type="paragraph" w:styleId="Heading1">
    <w:name w:val="heading 1"/>
    <w:basedOn w:val="Normal"/>
    <w:next w:val="Normal"/>
    <w:link w:val="Heading1Char"/>
    <w:uiPriority w:val="9"/>
    <w:qFormat/>
    <w:rsid w:val="00F975AB"/>
    <w:pPr>
      <w:numPr>
        <w:numId w:val="25"/>
      </w:numPr>
      <w:spacing w:after="240" w:line="240" w:lineRule="auto"/>
      <w:contextualSpacing/>
      <w:outlineLvl w:val="0"/>
    </w:pPr>
    <w:rPr>
      <w:rFonts w:ascii="Calibri" w:eastAsiaTheme="majorEastAsia" w:hAnsi="Calibri" w:cstheme="majorBidi"/>
      <w:b/>
      <w:bCs/>
      <w:color w:val="1E3D6B"/>
      <w:sz w:val="36"/>
      <w:szCs w:val="28"/>
    </w:rPr>
  </w:style>
  <w:style w:type="paragraph" w:styleId="Heading2">
    <w:name w:val="heading 2"/>
    <w:basedOn w:val="Normal"/>
    <w:next w:val="Normal"/>
    <w:link w:val="Heading2Char"/>
    <w:uiPriority w:val="9"/>
    <w:unhideWhenUsed/>
    <w:qFormat/>
    <w:rsid w:val="0096483F"/>
    <w:pPr>
      <w:numPr>
        <w:ilvl w:val="1"/>
        <w:numId w:val="25"/>
      </w:numPr>
      <w:spacing w:before="200" w:after="0"/>
      <w:outlineLvl w:val="1"/>
    </w:pPr>
    <w:rPr>
      <w:rFonts w:ascii="Calibri" w:eastAsiaTheme="majorEastAsia" w:hAnsi="Calibri" w:cstheme="majorBidi"/>
      <w:b/>
      <w:bCs/>
      <w:sz w:val="28"/>
      <w:szCs w:val="26"/>
    </w:rPr>
  </w:style>
  <w:style w:type="paragraph" w:styleId="Heading3">
    <w:name w:val="heading 3"/>
    <w:basedOn w:val="Normal"/>
    <w:next w:val="Normal"/>
    <w:link w:val="Heading3Char"/>
    <w:uiPriority w:val="9"/>
    <w:unhideWhenUsed/>
    <w:qFormat/>
    <w:rsid w:val="001B6467"/>
    <w:pPr>
      <w:numPr>
        <w:ilvl w:val="2"/>
        <w:numId w:val="25"/>
      </w:numPr>
      <w:spacing w:before="200" w:after="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236917"/>
    <w:pPr>
      <w:spacing w:before="200" w:after="0"/>
      <w:outlineLvl w:val="3"/>
    </w:pPr>
    <w:rPr>
      <w:rFonts w:ascii="Calibri" w:eastAsiaTheme="majorEastAsia" w:hAnsi="Calibri" w:cstheme="majorBidi"/>
      <w:b/>
      <w:bCs/>
      <w:i/>
      <w:iCs/>
    </w:rPr>
  </w:style>
  <w:style w:type="paragraph" w:styleId="Heading5">
    <w:name w:val="heading 5"/>
    <w:basedOn w:val="Normal"/>
    <w:next w:val="Normal"/>
    <w:link w:val="Heading5Char"/>
    <w:uiPriority w:val="9"/>
    <w:unhideWhenUsed/>
    <w:qFormat/>
    <w:rsid w:val="001B6467"/>
    <w:pPr>
      <w:spacing w:before="200" w:after="0"/>
      <w:outlineLvl w:val="4"/>
    </w:pPr>
    <w:rPr>
      <w:rFonts w:ascii="Calibri" w:eastAsiaTheme="majorEastAsia" w:hAnsi="Calibri" w:cstheme="majorBidi"/>
      <w:b/>
      <w:bCs/>
      <w:color w:val="757575"/>
    </w:rPr>
  </w:style>
  <w:style w:type="paragraph" w:styleId="Heading6">
    <w:name w:val="heading 6"/>
    <w:basedOn w:val="Normal"/>
    <w:next w:val="Normal"/>
    <w:link w:val="Heading6Char"/>
    <w:uiPriority w:val="9"/>
    <w:unhideWhenUsed/>
    <w:qFormat/>
    <w:rsid w:val="00933671"/>
    <w:pPr>
      <w:spacing w:before="200" w:after="0"/>
      <w:outlineLvl w:val="5"/>
    </w:pPr>
    <w:rPr>
      <w:rFonts w:ascii="Calibri" w:eastAsiaTheme="majorEastAsia" w:hAnsi="Calibri" w:cstheme="majorBidi"/>
      <w:b/>
      <w:bCs/>
      <w:i/>
      <w:iCs/>
      <w:color w:val="757575"/>
    </w:rPr>
  </w:style>
  <w:style w:type="paragraph" w:styleId="Heading7">
    <w:name w:val="heading 7"/>
    <w:basedOn w:val="Normal"/>
    <w:next w:val="Normal"/>
    <w:link w:val="Heading7Char"/>
    <w:uiPriority w:val="9"/>
    <w:semiHidden/>
    <w:unhideWhenUsed/>
    <w:qFormat/>
    <w:rsid w:val="00AC65D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C65D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65D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AC65DA"/>
    <w:rPr>
      <w:b/>
      <w:bCs/>
    </w:rPr>
  </w:style>
  <w:style w:type="character" w:styleId="Emphasis">
    <w:name w:val="Emphasis"/>
    <w:uiPriority w:val="20"/>
    <w:qFormat/>
    <w:rsid w:val="001F1C07"/>
    <w:rPr>
      <w:b w:val="0"/>
      <w:bCs/>
      <w:i/>
      <w:iCs/>
      <w:spacing w:val="10"/>
      <w:bdr w:val="none" w:sz="0" w:space="0" w:color="auto"/>
      <w:shd w:val="clear" w:color="auto" w:fill="auto"/>
    </w:rPr>
  </w:style>
  <w:style w:type="character" w:styleId="BookTitle">
    <w:name w:val="Book Title"/>
    <w:uiPriority w:val="33"/>
    <w:qFormat/>
    <w:rsid w:val="009116EA"/>
    <w:rPr>
      <w:i/>
      <w:iCs/>
      <w:caps w:val="0"/>
      <w:smallCaps w:val="0"/>
      <w:spacing w:val="5"/>
    </w:rPr>
  </w:style>
  <w:style w:type="character" w:styleId="Hyperlink">
    <w:name w:val="Hyperlink"/>
    <w:basedOn w:val="DefaultParagraphFont"/>
    <w:uiPriority w:val="99"/>
    <w:unhideWhenUsed/>
    <w:rsid w:val="00C10C19"/>
    <w:rPr>
      <w:color w:val="165788" w:themeColor="hyperlink"/>
      <w:u w:val="single"/>
    </w:rPr>
  </w:style>
  <w:style w:type="paragraph" w:styleId="Quote">
    <w:name w:val="Quote"/>
    <w:basedOn w:val="Normal"/>
    <w:next w:val="Normal"/>
    <w:link w:val="QuoteChar"/>
    <w:uiPriority w:val="29"/>
    <w:qFormat/>
    <w:rsid w:val="00C05E74"/>
    <w:pPr>
      <w:spacing w:after="120"/>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uiPriority w:val="9"/>
    <w:rsid w:val="00F975AB"/>
    <w:rPr>
      <w:rFonts w:ascii="Calibri" w:eastAsiaTheme="majorEastAsia" w:hAnsi="Calibri" w:cstheme="majorBidi"/>
      <w:b/>
      <w:bCs/>
      <w:color w:val="1E3D6B"/>
      <w:sz w:val="36"/>
      <w:szCs w:val="28"/>
    </w:rPr>
  </w:style>
  <w:style w:type="character" w:customStyle="1" w:styleId="Heading2Char">
    <w:name w:val="Heading 2 Char"/>
    <w:basedOn w:val="DefaultParagraphFont"/>
    <w:link w:val="Heading2"/>
    <w:uiPriority w:val="9"/>
    <w:rsid w:val="0096483F"/>
    <w:rPr>
      <w:rFonts w:ascii="Calibri" w:eastAsiaTheme="majorEastAsia" w:hAnsi="Calibri" w:cstheme="majorBidi"/>
      <w:b/>
      <w:bCs/>
      <w:sz w:val="28"/>
      <w:szCs w:val="26"/>
    </w:rPr>
  </w:style>
  <w:style w:type="character" w:customStyle="1" w:styleId="Heading3Char">
    <w:name w:val="Heading 3 Char"/>
    <w:basedOn w:val="DefaultParagraphFont"/>
    <w:link w:val="Heading3"/>
    <w:uiPriority w:val="9"/>
    <w:rsid w:val="001B6467"/>
    <w:rPr>
      <w:rFonts w:ascii="Calibri" w:eastAsiaTheme="majorEastAsia" w:hAnsi="Calibri" w:cstheme="majorBidi"/>
      <w:b/>
      <w:bCs/>
    </w:rPr>
  </w:style>
  <w:style w:type="character" w:customStyle="1" w:styleId="Heading4Char">
    <w:name w:val="Heading 4 Char"/>
    <w:basedOn w:val="DefaultParagraphFont"/>
    <w:link w:val="Heading4"/>
    <w:uiPriority w:val="9"/>
    <w:rsid w:val="00236917"/>
    <w:rPr>
      <w:rFonts w:ascii="Calibri" w:eastAsiaTheme="majorEastAsia" w:hAnsi="Calibri" w:cstheme="majorBidi"/>
      <w:b/>
      <w:bCs/>
      <w:i/>
      <w:iCs/>
    </w:rPr>
  </w:style>
  <w:style w:type="character" w:customStyle="1" w:styleId="Heading5Char">
    <w:name w:val="Heading 5 Char"/>
    <w:basedOn w:val="DefaultParagraphFont"/>
    <w:link w:val="Heading5"/>
    <w:uiPriority w:val="9"/>
    <w:rsid w:val="001B6467"/>
    <w:rPr>
      <w:rFonts w:ascii="Calibri" w:eastAsiaTheme="majorEastAsia" w:hAnsi="Calibri" w:cstheme="majorBidi"/>
      <w:b/>
      <w:bCs/>
      <w:color w:val="757575"/>
    </w:rPr>
  </w:style>
  <w:style w:type="character" w:customStyle="1" w:styleId="Heading6Char">
    <w:name w:val="Heading 6 Char"/>
    <w:basedOn w:val="DefaultParagraphFont"/>
    <w:link w:val="Heading6"/>
    <w:uiPriority w:val="9"/>
    <w:rsid w:val="00933671"/>
    <w:rPr>
      <w:rFonts w:ascii="Calibri" w:eastAsiaTheme="majorEastAsia" w:hAnsi="Calibri" w:cstheme="majorBidi"/>
      <w:b/>
      <w:bCs/>
      <w:i/>
      <w:iCs/>
      <w:color w:val="757575"/>
    </w:rPr>
  </w:style>
  <w:style w:type="character" w:customStyle="1" w:styleId="Heading7Char">
    <w:name w:val="Heading 7 Char"/>
    <w:basedOn w:val="DefaultParagraphFont"/>
    <w:link w:val="Heading7"/>
    <w:uiPriority w:val="9"/>
    <w:semiHidden/>
    <w:rsid w:val="00AC65D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F10F4"/>
    <w:pPr>
      <w:spacing w:after="120" w:line="240" w:lineRule="auto"/>
      <w:contextualSpacing/>
    </w:pPr>
    <w:rPr>
      <w:rFonts w:ascii="Calibri" w:eastAsiaTheme="majorEastAsia" w:hAnsi="Calibri" w:cstheme="majorBidi"/>
      <w:color w:val="FFFFFF" w:themeColor="background2"/>
      <w:spacing w:val="5"/>
      <w:sz w:val="90"/>
      <w:szCs w:val="90"/>
    </w:rPr>
  </w:style>
  <w:style w:type="character" w:customStyle="1" w:styleId="TitleChar">
    <w:name w:val="Title Char"/>
    <w:basedOn w:val="DefaultParagraphFont"/>
    <w:link w:val="Title"/>
    <w:uiPriority w:val="10"/>
    <w:rsid w:val="00BF10F4"/>
    <w:rPr>
      <w:rFonts w:ascii="Calibri" w:eastAsiaTheme="majorEastAsia" w:hAnsi="Calibri" w:cstheme="majorBidi"/>
      <w:color w:val="FFFFFF" w:themeColor="background2"/>
      <w:spacing w:val="5"/>
      <w:sz w:val="90"/>
      <w:szCs w:val="90"/>
    </w:rPr>
  </w:style>
  <w:style w:type="paragraph" w:styleId="Subtitle">
    <w:name w:val="Subtitle"/>
    <w:basedOn w:val="Normal"/>
    <w:next w:val="Normal"/>
    <w:link w:val="SubtitleChar"/>
    <w:uiPriority w:val="11"/>
    <w:qFormat/>
    <w:rsid w:val="00BF10F4"/>
    <w:pPr>
      <w:spacing w:after="240"/>
    </w:pPr>
    <w:rPr>
      <w:rFonts w:ascii="Calibri" w:eastAsiaTheme="majorEastAsia" w:hAnsi="Calibri" w:cstheme="majorBidi"/>
      <w:iCs/>
      <w:color w:val="FFFFFF" w:themeColor="background2"/>
      <w:spacing w:val="13"/>
      <w:sz w:val="50"/>
      <w:szCs w:val="50"/>
    </w:rPr>
  </w:style>
  <w:style w:type="character" w:customStyle="1" w:styleId="SubtitleChar">
    <w:name w:val="Subtitle Char"/>
    <w:basedOn w:val="DefaultParagraphFont"/>
    <w:link w:val="Subtitle"/>
    <w:uiPriority w:val="11"/>
    <w:rsid w:val="00BF10F4"/>
    <w:rPr>
      <w:rFonts w:ascii="Calibri" w:eastAsiaTheme="majorEastAsia" w:hAnsi="Calibri" w:cstheme="majorBidi"/>
      <w:iCs/>
      <w:color w:val="FFFFFF" w:themeColor="background2"/>
      <w:spacing w:val="13"/>
      <w:sz w:val="50"/>
      <w:szCs w:val="50"/>
    </w:rPr>
  </w:style>
  <w:style w:type="paragraph" w:styleId="NoSpacing">
    <w:name w:val="No Spacing"/>
    <w:basedOn w:val="Normal"/>
    <w:link w:val="NoSpacingChar"/>
    <w:uiPriority w:val="1"/>
    <w:qFormat/>
    <w:rsid w:val="00AC65DA"/>
    <w:pPr>
      <w:spacing w:after="0" w:line="240" w:lineRule="auto"/>
    </w:pPr>
  </w:style>
  <w:style w:type="paragraph" w:styleId="ListParagraph">
    <w:name w:val="List Paragraph"/>
    <w:basedOn w:val="Normal"/>
    <w:uiPriority w:val="34"/>
    <w:rsid w:val="00AC65DA"/>
    <w:pPr>
      <w:ind w:left="720"/>
      <w:contextualSpacing/>
    </w:pPr>
  </w:style>
  <w:style w:type="paragraph" w:styleId="IntenseQuote">
    <w:name w:val="Intense Quote"/>
    <w:basedOn w:val="Normal"/>
    <w:next w:val="Normal"/>
    <w:link w:val="IntenseQuoteChar"/>
    <w:uiPriority w:val="30"/>
    <w:qFormat/>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qFormat/>
    <w:rsid w:val="00AC65DA"/>
    <w:rPr>
      <w:i/>
      <w:iCs/>
    </w:rPr>
  </w:style>
  <w:style w:type="character" w:styleId="IntenseEmphasis">
    <w:name w:val="Intense Emphasis"/>
    <w:uiPriority w:val="21"/>
    <w:qFormat/>
    <w:rsid w:val="001F1C07"/>
    <w:rPr>
      <w:b/>
      <w:bCs/>
      <w:i/>
    </w:rPr>
  </w:style>
  <w:style w:type="character" w:styleId="SubtleReference">
    <w:name w:val="Subtle Reference"/>
    <w:uiPriority w:val="31"/>
    <w:qFormat/>
    <w:rsid w:val="00AC65DA"/>
    <w:rPr>
      <w:smallCaps/>
    </w:rPr>
  </w:style>
  <w:style w:type="character" w:styleId="IntenseReference">
    <w:name w:val="Intense Reference"/>
    <w:uiPriority w:val="32"/>
    <w:qFormat/>
    <w:rsid w:val="00AC65DA"/>
    <w:rPr>
      <w:smallCaps/>
      <w:spacing w:val="5"/>
      <w:u w:val="single"/>
    </w:rPr>
  </w:style>
  <w:style w:type="paragraph" w:styleId="TOCHeading">
    <w:name w:val="TOC Heading"/>
    <w:basedOn w:val="Heading1"/>
    <w:next w:val="Normal"/>
    <w:uiPriority w:val="39"/>
    <w:unhideWhenUsed/>
    <w:qFormat/>
    <w:rsid w:val="00913848"/>
    <w:pPr>
      <w:numPr>
        <w:numId w:val="0"/>
      </w:numPr>
      <w:outlineLvl w:val="9"/>
    </w:pPr>
    <w:rPr>
      <w:lang w:bidi="en-US"/>
    </w:rPr>
  </w:style>
  <w:style w:type="paragraph" w:styleId="ListNumber">
    <w:name w:val="List Number"/>
    <w:basedOn w:val="Normal"/>
    <w:uiPriority w:val="99"/>
    <w:unhideWhenUsed/>
    <w:rsid w:val="006B0016"/>
    <w:pPr>
      <w:numPr>
        <w:numId w:val="21"/>
      </w:numPr>
      <w:spacing w:after="120"/>
      <w:contextualSpacing/>
    </w:pPr>
  </w:style>
  <w:style w:type="paragraph" w:styleId="ListNumber2">
    <w:name w:val="List Number 2"/>
    <w:basedOn w:val="Normal"/>
    <w:uiPriority w:val="99"/>
    <w:unhideWhenUsed/>
    <w:rsid w:val="006B0016"/>
    <w:pPr>
      <w:numPr>
        <w:ilvl w:val="1"/>
        <w:numId w:val="21"/>
      </w:numPr>
      <w:tabs>
        <w:tab w:val="left" w:pos="1134"/>
      </w:tabs>
      <w:spacing w:after="120"/>
      <w:contextualSpacing/>
    </w:pPr>
  </w:style>
  <w:style w:type="paragraph" w:styleId="ListNumber3">
    <w:name w:val="List Number 3"/>
    <w:basedOn w:val="Normal"/>
    <w:uiPriority w:val="99"/>
    <w:unhideWhenUsed/>
    <w:rsid w:val="006B0016"/>
    <w:pPr>
      <w:numPr>
        <w:ilvl w:val="2"/>
        <w:numId w:val="21"/>
      </w:numPr>
      <w:spacing w:after="120"/>
      <w:contextualSpacing/>
    </w:pPr>
  </w:style>
  <w:style w:type="paragraph" w:styleId="ListNumber4">
    <w:name w:val="List Number 4"/>
    <w:basedOn w:val="Normal"/>
    <w:uiPriority w:val="99"/>
    <w:unhideWhenUsed/>
    <w:rsid w:val="006B0016"/>
    <w:pPr>
      <w:numPr>
        <w:ilvl w:val="3"/>
        <w:numId w:val="21"/>
      </w:numPr>
      <w:spacing w:after="120"/>
      <w:contextualSpacing/>
    </w:pPr>
  </w:style>
  <w:style w:type="paragraph" w:styleId="ListBullet">
    <w:name w:val="List Bullet"/>
    <w:basedOn w:val="Normal"/>
    <w:uiPriority w:val="99"/>
    <w:unhideWhenUsed/>
    <w:rsid w:val="006B0016"/>
    <w:pPr>
      <w:numPr>
        <w:numId w:val="23"/>
      </w:numPr>
      <w:spacing w:after="120"/>
      <w:contextualSpacing/>
    </w:pPr>
  </w:style>
  <w:style w:type="paragraph" w:styleId="ListBullet2">
    <w:name w:val="List Bullet 2"/>
    <w:basedOn w:val="Normal"/>
    <w:uiPriority w:val="99"/>
    <w:unhideWhenUsed/>
    <w:rsid w:val="006B0016"/>
    <w:pPr>
      <w:numPr>
        <w:ilvl w:val="1"/>
        <w:numId w:val="23"/>
      </w:numPr>
      <w:spacing w:after="120"/>
      <w:contextualSpacing/>
    </w:pPr>
  </w:style>
  <w:style w:type="paragraph" w:styleId="ListBullet3">
    <w:name w:val="List Bullet 3"/>
    <w:basedOn w:val="Normal"/>
    <w:uiPriority w:val="99"/>
    <w:unhideWhenUsed/>
    <w:rsid w:val="006B0016"/>
    <w:pPr>
      <w:numPr>
        <w:ilvl w:val="2"/>
        <w:numId w:val="23"/>
      </w:numPr>
      <w:spacing w:after="120"/>
      <w:contextualSpacing/>
    </w:pPr>
  </w:style>
  <w:style w:type="paragraph" w:styleId="ListBullet4">
    <w:name w:val="List Bullet 4"/>
    <w:basedOn w:val="Normal"/>
    <w:uiPriority w:val="99"/>
    <w:unhideWhenUsed/>
    <w:rsid w:val="006B0016"/>
    <w:pPr>
      <w:numPr>
        <w:ilvl w:val="3"/>
        <w:numId w:val="23"/>
      </w:numPr>
      <w:spacing w:after="120"/>
      <w:contextualSpacing/>
    </w:pPr>
  </w:style>
  <w:style w:type="table" w:styleId="TableGrid">
    <w:name w:val="Table Grid"/>
    <w:basedOn w:val="TableNormal"/>
    <w:uiPriority w:val="59"/>
    <w:rsid w:val="00792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pPr>
      <w:spacing w:after="0" w:line="240" w:lineRule="auto"/>
    </w:pPr>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130923"/>
    <w:pPr>
      <w:autoSpaceDE w:val="0"/>
      <w:autoSpaceDN w:val="0"/>
      <w:adjustRightInd w:val="0"/>
      <w:spacing w:after="0" w:line="240" w:lineRule="auto"/>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after="120" w:line="240" w:lineRule="auto"/>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8"/>
      </w:numPr>
      <w:spacing w:after="0" w:line="240" w:lineRule="auto"/>
    </w:pPr>
    <w:rPr>
      <w:rFonts w:ascii="Calibri" w:eastAsiaTheme="minorHAnsi" w:hAnsi="Calibri" w:cs="Calibri"/>
      <w:lang w:eastAsia="en-AU"/>
    </w:rPr>
  </w:style>
  <w:style w:type="paragraph" w:styleId="BalloonText">
    <w:name w:val="Balloon Text"/>
    <w:basedOn w:val="Normal"/>
    <w:link w:val="BalloonTextChar"/>
    <w:uiPriority w:val="99"/>
    <w:semiHidden/>
    <w:unhideWhenUsed/>
    <w:rsid w:val="00130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996B52"/>
    <w:pPr>
      <w:tabs>
        <w:tab w:val="left" w:pos="440"/>
        <w:tab w:val="right" w:leader="dot" w:pos="9016"/>
      </w:tabs>
      <w:spacing w:after="100"/>
    </w:pPr>
  </w:style>
  <w:style w:type="paragraph" w:styleId="TOC2">
    <w:name w:val="toc 2"/>
    <w:basedOn w:val="Normal"/>
    <w:next w:val="Normal"/>
    <w:autoRedefine/>
    <w:uiPriority w:val="39"/>
    <w:unhideWhenUsed/>
    <w:rsid w:val="00EF4A38"/>
    <w:pPr>
      <w:spacing w:after="100"/>
      <w:ind w:left="220"/>
    </w:pPr>
  </w:style>
  <w:style w:type="paragraph" w:styleId="TOC3">
    <w:name w:val="toc 3"/>
    <w:basedOn w:val="Normal"/>
    <w:next w:val="Normal"/>
    <w:autoRedefine/>
    <w:uiPriority w:val="39"/>
    <w:unhideWhenUsed/>
    <w:rsid w:val="00EF4A38"/>
    <w:pPr>
      <w:spacing w:after="100"/>
      <w:ind w:left="440"/>
    </w:pPr>
  </w:style>
  <w:style w:type="paragraph" w:styleId="Caption">
    <w:name w:val="caption"/>
    <w:basedOn w:val="Heading4"/>
    <w:next w:val="Normal"/>
    <w:uiPriority w:val="35"/>
    <w:unhideWhenUsed/>
    <w:rsid w:val="00B2722A"/>
    <w:rPr>
      <w:i w:val="0"/>
    </w:rPr>
  </w:style>
  <w:style w:type="paragraph" w:customStyle="1" w:styleId="Source">
    <w:name w:val="Source"/>
    <w:basedOn w:val="Normal"/>
    <w:qFormat/>
    <w:rsid w:val="00B2722A"/>
    <w:rPr>
      <w:rFonts w:cstheme="minorHAnsi"/>
      <w:b/>
      <w:sz w:val="20"/>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qFormat/>
    <w:rsid w:val="00F975AB"/>
    <w:rPr>
      <w:color w:val="1E3D6B"/>
    </w:rPr>
  </w:style>
  <w:style w:type="numbering" w:customStyle="1" w:styleId="NumberedList">
    <w:name w:val="Numbered List"/>
    <w:uiPriority w:val="99"/>
    <w:rsid w:val="006B0016"/>
    <w:pPr>
      <w:numPr>
        <w:numId w:val="21"/>
      </w:numPr>
    </w:pPr>
  </w:style>
  <w:style w:type="numbering" w:customStyle="1" w:styleId="BulletList">
    <w:name w:val="Bullet List"/>
    <w:uiPriority w:val="99"/>
    <w:rsid w:val="006B0016"/>
    <w:pPr>
      <w:numPr>
        <w:numId w:val="23"/>
      </w:numPr>
    </w:pPr>
  </w:style>
  <w:style w:type="paragraph" w:styleId="ListNumber5">
    <w:name w:val="List Number 5"/>
    <w:basedOn w:val="Normal"/>
    <w:uiPriority w:val="99"/>
    <w:semiHidden/>
    <w:unhideWhenUsed/>
    <w:rsid w:val="006B0016"/>
    <w:pPr>
      <w:numPr>
        <w:ilvl w:val="4"/>
        <w:numId w:val="21"/>
      </w:numPr>
      <w:contextualSpacing/>
    </w:pPr>
  </w:style>
  <w:style w:type="paragraph" w:styleId="ListBullet5">
    <w:name w:val="List Bullet 5"/>
    <w:basedOn w:val="Normal"/>
    <w:uiPriority w:val="99"/>
    <w:semiHidden/>
    <w:unhideWhenUsed/>
    <w:rsid w:val="006B0016"/>
    <w:pPr>
      <w:numPr>
        <w:ilvl w:val="4"/>
        <w:numId w:val="23"/>
      </w:numPr>
      <w:contextualSpacing/>
    </w:pPr>
  </w:style>
  <w:style w:type="paragraph" w:customStyle="1" w:styleId="Normal18ptbefore">
    <w:name w:val="Normal + 18pt before"/>
    <w:basedOn w:val="Normal"/>
    <w:qFormat/>
    <w:rsid w:val="00596374"/>
    <w:pPr>
      <w:spacing w:before="360"/>
    </w:pPr>
  </w:style>
  <w:style w:type="paragraph" w:styleId="FootnoteText">
    <w:name w:val="footnote text"/>
    <w:basedOn w:val="Normal"/>
    <w:link w:val="FootnoteTextChar"/>
    <w:uiPriority w:val="99"/>
    <w:unhideWhenUsed/>
    <w:qFormat/>
    <w:rsid w:val="001B74B8"/>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rsid w:val="001B74B8"/>
    <w:rPr>
      <w:rFonts w:eastAsiaTheme="minorHAnsi"/>
      <w:sz w:val="20"/>
      <w:szCs w:val="20"/>
    </w:rPr>
  </w:style>
  <w:style w:type="character" w:styleId="FootnoteReference">
    <w:name w:val="footnote reference"/>
    <w:basedOn w:val="DefaultParagraphFont"/>
    <w:uiPriority w:val="99"/>
    <w:unhideWhenUsed/>
    <w:rsid w:val="001B74B8"/>
    <w:rPr>
      <w:vertAlign w:val="superscript"/>
    </w:rPr>
  </w:style>
  <w:style w:type="paragraph" w:customStyle="1" w:styleId="FigureHeading">
    <w:name w:val="Figure Heading"/>
    <w:basedOn w:val="Normal"/>
    <w:link w:val="FigureHeadingChar"/>
    <w:qFormat/>
    <w:rsid w:val="001B74B8"/>
    <w:pPr>
      <w:spacing w:before="40" w:after="40" w:line="240" w:lineRule="auto"/>
    </w:pPr>
    <w:rPr>
      <w:rFonts w:ascii="Calibri" w:hAnsi="Calibri"/>
      <w:b/>
      <w:szCs w:val="24"/>
    </w:rPr>
  </w:style>
  <w:style w:type="character" w:customStyle="1" w:styleId="FigureHeadingChar">
    <w:name w:val="Figure Heading Char"/>
    <w:basedOn w:val="DefaultParagraphFont"/>
    <w:link w:val="FigureHeading"/>
    <w:rsid w:val="001B74B8"/>
    <w:rPr>
      <w:rFonts w:ascii="Calibri" w:hAnsi="Calibri"/>
      <w:b/>
      <w:szCs w:val="24"/>
    </w:rPr>
  </w:style>
  <w:style w:type="character" w:styleId="CommentReference">
    <w:name w:val="annotation reference"/>
    <w:basedOn w:val="DefaultParagraphFont"/>
    <w:uiPriority w:val="99"/>
    <w:semiHidden/>
    <w:unhideWhenUsed/>
    <w:rsid w:val="00F86E91"/>
    <w:rPr>
      <w:sz w:val="16"/>
      <w:szCs w:val="16"/>
    </w:rPr>
  </w:style>
  <w:style w:type="paragraph" w:styleId="CommentText">
    <w:name w:val="annotation text"/>
    <w:basedOn w:val="Normal"/>
    <w:link w:val="CommentTextChar"/>
    <w:uiPriority w:val="99"/>
    <w:semiHidden/>
    <w:unhideWhenUsed/>
    <w:rsid w:val="00F86E91"/>
    <w:pPr>
      <w:spacing w:line="240" w:lineRule="auto"/>
    </w:pPr>
    <w:rPr>
      <w:sz w:val="20"/>
      <w:szCs w:val="20"/>
    </w:rPr>
  </w:style>
  <w:style w:type="character" w:customStyle="1" w:styleId="CommentTextChar">
    <w:name w:val="Comment Text Char"/>
    <w:basedOn w:val="DefaultParagraphFont"/>
    <w:link w:val="CommentText"/>
    <w:uiPriority w:val="99"/>
    <w:semiHidden/>
    <w:rsid w:val="00F86E91"/>
    <w:rPr>
      <w:sz w:val="20"/>
      <w:szCs w:val="20"/>
    </w:rPr>
  </w:style>
  <w:style w:type="paragraph" w:styleId="CommentSubject">
    <w:name w:val="annotation subject"/>
    <w:basedOn w:val="CommentText"/>
    <w:next w:val="CommentText"/>
    <w:link w:val="CommentSubjectChar"/>
    <w:uiPriority w:val="99"/>
    <w:semiHidden/>
    <w:unhideWhenUsed/>
    <w:rsid w:val="00F86E91"/>
    <w:rPr>
      <w:b/>
      <w:bCs/>
    </w:rPr>
  </w:style>
  <w:style w:type="character" w:customStyle="1" w:styleId="CommentSubjectChar">
    <w:name w:val="Comment Subject Char"/>
    <w:basedOn w:val="CommentTextChar"/>
    <w:link w:val="CommentSubject"/>
    <w:uiPriority w:val="99"/>
    <w:semiHidden/>
    <w:rsid w:val="00F86E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5507">
      <w:bodyDiv w:val="1"/>
      <w:marLeft w:val="0"/>
      <w:marRight w:val="0"/>
      <w:marTop w:val="0"/>
      <w:marBottom w:val="0"/>
      <w:divBdr>
        <w:top w:val="none" w:sz="0" w:space="0" w:color="auto"/>
        <w:left w:val="none" w:sz="0" w:space="0" w:color="auto"/>
        <w:bottom w:val="none" w:sz="0" w:space="0" w:color="auto"/>
        <w:right w:val="none" w:sz="0" w:space="0" w:color="auto"/>
      </w:divBdr>
    </w:div>
    <w:div w:id="156016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creativecommons.org/licenses/by/3.0/au/"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cid:image001.png@01CC5B5E.C6C84990"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creativecommons.org/licenses/by/3.0/au/legalco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DEEWR">
      <a:dk1>
        <a:sysClr val="windowText" lastClr="000000"/>
      </a:dk1>
      <a:lt1>
        <a:srgbClr val="7F7F7F"/>
      </a:lt1>
      <a:dk2>
        <a:srgbClr val="165788"/>
      </a:dk2>
      <a:lt2>
        <a:srgbClr val="FFFFFF"/>
      </a:lt2>
      <a:accent1>
        <a:srgbClr val="165788"/>
      </a:accent1>
      <a:accent2>
        <a:srgbClr val="593674"/>
      </a:accent2>
      <a:accent3>
        <a:srgbClr val="478A57"/>
      </a:accent3>
      <a:accent4>
        <a:srgbClr val="969A52"/>
      </a:accent4>
      <a:accent5>
        <a:srgbClr val="CF9A3E"/>
      </a:accent5>
      <a:accent6>
        <a:srgbClr val="A75534"/>
      </a:accent6>
      <a:hlink>
        <a:srgbClr val="165788"/>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E9B58-D694-4902-AED2-F338B85B5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4720</Words>
  <Characters>27056</Characters>
  <Application>Microsoft Office Word</Application>
  <DocSecurity>0</DocSecurity>
  <Lines>501</Lines>
  <Paragraphs>246</Paragraphs>
  <ScaleCrop>false</ScaleCrop>
  <Company/>
  <LinksUpToDate>false</LinksUpToDate>
  <CharactersWithSpaces>31620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to Work Evaluation Strategy</dc:title>
  <dc:creator/>
  <cp:lastModifiedBy/>
  <cp:revision>1</cp:revision>
  <dcterms:created xsi:type="dcterms:W3CDTF">2023-03-22T07:40:00Z</dcterms:created>
  <dcterms:modified xsi:type="dcterms:W3CDTF">2023-03-22T07:41:00Z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2023-03-22T07:41:05Z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8735f0f0-8c7d-491b-a1d0-4959ef7bca89</vt:lpwstr>
  </property>
  <property fmtid="{D5CDD505-2E9C-101B-9397-08002B2CF9AE}" pid="8" name="MSIP_Label_79d889eb-932f-4752-8739-64d25806ef64_ContentBits">
    <vt:lpwstr>0</vt:lpwstr>
  </property>
</Properties>
</file>