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398" w:rsidRDefault="00906A08" w:rsidP="00906A08">
      <w:pPr>
        <w:jc w:val="center"/>
        <w:rPr>
          <w:rFonts w:eastAsia="Times New Roman"/>
        </w:rPr>
      </w:pPr>
      <w:bookmarkStart w:id="0" w:name="_GoBack"/>
      <w:bookmarkEnd w:id="0"/>
      <w:r w:rsidRPr="00595EB9">
        <w:rPr>
          <w:noProof/>
          <w:lang w:eastAsia="en-AU"/>
        </w:rPr>
        <w:drawing>
          <wp:inline distT="0" distB="0" distL="0" distR="0" wp14:anchorId="2237FC81" wp14:editId="58DEB169">
            <wp:extent cx="3212327" cy="745356"/>
            <wp:effectExtent l="0" t="0" r="7620" b="0"/>
            <wp:docPr id="1" name="Picture 1"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tralian Government Department of Education, Employment and Workplace Relations"/>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234465" cy="750493"/>
                    </a:xfrm>
                    <a:prstGeom prst="rect">
                      <a:avLst/>
                    </a:prstGeom>
                    <a:noFill/>
                    <a:ln w="9525">
                      <a:noFill/>
                      <a:miter lim="800000"/>
                      <a:headEnd/>
                      <a:tailEnd/>
                    </a:ln>
                  </pic:spPr>
                </pic:pic>
              </a:graphicData>
            </a:graphic>
          </wp:inline>
        </w:drawing>
      </w:r>
    </w:p>
    <w:p w:rsidR="00BB6557" w:rsidRPr="00DA155F" w:rsidRDefault="00BB6557" w:rsidP="008C4106">
      <w:pPr>
        <w:pStyle w:val="Title"/>
        <w:spacing w:before="240"/>
        <w:rPr>
          <w:rFonts w:eastAsia="Times New Roman"/>
        </w:rPr>
      </w:pPr>
      <w:r w:rsidRPr="00DA155F">
        <w:rPr>
          <w:rFonts w:eastAsia="Times New Roman"/>
        </w:rPr>
        <w:t xml:space="preserve">Non-quantifiable wage increases in </w:t>
      </w:r>
      <w:r w:rsidR="00634C0E" w:rsidRPr="00DA155F">
        <w:rPr>
          <w:rFonts w:eastAsia="Times New Roman"/>
        </w:rPr>
        <w:t xml:space="preserve">federal enterprise </w:t>
      </w:r>
      <w:r w:rsidRPr="00DA155F">
        <w:rPr>
          <w:rFonts w:eastAsia="Times New Roman"/>
        </w:rPr>
        <w:t>agreements</w:t>
      </w:r>
    </w:p>
    <w:p w:rsidR="00791B05" w:rsidRPr="00DA155F" w:rsidRDefault="00791B05" w:rsidP="00527F90">
      <w:pPr>
        <w:pStyle w:val="Heading1"/>
        <w:rPr>
          <w:rFonts w:eastAsia="Times New Roman"/>
        </w:rPr>
      </w:pPr>
      <w:r w:rsidRPr="00DA155F">
        <w:rPr>
          <w:rFonts w:eastAsia="Times New Roman"/>
        </w:rPr>
        <w:t>Executive summary</w:t>
      </w:r>
    </w:p>
    <w:p w:rsidR="006E6ED0" w:rsidRPr="003A1F64" w:rsidRDefault="006E6ED0" w:rsidP="00527F90">
      <w:pPr>
        <w:spacing w:after="120"/>
      </w:pPr>
      <w:r w:rsidRPr="00DA155F">
        <w:t>The main wage statistic</w:t>
      </w:r>
      <w:r w:rsidRPr="003A1F64">
        <w:t xml:space="preserve"> of the Department of Employment’s quarterly </w:t>
      </w:r>
      <w:r w:rsidRPr="003A1F64">
        <w:rPr>
          <w:i/>
        </w:rPr>
        <w:t>Trends in Federal Enterprise Bargaining</w:t>
      </w:r>
      <w:r w:rsidRPr="003A1F64">
        <w:t xml:space="preserve"> (</w:t>
      </w:r>
      <w:r w:rsidRPr="003A1F64">
        <w:rPr>
          <w:i/>
        </w:rPr>
        <w:t>Trends</w:t>
      </w:r>
      <w:r w:rsidRPr="003A1F64">
        <w:t>) report is the Average Annualised Wage Increase (</w:t>
      </w:r>
      <w:proofErr w:type="spellStart"/>
      <w:r w:rsidRPr="003A1F64">
        <w:t>AAWI</w:t>
      </w:r>
      <w:proofErr w:type="spellEnd"/>
      <w:r w:rsidRPr="003A1F64">
        <w:t xml:space="preserve">). </w:t>
      </w:r>
      <w:r w:rsidR="007C1C80" w:rsidRPr="003A1F64">
        <w:t xml:space="preserve">The </w:t>
      </w:r>
      <w:proofErr w:type="spellStart"/>
      <w:r w:rsidRPr="003A1F64">
        <w:rPr>
          <w:rFonts w:ascii="Calibri" w:hAnsi="Calibri" w:cs="Arial"/>
          <w:bCs/>
        </w:rPr>
        <w:t>AAWI</w:t>
      </w:r>
      <w:proofErr w:type="spellEnd"/>
      <w:r w:rsidRPr="003A1F64">
        <w:rPr>
          <w:rFonts w:ascii="Calibri" w:hAnsi="Calibri" w:cs="Arial"/>
          <w:bCs/>
        </w:rPr>
        <w:t xml:space="preserve"> can only be </w:t>
      </w:r>
      <w:r w:rsidR="005F5815" w:rsidRPr="003A1F64">
        <w:rPr>
          <w:rFonts w:ascii="Calibri" w:hAnsi="Calibri" w:cs="Arial"/>
          <w:bCs/>
        </w:rPr>
        <w:t xml:space="preserve">confidently </w:t>
      </w:r>
      <w:r w:rsidRPr="003A1F64">
        <w:rPr>
          <w:rFonts w:ascii="Calibri" w:hAnsi="Calibri" w:cs="Arial"/>
          <w:bCs/>
        </w:rPr>
        <w:t xml:space="preserve">calculated for those agreements that provide quantifiable wage increases over the life of the </w:t>
      </w:r>
      <w:r w:rsidRPr="003A1F64">
        <w:t>agreement. At present</w:t>
      </w:r>
      <w:r w:rsidR="005F5815" w:rsidRPr="003A1F64">
        <w:t xml:space="preserve"> </w:t>
      </w:r>
      <w:r w:rsidR="00B13FC8">
        <w:t>these agreements represent</w:t>
      </w:r>
      <w:r w:rsidRPr="003A1F64">
        <w:t xml:space="preserve"> around 70 per cent of agreements.</w:t>
      </w:r>
    </w:p>
    <w:p w:rsidR="00791B05" w:rsidRPr="003A1F64" w:rsidRDefault="009D4062" w:rsidP="00527F90">
      <w:pPr>
        <w:spacing w:after="120"/>
      </w:pPr>
      <w:r w:rsidRPr="003A1F64">
        <w:t>While t</w:t>
      </w:r>
      <w:r w:rsidR="006E6ED0" w:rsidRPr="003A1F64">
        <w:t xml:space="preserve">he </w:t>
      </w:r>
      <w:proofErr w:type="spellStart"/>
      <w:r w:rsidR="000B7ABC" w:rsidRPr="003A1F64">
        <w:t>AAWI</w:t>
      </w:r>
      <w:proofErr w:type="spellEnd"/>
      <w:r w:rsidR="000B7ABC" w:rsidRPr="003A1F64">
        <w:t xml:space="preserve"> </w:t>
      </w:r>
      <w:r w:rsidRPr="003A1F64">
        <w:t xml:space="preserve">for the remaining 30 per cent of agreements </w:t>
      </w:r>
      <w:r w:rsidR="006E6ED0" w:rsidRPr="003A1F64">
        <w:t xml:space="preserve">cannot be </w:t>
      </w:r>
      <w:r w:rsidR="00A44A82" w:rsidRPr="003A1F64">
        <w:t>confid</w:t>
      </w:r>
      <w:r w:rsidR="00B13FC8">
        <w:t xml:space="preserve">ently </w:t>
      </w:r>
      <w:r w:rsidR="006E6ED0" w:rsidRPr="003A1F64">
        <w:t>calculated</w:t>
      </w:r>
      <w:r w:rsidRPr="003A1F64">
        <w:t xml:space="preserve"> using the usual methodology</w:t>
      </w:r>
      <w:r w:rsidR="006E6ED0" w:rsidRPr="003A1F64">
        <w:t>,</w:t>
      </w:r>
      <w:r w:rsidR="000B7ABC" w:rsidRPr="003A1F64">
        <w:t xml:space="preserve"> </w:t>
      </w:r>
      <w:r w:rsidRPr="003A1F64">
        <w:t xml:space="preserve">the exclusion of these agreements from the </w:t>
      </w:r>
      <w:proofErr w:type="spellStart"/>
      <w:r w:rsidRPr="003A1F64">
        <w:t>AAWI</w:t>
      </w:r>
      <w:proofErr w:type="spellEnd"/>
      <w:r w:rsidRPr="003A1F64">
        <w:t xml:space="preserve"> calculations </w:t>
      </w:r>
      <w:r w:rsidR="006E6ED0" w:rsidRPr="003A1F64">
        <w:t xml:space="preserve">could </w:t>
      </w:r>
      <w:r w:rsidR="00D27357" w:rsidRPr="003A1F64">
        <w:t>undermine</w:t>
      </w:r>
      <w:r w:rsidR="006E6ED0" w:rsidRPr="003A1F64">
        <w:t xml:space="preserve"> the representativeness</w:t>
      </w:r>
      <w:r w:rsidR="000B7ABC" w:rsidRPr="003A1F64">
        <w:t xml:space="preserve"> of</w:t>
      </w:r>
      <w:r w:rsidR="00BB65BA" w:rsidRPr="003A1F64">
        <w:t xml:space="preserve"> this worthwhile wages growth measure</w:t>
      </w:r>
      <w:r w:rsidR="006E6ED0" w:rsidRPr="003A1F64">
        <w:t xml:space="preserve">. In order to examine whether this is the case, </w:t>
      </w:r>
      <w:r w:rsidRPr="003A1F64">
        <w:t>this paper</w:t>
      </w:r>
      <w:r w:rsidR="006E6ED0" w:rsidRPr="003A1F64">
        <w:t xml:space="preserve"> </w:t>
      </w:r>
      <w:r w:rsidRPr="003A1F64">
        <w:t xml:space="preserve">tests alternative methods to derive </w:t>
      </w:r>
      <w:r w:rsidR="00926B15" w:rsidRPr="003A1F64">
        <w:t xml:space="preserve">an </w:t>
      </w:r>
      <w:proofErr w:type="spellStart"/>
      <w:r w:rsidR="00926B15" w:rsidRPr="003A1F64">
        <w:t>AAWI</w:t>
      </w:r>
      <w:proofErr w:type="spellEnd"/>
      <w:r w:rsidR="00D27357" w:rsidRPr="003A1F64">
        <w:t xml:space="preserve"> for</w:t>
      </w:r>
      <w:r w:rsidRPr="003A1F64">
        <w:t xml:space="preserve"> </w:t>
      </w:r>
      <w:r w:rsidR="00D27357" w:rsidRPr="003A1F64">
        <w:t xml:space="preserve">‘non-quantifiable’ agreements. </w:t>
      </w:r>
      <w:r w:rsidR="00BB65BA" w:rsidRPr="003A1F64">
        <w:t>It</w:t>
      </w:r>
      <w:r w:rsidR="008E5716" w:rsidRPr="003A1F64">
        <w:t xml:space="preserve"> </w:t>
      </w:r>
      <w:r w:rsidR="00D27357" w:rsidRPr="003A1F64">
        <w:t xml:space="preserve">also reports the characteristics, trends and detailed reasons for </w:t>
      </w:r>
      <w:r w:rsidR="00B13FC8">
        <w:t xml:space="preserve">the agreements </w:t>
      </w:r>
      <w:r w:rsidR="00D27357" w:rsidRPr="003A1F64">
        <w:t xml:space="preserve">being non-quantifiable, in order to provide users with more information on these </w:t>
      </w:r>
      <w:proofErr w:type="gramStart"/>
      <w:r w:rsidR="00D27357" w:rsidRPr="003A1F64">
        <w:t>agreements</w:t>
      </w:r>
      <w:proofErr w:type="gramEnd"/>
      <w:r w:rsidR="00D27357" w:rsidRPr="003A1F64">
        <w:t>.</w:t>
      </w:r>
      <w:r w:rsidR="008E5716" w:rsidRPr="003A1F64">
        <w:t xml:space="preserve"> </w:t>
      </w:r>
      <w:r w:rsidR="00D27357" w:rsidRPr="003A1F64">
        <w:t>Th</w:t>
      </w:r>
      <w:r w:rsidR="00B13FC8">
        <w:t>is</w:t>
      </w:r>
      <w:r w:rsidR="00D27357" w:rsidRPr="003A1F64">
        <w:t xml:space="preserve"> paper</w:t>
      </w:r>
      <w:r w:rsidR="000B7ABC" w:rsidRPr="003A1F64">
        <w:t xml:space="preserve"> concludes that the estimate </w:t>
      </w:r>
      <w:r w:rsidRPr="003A1F64">
        <w:t xml:space="preserve">of the </w:t>
      </w:r>
      <w:proofErr w:type="spellStart"/>
      <w:r w:rsidRPr="003A1F64">
        <w:t>AAWI</w:t>
      </w:r>
      <w:proofErr w:type="spellEnd"/>
      <w:r w:rsidRPr="003A1F64">
        <w:t xml:space="preserve"> for non-quantifiable agreements </w:t>
      </w:r>
      <w:r w:rsidR="000B7ABC" w:rsidRPr="003A1F64">
        <w:t>is not sufficiently robust to publish</w:t>
      </w:r>
      <w:r w:rsidR="006E6ED0" w:rsidRPr="003A1F64">
        <w:t xml:space="preserve"> </w:t>
      </w:r>
      <w:r w:rsidRPr="003A1F64">
        <w:t xml:space="preserve">but </w:t>
      </w:r>
      <w:r w:rsidR="00926B15" w:rsidRPr="003A1F64">
        <w:t>the</w:t>
      </w:r>
      <w:r w:rsidR="007C1C80" w:rsidRPr="003A1F64">
        <w:t xml:space="preserve"> exclusion of these agreements from official </w:t>
      </w:r>
      <w:proofErr w:type="spellStart"/>
      <w:r w:rsidR="007C1C80" w:rsidRPr="003A1F64">
        <w:t>AAWI</w:t>
      </w:r>
      <w:proofErr w:type="spellEnd"/>
      <w:r w:rsidR="007C1C80" w:rsidRPr="003A1F64">
        <w:t xml:space="preserve"> calculations </w:t>
      </w:r>
      <w:r w:rsidR="008644AC">
        <w:t>is likely to</w:t>
      </w:r>
      <w:r w:rsidR="007C1C80" w:rsidRPr="003A1F64">
        <w:t xml:space="preserve"> have </w:t>
      </w:r>
      <w:r w:rsidR="00926B15" w:rsidRPr="003A1F64">
        <w:t xml:space="preserve">a small </w:t>
      </w:r>
      <w:r w:rsidR="007C1C80" w:rsidRPr="003A1F64">
        <w:t>impact on the representative</w:t>
      </w:r>
      <w:r w:rsidR="008C255C">
        <w:t>nes</w:t>
      </w:r>
      <w:r w:rsidR="007C1C80" w:rsidRPr="003A1F64">
        <w:t>s of the published data</w:t>
      </w:r>
      <w:r w:rsidR="00AA2BDB" w:rsidRPr="003A1F64">
        <w:t>.</w:t>
      </w:r>
      <w:r w:rsidR="000B7ABC" w:rsidRPr="003A1F64">
        <w:t xml:space="preserve"> </w:t>
      </w:r>
    </w:p>
    <w:p w:rsidR="00BB6557" w:rsidRPr="003A1F64" w:rsidRDefault="00BB6557" w:rsidP="00527F90">
      <w:pPr>
        <w:pStyle w:val="Heading1"/>
        <w:rPr>
          <w:rFonts w:eastAsia="Times New Roman"/>
        </w:rPr>
      </w:pPr>
      <w:r w:rsidRPr="003A1F64">
        <w:rPr>
          <w:rFonts w:eastAsia="Times New Roman"/>
        </w:rPr>
        <w:t>Introduction</w:t>
      </w:r>
    </w:p>
    <w:p w:rsidR="00D27357" w:rsidRPr="003A1F64" w:rsidRDefault="00CF2C0E" w:rsidP="00527F90">
      <w:pPr>
        <w:spacing w:after="120"/>
      </w:pPr>
      <w:r w:rsidRPr="003A1F64">
        <w:t>Although</w:t>
      </w:r>
      <w:r w:rsidR="00D27357" w:rsidRPr="003A1F64">
        <w:t xml:space="preserve"> </w:t>
      </w:r>
      <w:r w:rsidR="00BB65BA" w:rsidRPr="003A1F64">
        <w:t xml:space="preserve">the </w:t>
      </w:r>
      <w:r w:rsidR="00D27357" w:rsidRPr="003A1F64">
        <w:t>Australian Bureau of Statistics’ Wage Price Index</w:t>
      </w:r>
      <w:r w:rsidRPr="003A1F64">
        <w:t xml:space="preserve"> is the official and preferred measure of </w:t>
      </w:r>
      <w:r w:rsidR="008C255C">
        <w:t xml:space="preserve">overall </w:t>
      </w:r>
      <w:r w:rsidRPr="003A1F64">
        <w:t xml:space="preserve">wages growth, </w:t>
      </w:r>
      <w:r w:rsidR="00BB65BA" w:rsidRPr="003A1F64">
        <w:t xml:space="preserve">the </w:t>
      </w:r>
      <w:proofErr w:type="spellStart"/>
      <w:r w:rsidR="006E17AD" w:rsidRPr="003A1F64">
        <w:t>AAWI</w:t>
      </w:r>
      <w:proofErr w:type="spellEnd"/>
      <w:r w:rsidR="006E17AD" w:rsidRPr="003A1F64">
        <w:t xml:space="preserve"> is an important measure in determining </w:t>
      </w:r>
      <w:r w:rsidR="001A2C95" w:rsidRPr="003A1F64">
        <w:t xml:space="preserve">trends in </w:t>
      </w:r>
      <w:r w:rsidR="006E17AD" w:rsidRPr="003A1F64">
        <w:t xml:space="preserve">wages growth </w:t>
      </w:r>
      <w:r w:rsidR="00B64A4E" w:rsidRPr="003A1F64">
        <w:t>for people employed on enterprise agreements</w:t>
      </w:r>
      <w:r w:rsidR="00E557A3">
        <w:t>. F</w:t>
      </w:r>
      <w:r w:rsidR="003871FD">
        <w:t>ederal</w:t>
      </w:r>
      <w:r w:rsidR="00607AE0">
        <w:t xml:space="preserve">ly registered collective agreements </w:t>
      </w:r>
      <w:r w:rsidR="00B13FC8">
        <w:t>cover</w:t>
      </w:r>
      <w:r w:rsidR="00225010" w:rsidRPr="003A1F64">
        <w:t xml:space="preserve"> </w:t>
      </w:r>
      <w:r w:rsidR="00607AE0">
        <w:t>32.6</w:t>
      </w:r>
      <w:r w:rsidR="008644AC">
        <w:t> </w:t>
      </w:r>
      <w:r w:rsidR="003871FD" w:rsidRPr="003A1F64">
        <w:t>per</w:t>
      </w:r>
      <w:r w:rsidR="003871FD">
        <w:t> </w:t>
      </w:r>
      <w:r w:rsidR="00B64A4E" w:rsidRPr="003A1F64">
        <w:t>cent</w:t>
      </w:r>
      <w:r w:rsidR="00225010" w:rsidRPr="003A1F64">
        <w:rPr>
          <w:rStyle w:val="FootnoteReference"/>
        </w:rPr>
        <w:footnoteReference w:id="1"/>
      </w:r>
      <w:r w:rsidR="00B64A4E" w:rsidRPr="003A1F64">
        <w:t xml:space="preserve"> of Australian </w:t>
      </w:r>
      <w:r w:rsidR="00225010" w:rsidRPr="003A1F64">
        <w:t xml:space="preserve">workers. </w:t>
      </w:r>
    </w:p>
    <w:p w:rsidR="0027588F" w:rsidRPr="003A1F64" w:rsidRDefault="00371960" w:rsidP="00527F90">
      <w:pPr>
        <w:spacing w:after="120"/>
      </w:pPr>
      <w:r w:rsidRPr="00371960">
        <w:rPr>
          <w:color w:val="000000" w:themeColor="text1"/>
        </w:rPr>
        <w:t xml:space="preserve">The </w:t>
      </w:r>
      <w:proofErr w:type="spellStart"/>
      <w:r w:rsidRPr="00371960">
        <w:rPr>
          <w:color w:val="000000" w:themeColor="text1"/>
        </w:rPr>
        <w:t>AAWI</w:t>
      </w:r>
      <w:proofErr w:type="spellEnd"/>
      <w:r w:rsidRPr="00371960">
        <w:rPr>
          <w:color w:val="000000" w:themeColor="text1"/>
        </w:rPr>
        <w:t xml:space="preserve"> in an agreement is the average of wage increases across all employees and over the life of the agreement. If the average cannot be calculated, </w:t>
      </w:r>
      <w:r w:rsidR="00D0269D">
        <w:t>the agreement</w:t>
      </w:r>
      <w:r w:rsidR="00B13FC8">
        <w:t xml:space="preserve"> is </w:t>
      </w:r>
      <w:r w:rsidR="00225010" w:rsidRPr="003A1F64">
        <w:t xml:space="preserve">excluded from </w:t>
      </w:r>
      <w:r w:rsidR="00D0269D">
        <w:t xml:space="preserve">the </w:t>
      </w:r>
      <w:r w:rsidR="00225010" w:rsidRPr="003A1F64">
        <w:rPr>
          <w:i/>
        </w:rPr>
        <w:t>Trends</w:t>
      </w:r>
      <w:r w:rsidR="00225010" w:rsidRPr="003A1F64">
        <w:t xml:space="preserve"> </w:t>
      </w:r>
      <w:proofErr w:type="spellStart"/>
      <w:proofErr w:type="gramStart"/>
      <w:r w:rsidR="003871FD">
        <w:t>AAWI</w:t>
      </w:r>
      <w:proofErr w:type="spellEnd"/>
      <w:r w:rsidR="003871FD">
        <w:t xml:space="preserve"> </w:t>
      </w:r>
      <w:r w:rsidR="0027588F" w:rsidRPr="003A1F64">
        <w:t>.</w:t>
      </w:r>
      <w:proofErr w:type="gramEnd"/>
      <w:r w:rsidR="0027588F" w:rsidRPr="003A1F64">
        <w:rPr>
          <w:rFonts w:ascii="Calibri" w:hAnsi="Calibri" w:cs="Arial"/>
          <w:bCs/>
        </w:rPr>
        <w:t xml:space="preserve"> </w:t>
      </w:r>
      <w:r w:rsidR="0027588F" w:rsidRPr="003A1F64">
        <w:t>The Department calls these agreements ‘non-quantifiable agreements’.</w:t>
      </w:r>
    </w:p>
    <w:p w:rsidR="00225010" w:rsidRPr="003A1F64" w:rsidRDefault="00225010" w:rsidP="00527F90">
      <w:r w:rsidRPr="003A1F64">
        <w:t xml:space="preserve">At </w:t>
      </w:r>
      <w:r w:rsidR="008C255C">
        <w:t xml:space="preserve">31 </w:t>
      </w:r>
      <w:r w:rsidRPr="003A1F64">
        <w:t>December 2015</w:t>
      </w:r>
      <w:r w:rsidR="000E3ACF" w:rsidRPr="003A1F64">
        <w:t>,</w:t>
      </w:r>
      <w:r w:rsidRPr="003A1F64">
        <w:t xml:space="preserve"> </w:t>
      </w:r>
      <w:r w:rsidR="00B13FC8">
        <w:t xml:space="preserve">there were </w:t>
      </w:r>
      <w:r w:rsidRPr="003A1F64">
        <w:t xml:space="preserve">4,465 current </w:t>
      </w:r>
      <w:r w:rsidR="00C75612">
        <w:t>‘</w:t>
      </w:r>
      <w:r w:rsidR="00C75612" w:rsidRPr="003A1F64">
        <w:t>non-quantifiable</w:t>
      </w:r>
      <w:r w:rsidR="00C75612">
        <w:t>’</w:t>
      </w:r>
      <w:r w:rsidR="00C75612" w:rsidRPr="003A1F64">
        <w:t xml:space="preserve"> </w:t>
      </w:r>
      <w:r w:rsidRPr="003A1F64">
        <w:t xml:space="preserve">enterprise </w:t>
      </w:r>
      <w:r w:rsidR="00B13FC8" w:rsidRPr="003A1F64">
        <w:t>agreements representing</w:t>
      </w:r>
      <w:r w:rsidR="00B13FC8">
        <w:t xml:space="preserve"> 30.6 </w:t>
      </w:r>
      <w:r w:rsidRPr="003A1F64">
        <w:t>per cent of all agreements</w:t>
      </w:r>
      <w:r w:rsidR="008C255C">
        <w:t xml:space="preserve"> </w:t>
      </w:r>
      <w:r w:rsidR="00B13FC8" w:rsidRPr="003A1F64">
        <w:t>current</w:t>
      </w:r>
      <w:r w:rsidR="00B13FC8">
        <w:t xml:space="preserve"> </w:t>
      </w:r>
      <w:r w:rsidR="008C255C">
        <w:t>at that time</w:t>
      </w:r>
      <w:r w:rsidR="00B13FC8">
        <w:t xml:space="preserve"> and</w:t>
      </w:r>
      <w:r w:rsidR="008C255C">
        <w:t xml:space="preserve"> cover</w:t>
      </w:r>
      <w:r w:rsidR="00C75612">
        <w:t>ing</w:t>
      </w:r>
      <w:r w:rsidR="008C255C">
        <w:t xml:space="preserve"> </w:t>
      </w:r>
      <w:r w:rsidR="008C255C" w:rsidRPr="003A1F64">
        <w:t>769,549 employees</w:t>
      </w:r>
      <w:r w:rsidR="008C255C">
        <w:t xml:space="preserve"> or </w:t>
      </w:r>
      <w:r w:rsidR="008C255C" w:rsidRPr="003A1F64">
        <w:t xml:space="preserve">32.9 per cent of all employees </w:t>
      </w:r>
      <w:r w:rsidR="008C255C">
        <w:t>under</w:t>
      </w:r>
      <w:r w:rsidR="008C255C" w:rsidRPr="003A1F64">
        <w:t xml:space="preserve"> current agreements</w:t>
      </w:r>
      <w:r w:rsidRPr="003A1F64">
        <w:t xml:space="preserve">. </w:t>
      </w:r>
    </w:p>
    <w:p w:rsidR="00BB6557" w:rsidRPr="003A1F64" w:rsidRDefault="00634C0E" w:rsidP="00527F90">
      <w:r w:rsidRPr="003A1F64">
        <w:t>Given this reasonably large proportion</w:t>
      </w:r>
      <w:r w:rsidR="000D261D" w:rsidRPr="003A1F64">
        <w:t xml:space="preserve">, </w:t>
      </w:r>
      <w:r w:rsidR="00BB6557" w:rsidRPr="003A1F64">
        <w:t>the Department has</w:t>
      </w:r>
      <w:r w:rsidR="000D261D" w:rsidRPr="003A1F64">
        <w:t xml:space="preserve"> conducted </w:t>
      </w:r>
      <w:r w:rsidR="00595BC0">
        <w:t xml:space="preserve">an </w:t>
      </w:r>
      <w:r w:rsidR="000D261D" w:rsidRPr="003A1F64">
        <w:t xml:space="preserve">analysis to </w:t>
      </w:r>
      <w:r w:rsidR="008C255C">
        <w:t xml:space="preserve">see if it could </w:t>
      </w:r>
      <w:r w:rsidR="000D261D" w:rsidRPr="003A1F64">
        <w:t xml:space="preserve">estimate the </w:t>
      </w:r>
      <w:proofErr w:type="spellStart"/>
      <w:r w:rsidR="000D261D" w:rsidRPr="003A1F64">
        <w:t>AAWI</w:t>
      </w:r>
      <w:proofErr w:type="spellEnd"/>
      <w:r w:rsidR="000D261D" w:rsidRPr="003A1F64">
        <w:t xml:space="preserve"> for </w:t>
      </w:r>
      <w:r w:rsidR="00D03F99">
        <w:t>‘</w:t>
      </w:r>
      <w:r w:rsidR="000D261D" w:rsidRPr="003A1F64">
        <w:t>non-quantifiable</w:t>
      </w:r>
      <w:r w:rsidR="00D03F99">
        <w:t xml:space="preserve"> agreements’</w:t>
      </w:r>
      <w:r w:rsidR="00423822">
        <w:t xml:space="preserve"> </w:t>
      </w:r>
      <w:r w:rsidR="00520479">
        <w:t>to</w:t>
      </w:r>
      <w:r w:rsidR="00423822">
        <w:t xml:space="preserve"> be published as part of the quarterly </w:t>
      </w:r>
      <w:r w:rsidR="00423822" w:rsidRPr="007B025F">
        <w:rPr>
          <w:i/>
        </w:rPr>
        <w:t>T</w:t>
      </w:r>
      <w:r w:rsidR="00423822">
        <w:rPr>
          <w:i/>
        </w:rPr>
        <w:t xml:space="preserve">rends </w:t>
      </w:r>
      <w:r w:rsidR="00423822">
        <w:t>report</w:t>
      </w:r>
      <w:r w:rsidR="000D261D" w:rsidRPr="003A1F64">
        <w:t>.</w:t>
      </w:r>
      <w:r w:rsidR="00BB6557" w:rsidRPr="003A1F64">
        <w:t xml:space="preserve"> </w:t>
      </w:r>
    </w:p>
    <w:p w:rsidR="00BB6557" w:rsidRPr="003A1F64" w:rsidRDefault="00926B15" w:rsidP="00527F90">
      <w:pPr>
        <w:pStyle w:val="Heading1"/>
        <w:rPr>
          <w:rFonts w:eastAsia="Times New Roman"/>
        </w:rPr>
      </w:pPr>
      <w:r w:rsidRPr="003A1F64">
        <w:rPr>
          <w:rFonts w:eastAsia="Times New Roman"/>
        </w:rPr>
        <w:lastRenderedPageBreak/>
        <w:t>Reasons for non</w:t>
      </w:r>
      <w:r w:rsidR="00BB6557" w:rsidRPr="003A1F64">
        <w:rPr>
          <w:rFonts w:eastAsia="Times New Roman"/>
        </w:rPr>
        <w:t>-quantifiable agreements</w:t>
      </w:r>
    </w:p>
    <w:p w:rsidR="0027588F" w:rsidRPr="003A1F64" w:rsidRDefault="0027588F" w:rsidP="008C4106">
      <w:pPr>
        <w:pStyle w:val="Heading2"/>
        <w:rPr>
          <w:rFonts w:eastAsia="Times New Roman"/>
        </w:rPr>
      </w:pPr>
      <w:r w:rsidRPr="003A1F64">
        <w:rPr>
          <w:rFonts w:eastAsia="Times New Roman"/>
        </w:rPr>
        <w:t xml:space="preserve">Reasons agreements are </w:t>
      </w:r>
      <w:r w:rsidR="00423822">
        <w:rPr>
          <w:rFonts w:eastAsia="Times New Roman"/>
        </w:rPr>
        <w:t>‘</w:t>
      </w:r>
      <w:r w:rsidRPr="003A1F64">
        <w:rPr>
          <w:rFonts w:eastAsia="Times New Roman"/>
        </w:rPr>
        <w:t>non-quantifiable</w:t>
      </w:r>
      <w:r w:rsidR="00423822">
        <w:rPr>
          <w:rFonts w:eastAsia="Times New Roman"/>
        </w:rPr>
        <w:t>’</w:t>
      </w:r>
    </w:p>
    <w:p w:rsidR="00EA7845" w:rsidRPr="003A1F64" w:rsidRDefault="00EA7845" w:rsidP="00527F90">
      <w:pPr>
        <w:rPr>
          <w:rFonts w:eastAsia="Times New Roman"/>
        </w:rPr>
      </w:pPr>
      <w:r w:rsidRPr="003A1F64">
        <w:rPr>
          <w:rFonts w:eastAsia="Times New Roman"/>
        </w:rPr>
        <w:t xml:space="preserve">Broadly, the Department </w:t>
      </w:r>
      <w:r w:rsidR="00A12AB9">
        <w:rPr>
          <w:rFonts w:eastAsia="Times New Roman"/>
        </w:rPr>
        <w:t xml:space="preserve">determines </w:t>
      </w:r>
      <w:r w:rsidRPr="003A1F64">
        <w:rPr>
          <w:rFonts w:eastAsia="Times New Roman"/>
        </w:rPr>
        <w:t xml:space="preserve">an agreement </w:t>
      </w:r>
      <w:r w:rsidR="00A12AB9">
        <w:rPr>
          <w:rFonts w:eastAsia="Times New Roman"/>
        </w:rPr>
        <w:t xml:space="preserve">to </w:t>
      </w:r>
      <w:r w:rsidRPr="003A1F64">
        <w:rPr>
          <w:rFonts w:eastAsia="Times New Roman"/>
        </w:rPr>
        <w:t xml:space="preserve">be </w:t>
      </w:r>
      <w:r w:rsidR="00423822">
        <w:rPr>
          <w:rFonts w:eastAsia="Times New Roman"/>
        </w:rPr>
        <w:t>‘</w:t>
      </w:r>
      <w:r w:rsidRPr="003A1F64">
        <w:rPr>
          <w:rFonts w:eastAsia="Times New Roman"/>
        </w:rPr>
        <w:t>non-quantifiable</w:t>
      </w:r>
      <w:r w:rsidR="00423822">
        <w:rPr>
          <w:rFonts w:eastAsia="Times New Roman"/>
        </w:rPr>
        <w:t xml:space="preserve">’ </w:t>
      </w:r>
      <w:r w:rsidR="00A12AB9">
        <w:rPr>
          <w:rFonts w:eastAsia="Times New Roman"/>
        </w:rPr>
        <w:t>if</w:t>
      </w:r>
      <w:r w:rsidR="00827706" w:rsidRPr="003A1F64">
        <w:rPr>
          <w:rFonts w:eastAsia="Times New Roman"/>
        </w:rPr>
        <w:t>:</w:t>
      </w:r>
    </w:p>
    <w:p w:rsidR="00827706" w:rsidRPr="003A1F64" w:rsidRDefault="00827706" w:rsidP="00527F90">
      <w:pPr>
        <w:pStyle w:val="ListParagraph"/>
        <w:numPr>
          <w:ilvl w:val="0"/>
          <w:numId w:val="4"/>
        </w:numPr>
        <w:rPr>
          <w:rFonts w:eastAsia="Times New Roman"/>
        </w:rPr>
      </w:pPr>
      <w:r w:rsidRPr="003A1F64">
        <w:rPr>
          <w:rFonts w:eastAsia="Times New Roman"/>
        </w:rPr>
        <w:t>The agreement contains increases that are not consistent</w:t>
      </w:r>
      <w:r w:rsidR="00E01FE7">
        <w:rPr>
          <w:rFonts w:eastAsia="Times New Roman"/>
        </w:rPr>
        <w:t xml:space="preserve"> between groups of employees</w:t>
      </w:r>
      <w:r w:rsidRPr="003A1F64">
        <w:rPr>
          <w:rFonts w:eastAsia="Times New Roman"/>
        </w:rPr>
        <w:t>;</w:t>
      </w:r>
      <w:r w:rsidR="00A12AB9">
        <w:rPr>
          <w:rFonts w:eastAsia="Times New Roman"/>
        </w:rPr>
        <w:t xml:space="preserve"> or</w:t>
      </w:r>
    </w:p>
    <w:p w:rsidR="00827706" w:rsidRPr="003A1F64" w:rsidRDefault="00827706" w:rsidP="00527F90">
      <w:pPr>
        <w:pStyle w:val="ListParagraph"/>
        <w:numPr>
          <w:ilvl w:val="0"/>
          <w:numId w:val="4"/>
        </w:numPr>
        <w:rPr>
          <w:rFonts w:eastAsia="Times New Roman"/>
        </w:rPr>
      </w:pPr>
      <w:r w:rsidRPr="003A1F64">
        <w:rPr>
          <w:rFonts w:eastAsia="Times New Roman"/>
        </w:rPr>
        <w:t>The agreement contains increases that are linked to performance;</w:t>
      </w:r>
      <w:r w:rsidR="00A12AB9">
        <w:rPr>
          <w:rFonts w:eastAsia="Times New Roman"/>
        </w:rPr>
        <w:t xml:space="preserve"> or</w:t>
      </w:r>
    </w:p>
    <w:p w:rsidR="00827706" w:rsidRPr="003A1F64" w:rsidRDefault="00827706" w:rsidP="00527F90">
      <w:pPr>
        <w:pStyle w:val="ListParagraph"/>
        <w:numPr>
          <w:ilvl w:val="0"/>
          <w:numId w:val="4"/>
        </w:numPr>
        <w:rPr>
          <w:rFonts w:eastAsia="Times New Roman"/>
        </w:rPr>
      </w:pPr>
      <w:r w:rsidRPr="003A1F64">
        <w:rPr>
          <w:rFonts w:eastAsia="Times New Roman"/>
        </w:rPr>
        <w:t>The agreement contains increases that are linked to the Fair Work Commission’s (</w:t>
      </w:r>
      <w:proofErr w:type="spellStart"/>
      <w:r w:rsidRPr="003A1F64">
        <w:rPr>
          <w:rFonts w:eastAsia="Times New Roman"/>
        </w:rPr>
        <w:t>FWC</w:t>
      </w:r>
      <w:proofErr w:type="spellEnd"/>
      <w:r w:rsidRPr="003A1F64">
        <w:rPr>
          <w:rFonts w:eastAsia="Times New Roman"/>
        </w:rPr>
        <w:t>) Annual Wage Review (</w:t>
      </w:r>
      <w:proofErr w:type="spellStart"/>
      <w:r w:rsidRPr="003A1F64">
        <w:rPr>
          <w:rFonts w:eastAsia="Times New Roman"/>
        </w:rPr>
        <w:t>AWR</w:t>
      </w:r>
      <w:proofErr w:type="spellEnd"/>
      <w:r w:rsidRPr="003A1F64">
        <w:rPr>
          <w:rFonts w:eastAsia="Times New Roman"/>
        </w:rPr>
        <w:t>);</w:t>
      </w:r>
      <w:r w:rsidR="00A12AB9">
        <w:rPr>
          <w:rFonts w:eastAsia="Times New Roman"/>
        </w:rPr>
        <w:t xml:space="preserve"> or</w:t>
      </w:r>
    </w:p>
    <w:p w:rsidR="00827706" w:rsidRPr="003A1F64" w:rsidRDefault="00827706" w:rsidP="00527F90">
      <w:pPr>
        <w:pStyle w:val="ListParagraph"/>
        <w:numPr>
          <w:ilvl w:val="0"/>
          <w:numId w:val="4"/>
        </w:numPr>
        <w:rPr>
          <w:rFonts w:eastAsia="Times New Roman"/>
        </w:rPr>
      </w:pPr>
      <w:r w:rsidRPr="003A1F64">
        <w:rPr>
          <w:rFonts w:eastAsia="Times New Roman"/>
        </w:rPr>
        <w:t xml:space="preserve">The agreement contains increases that are linked to the Consumer Price Index (CPI); </w:t>
      </w:r>
      <w:r w:rsidR="00A12AB9">
        <w:rPr>
          <w:rFonts w:eastAsia="Times New Roman"/>
        </w:rPr>
        <w:t>or</w:t>
      </w:r>
    </w:p>
    <w:p w:rsidR="00827706" w:rsidRPr="003A1F64" w:rsidRDefault="00827706" w:rsidP="00527F90">
      <w:pPr>
        <w:pStyle w:val="ListParagraph"/>
        <w:numPr>
          <w:ilvl w:val="0"/>
          <w:numId w:val="4"/>
        </w:numPr>
        <w:rPr>
          <w:rFonts w:eastAsia="Times New Roman"/>
        </w:rPr>
      </w:pPr>
      <w:r w:rsidRPr="003A1F64">
        <w:rPr>
          <w:rFonts w:eastAsia="Times New Roman"/>
        </w:rPr>
        <w:t xml:space="preserve">The agreement contains increases that are non-quantifiable for </w:t>
      </w:r>
      <w:r w:rsidR="00A12AB9">
        <w:rPr>
          <w:rFonts w:eastAsia="Times New Roman"/>
        </w:rPr>
        <w:t xml:space="preserve">any </w:t>
      </w:r>
      <w:r w:rsidRPr="003A1F64">
        <w:rPr>
          <w:rFonts w:eastAsia="Times New Roman"/>
        </w:rPr>
        <w:t>other reason.</w:t>
      </w:r>
    </w:p>
    <w:p w:rsidR="00E7056F" w:rsidRPr="003A1F64" w:rsidRDefault="00603815" w:rsidP="00527F90">
      <w:pPr>
        <w:pStyle w:val="Quote"/>
        <w:tabs>
          <w:tab w:val="left" w:pos="6915"/>
        </w:tabs>
        <w:rPr>
          <w:rFonts w:eastAsia="Times New Roman"/>
          <w:i w:val="0"/>
          <w:iCs w:val="0"/>
          <w:color w:val="auto"/>
        </w:rPr>
      </w:pPr>
      <w:r w:rsidRPr="003A1F64">
        <w:rPr>
          <w:rFonts w:eastAsia="Times New Roman"/>
          <w:i w:val="0"/>
          <w:iCs w:val="0"/>
          <w:color w:val="auto"/>
        </w:rPr>
        <w:t>The charts below show the breakdown of agreements</w:t>
      </w:r>
      <w:r w:rsidR="00520479">
        <w:rPr>
          <w:rFonts w:eastAsia="Times New Roman"/>
          <w:i w:val="0"/>
          <w:iCs w:val="0"/>
          <w:color w:val="auto"/>
        </w:rPr>
        <w:t xml:space="preserve"> that</w:t>
      </w:r>
      <w:r w:rsidRPr="003A1F64">
        <w:rPr>
          <w:rFonts w:eastAsia="Times New Roman"/>
          <w:i w:val="0"/>
          <w:iCs w:val="0"/>
          <w:color w:val="auto"/>
        </w:rPr>
        <w:t xml:space="preserve"> are non-quantifiable by number of current agreements and number of employees employed under </w:t>
      </w:r>
      <w:r w:rsidR="00A12AB9">
        <w:rPr>
          <w:rFonts w:eastAsia="Times New Roman"/>
          <w:i w:val="0"/>
          <w:iCs w:val="0"/>
          <w:color w:val="auto"/>
        </w:rPr>
        <w:t>them</w:t>
      </w:r>
      <w:r w:rsidRPr="003A1F64">
        <w:rPr>
          <w:rFonts w:eastAsia="Times New Roman"/>
          <w:i w:val="0"/>
          <w:iCs w:val="0"/>
          <w:color w:val="auto"/>
        </w:rPr>
        <w:t xml:space="preserve">. </w:t>
      </w:r>
    </w:p>
    <w:p w:rsidR="006C1CF5" w:rsidRDefault="00E7056F" w:rsidP="00B5480C">
      <w:pPr>
        <w:pStyle w:val="Caption"/>
        <w:rPr>
          <w:i/>
          <w:iCs/>
          <w:vertAlign w:val="superscript"/>
        </w:rPr>
      </w:pPr>
      <w:r w:rsidRPr="003A1F64">
        <w:t>Reason for being non-</w:t>
      </w:r>
      <w:r w:rsidRPr="00B5480C">
        <w:t>quantifiable</w:t>
      </w:r>
      <w:r w:rsidRPr="003A1F64">
        <w:t xml:space="preserve"> by current agreements – as at </w:t>
      </w:r>
      <w:r w:rsidR="00A12AB9">
        <w:t xml:space="preserve">31 </w:t>
      </w:r>
      <w:r w:rsidRPr="003A1F64">
        <w:t>December 2015</w:t>
      </w:r>
      <w:r w:rsidR="00100928">
        <w:rPr>
          <w:vertAlign w:val="superscript"/>
        </w:rPr>
        <w:t>1</w:t>
      </w:r>
    </w:p>
    <w:p w:rsidR="00E7056F" w:rsidRPr="000C20EF" w:rsidRDefault="006C1CF5" w:rsidP="000C20EF">
      <w:pPr>
        <w:spacing w:after="0"/>
        <w:rPr>
          <w:sz w:val="16"/>
          <w:szCs w:val="16"/>
        </w:rPr>
      </w:pPr>
      <w:r>
        <w:rPr>
          <w:noProof/>
          <w:lang w:eastAsia="en-AU"/>
        </w:rPr>
        <w:drawing>
          <wp:inline distT="0" distB="0" distL="0" distR="0" wp14:anchorId="2E0B1B6A" wp14:editId="7B276BB9">
            <wp:extent cx="5852795" cy="2901950"/>
            <wp:effectExtent l="0" t="0" r="0" b="0"/>
            <wp:docPr id="2" name="Picture 2" descr="Among the non-quantifiable agreements current as at 31 December 2015, 14 per cent have inconsistent wage increases between groups of employees; 2 per cent contain performance linked wage increases; 26 per cent contains increases linked to the Fair Work Commission's Annual Wage Review; 9 per cent provide CPI linked wage increases and 49 per cent contain increases that are non-quantifiable for any other rea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795" cy="2901950"/>
                    </a:xfrm>
                    <a:prstGeom prst="rect">
                      <a:avLst/>
                    </a:prstGeom>
                    <a:noFill/>
                  </pic:spPr>
                </pic:pic>
              </a:graphicData>
            </a:graphic>
          </wp:inline>
        </w:drawing>
      </w:r>
      <w:r w:rsidR="00E7056F" w:rsidRPr="007B025F">
        <w:rPr>
          <w:sz w:val="16"/>
          <w:szCs w:val="16"/>
        </w:rPr>
        <w:t>Source: Department of Employment, Workplace Agreement Database</w:t>
      </w:r>
      <w:r w:rsidR="00E7056F" w:rsidRPr="000C20EF">
        <w:rPr>
          <w:i/>
          <w:iCs/>
          <w:sz w:val="16"/>
          <w:szCs w:val="16"/>
        </w:rPr>
        <w:t xml:space="preserve"> </w:t>
      </w:r>
    </w:p>
    <w:p w:rsidR="000C20EF" w:rsidRPr="00285DB3" w:rsidRDefault="000C20EF" w:rsidP="000C20EF">
      <w:pPr>
        <w:pStyle w:val="ListParagraph"/>
        <w:numPr>
          <w:ilvl w:val="0"/>
          <w:numId w:val="9"/>
        </w:numPr>
        <w:rPr>
          <w:sz w:val="16"/>
          <w:szCs w:val="16"/>
        </w:rPr>
      </w:pPr>
      <w:r>
        <w:rPr>
          <w:sz w:val="16"/>
          <w:szCs w:val="16"/>
        </w:rPr>
        <w:t>Percentages rounded</w:t>
      </w:r>
    </w:p>
    <w:p w:rsidR="00ED72B6" w:rsidRDefault="00E7056F" w:rsidP="00B5480C">
      <w:pPr>
        <w:pStyle w:val="Caption"/>
        <w:rPr>
          <w:noProof/>
          <w:vertAlign w:val="superscript"/>
          <w:lang w:eastAsia="en-AU"/>
        </w:rPr>
      </w:pPr>
      <w:r w:rsidRPr="003A1F64">
        <w:lastRenderedPageBreak/>
        <w:t xml:space="preserve">Reason for being non-quantifiable by current </w:t>
      </w:r>
      <w:r w:rsidR="00603815" w:rsidRPr="003A1F64">
        <w:t>employees</w:t>
      </w:r>
      <w:r w:rsidRPr="003A1F64">
        <w:t xml:space="preserve"> – as at </w:t>
      </w:r>
      <w:r w:rsidR="00A12AB9">
        <w:t xml:space="preserve">31 </w:t>
      </w:r>
      <w:r w:rsidRPr="003A1F64">
        <w:t>December 2015</w:t>
      </w:r>
      <w:r w:rsidR="00100928">
        <w:rPr>
          <w:noProof/>
          <w:vertAlign w:val="superscript"/>
          <w:lang w:eastAsia="en-AU"/>
        </w:rPr>
        <w:t>1</w:t>
      </w:r>
    </w:p>
    <w:p w:rsidR="00ED72B6" w:rsidRDefault="00ED72B6" w:rsidP="00912D32">
      <w:pPr>
        <w:spacing w:after="0"/>
        <w:rPr>
          <w:noProof/>
          <w:vertAlign w:val="superscript"/>
          <w:lang w:eastAsia="en-AU"/>
        </w:rPr>
      </w:pPr>
      <w:r>
        <w:rPr>
          <w:noProof/>
          <w:vertAlign w:val="superscript"/>
          <w:lang w:eastAsia="en-AU"/>
        </w:rPr>
        <w:drawing>
          <wp:inline distT="0" distB="0" distL="0" distR="0" wp14:anchorId="7BE2BE9A">
            <wp:extent cx="5852795" cy="2926080"/>
            <wp:effectExtent l="0" t="0" r="0" b="7620"/>
            <wp:docPr id="3" name="Picture 3" descr="Among all the employees covered by the non-quantifiable agreements current as at 31 December 2015, 51 per cent were covered by the agreements providing inconsistent wage increases for different groups of employees; 13 per cent were covered by the agreements providing performance linked wage increases; 9 per cent were covered by the agreements providing wage increases according to the Annual Wage Review decision; 3 per cent were covered by the agreements providing CPI linked increases and 24 per cent were covered by the agreements non-quantifiable for other rea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795" cy="2926080"/>
                    </a:xfrm>
                    <a:prstGeom prst="rect">
                      <a:avLst/>
                    </a:prstGeom>
                    <a:noFill/>
                  </pic:spPr>
                </pic:pic>
              </a:graphicData>
            </a:graphic>
          </wp:inline>
        </w:drawing>
      </w:r>
    </w:p>
    <w:p w:rsidR="00E7056F" w:rsidRDefault="00E7056F" w:rsidP="00912D32">
      <w:pPr>
        <w:spacing w:after="0"/>
        <w:rPr>
          <w:rStyle w:val="SubtleEmphasis"/>
          <w:i w:val="0"/>
          <w:iCs w:val="0"/>
        </w:rPr>
      </w:pPr>
      <w:r w:rsidRPr="007B025F">
        <w:rPr>
          <w:sz w:val="16"/>
          <w:szCs w:val="16"/>
        </w:rPr>
        <w:t xml:space="preserve"> </w:t>
      </w:r>
      <w:r w:rsidRPr="007B025F">
        <w:rPr>
          <w:i/>
          <w:sz w:val="16"/>
          <w:szCs w:val="16"/>
        </w:rPr>
        <w:t xml:space="preserve">Source: Department of Employment, Workplace Agreement Database </w:t>
      </w:r>
    </w:p>
    <w:p w:rsidR="00100928" w:rsidRPr="00285DB3" w:rsidRDefault="00100928" w:rsidP="000C20EF">
      <w:pPr>
        <w:pStyle w:val="ListParagraph"/>
        <w:numPr>
          <w:ilvl w:val="0"/>
          <w:numId w:val="12"/>
        </w:numPr>
        <w:rPr>
          <w:sz w:val="16"/>
          <w:szCs w:val="16"/>
        </w:rPr>
      </w:pPr>
      <w:r>
        <w:rPr>
          <w:sz w:val="16"/>
          <w:szCs w:val="16"/>
        </w:rPr>
        <w:t>Percentages rounded</w:t>
      </w:r>
    </w:p>
    <w:p w:rsidR="00BB6557" w:rsidRPr="003A1F64" w:rsidRDefault="00F4365F" w:rsidP="00B5480C">
      <w:pPr>
        <w:pStyle w:val="Heading3"/>
      </w:pPr>
      <w:r w:rsidRPr="003A1F64">
        <w:t xml:space="preserve">Wage increases </w:t>
      </w:r>
      <w:r w:rsidR="00BB6557" w:rsidRPr="003A1F64">
        <w:t xml:space="preserve">are not consistent </w:t>
      </w:r>
      <w:r w:rsidRPr="003A1F64">
        <w:t>across employees</w:t>
      </w:r>
    </w:p>
    <w:p w:rsidR="00BB6557" w:rsidRPr="003A1F64" w:rsidRDefault="00BB6557" w:rsidP="00527F90">
      <w:pPr>
        <w:rPr>
          <w:rFonts w:eastAsia="Times New Roman"/>
        </w:rPr>
      </w:pPr>
      <w:r w:rsidRPr="003A1F64">
        <w:rPr>
          <w:rFonts w:eastAsia="Times New Roman"/>
        </w:rPr>
        <w:t>Some agreements</w:t>
      </w:r>
      <w:r w:rsidR="00C475EF" w:rsidRPr="003A1F64">
        <w:rPr>
          <w:rFonts w:eastAsia="Times New Roman"/>
        </w:rPr>
        <w:t xml:space="preserve"> contain</w:t>
      </w:r>
      <w:r w:rsidRPr="003A1F64">
        <w:rPr>
          <w:rFonts w:eastAsia="Times New Roman"/>
        </w:rPr>
        <w:t xml:space="preserve"> multiple classification</w:t>
      </w:r>
      <w:r w:rsidR="00100928">
        <w:rPr>
          <w:rFonts w:eastAsia="Times New Roman"/>
        </w:rPr>
        <w:t xml:space="preserve"> group</w:t>
      </w:r>
      <w:r w:rsidRPr="003A1F64">
        <w:rPr>
          <w:rFonts w:eastAsia="Times New Roman"/>
        </w:rPr>
        <w:t>s</w:t>
      </w:r>
      <w:r w:rsidR="00C475EF" w:rsidRPr="003A1F64">
        <w:rPr>
          <w:rFonts w:eastAsia="Times New Roman"/>
        </w:rPr>
        <w:t xml:space="preserve"> or employee type</w:t>
      </w:r>
      <w:r w:rsidR="00100928">
        <w:rPr>
          <w:rFonts w:eastAsia="Times New Roman"/>
        </w:rPr>
        <w:t>s</w:t>
      </w:r>
      <w:r w:rsidRPr="003A1F64">
        <w:rPr>
          <w:rFonts w:eastAsia="Times New Roman"/>
        </w:rPr>
        <w:t xml:space="preserve"> that receive different sized </w:t>
      </w:r>
      <w:r w:rsidR="00C475EF" w:rsidRPr="003A1F64">
        <w:rPr>
          <w:rFonts w:eastAsia="Times New Roman"/>
        </w:rPr>
        <w:t xml:space="preserve">wage </w:t>
      </w:r>
      <w:r w:rsidRPr="003A1F64">
        <w:rPr>
          <w:rFonts w:eastAsia="Times New Roman"/>
        </w:rPr>
        <w:t>increases. This makes it impossible to determine an agreement-wide wage increase</w:t>
      </w:r>
      <w:r w:rsidR="000E2F1F" w:rsidRPr="003A1F64">
        <w:rPr>
          <w:rFonts w:eastAsia="Times New Roman"/>
        </w:rPr>
        <w:t xml:space="preserve">, because the number </w:t>
      </w:r>
      <w:r w:rsidR="00060D1F" w:rsidRPr="003A1F64">
        <w:rPr>
          <w:rFonts w:eastAsia="Times New Roman"/>
        </w:rPr>
        <w:t>of employees</w:t>
      </w:r>
      <w:r w:rsidR="000E2F1F" w:rsidRPr="003A1F64">
        <w:rPr>
          <w:rFonts w:eastAsia="Times New Roman"/>
        </w:rPr>
        <w:t xml:space="preserve"> in each cohort</w:t>
      </w:r>
      <w:r w:rsidR="00F4365F" w:rsidRPr="003A1F64">
        <w:rPr>
          <w:rFonts w:eastAsia="Times New Roman"/>
        </w:rPr>
        <w:t xml:space="preserve"> is not specified in an agreement</w:t>
      </w:r>
      <w:r w:rsidR="000E2F1F" w:rsidRPr="003A1F64">
        <w:rPr>
          <w:rFonts w:eastAsia="Times New Roman"/>
        </w:rPr>
        <w:t xml:space="preserve">. Unless additional information is available to the </w:t>
      </w:r>
      <w:r w:rsidR="00EB23C8">
        <w:rPr>
          <w:rFonts w:eastAsia="Times New Roman"/>
        </w:rPr>
        <w:t>D</w:t>
      </w:r>
      <w:r w:rsidR="000E2F1F" w:rsidRPr="003A1F64">
        <w:rPr>
          <w:rFonts w:eastAsia="Times New Roman"/>
        </w:rPr>
        <w:t xml:space="preserve">epartment, for example </w:t>
      </w:r>
      <w:r w:rsidR="00100928">
        <w:rPr>
          <w:rFonts w:eastAsia="Times New Roman"/>
        </w:rPr>
        <w:t xml:space="preserve">the different levels of </w:t>
      </w:r>
      <w:r w:rsidR="000E2F1F" w:rsidRPr="003A1F64">
        <w:rPr>
          <w:rFonts w:eastAsia="Times New Roman"/>
        </w:rPr>
        <w:t xml:space="preserve">wage increase </w:t>
      </w:r>
      <w:r w:rsidR="00100928">
        <w:rPr>
          <w:rFonts w:eastAsia="Times New Roman"/>
        </w:rPr>
        <w:t xml:space="preserve">are </w:t>
      </w:r>
      <w:r w:rsidR="000E2F1F" w:rsidRPr="003A1F64">
        <w:rPr>
          <w:rFonts w:eastAsia="Times New Roman"/>
        </w:rPr>
        <w:t>funded fr</w:t>
      </w:r>
      <w:r w:rsidR="00100928">
        <w:rPr>
          <w:rFonts w:eastAsia="Times New Roman"/>
        </w:rPr>
        <w:t>o</w:t>
      </w:r>
      <w:r w:rsidR="000E2F1F" w:rsidRPr="003A1F64">
        <w:rPr>
          <w:rFonts w:eastAsia="Times New Roman"/>
        </w:rPr>
        <w:t xml:space="preserve">m a guaranteed </w:t>
      </w:r>
      <w:r w:rsidR="00100928">
        <w:rPr>
          <w:rFonts w:eastAsia="Times New Roman"/>
        </w:rPr>
        <w:t xml:space="preserve">and quantified </w:t>
      </w:r>
      <w:r w:rsidR="000E2F1F" w:rsidRPr="003A1F64">
        <w:rPr>
          <w:rFonts w:eastAsia="Times New Roman"/>
        </w:rPr>
        <w:t>wage pool</w:t>
      </w:r>
      <w:r w:rsidR="00F4365F" w:rsidRPr="003A1F64">
        <w:rPr>
          <w:rFonts w:eastAsia="Times New Roman"/>
        </w:rPr>
        <w:t xml:space="preserve"> </w:t>
      </w:r>
      <w:r w:rsidR="00100928">
        <w:rPr>
          <w:rFonts w:eastAsia="Times New Roman"/>
        </w:rPr>
        <w:t>or</w:t>
      </w:r>
      <w:r w:rsidR="00100928" w:rsidRPr="003A1F64">
        <w:rPr>
          <w:rFonts w:eastAsia="Times New Roman"/>
        </w:rPr>
        <w:t xml:space="preserve"> </w:t>
      </w:r>
      <w:r w:rsidR="000E2F1F" w:rsidRPr="003A1F64">
        <w:rPr>
          <w:rFonts w:eastAsia="Times New Roman"/>
        </w:rPr>
        <w:t xml:space="preserve">the </w:t>
      </w:r>
      <w:r w:rsidR="00100928">
        <w:rPr>
          <w:rFonts w:eastAsia="Times New Roman"/>
        </w:rPr>
        <w:t xml:space="preserve">agreement </w:t>
      </w:r>
      <w:r w:rsidR="007B025F">
        <w:rPr>
          <w:rFonts w:eastAsia="Times New Roman"/>
        </w:rPr>
        <w:t xml:space="preserve">averages </w:t>
      </w:r>
      <w:r w:rsidR="007B025F" w:rsidRPr="003A1F64">
        <w:rPr>
          <w:rFonts w:eastAsia="Times New Roman"/>
        </w:rPr>
        <w:t>the</w:t>
      </w:r>
      <w:r w:rsidR="00100928">
        <w:rPr>
          <w:rFonts w:eastAsia="Times New Roman"/>
        </w:rPr>
        <w:t xml:space="preserve"> </w:t>
      </w:r>
      <w:r w:rsidR="000E2F1F" w:rsidRPr="003A1F64">
        <w:rPr>
          <w:rFonts w:eastAsia="Times New Roman"/>
        </w:rPr>
        <w:t>total wage increases across all employees</w:t>
      </w:r>
      <w:r w:rsidR="002E6518" w:rsidRPr="003A1F64">
        <w:rPr>
          <w:rFonts w:eastAsia="Times New Roman"/>
        </w:rPr>
        <w:t>,</w:t>
      </w:r>
      <w:r w:rsidR="000E2F1F" w:rsidRPr="003A1F64">
        <w:rPr>
          <w:rFonts w:eastAsia="Times New Roman"/>
        </w:rPr>
        <w:t xml:space="preserve"> </w:t>
      </w:r>
      <w:r w:rsidR="00E7056F" w:rsidRPr="003A1F64">
        <w:rPr>
          <w:rFonts w:eastAsia="Times New Roman"/>
        </w:rPr>
        <w:t>these agreements are considered non-quantifiable.</w:t>
      </w:r>
    </w:p>
    <w:p w:rsidR="00BB6557" w:rsidRPr="003A1F64" w:rsidRDefault="00BB6557" w:rsidP="00527F90">
      <w:pPr>
        <w:rPr>
          <w:rFonts w:eastAsia="Times New Roman"/>
        </w:rPr>
      </w:pPr>
      <w:r w:rsidRPr="003A1F64">
        <w:rPr>
          <w:rFonts w:eastAsia="Times New Roman"/>
        </w:rPr>
        <w:t xml:space="preserve">As at </w:t>
      </w:r>
      <w:r w:rsidR="00100928">
        <w:rPr>
          <w:rFonts w:eastAsia="Times New Roman"/>
        </w:rPr>
        <w:t xml:space="preserve">31 </w:t>
      </w:r>
      <w:r w:rsidR="007B025F">
        <w:rPr>
          <w:rFonts w:eastAsia="Times New Roman"/>
        </w:rPr>
        <w:t>December</w:t>
      </w:r>
      <w:r w:rsidRPr="003A1F64">
        <w:rPr>
          <w:rFonts w:eastAsia="Times New Roman"/>
        </w:rPr>
        <w:t xml:space="preserve"> 2015</w:t>
      </w:r>
      <w:r w:rsidR="002E6518" w:rsidRPr="003A1F64">
        <w:rPr>
          <w:rFonts w:eastAsia="Times New Roman"/>
        </w:rPr>
        <w:t>,</w:t>
      </w:r>
      <w:r w:rsidRPr="003A1F64">
        <w:rPr>
          <w:rFonts w:eastAsia="Times New Roman"/>
        </w:rPr>
        <w:t xml:space="preserve"> 51.2 per cent of employees covered by </w:t>
      </w:r>
      <w:r w:rsidR="00827706" w:rsidRPr="003A1F64">
        <w:rPr>
          <w:rFonts w:eastAsia="Times New Roman"/>
        </w:rPr>
        <w:t xml:space="preserve">current </w:t>
      </w:r>
      <w:r w:rsidRPr="003A1F64">
        <w:rPr>
          <w:rFonts w:eastAsia="Times New Roman"/>
        </w:rPr>
        <w:t xml:space="preserve">non-quantifiable agreements had inconsistent wage increases. </w:t>
      </w:r>
      <w:r w:rsidR="00827706" w:rsidRPr="003A1F64">
        <w:rPr>
          <w:rFonts w:eastAsia="Times New Roman"/>
        </w:rPr>
        <w:t>This represent</w:t>
      </w:r>
      <w:r w:rsidR="00B45A99">
        <w:rPr>
          <w:rFonts w:eastAsia="Times New Roman"/>
        </w:rPr>
        <w:t>ed</w:t>
      </w:r>
      <w:r w:rsidR="00827706" w:rsidRPr="003A1F64">
        <w:rPr>
          <w:rFonts w:eastAsia="Times New Roman"/>
        </w:rPr>
        <w:t xml:space="preserve"> 14.5 per cent of </w:t>
      </w:r>
      <w:r w:rsidR="00B45A99">
        <w:rPr>
          <w:rFonts w:eastAsia="Times New Roman"/>
        </w:rPr>
        <w:t xml:space="preserve">all </w:t>
      </w:r>
      <w:r w:rsidR="00827706" w:rsidRPr="003A1F64">
        <w:rPr>
          <w:rFonts w:eastAsia="Times New Roman"/>
        </w:rPr>
        <w:t>current agreements</w:t>
      </w:r>
      <w:r w:rsidR="00B45A99">
        <w:rPr>
          <w:rFonts w:eastAsia="Times New Roman"/>
        </w:rPr>
        <w:t xml:space="preserve"> at that time</w:t>
      </w:r>
      <w:r w:rsidR="00827706" w:rsidRPr="003A1F64">
        <w:rPr>
          <w:rFonts w:eastAsia="Times New Roman"/>
        </w:rPr>
        <w:t>.</w:t>
      </w:r>
    </w:p>
    <w:p w:rsidR="00BB6557" w:rsidRPr="003A1F64" w:rsidRDefault="00BB6557" w:rsidP="00527F90">
      <w:pPr>
        <w:rPr>
          <w:rFonts w:eastAsia="Times New Roman"/>
        </w:rPr>
      </w:pPr>
      <w:r w:rsidRPr="003A1F64">
        <w:rPr>
          <w:rFonts w:eastAsia="Times New Roman"/>
        </w:rPr>
        <w:t xml:space="preserve">This category includes </w:t>
      </w:r>
      <w:r w:rsidR="00847A54" w:rsidRPr="003A1F64">
        <w:rPr>
          <w:rFonts w:eastAsia="Times New Roman"/>
        </w:rPr>
        <w:t xml:space="preserve">proportionally more </w:t>
      </w:r>
      <w:r w:rsidRPr="003A1F64">
        <w:rPr>
          <w:rFonts w:eastAsia="Times New Roman"/>
        </w:rPr>
        <w:t>large or very large agreements</w:t>
      </w:r>
      <w:r w:rsidR="005E2475" w:rsidRPr="003A1F64">
        <w:rPr>
          <w:rFonts w:eastAsia="Times New Roman"/>
        </w:rPr>
        <w:t xml:space="preserve"> because they</w:t>
      </w:r>
      <w:r w:rsidR="0023555E" w:rsidRPr="003A1F64">
        <w:rPr>
          <w:rFonts w:eastAsia="Times New Roman"/>
        </w:rPr>
        <w:t xml:space="preserve"> are more likely to </w:t>
      </w:r>
      <w:r w:rsidR="00B45A99">
        <w:rPr>
          <w:rFonts w:eastAsia="Times New Roman"/>
        </w:rPr>
        <w:t>cover</w:t>
      </w:r>
      <w:r w:rsidR="00B45A99" w:rsidRPr="003A1F64">
        <w:rPr>
          <w:rFonts w:eastAsia="Times New Roman"/>
        </w:rPr>
        <w:t xml:space="preserve"> </w:t>
      </w:r>
      <w:r w:rsidRPr="003A1F64">
        <w:rPr>
          <w:rFonts w:eastAsia="Times New Roman"/>
        </w:rPr>
        <w:t>diversified workforces</w:t>
      </w:r>
      <w:r w:rsidR="00BC6B2C" w:rsidRPr="003A1F64">
        <w:rPr>
          <w:rFonts w:eastAsia="Times New Roman"/>
        </w:rPr>
        <w:t xml:space="preserve"> containing</w:t>
      </w:r>
      <w:r w:rsidRPr="003A1F64">
        <w:rPr>
          <w:rFonts w:eastAsia="Times New Roman"/>
        </w:rPr>
        <w:t xml:space="preserve"> several different categories of workers</w:t>
      </w:r>
      <w:r w:rsidR="0023555E" w:rsidRPr="003A1F64">
        <w:rPr>
          <w:rFonts w:eastAsia="Times New Roman"/>
        </w:rPr>
        <w:t xml:space="preserve"> performing</w:t>
      </w:r>
      <w:r w:rsidR="00BC6B2C" w:rsidRPr="003A1F64">
        <w:rPr>
          <w:rFonts w:eastAsia="Times New Roman"/>
        </w:rPr>
        <w:t xml:space="preserve"> </w:t>
      </w:r>
      <w:r w:rsidR="0023555E" w:rsidRPr="003A1F64">
        <w:rPr>
          <w:rFonts w:eastAsia="Times New Roman"/>
        </w:rPr>
        <w:t>different functions</w:t>
      </w:r>
      <w:r w:rsidR="00BC6B2C" w:rsidRPr="003A1F64">
        <w:rPr>
          <w:rFonts w:eastAsia="Times New Roman"/>
        </w:rPr>
        <w:t>, all</w:t>
      </w:r>
      <w:r w:rsidRPr="003A1F64">
        <w:rPr>
          <w:rFonts w:eastAsia="Times New Roman"/>
        </w:rPr>
        <w:t xml:space="preserve"> covered by a single agreement. </w:t>
      </w:r>
    </w:p>
    <w:p w:rsidR="00BB6557" w:rsidRPr="003A1F64" w:rsidRDefault="00BB6557" w:rsidP="00B5480C">
      <w:pPr>
        <w:pStyle w:val="Heading3"/>
      </w:pPr>
      <w:r w:rsidRPr="003A1F64">
        <w:t>Increases are performance linked</w:t>
      </w:r>
    </w:p>
    <w:p w:rsidR="00BB6557" w:rsidRPr="003A1F64" w:rsidRDefault="00827706" w:rsidP="00527F90">
      <w:pPr>
        <w:rPr>
          <w:rFonts w:eastAsia="Times New Roman"/>
        </w:rPr>
      </w:pPr>
      <w:r w:rsidRPr="003A1F64">
        <w:rPr>
          <w:rFonts w:eastAsia="Times New Roman"/>
        </w:rPr>
        <w:t>Where</w:t>
      </w:r>
      <w:r w:rsidR="00BB6557" w:rsidRPr="003A1F64">
        <w:rPr>
          <w:rFonts w:eastAsia="Times New Roman"/>
        </w:rPr>
        <w:t xml:space="preserve"> pay increases are linked to staff performance</w:t>
      </w:r>
      <w:r w:rsidR="00BC6B2C" w:rsidRPr="003A1F64">
        <w:rPr>
          <w:rFonts w:eastAsia="Times New Roman"/>
        </w:rPr>
        <w:t>,</w:t>
      </w:r>
      <w:r w:rsidR="00B52672" w:rsidRPr="003A1F64">
        <w:rPr>
          <w:rFonts w:eastAsia="Times New Roman"/>
        </w:rPr>
        <w:t xml:space="preserve"> the </w:t>
      </w:r>
      <w:proofErr w:type="spellStart"/>
      <w:r w:rsidR="00B52672" w:rsidRPr="003A1F64">
        <w:rPr>
          <w:rFonts w:eastAsia="Times New Roman"/>
        </w:rPr>
        <w:t>AAWI</w:t>
      </w:r>
      <w:proofErr w:type="spellEnd"/>
      <w:r w:rsidR="00B52672" w:rsidRPr="003A1F64">
        <w:rPr>
          <w:rFonts w:eastAsia="Times New Roman"/>
        </w:rPr>
        <w:t xml:space="preserve"> for these agreements cannot be calculated unless the agreement notes that pay increases will be funded from a guaranteed </w:t>
      </w:r>
      <w:r w:rsidR="00B45A99">
        <w:rPr>
          <w:rFonts w:eastAsia="Times New Roman"/>
        </w:rPr>
        <w:t xml:space="preserve">remuneration </w:t>
      </w:r>
      <w:r w:rsidR="00B52672" w:rsidRPr="003A1F64">
        <w:rPr>
          <w:rFonts w:eastAsia="Times New Roman"/>
        </w:rPr>
        <w:t>pool, and the size of that pool is known.</w:t>
      </w:r>
    </w:p>
    <w:p w:rsidR="00BB6557" w:rsidRPr="003A1F64" w:rsidRDefault="00BB6557" w:rsidP="00527F90">
      <w:pPr>
        <w:rPr>
          <w:rFonts w:eastAsia="Times New Roman"/>
        </w:rPr>
      </w:pPr>
      <w:r w:rsidRPr="003A1F64">
        <w:rPr>
          <w:rFonts w:eastAsia="Times New Roman"/>
        </w:rPr>
        <w:t xml:space="preserve">As at </w:t>
      </w:r>
      <w:r w:rsidR="00B45A99">
        <w:rPr>
          <w:rFonts w:eastAsia="Times New Roman"/>
        </w:rPr>
        <w:t xml:space="preserve">31 </w:t>
      </w:r>
      <w:r w:rsidRPr="003A1F64">
        <w:rPr>
          <w:rFonts w:eastAsia="Times New Roman"/>
        </w:rPr>
        <w:t>December 2015</w:t>
      </w:r>
      <w:r w:rsidR="001C6182" w:rsidRPr="003A1F64">
        <w:rPr>
          <w:rFonts w:eastAsia="Times New Roman"/>
        </w:rPr>
        <w:t>,</w:t>
      </w:r>
      <w:r w:rsidRPr="003A1F64">
        <w:rPr>
          <w:rFonts w:eastAsia="Times New Roman"/>
        </w:rPr>
        <w:t xml:space="preserve"> 12.7 per cent of employees covered by non-quantifiable agreements had performance linked wage increases. Only 1.9 per cent of non-quantifiable agreements</w:t>
      </w:r>
      <w:r w:rsidR="00520479">
        <w:rPr>
          <w:rFonts w:eastAsia="Times New Roman"/>
        </w:rPr>
        <w:t xml:space="preserve"> </w:t>
      </w:r>
      <w:r w:rsidRPr="003A1F64">
        <w:rPr>
          <w:rFonts w:eastAsia="Times New Roman"/>
        </w:rPr>
        <w:t xml:space="preserve">were performance linked. </w:t>
      </w:r>
    </w:p>
    <w:p w:rsidR="003C6F70" w:rsidRPr="003A1F64" w:rsidRDefault="00C166E8" w:rsidP="00527F90">
      <w:pPr>
        <w:rPr>
          <w:rFonts w:eastAsia="Times New Roman"/>
        </w:rPr>
      </w:pPr>
      <w:r w:rsidRPr="003A1F64">
        <w:rPr>
          <w:rFonts w:eastAsia="Times New Roman"/>
        </w:rPr>
        <w:t>P</w:t>
      </w:r>
      <w:r w:rsidR="001C6182" w:rsidRPr="003A1F64">
        <w:rPr>
          <w:rFonts w:eastAsia="Times New Roman"/>
        </w:rPr>
        <w:t xml:space="preserve">erformance-linked agreements are most common among large </w:t>
      </w:r>
      <w:r w:rsidR="00B52672" w:rsidRPr="003A1F64">
        <w:rPr>
          <w:rFonts w:eastAsia="Times New Roman"/>
        </w:rPr>
        <w:t>and non-union agreements</w:t>
      </w:r>
      <w:r w:rsidR="00E7056F" w:rsidRPr="003A1F64">
        <w:rPr>
          <w:rFonts w:eastAsia="Times New Roman"/>
        </w:rPr>
        <w:t xml:space="preserve">. </w:t>
      </w:r>
      <w:r w:rsidRPr="003A1F64">
        <w:rPr>
          <w:rFonts w:eastAsia="Times New Roman"/>
        </w:rPr>
        <w:t xml:space="preserve">The industry mix of this category is surprisingly varied. </w:t>
      </w:r>
      <w:r w:rsidR="00E7056F" w:rsidRPr="003A1F64">
        <w:rPr>
          <w:rFonts w:eastAsia="Times New Roman"/>
        </w:rPr>
        <w:t xml:space="preserve">Most </w:t>
      </w:r>
      <w:r w:rsidR="003C6F70" w:rsidRPr="003A1F64">
        <w:rPr>
          <w:rFonts w:eastAsia="Times New Roman"/>
        </w:rPr>
        <w:t xml:space="preserve">major banks fall into this category, as do </w:t>
      </w:r>
      <w:r w:rsidR="003C6F70" w:rsidRPr="003A1F64">
        <w:rPr>
          <w:rFonts w:eastAsia="Times New Roman"/>
        </w:rPr>
        <w:lastRenderedPageBreak/>
        <w:t>some insurers and heavy industry.</w:t>
      </w:r>
      <w:r w:rsidR="00EA0D22" w:rsidRPr="003A1F64">
        <w:rPr>
          <w:rFonts w:eastAsia="Times New Roman"/>
        </w:rPr>
        <w:t xml:space="preserve"> </w:t>
      </w:r>
      <w:r w:rsidR="00E7056F" w:rsidRPr="003A1F64">
        <w:rPr>
          <w:rFonts w:eastAsia="Times New Roman"/>
        </w:rPr>
        <w:t>Agreements</w:t>
      </w:r>
      <w:r w:rsidR="00B744E2" w:rsidRPr="003A1F64">
        <w:rPr>
          <w:rFonts w:eastAsia="Times New Roman"/>
        </w:rPr>
        <w:t xml:space="preserve"> may be less </w:t>
      </w:r>
      <w:r w:rsidR="005E2475" w:rsidRPr="003A1F64">
        <w:rPr>
          <w:rFonts w:eastAsia="Times New Roman"/>
        </w:rPr>
        <w:t>prescriptive</w:t>
      </w:r>
      <w:r w:rsidR="00B744E2" w:rsidRPr="003A1F64">
        <w:rPr>
          <w:rFonts w:eastAsia="Times New Roman"/>
        </w:rPr>
        <w:t xml:space="preserve"> in terms of the link between pay increases and performance. For example</w:t>
      </w:r>
      <w:r w:rsidR="00520479">
        <w:rPr>
          <w:rFonts w:eastAsia="Times New Roman"/>
        </w:rPr>
        <w:t xml:space="preserve">, </w:t>
      </w:r>
      <w:r w:rsidR="00D0269D">
        <w:rPr>
          <w:rFonts w:eastAsia="Times New Roman"/>
        </w:rPr>
        <w:t xml:space="preserve">in </w:t>
      </w:r>
      <w:r w:rsidR="00520479">
        <w:rPr>
          <w:rFonts w:eastAsia="Times New Roman"/>
        </w:rPr>
        <w:t>this manufacturing industry agreement</w:t>
      </w:r>
      <w:r w:rsidR="00B744E2" w:rsidRPr="003A1F64">
        <w:rPr>
          <w:rFonts w:eastAsia="Times New Roman"/>
        </w:rPr>
        <w:t>:</w:t>
      </w:r>
    </w:p>
    <w:p w:rsidR="00520479" w:rsidRPr="003A1F64" w:rsidRDefault="00B744E2" w:rsidP="00527F90">
      <w:pPr>
        <w:autoSpaceDE w:val="0"/>
        <w:autoSpaceDN w:val="0"/>
        <w:adjustRightInd w:val="0"/>
        <w:spacing w:after="0" w:line="240" w:lineRule="auto"/>
        <w:ind w:left="720"/>
        <w:rPr>
          <w:i/>
          <w:iCs/>
          <w:color w:val="000000" w:themeColor="text1"/>
        </w:rPr>
      </w:pPr>
      <w:r w:rsidRPr="003A1F64">
        <w:rPr>
          <w:i/>
          <w:iCs/>
          <w:color w:val="000000" w:themeColor="text1"/>
        </w:rPr>
        <w:t>The Base Salary is subject to an annual review process which enables the Company to recognise and reward Employees for their performance during the year and for their contribution to achieving business objectives. Reviews are determined by considering a combination of factors including individual performance, the performance of the Company, and market factors. These reviews will not result in a decrease to base salaries.</w:t>
      </w:r>
    </w:p>
    <w:p w:rsidR="008147F7" w:rsidRPr="003A1F64" w:rsidRDefault="00B744E2" w:rsidP="00A10CF2">
      <w:pPr>
        <w:spacing w:before="240"/>
        <w:rPr>
          <w:rFonts w:eastAsia="Times New Roman"/>
        </w:rPr>
      </w:pPr>
      <w:r w:rsidRPr="003A1F64">
        <w:rPr>
          <w:rFonts w:eastAsia="Times New Roman"/>
        </w:rPr>
        <w:t>Conversely</w:t>
      </w:r>
      <w:r w:rsidR="008147F7" w:rsidRPr="003A1F64">
        <w:rPr>
          <w:rFonts w:eastAsia="Times New Roman"/>
        </w:rPr>
        <w:t xml:space="preserve">, </w:t>
      </w:r>
      <w:r w:rsidR="006C01B3">
        <w:rPr>
          <w:rFonts w:eastAsia="Times New Roman"/>
        </w:rPr>
        <w:t>the following</w:t>
      </w:r>
      <w:r w:rsidR="008147F7" w:rsidRPr="003A1F64">
        <w:rPr>
          <w:rFonts w:eastAsia="Times New Roman"/>
        </w:rPr>
        <w:t xml:space="preserve"> agreement includes</w:t>
      </w:r>
      <w:r w:rsidR="00BB6557" w:rsidRPr="003A1F64">
        <w:rPr>
          <w:rFonts w:eastAsia="Times New Roman"/>
        </w:rPr>
        <w:t xml:space="preserve"> a typical performance provision, allowing for a fixed increase in the total remuneration pool, with pay increases distributed based on</w:t>
      </w:r>
      <w:r w:rsidR="00BE1E52" w:rsidRPr="003A1F64">
        <w:rPr>
          <w:rFonts w:eastAsia="Times New Roman"/>
        </w:rPr>
        <w:t xml:space="preserve"> employee’s performance rating</w:t>
      </w:r>
      <w:r w:rsidR="00D0269D">
        <w:rPr>
          <w:rFonts w:eastAsia="Times New Roman"/>
        </w:rPr>
        <w:t>:</w:t>
      </w:r>
      <w:r w:rsidR="00964984" w:rsidRPr="003A1F64">
        <w:rPr>
          <w:rFonts w:eastAsia="Times New Roman"/>
        </w:rPr>
        <w:t xml:space="preserve"> </w:t>
      </w:r>
    </w:p>
    <w:p w:rsidR="007B6928" w:rsidRPr="003A1F64" w:rsidRDefault="007B6928" w:rsidP="00527F90">
      <w:pPr>
        <w:autoSpaceDE w:val="0"/>
        <w:autoSpaceDN w:val="0"/>
        <w:adjustRightInd w:val="0"/>
        <w:spacing w:after="0" w:line="240" w:lineRule="auto"/>
        <w:ind w:left="720"/>
        <w:rPr>
          <w:i/>
          <w:iCs/>
          <w:color w:val="000000" w:themeColor="text1"/>
        </w:rPr>
      </w:pPr>
      <w:r w:rsidRPr="003A1F64">
        <w:rPr>
          <w:i/>
          <w:iCs/>
          <w:color w:val="000000" w:themeColor="text1"/>
        </w:rPr>
        <w:t>Fixed Pay Increase Pool means a pool of funds equivalent to 3.75% of the total annual value of Fixed Pay for Employees […].</w:t>
      </w:r>
    </w:p>
    <w:p w:rsidR="007B6928" w:rsidRPr="003A1F64" w:rsidRDefault="007B6928" w:rsidP="00527F90">
      <w:pPr>
        <w:autoSpaceDE w:val="0"/>
        <w:autoSpaceDN w:val="0"/>
        <w:adjustRightInd w:val="0"/>
        <w:spacing w:after="0" w:line="240" w:lineRule="auto"/>
        <w:ind w:firstLine="720"/>
        <w:rPr>
          <w:i/>
          <w:iCs/>
          <w:color w:val="000000" w:themeColor="text1"/>
        </w:rPr>
      </w:pPr>
      <w:r w:rsidRPr="003A1F64">
        <w:rPr>
          <w:i/>
          <w:iCs/>
          <w:color w:val="000000" w:themeColor="text1"/>
        </w:rPr>
        <w:t>[…]</w:t>
      </w:r>
    </w:p>
    <w:p w:rsidR="00B52672" w:rsidRPr="003A1F64" w:rsidRDefault="00B52672" w:rsidP="00527F90">
      <w:pPr>
        <w:autoSpaceDE w:val="0"/>
        <w:autoSpaceDN w:val="0"/>
        <w:adjustRightInd w:val="0"/>
        <w:spacing w:after="0" w:line="240" w:lineRule="auto"/>
        <w:ind w:left="720"/>
        <w:rPr>
          <w:i/>
          <w:iCs/>
          <w:color w:val="000000" w:themeColor="text1"/>
        </w:rPr>
      </w:pPr>
      <w:r w:rsidRPr="003A1F64">
        <w:rPr>
          <w:i/>
          <w:iCs/>
          <w:color w:val="000000" w:themeColor="text1"/>
        </w:rPr>
        <w:t>Subject to [the performance clauses] the Employers will together distribute the Fixed Pay Increase Pool as increases to Fixed Pay for Applicable Employees of at least the following amounts</w:t>
      </w:r>
      <w:r w:rsidR="007B6928" w:rsidRPr="003A1F64">
        <w:rPr>
          <w:i/>
          <w:iCs/>
          <w:color w:val="000000" w:themeColor="text1"/>
        </w:rPr>
        <w:t xml:space="preserve"> […]:</w:t>
      </w:r>
    </w:p>
    <w:p w:rsidR="00B52672" w:rsidRPr="003A1F64" w:rsidRDefault="00B52672" w:rsidP="00527F90">
      <w:pPr>
        <w:autoSpaceDE w:val="0"/>
        <w:autoSpaceDN w:val="0"/>
        <w:adjustRightInd w:val="0"/>
        <w:spacing w:after="0" w:line="240" w:lineRule="auto"/>
        <w:ind w:left="720"/>
        <w:rPr>
          <w:i/>
          <w:iCs/>
          <w:color w:val="000000" w:themeColor="text1"/>
        </w:rPr>
      </w:pPr>
      <w:r w:rsidRPr="003A1F64">
        <w:rPr>
          <w:i/>
          <w:iCs/>
          <w:color w:val="000000" w:themeColor="text1"/>
        </w:rPr>
        <w:t>(</w:t>
      </w:r>
      <w:proofErr w:type="spellStart"/>
      <w:r w:rsidRPr="003A1F64">
        <w:rPr>
          <w:i/>
          <w:iCs/>
          <w:color w:val="000000" w:themeColor="text1"/>
        </w:rPr>
        <w:t>i</w:t>
      </w:r>
      <w:proofErr w:type="spellEnd"/>
      <w:r w:rsidRPr="003A1F64">
        <w:rPr>
          <w:i/>
          <w:iCs/>
          <w:color w:val="000000" w:themeColor="text1"/>
        </w:rPr>
        <w:t>) Employees rated 'Effective', 'High Achie</w:t>
      </w:r>
      <w:r w:rsidR="007B6928" w:rsidRPr="003A1F64">
        <w:rPr>
          <w:i/>
          <w:iCs/>
          <w:color w:val="000000" w:themeColor="text1"/>
        </w:rPr>
        <w:t xml:space="preserve">vement' or 'Outstanding' (or an </w:t>
      </w:r>
      <w:r w:rsidRPr="003A1F64">
        <w:rPr>
          <w:i/>
          <w:iCs/>
          <w:color w:val="000000" w:themeColor="text1"/>
        </w:rPr>
        <w:t>equivalent rating in place from time to time)</w:t>
      </w:r>
      <w:r w:rsidR="007B6928" w:rsidRPr="003A1F64">
        <w:rPr>
          <w:i/>
          <w:iCs/>
          <w:color w:val="000000" w:themeColor="text1"/>
        </w:rPr>
        <w:t xml:space="preserve"> </w:t>
      </w:r>
      <w:r w:rsidRPr="003A1F64">
        <w:rPr>
          <w:i/>
          <w:iCs/>
          <w:color w:val="000000" w:themeColor="text1"/>
        </w:rPr>
        <w:t>a minimum of 3.75%;</w:t>
      </w:r>
    </w:p>
    <w:p w:rsidR="007B6928" w:rsidRPr="003A1F64" w:rsidRDefault="007B6928" w:rsidP="00527F90">
      <w:pPr>
        <w:autoSpaceDE w:val="0"/>
        <w:autoSpaceDN w:val="0"/>
        <w:adjustRightInd w:val="0"/>
        <w:spacing w:after="0" w:line="240" w:lineRule="auto"/>
        <w:ind w:left="720"/>
        <w:rPr>
          <w:i/>
          <w:iCs/>
          <w:color w:val="000000" w:themeColor="text1"/>
        </w:rPr>
      </w:pPr>
      <w:r w:rsidRPr="003A1F64">
        <w:rPr>
          <w:i/>
          <w:iCs/>
          <w:color w:val="000000" w:themeColor="text1"/>
        </w:rPr>
        <w:t xml:space="preserve">(ii) Employees rated 'Needs Development' (or an equivalent rating in place from time to time) </w:t>
      </w:r>
      <w:r w:rsidR="005C1EE5" w:rsidRPr="003A1F64">
        <w:rPr>
          <w:i/>
          <w:iCs/>
          <w:color w:val="000000" w:themeColor="text1"/>
        </w:rPr>
        <w:t>a minimum of 2%.</w:t>
      </w:r>
    </w:p>
    <w:p w:rsidR="00BB6557" w:rsidRPr="003A1F64" w:rsidRDefault="00BB6557" w:rsidP="00B5480C">
      <w:pPr>
        <w:pStyle w:val="Heading3"/>
      </w:pPr>
      <w:r w:rsidRPr="003A1F64">
        <w:t xml:space="preserve">Increases are linked to other external determinants </w:t>
      </w:r>
    </w:p>
    <w:p w:rsidR="00BB6557" w:rsidRPr="003A1F64" w:rsidRDefault="00BB6557" w:rsidP="008C4106">
      <w:pPr>
        <w:rPr>
          <w:rFonts w:eastAsia="Times New Roman"/>
        </w:rPr>
      </w:pPr>
      <w:r w:rsidRPr="003A1F64">
        <w:rPr>
          <w:rFonts w:eastAsia="Times New Roman"/>
        </w:rPr>
        <w:t xml:space="preserve">Agreements may have their increases </w:t>
      </w:r>
      <w:r w:rsidR="00422498" w:rsidRPr="003A1F64">
        <w:rPr>
          <w:rFonts w:eastAsia="Times New Roman"/>
        </w:rPr>
        <w:t xml:space="preserve">linked to decisions made by external bodies or linked to economic indicators. </w:t>
      </w:r>
      <w:r w:rsidRPr="003A1F64">
        <w:rPr>
          <w:rFonts w:eastAsia="Times New Roman"/>
        </w:rPr>
        <w:t>The most common link</w:t>
      </w:r>
      <w:r w:rsidR="00D0269D">
        <w:rPr>
          <w:rFonts w:eastAsia="Times New Roman"/>
        </w:rPr>
        <w:t xml:space="preserve">ages are </w:t>
      </w:r>
      <w:r w:rsidRPr="003A1F64">
        <w:rPr>
          <w:rFonts w:eastAsia="Times New Roman"/>
        </w:rPr>
        <w:t xml:space="preserve">to Fair Work Commission Annual Wage </w:t>
      </w:r>
      <w:r w:rsidR="00422498" w:rsidRPr="003A1F64">
        <w:rPr>
          <w:rFonts w:eastAsia="Times New Roman"/>
        </w:rPr>
        <w:t xml:space="preserve">Review </w:t>
      </w:r>
      <w:r w:rsidR="00683B58" w:rsidRPr="003A1F64">
        <w:rPr>
          <w:rFonts w:eastAsia="Times New Roman"/>
        </w:rPr>
        <w:t>decisions</w:t>
      </w:r>
      <w:r w:rsidR="002F6101" w:rsidRPr="003A1F64">
        <w:rPr>
          <w:rFonts w:eastAsia="Times New Roman"/>
        </w:rPr>
        <w:t xml:space="preserve"> and to </w:t>
      </w:r>
      <w:r w:rsidRPr="003A1F64">
        <w:rPr>
          <w:rFonts w:eastAsia="Times New Roman"/>
        </w:rPr>
        <w:t xml:space="preserve">the Consumer Price Index </w:t>
      </w:r>
      <w:r w:rsidR="00422498" w:rsidRPr="003A1F64">
        <w:rPr>
          <w:rFonts w:eastAsia="Times New Roman"/>
        </w:rPr>
        <w:t xml:space="preserve">or the </w:t>
      </w:r>
      <w:r w:rsidRPr="003A1F64">
        <w:rPr>
          <w:rFonts w:eastAsia="Times New Roman"/>
        </w:rPr>
        <w:t>Wage Price Index.</w:t>
      </w:r>
    </w:p>
    <w:p w:rsidR="00BB6557" w:rsidRPr="003A1F64" w:rsidRDefault="00767D2C" w:rsidP="008C4106">
      <w:pPr>
        <w:rPr>
          <w:rFonts w:eastAsia="Times New Roman"/>
        </w:rPr>
      </w:pPr>
      <w:r w:rsidRPr="003A1F64">
        <w:rPr>
          <w:rFonts w:eastAsia="Times New Roman"/>
        </w:rPr>
        <w:t xml:space="preserve">Given </w:t>
      </w:r>
      <w:r w:rsidR="002F6101" w:rsidRPr="003A1F64">
        <w:rPr>
          <w:rFonts w:eastAsia="Times New Roman"/>
        </w:rPr>
        <w:t>these changes</w:t>
      </w:r>
      <w:r w:rsidRPr="003A1F64">
        <w:rPr>
          <w:rFonts w:eastAsia="Times New Roman"/>
        </w:rPr>
        <w:t xml:space="preserve"> are unknown at the time the agreement </w:t>
      </w:r>
      <w:r w:rsidR="002F6101" w:rsidRPr="003A1F64">
        <w:rPr>
          <w:rFonts w:eastAsia="Times New Roman"/>
        </w:rPr>
        <w:t xml:space="preserve">is </w:t>
      </w:r>
      <w:proofErr w:type="gramStart"/>
      <w:r w:rsidR="002F6101" w:rsidRPr="003A1F64">
        <w:rPr>
          <w:rFonts w:eastAsia="Times New Roman"/>
        </w:rPr>
        <w:t>made</w:t>
      </w:r>
      <w:r w:rsidR="00D0269D">
        <w:rPr>
          <w:rFonts w:eastAsia="Times New Roman"/>
        </w:rPr>
        <w:t>,</w:t>
      </w:r>
      <w:proofErr w:type="gramEnd"/>
      <w:r w:rsidRPr="003A1F64">
        <w:rPr>
          <w:rFonts w:eastAsia="Times New Roman"/>
        </w:rPr>
        <w:t xml:space="preserve"> these agreements cannot be quantified in the </w:t>
      </w:r>
      <w:proofErr w:type="spellStart"/>
      <w:r w:rsidRPr="003A1F64">
        <w:rPr>
          <w:rFonts w:eastAsia="Times New Roman"/>
        </w:rPr>
        <w:t>AAWI</w:t>
      </w:r>
      <w:proofErr w:type="spellEnd"/>
      <w:r w:rsidRPr="003A1F64">
        <w:rPr>
          <w:rFonts w:eastAsia="Times New Roman"/>
        </w:rPr>
        <w:t xml:space="preserve"> calculation. For</w:t>
      </w:r>
      <w:r w:rsidR="00BB6557" w:rsidRPr="003A1F64">
        <w:rPr>
          <w:rFonts w:eastAsia="Times New Roman"/>
        </w:rPr>
        <w:t xml:space="preserve"> </w:t>
      </w:r>
      <w:r w:rsidR="002F6101" w:rsidRPr="003A1F64">
        <w:rPr>
          <w:rFonts w:eastAsia="Times New Roman"/>
        </w:rPr>
        <w:t xml:space="preserve">both the </w:t>
      </w:r>
      <w:r w:rsidR="00BB6557" w:rsidRPr="003A1F64">
        <w:rPr>
          <w:rFonts w:eastAsia="Times New Roman"/>
        </w:rPr>
        <w:t>Annual Wage Review and CPI</w:t>
      </w:r>
      <w:r w:rsidR="002F6101" w:rsidRPr="003A1F64">
        <w:rPr>
          <w:rFonts w:eastAsia="Times New Roman"/>
        </w:rPr>
        <w:t>-</w:t>
      </w:r>
      <w:r w:rsidR="00BB6557" w:rsidRPr="003A1F64">
        <w:rPr>
          <w:rFonts w:eastAsia="Times New Roman"/>
        </w:rPr>
        <w:t>linked increases the Department is able to calculate increases after their respective events have occurred. Prediction of future increases, however, is not possible.</w:t>
      </w:r>
    </w:p>
    <w:p w:rsidR="00964984" w:rsidRPr="003A1F64" w:rsidRDefault="00767D2C" w:rsidP="008C4106">
      <w:pPr>
        <w:rPr>
          <w:rFonts w:eastAsia="Times New Roman"/>
        </w:rPr>
      </w:pPr>
      <w:r w:rsidRPr="003A1F64">
        <w:rPr>
          <w:rFonts w:eastAsia="Times New Roman"/>
        </w:rPr>
        <w:t xml:space="preserve">It should be noted that </w:t>
      </w:r>
      <w:r w:rsidR="00964984" w:rsidRPr="003A1F64">
        <w:rPr>
          <w:rFonts w:eastAsia="Times New Roman"/>
        </w:rPr>
        <w:t xml:space="preserve">these external determinants may not necessarily apply </w:t>
      </w:r>
      <w:r w:rsidR="002F6101" w:rsidRPr="003A1F64">
        <w:rPr>
          <w:rFonts w:eastAsia="Times New Roman"/>
        </w:rPr>
        <w:t xml:space="preserve">to </w:t>
      </w:r>
      <w:r w:rsidR="00964984" w:rsidRPr="003A1F64">
        <w:rPr>
          <w:rFonts w:eastAsia="Times New Roman"/>
        </w:rPr>
        <w:t>all</w:t>
      </w:r>
      <w:r w:rsidR="00B744E2" w:rsidRPr="003A1F64">
        <w:rPr>
          <w:rFonts w:eastAsia="Times New Roman"/>
        </w:rPr>
        <w:t xml:space="preserve"> wage</w:t>
      </w:r>
      <w:r w:rsidR="00964984" w:rsidRPr="003A1F64">
        <w:rPr>
          <w:rFonts w:eastAsia="Times New Roman"/>
        </w:rPr>
        <w:t xml:space="preserve"> </w:t>
      </w:r>
      <w:r w:rsidRPr="003A1F64">
        <w:rPr>
          <w:rFonts w:eastAsia="Times New Roman"/>
        </w:rPr>
        <w:t>increases</w:t>
      </w:r>
      <w:r w:rsidR="00B744E2" w:rsidRPr="003A1F64">
        <w:rPr>
          <w:rFonts w:eastAsia="Times New Roman"/>
        </w:rPr>
        <w:t xml:space="preserve"> provided in an agreement. For example</w:t>
      </w:r>
      <w:r w:rsidR="00964984" w:rsidRPr="003A1F64">
        <w:rPr>
          <w:rFonts w:eastAsia="Times New Roman"/>
        </w:rPr>
        <w:t xml:space="preserve">, </w:t>
      </w:r>
      <w:r w:rsidR="002F6101" w:rsidRPr="003A1F64">
        <w:rPr>
          <w:rFonts w:eastAsia="Times New Roman"/>
        </w:rPr>
        <w:t xml:space="preserve">an agreement may </w:t>
      </w:r>
      <w:r w:rsidR="00964984" w:rsidRPr="003A1F64">
        <w:rPr>
          <w:rFonts w:eastAsia="Times New Roman"/>
        </w:rPr>
        <w:t>provi</w:t>
      </w:r>
      <w:r w:rsidR="002F6101" w:rsidRPr="003A1F64">
        <w:rPr>
          <w:rFonts w:eastAsia="Times New Roman"/>
        </w:rPr>
        <w:t>de</w:t>
      </w:r>
      <w:r w:rsidR="00964984" w:rsidRPr="003A1F64">
        <w:rPr>
          <w:rFonts w:eastAsia="Times New Roman"/>
        </w:rPr>
        <w:t xml:space="preserve"> a percentage increase in the first year, and linking to Annual Wage Reviews thereafter</w:t>
      </w:r>
      <w:r w:rsidR="001531A6" w:rsidRPr="003A1F64">
        <w:rPr>
          <w:rFonts w:eastAsia="Times New Roman"/>
        </w:rPr>
        <w:t>. In this instance</w:t>
      </w:r>
      <w:r w:rsidRPr="003A1F64">
        <w:rPr>
          <w:rFonts w:eastAsia="Times New Roman"/>
        </w:rPr>
        <w:t xml:space="preserve"> overall </w:t>
      </w:r>
      <w:proofErr w:type="spellStart"/>
      <w:r w:rsidRPr="003A1F64">
        <w:rPr>
          <w:rFonts w:eastAsia="Times New Roman"/>
        </w:rPr>
        <w:t>AAWI</w:t>
      </w:r>
      <w:proofErr w:type="spellEnd"/>
      <w:r w:rsidRPr="003A1F64">
        <w:rPr>
          <w:rFonts w:eastAsia="Times New Roman"/>
        </w:rPr>
        <w:t xml:space="preserve"> </w:t>
      </w:r>
      <w:r w:rsidR="001531A6" w:rsidRPr="003A1F64">
        <w:rPr>
          <w:rFonts w:eastAsia="Times New Roman"/>
        </w:rPr>
        <w:t>will</w:t>
      </w:r>
      <w:r w:rsidR="002F6101" w:rsidRPr="003A1F64">
        <w:rPr>
          <w:rFonts w:eastAsia="Times New Roman"/>
        </w:rPr>
        <w:t xml:space="preserve"> still</w:t>
      </w:r>
      <w:r w:rsidR="001531A6" w:rsidRPr="003A1F64">
        <w:rPr>
          <w:rFonts w:eastAsia="Times New Roman"/>
        </w:rPr>
        <w:t xml:space="preserve"> be </w:t>
      </w:r>
      <w:r w:rsidRPr="003A1F64">
        <w:rPr>
          <w:rFonts w:eastAsia="Times New Roman"/>
        </w:rPr>
        <w:t>incalculable.</w:t>
      </w:r>
    </w:p>
    <w:p w:rsidR="00BB6557" w:rsidRPr="003A1F64" w:rsidRDefault="00BB6557" w:rsidP="00B5480C">
      <w:pPr>
        <w:pStyle w:val="Heading4"/>
      </w:pPr>
      <w:r w:rsidRPr="003A1F64">
        <w:t>Linking to Annual Wage Review</w:t>
      </w:r>
    </w:p>
    <w:p w:rsidR="00847A54" w:rsidRPr="003A1F64" w:rsidRDefault="00847A54" w:rsidP="008C4106">
      <w:pPr>
        <w:rPr>
          <w:rFonts w:eastAsia="Times New Roman"/>
        </w:rPr>
      </w:pPr>
      <w:r w:rsidRPr="003A1F64">
        <w:rPr>
          <w:rFonts w:eastAsia="Times New Roman"/>
        </w:rPr>
        <w:t>In its most recent Annual Wage Review, th</w:t>
      </w:r>
      <w:r w:rsidR="006C01B3">
        <w:rPr>
          <w:rFonts w:eastAsia="Times New Roman"/>
        </w:rPr>
        <w:t>e Fair Work Commission increased</w:t>
      </w:r>
      <w:r w:rsidRPr="003A1F64">
        <w:rPr>
          <w:rFonts w:eastAsia="Times New Roman"/>
        </w:rPr>
        <w:t xml:space="preserve"> all pay rates and classifications by 2.</w:t>
      </w:r>
      <w:r w:rsidR="002F6101" w:rsidRPr="003A1F64">
        <w:rPr>
          <w:rFonts w:eastAsia="Times New Roman"/>
        </w:rPr>
        <w:t xml:space="preserve">4 </w:t>
      </w:r>
      <w:r w:rsidRPr="003A1F64">
        <w:rPr>
          <w:rFonts w:eastAsia="Times New Roman"/>
        </w:rPr>
        <w:t xml:space="preserve">per cent, effective 1 July </w:t>
      </w:r>
      <w:r w:rsidR="002F6101" w:rsidRPr="003A1F64">
        <w:rPr>
          <w:rFonts w:eastAsia="Times New Roman"/>
        </w:rPr>
        <w:t>2016</w:t>
      </w:r>
      <w:r w:rsidRPr="003A1F64">
        <w:rPr>
          <w:rFonts w:eastAsia="Times New Roman"/>
        </w:rPr>
        <w:t>.</w:t>
      </w:r>
    </w:p>
    <w:p w:rsidR="00BB6557" w:rsidRPr="003A1F64" w:rsidRDefault="00BB6557" w:rsidP="008C4106">
      <w:pPr>
        <w:rPr>
          <w:rFonts w:eastAsia="Times New Roman"/>
        </w:rPr>
      </w:pPr>
      <w:r w:rsidRPr="003A1F64">
        <w:rPr>
          <w:rFonts w:eastAsia="Times New Roman"/>
        </w:rPr>
        <w:t>In December quarter 2015</w:t>
      </w:r>
      <w:r w:rsidR="002F6101" w:rsidRPr="003A1F64">
        <w:rPr>
          <w:rFonts w:eastAsia="Times New Roman"/>
        </w:rPr>
        <w:t>,</w:t>
      </w:r>
      <w:r w:rsidRPr="003A1F64">
        <w:rPr>
          <w:rFonts w:eastAsia="Times New Roman"/>
        </w:rPr>
        <w:t xml:space="preserve"> 8.9 per cent of non-quantifiable employees had Annual Wage Review linked increases, </w:t>
      </w:r>
      <w:r w:rsidR="006C01B3">
        <w:rPr>
          <w:rFonts w:eastAsia="Times New Roman"/>
        </w:rPr>
        <w:t>compromising</w:t>
      </w:r>
      <w:r w:rsidRPr="003A1F64">
        <w:rPr>
          <w:rFonts w:eastAsia="Times New Roman"/>
        </w:rPr>
        <w:t xml:space="preserve"> 26.3 per cent of non-quantifiable agreements.</w:t>
      </w:r>
    </w:p>
    <w:p w:rsidR="00BB6557" w:rsidRPr="003A1F64" w:rsidRDefault="00A73339" w:rsidP="008C4106">
      <w:pPr>
        <w:rPr>
          <w:rFonts w:eastAsia="Times New Roman"/>
        </w:rPr>
      </w:pPr>
      <w:r w:rsidRPr="003A1F64">
        <w:rPr>
          <w:rFonts w:eastAsia="Times New Roman"/>
        </w:rPr>
        <w:t>Agreements in this category tend to be small</w:t>
      </w:r>
      <w:r w:rsidR="008131D7" w:rsidRPr="003A1F64">
        <w:rPr>
          <w:rFonts w:eastAsia="Times New Roman"/>
        </w:rPr>
        <w:t xml:space="preserve"> </w:t>
      </w:r>
      <w:r w:rsidR="001531A6" w:rsidRPr="003A1F64">
        <w:rPr>
          <w:rFonts w:eastAsia="Times New Roman"/>
        </w:rPr>
        <w:t>in size</w:t>
      </w:r>
      <w:r w:rsidRPr="003A1F64">
        <w:rPr>
          <w:rFonts w:eastAsia="Times New Roman"/>
        </w:rPr>
        <w:t xml:space="preserve">. </w:t>
      </w:r>
      <w:r w:rsidR="00BB6557" w:rsidRPr="003A1F64">
        <w:rPr>
          <w:rFonts w:eastAsia="Times New Roman"/>
        </w:rPr>
        <w:t>It is also quite likely that as pay rates reflect Modern Awards (or at least maintain increases consistent with Modern Award increases) this category is common in lower skilled</w:t>
      </w:r>
      <w:r w:rsidR="003A5577" w:rsidRPr="003A1F64">
        <w:rPr>
          <w:rFonts w:eastAsia="Times New Roman"/>
        </w:rPr>
        <w:t>, traditionally award-dominated</w:t>
      </w:r>
      <w:r w:rsidR="00BB6557" w:rsidRPr="003A1F64">
        <w:rPr>
          <w:rFonts w:eastAsia="Times New Roman"/>
        </w:rPr>
        <w:t xml:space="preserve"> industries like Retail Trade</w:t>
      </w:r>
      <w:r w:rsidR="003A5577" w:rsidRPr="003A1F64">
        <w:rPr>
          <w:rFonts w:eastAsia="Times New Roman"/>
        </w:rPr>
        <w:t xml:space="preserve"> (</w:t>
      </w:r>
      <w:r w:rsidR="006C01B3">
        <w:rPr>
          <w:rFonts w:eastAsia="Times New Roman"/>
        </w:rPr>
        <w:t xml:space="preserve">where </w:t>
      </w:r>
      <w:r w:rsidR="003A5577" w:rsidRPr="003A1F64">
        <w:rPr>
          <w:rFonts w:eastAsia="Times New Roman"/>
        </w:rPr>
        <w:t>19</w:t>
      </w:r>
      <w:r w:rsidR="00350F7A" w:rsidRPr="003A1F64">
        <w:rPr>
          <w:rFonts w:eastAsia="Times New Roman"/>
        </w:rPr>
        <w:t> </w:t>
      </w:r>
      <w:r w:rsidR="003A5577" w:rsidRPr="003A1F64">
        <w:rPr>
          <w:rFonts w:eastAsia="Times New Roman"/>
        </w:rPr>
        <w:t>per</w:t>
      </w:r>
      <w:r w:rsidR="00350F7A" w:rsidRPr="003A1F64">
        <w:rPr>
          <w:rFonts w:eastAsia="Times New Roman"/>
        </w:rPr>
        <w:t> </w:t>
      </w:r>
      <w:r w:rsidR="003A5577" w:rsidRPr="003A1F64">
        <w:rPr>
          <w:rFonts w:eastAsia="Times New Roman"/>
        </w:rPr>
        <w:t>cent</w:t>
      </w:r>
      <w:r w:rsidR="00E7056F" w:rsidRPr="003A1F64">
        <w:rPr>
          <w:rFonts w:eastAsia="Times New Roman"/>
        </w:rPr>
        <w:t xml:space="preserve"> of </w:t>
      </w:r>
      <w:r w:rsidR="006C01B3">
        <w:rPr>
          <w:rFonts w:eastAsia="Times New Roman"/>
        </w:rPr>
        <w:t xml:space="preserve">non-quantifiable </w:t>
      </w:r>
      <w:r w:rsidR="00E7056F" w:rsidRPr="003A1F64">
        <w:rPr>
          <w:rFonts w:eastAsia="Times New Roman"/>
        </w:rPr>
        <w:t xml:space="preserve">agreements </w:t>
      </w:r>
      <w:r w:rsidR="006C01B3">
        <w:rPr>
          <w:rFonts w:eastAsia="Times New Roman"/>
        </w:rPr>
        <w:t xml:space="preserve">are </w:t>
      </w:r>
      <w:r w:rsidR="00E7056F" w:rsidRPr="003A1F64">
        <w:rPr>
          <w:rFonts w:eastAsia="Times New Roman"/>
        </w:rPr>
        <w:t>linked to external determinants</w:t>
      </w:r>
      <w:r w:rsidR="003A5577" w:rsidRPr="003A1F64">
        <w:rPr>
          <w:rFonts w:eastAsia="Times New Roman"/>
        </w:rPr>
        <w:t>)</w:t>
      </w:r>
      <w:r w:rsidR="00AF7B72">
        <w:rPr>
          <w:rFonts w:eastAsia="Times New Roman"/>
        </w:rPr>
        <w:t>.</w:t>
      </w:r>
    </w:p>
    <w:p w:rsidR="00BB6557" w:rsidRPr="003A1F64" w:rsidRDefault="00350F7A" w:rsidP="008C4106">
      <w:pPr>
        <w:rPr>
          <w:rFonts w:eastAsia="Times New Roman"/>
        </w:rPr>
      </w:pPr>
      <w:r w:rsidRPr="003A1F64">
        <w:rPr>
          <w:rFonts w:eastAsia="Times New Roman"/>
        </w:rPr>
        <w:lastRenderedPageBreak/>
        <w:t>Almost</w:t>
      </w:r>
      <w:r w:rsidR="00BB6557" w:rsidRPr="003A1F64">
        <w:rPr>
          <w:rFonts w:eastAsia="Times New Roman"/>
        </w:rPr>
        <w:t xml:space="preserve"> all agreement</w:t>
      </w:r>
      <w:r w:rsidR="00D0269D">
        <w:rPr>
          <w:rFonts w:eastAsia="Times New Roman"/>
        </w:rPr>
        <w:t>s</w:t>
      </w:r>
      <w:r w:rsidR="00BB6557" w:rsidRPr="003A1F64">
        <w:rPr>
          <w:rFonts w:eastAsia="Times New Roman"/>
        </w:rPr>
        <w:t xml:space="preserve"> in this category are</w:t>
      </w:r>
      <w:r w:rsidR="007F69C2" w:rsidRPr="003A1F64">
        <w:rPr>
          <w:rFonts w:eastAsia="Times New Roman"/>
        </w:rPr>
        <w:t xml:space="preserve"> </w:t>
      </w:r>
      <w:r w:rsidR="002F6101" w:rsidRPr="003A1F64">
        <w:rPr>
          <w:rFonts w:eastAsia="Times New Roman"/>
        </w:rPr>
        <w:t xml:space="preserve">for </w:t>
      </w:r>
      <w:r w:rsidR="00BB6557" w:rsidRPr="003A1F64">
        <w:rPr>
          <w:rFonts w:eastAsia="Times New Roman"/>
        </w:rPr>
        <w:t>private sector employers.</w:t>
      </w:r>
    </w:p>
    <w:p w:rsidR="00BB6557" w:rsidRPr="003A1F64" w:rsidRDefault="00BB6557" w:rsidP="008C4106">
      <w:pPr>
        <w:rPr>
          <w:rFonts w:eastAsia="Times New Roman"/>
        </w:rPr>
      </w:pPr>
      <w:r w:rsidRPr="003A1F64">
        <w:rPr>
          <w:rFonts w:eastAsia="Times New Roman"/>
        </w:rPr>
        <w:t xml:space="preserve">This passage from </w:t>
      </w:r>
      <w:r w:rsidR="005013CA" w:rsidRPr="003A1F64">
        <w:rPr>
          <w:rFonts w:eastAsia="Times New Roman"/>
        </w:rPr>
        <w:t xml:space="preserve">a retail </w:t>
      </w:r>
      <w:r w:rsidRPr="003A1F64">
        <w:rPr>
          <w:rFonts w:eastAsia="Times New Roman"/>
        </w:rPr>
        <w:t>enterprise agreement is typical</w:t>
      </w:r>
      <w:r w:rsidR="001531A6" w:rsidRPr="003A1F64">
        <w:rPr>
          <w:rFonts w:eastAsia="Times New Roman"/>
        </w:rPr>
        <w:t xml:space="preserve"> of the link to the Annual Wage Review</w:t>
      </w:r>
      <w:r w:rsidR="00D0269D">
        <w:rPr>
          <w:rFonts w:eastAsia="Times New Roman"/>
        </w:rPr>
        <w:t>:</w:t>
      </w:r>
    </w:p>
    <w:p w:rsidR="00BB6557" w:rsidRPr="003A1F64" w:rsidRDefault="00BB6557" w:rsidP="008C4106">
      <w:pPr>
        <w:pStyle w:val="Quote"/>
        <w:ind w:left="720"/>
      </w:pPr>
      <w:r w:rsidRPr="003A1F64">
        <w:t xml:space="preserve">On [first pay on or after 1 July each year] the Enterprise Agreement’s wages will increase by the same percentage the General Retail Industry Award’s wage level increases by as a result of </w:t>
      </w:r>
      <w:proofErr w:type="spellStart"/>
      <w:r w:rsidRPr="003A1F64">
        <w:t>FWC’s</w:t>
      </w:r>
      <w:proofErr w:type="spellEnd"/>
      <w:r w:rsidRPr="003A1F64">
        <w:t xml:space="preserve"> […] annual wage review. </w:t>
      </w:r>
      <w:r w:rsidR="005013CA" w:rsidRPr="003A1F64">
        <w:t>[The employer]</w:t>
      </w:r>
      <w:r w:rsidRPr="003A1F64">
        <w:t xml:space="preserve"> will publish and circulate a revised wage table once </w:t>
      </w:r>
      <w:proofErr w:type="spellStart"/>
      <w:r w:rsidRPr="003A1F64">
        <w:t>FWC’s</w:t>
      </w:r>
      <w:proofErr w:type="spellEnd"/>
      <w:r w:rsidRPr="003A1F64">
        <w:t xml:space="preserve"> decision is announced. </w:t>
      </w:r>
    </w:p>
    <w:p w:rsidR="00BB6557" w:rsidRPr="003A1F64" w:rsidRDefault="00BB6557" w:rsidP="00B5480C">
      <w:pPr>
        <w:pStyle w:val="Heading4"/>
      </w:pPr>
      <w:r w:rsidRPr="003A1F64">
        <w:t>Linking to CPI</w:t>
      </w:r>
    </w:p>
    <w:p w:rsidR="009C40D5" w:rsidRPr="003A1F64" w:rsidRDefault="009C40D5" w:rsidP="00527F90">
      <w:pPr>
        <w:rPr>
          <w:rFonts w:eastAsia="Times New Roman"/>
        </w:rPr>
      </w:pPr>
      <w:r w:rsidRPr="003A1F64">
        <w:rPr>
          <w:rFonts w:eastAsia="Times New Roman"/>
        </w:rPr>
        <w:t xml:space="preserve">Some agreements link wage increases to </w:t>
      </w:r>
      <w:r w:rsidR="0036331F" w:rsidRPr="003A1F64">
        <w:rPr>
          <w:rFonts w:eastAsia="Times New Roman"/>
        </w:rPr>
        <w:t>an economic i</w:t>
      </w:r>
      <w:r w:rsidR="005C1EE5" w:rsidRPr="003A1F64">
        <w:rPr>
          <w:rFonts w:eastAsia="Times New Roman"/>
        </w:rPr>
        <w:t>ndicator, most commonly the CPI (</w:t>
      </w:r>
      <w:r w:rsidR="0036331F" w:rsidRPr="003A1F64">
        <w:rPr>
          <w:rFonts w:eastAsia="Times New Roman"/>
        </w:rPr>
        <w:t xml:space="preserve">and to a lesser </w:t>
      </w:r>
      <w:r w:rsidR="005C1EE5" w:rsidRPr="003A1F64">
        <w:rPr>
          <w:rFonts w:eastAsia="Times New Roman"/>
        </w:rPr>
        <w:t>extent the Wages Price Index (</w:t>
      </w:r>
      <w:proofErr w:type="spellStart"/>
      <w:r w:rsidR="005C1EE5" w:rsidRPr="003A1F64">
        <w:rPr>
          <w:rFonts w:eastAsia="Times New Roman"/>
        </w:rPr>
        <w:t>WPI</w:t>
      </w:r>
      <w:proofErr w:type="spellEnd"/>
      <w:r w:rsidR="005C1EE5" w:rsidRPr="003A1F64">
        <w:rPr>
          <w:rFonts w:eastAsia="Times New Roman"/>
        </w:rPr>
        <w:t>))</w:t>
      </w:r>
      <w:r w:rsidR="0036331F" w:rsidRPr="003A1F64">
        <w:rPr>
          <w:rFonts w:eastAsia="Times New Roman"/>
        </w:rPr>
        <w:t xml:space="preserve">. Some agreements go further, pegging wage increases to a specific component of one of these indices. Some employers, for example link the CPI basket for their respective city to more accurately match cost of living increases for their employees. </w:t>
      </w:r>
    </w:p>
    <w:p w:rsidR="00BB6557" w:rsidRPr="003A1F64" w:rsidRDefault="00BB6557" w:rsidP="00527F90">
      <w:pPr>
        <w:rPr>
          <w:rFonts w:eastAsia="Times New Roman"/>
        </w:rPr>
      </w:pPr>
      <w:r w:rsidRPr="003A1F64">
        <w:rPr>
          <w:rFonts w:eastAsia="Times New Roman"/>
        </w:rPr>
        <w:t>As at December quarter 2015</w:t>
      </w:r>
      <w:r w:rsidR="005C1EE5" w:rsidRPr="003A1F64">
        <w:rPr>
          <w:rFonts w:eastAsia="Times New Roman"/>
        </w:rPr>
        <w:t>,</w:t>
      </w:r>
      <w:r w:rsidRPr="003A1F64">
        <w:rPr>
          <w:rFonts w:eastAsia="Times New Roman"/>
        </w:rPr>
        <w:t xml:space="preserve"> 3.5 per cent of employees covered by non-quantifiable agreements </w:t>
      </w:r>
      <w:r w:rsidR="00477F21" w:rsidRPr="003A1F64">
        <w:rPr>
          <w:rFonts w:eastAsia="Times New Roman"/>
        </w:rPr>
        <w:t xml:space="preserve">and </w:t>
      </w:r>
      <w:r w:rsidRPr="003A1F64">
        <w:rPr>
          <w:rFonts w:eastAsia="Times New Roman"/>
        </w:rPr>
        <w:t>8.6 per cent of non-quantifiable agreements were CPI</w:t>
      </w:r>
      <w:r w:rsidR="00250BEF" w:rsidRPr="003A1F64">
        <w:rPr>
          <w:rFonts w:eastAsia="Times New Roman"/>
        </w:rPr>
        <w:t>-</w:t>
      </w:r>
      <w:r w:rsidRPr="003A1F64">
        <w:rPr>
          <w:rFonts w:eastAsia="Times New Roman"/>
        </w:rPr>
        <w:t>linked.</w:t>
      </w:r>
    </w:p>
    <w:p w:rsidR="00BB6557" w:rsidRPr="003A1F64" w:rsidRDefault="00BB6557" w:rsidP="00527F90">
      <w:pPr>
        <w:rPr>
          <w:rFonts w:eastAsia="Times New Roman"/>
        </w:rPr>
      </w:pPr>
      <w:r w:rsidRPr="003A1F64">
        <w:rPr>
          <w:rFonts w:eastAsia="Times New Roman"/>
        </w:rPr>
        <w:t>The characteristics of CPI-linked agreements are, by and large, similar to those for Annual Wage Review Linked agreements</w:t>
      </w:r>
      <w:r w:rsidR="00250BEF" w:rsidRPr="003A1F64">
        <w:rPr>
          <w:rFonts w:eastAsia="Times New Roman"/>
        </w:rPr>
        <w:t>,</w:t>
      </w:r>
      <w:r w:rsidR="0036331F" w:rsidRPr="003A1F64">
        <w:rPr>
          <w:rFonts w:eastAsia="Times New Roman"/>
        </w:rPr>
        <w:t xml:space="preserve"> including that</w:t>
      </w:r>
      <w:r w:rsidR="00477F21" w:rsidRPr="003A1F64">
        <w:rPr>
          <w:rFonts w:eastAsia="Times New Roman"/>
        </w:rPr>
        <w:t xml:space="preserve"> they </w:t>
      </w:r>
      <w:r w:rsidR="00250BEF" w:rsidRPr="003A1F64">
        <w:rPr>
          <w:rFonts w:eastAsia="Times New Roman"/>
        </w:rPr>
        <w:t xml:space="preserve">generally </w:t>
      </w:r>
      <w:r w:rsidR="00D0269D">
        <w:rPr>
          <w:rFonts w:eastAsia="Times New Roman"/>
        </w:rPr>
        <w:t>cover</w:t>
      </w:r>
      <w:r w:rsidR="00D0269D" w:rsidRPr="003A1F64">
        <w:rPr>
          <w:rFonts w:eastAsia="Times New Roman"/>
        </w:rPr>
        <w:t xml:space="preserve"> </w:t>
      </w:r>
      <w:r w:rsidR="00477F21" w:rsidRPr="003A1F64">
        <w:rPr>
          <w:rFonts w:eastAsia="Times New Roman"/>
        </w:rPr>
        <w:t xml:space="preserve">lower skilled </w:t>
      </w:r>
      <w:r w:rsidR="00D0269D">
        <w:rPr>
          <w:rFonts w:eastAsia="Times New Roman"/>
        </w:rPr>
        <w:t>jobs</w:t>
      </w:r>
      <w:r w:rsidR="00477F21" w:rsidRPr="003A1F64">
        <w:rPr>
          <w:rFonts w:eastAsia="Times New Roman"/>
        </w:rPr>
        <w:t xml:space="preserve">. </w:t>
      </w:r>
    </w:p>
    <w:p w:rsidR="00BB6557" w:rsidRPr="003A1F64" w:rsidRDefault="0036331F" w:rsidP="00527F90">
      <w:pPr>
        <w:rPr>
          <w:rFonts w:eastAsia="Times New Roman"/>
        </w:rPr>
      </w:pPr>
      <w:r w:rsidRPr="003A1F64">
        <w:rPr>
          <w:rFonts w:eastAsia="Times New Roman"/>
        </w:rPr>
        <w:t>A Victorian community services employer’</w:t>
      </w:r>
      <w:r w:rsidR="00BB6557" w:rsidRPr="003A1F64">
        <w:rPr>
          <w:rFonts w:eastAsia="Times New Roman"/>
        </w:rPr>
        <w:t xml:space="preserve">s </w:t>
      </w:r>
      <w:r w:rsidR="00D0269D">
        <w:rPr>
          <w:rFonts w:eastAsia="Times New Roman"/>
        </w:rPr>
        <w:t>e</w:t>
      </w:r>
      <w:r w:rsidR="00BB6557" w:rsidRPr="003A1F64">
        <w:rPr>
          <w:rFonts w:eastAsia="Times New Roman"/>
        </w:rPr>
        <w:t xml:space="preserve">nterprise </w:t>
      </w:r>
      <w:r w:rsidR="00D0269D">
        <w:rPr>
          <w:rFonts w:eastAsia="Times New Roman"/>
        </w:rPr>
        <w:t>a</w:t>
      </w:r>
      <w:r w:rsidR="00BB6557" w:rsidRPr="003A1F64">
        <w:rPr>
          <w:rFonts w:eastAsia="Times New Roman"/>
        </w:rPr>
        <w:t>greement is typical in its wording:</w:t>
      </w:r>
    </w:p>
    <w:p w:rsidR="00BB6557" w:rsidRPr="003A1F64" w:rsidRDefault="00BB6557" w:rsidP="00527F90">
      <w:pPr>
        <w:autoSpaceDE w:val="0"/>
        <w:autoSpaceDN w:val="0"/>
        <w:adjustRightInd w:val="0"/>
        <w:spacing w:after="0" w:line="240" w:lineRule="auto"/>
        <w:ind w:left="1440" w:hanging="720"/>
        <w:rPr>
          <w:i/>
          <w:iCs/>
          <w:color w:val="000000" w:themeColor="text1"/>
        </w:rPr>
      </w:pPr>
      <w:r w:rsidRPr="003A1F64">
        <w:rPr>
          <w:i/>
          <w:iCs/>
          <w:color w:val="000000" w:themeColor="text1"/>
        </w:rPr>
        <w:t xml:space="preserve">52.3 </w:t>
      </w:r>
      <w:r w:rsidRPr="003A1F64">
        <w:rPr>
          <w:i/>
          <w:iCs/>
          <w:color w:val="000000" w:themeColor="text1"/>
        </w:rPr>
        <w:tab/>
        <w:t>The salary rates for each classification in this Agreement will be increased by CPI (if CPI increases), on the dates set out in clause 52.4 below. The percentage increase in CPI will be as per Australian Bureau of Statistics (ABS) CPI, All Group Index Numbers and Percentage Changes (Table 6401.0) yearly percentage change for Melbourne (or relevant ABS modified rate) as at the most recent quarter published prior to the dates set out in clause 52.4 below.</w:t>
      </w:r>
    </w:p>
    <w:p w:rsidR="00BB6557" w:rsidRPr="003A1F64" w:rsidRDefault="00BB6557" w:rsidP="00527F90">
      <w:pPr>
        <w:autoSpaceDE w:val="0"/>
        <w:autoSpaceDN w:val="0"/>
        <w:adjustRightInd w:val="0"/>
        <w:spacing w:after="0" w:line="240" w:lineRule="auto"/>
        <w:ind w:left="1440" w:hanging="720"/>
        <w:rPr>
          <w:iCs/>
          <w:color w:val="000000" w:themeColor="text1"/>
        </w:rPr>
      </w:pPr>
      <w:r w:rsidRPr="003A1F64">
        <w:rPr>
          <w:i/>
          <w:iCs/>
          <w:color w:val="000000" w:themeColor="text1"/>
        </w:rPr>
        <w:t xml:space="preserve">52.4 </w:t>
      </w:r>
      <w:r w:rsidRPr="003A1F64">
        <w:rPr>
          <w:i/>
          <w:iCs/>
          <w:color w:val="000000" w:themeColor="text1"/>
        </w:rPr>
        <w:tab/>
        <w:t xml:space="preserve">Any increased salary rates referred to in clause 52.3 above will come into effect </w:t>
      </w:r>
      <w:r w:rsidR="00477F21" w:rsidRPr="003A1F64">
        <w:rPr>
          <w:i/>
          <w:iCs/>
          <w:color w:val="000000" w:themeColor="text1"/>
        </w:rPr>
        <w:t xml:space="preserve">[on </w:t>
      </w:r>
      <w:r w:rsidR="006B5BB3" w:rsidRPr="003A1F64">
        <w:rPr>
          <w:i/>
          <w:iCs/>
          <w:color w:val="000000" w:themeColor="text1"/>
        </w:rPr>
        <w:t>1 </w:t>
      </w:r>
      <w:r w:rsidR="0036331F" w:rsidRPr="003A1F64">
        <w:rPr>
          <w:i/>
          <w:iCs/>
          <w:color w:val="000000" w:themeColor="text1"/>
        </w:rPr>
        <w:t>July each year].</w:t>
      </w:r>
    </w:p>
    <w:p w:rsidR="00BB6557" w:rsidRPr="003A1F64" w:rsidRDefault="00BB6557" w:rsidP="00B5480C">
      <w:pPr>
        <w:pStyle w:val="Heading3"/>
      </w:pPr>
      <w:r w:rsidRPr="003A1F64">
        <w:t>Other reasons</w:t>
      </w:r>
    </w:p>
    <w:p w:rsidR="00BB6557" w:rsidRPr="003A1F64" w:rsidRDefault="00BB6557" w:rsidP="00527F90">
      <w:pPr>
        <w:rPr>
          <w:rFonts w:eastAsia="Times New Roman"/>
        </w:rPr>
      </w:pPr>
      <w:r w:rsidRPr="003A1F64">
        <w:rPr>
          <w:rFonts w:eastAsia="Times New Roman"/>
        </w:rPr>
        <w:t>Where the reason that an agreement is non-quantifiable is not one of those listed above, the WAD will code it as</w:t>
      </w:r>
      <w:r w:rsidR="007F69C2" w:rsidRPr="003A1F64">
        <w:rPr>
          <w:rFonts w:eastAsia="Times New Roman"/>
        </w:rPr>
        <w:t xml:space="preserve"> non-quantifiable for</w:t>
      </w:r>
      <w:r w:rsidRPr="003A1F64">
        <w:rPr>
          <w:rFonts w:eastAsia="Times New Roman"/>
        </w:rPr>
        <w:t xml:space="preserve"> ‘other reason</w:t>
      </w:r>
      <w:r w:rsidR="007F69C2" w:rsidRPr="003A1F64">
        <w:rPr>
          <w:rFonts w:eastAsia="Times New Roman"/>
        </w:rPr>
        <w:t>s</w:t>
      </w:r>
      <w:r w:rsidRPr="003A1F64">
        <w:rPr>
          <w:rFonts w:eastAsia="Times New Roman"/>
        </w:rPr>
        <w:t>’.</w:t>
      </w:r>
    </w:p>
    <w:p w:rsidR="00AB6DAF" w:rsidRPr="003A1F64" w:rsidRDefault="00AB6DAF" w:rsidP="00527F90">
      <w:pPr>
        <w:rPr>
          <w:rFonts w:eastAsia="Times New Roman"/>
        </w:rPr>
      </w:pPr>
      <w:r w:rsidRPr="003A1F64">
        <w:rPr>
          <w:rFonts w:eastAsia="Times New Roman"/>
        </w:rPr>
        <w:t>In December quarter 2015 48.7 per cent of non-quantifiable agreements had inconsistent wage increases covering 23.7 per cent of employees.</w:t>
      </w:r>
    </w:p>
    <w:p w:rsidR="00BB6557" w:rsidRPr="003A1F64" w:rsidRDefault="00D0269D" w:rsidP="00527F90">
      <w:pPr>
        <w:rPr>
          <w:rFonts w:eastAsia="Times New Roman"/>
        </w:rPr>
      </w:pPr>
      <w:r>
        <w:rPr>
          <w:rFonts w:eastAsia="Times New Roman"/>
        </w:rPr>
        <w:t>“</w:t>
      </w:r>
      <w:r w:rsidR="00BB6557" w:rsidRPr="003A1F64">
        <w:rPr>
          <w:rFonts w:eastAsia="Times New Roman"/>
        </w:rPr>
        <w:t>Other reasons</w:t>
      </w:r>
      <w:r>
        <w:rPr>
          <w:rFonts w:eastAsia="Times New Roman"/>
        </w:rPr>
        <w:t>”</w:t>
      </w:r>
      <w:r w:rsidR="00BB6557" w:rsidRPr="003A1F64">
        <w:rPr>
          <w:rFonts w:eastAsia="Times New Roman"/>
        </w:rPr>
        <w:t xml:space="preserve"> that the WAD ha</w:t>
      </w:r>
      <w:r>
        <w:rPr>
          <w:rFonts w:eastAsia="Times New Roman"/>
        </w:rPr>
        <w:t>s</w:t>
      </w:r>
      <w:r w:rsidR="00BB6557" w:rsidRPr="003A1F64">
        <w:rPr>
          <w:rFonts w:eastAsia="Times New Roman"/>
        </w:rPr>
        <w:t xml:space="preserve"> coded include that:</w:t>
      </w:r>
    </w:p>
    <w:p w:rsidR="00F00330" w:rsidRPr="00A10CF2" w:rsidRDefault="00F00330" w:rsidP="00B5480C">
      <w:pPr>
        <w:pStyle w:val="Heading4"/>
      </w:pPr>
      <w:r w:rsidRPr="00A10CF2">
        <w:t>Increases are based on internal annual wage reviews or at the company discretion, and may be dependent on company performance.</w:t>
      </w:r>
    </w:p>
    <w:p w:rsidR="00F00330" w:rsidRPr="003A1F64" w:rsidRDefault="00121005" w:rsidP="00527F90">
      <w:pPr>
        <w:ind w:left="720"/>
        <w:rPr>
          <w:rFonts w:eastAsia="Times New Roman"/>
        </w:rPr>
      </w:pPr>
      <w:r>
        <w:rPr>
          <w:rFonts w:eastAsia="Times New Roman"/>
        </w:rPr>
        <w:t xml:space="preserve">For example, in this mining agreement, </w:t>
      </w:r>
      <w:r w:rsidR="00F00330" w:rsidRPr="003A1F64">
        <w:rPr>
          <w:rFonts w:eastAsia="Times New Roman"/>
        </w:rPr>
        <w:t>the company notes a number of factors it will consider when deciding on annual increases, including corporate performance:</w:t>
      </w:r>
    </w:p>
    <w:p w:rsidR="00BE1E52" w:rsidRPr="003A1F64" w:rsidRDefault="00F00330" w:rsidP="00912D32">
      <w:pPr>
        <w:autoSpaceDE w:val="0"/>
        <w:autoSpaceDN w:val="0"/>
        <w:adjustRightInd w:val="0"/>
        <w:spacing w:after="0" w:line="240" w:lineRule="auto"/>
        <w:ind w:left="720"/>
        <w:rPr>
          <w:rFonts w:eastAsia="Times New Roman"/>
        </w:rPr>
      </w:pPr>
      <w:r w:rsidRPr="003A1F64">
        <w:rPr>
          <w:i/>
          <w:iCs/>
          <w:color w:val="000000" w:themeColor="text1"/>
        </w:rPr>
        <w:t>Annual Salaries will be reviewed annually. Any adjustment will be at the Company's discretion. The review will be based on the Company's performance, market conditions, industry salary movements generally, and other relevant factors.</w:t>
      </w:r>
    </w:p>
    <w:p w:rsidR="00BE1E52" w:rsidRPr="00A10CF2" w:rsidRDefault="00BB6557" w:rsidP="00B5480C">
      <w:pPr>
        <w:pStyle w:val="Heading4"/>
      </w:pPr>
      <w:r w:rsidRPr="00A10CF2">
        <w:lastRenderedPageBreak/>
        <w:t>Increases are dependent on funding</w:t>
      </w:r>
      <w:r w:rsidR="004A61EE" w:rsidRPr="00A10CF2">
        <w:t>.</w:t>
      </w:r>
    </w:p>
    <w:p w:rsidR="00AF3E63" w:rsidRPr="003A1F64" w:rsidRDefault="00AF3E63" w:rsidP="00527F90">
      <w:pPr>
        <w:pStyle w:val="ListParagraph"/>
        <w:rPr>
          <w:rFonts w:eastAsia="Times New Roman"/>
        </w:rPr>
      </w:pPr>
      <w:r w:rsidRPr="003A1F64">
        <w:rPr>
          <w:rFonts w:eastAsia="Times New Roman"/>
        </w:rPr>
        <w:t>Business</w:t>
      </w:r>
      <w:r w:rsidR="00D0269D">
        <w:rPr>
          <w:rFonts w:eastAsia="Times New Roman"/>
        </w:rPr>
        <w:t>es</w:t>
      </w:r>
      <w:r w:rsidRPr="003A1F64">
        <w:rPr>
          <w:rFonts w:eastAsia="Times New Roman"/>
        </w:rPr>
        <w:t xml:space="preserve"> that are dependent on funding for wage agreements </w:t>
      </w:r>
      <w:r w:rsidR="00D0269D">
        <w:rPr>
          <w:rFonts w:eastAsia="Times New Roman"/>
        </w:rPr>
        <w:t>-</w:t>
      </w:r>
      <w:r w:rsidR="0042627E" w:rsidRPr="003A1F64">
        <w:rPr>
          <w:rFonts w:eastAsia="Times New Roman"/>
        </w:rPr>
        <w:t>mainly</w:t>
      </w:r>
      <w:r w:rsidRPr="003A1F64">
        <w:rPr>
          <w:rFonts w:eastAsia="Times New Roman"/>
        </w:rPr>
        <w:t xml:space="preserve"> contractors </w:t>
      </w:r>
      <w:r w:rsidR="00121005">
        <w:rPr>
          <w:rFonts w:eastAsia="Times New Roman"/>
        </w:rPr>
        <w:t xml:space="preserve">reliant </w:t>
      </w:r>
      <w:r w:rsidRPr="003A1F64">
        <w:rPr>
          <w:rFonts w:eastAsia="Times New Roman"/>
        </w:rPr>
        <w:t>on particular new or renewed contracts</w:t>
      </w:r>
      <w:r w:rsidR="00D0269D">
        <w:rPr>
          <w:rFonts w:eastAsia="Times New Roman"/>
        </w:rPr>
        <w:t xml:space="preserve"> -</w:t>
      </w:r>
      <w:r w:rsidRPr="003A1F64">
        <w:rPr>
          <w:rFonts w:eastAsia="Times New Roman"/>
        </w:rPr>
        <w:t xml:space="preserve"> however business</w:t>
      </w:r>
      <w:r w:rsidR="00121005">
        <w:rPr>
          <w:rFonts w:eastAsia="Times New Roman"/>
        </w:rPr>
        <w:t>es</w:t>
      </w:r>
      <w:r w:rsidRPr="003A1F64">
        <w:rPr>
          <w:rFonts w:eastAsia="Times New Roman"/>
        </w:rPr>
        <w:t xml:space="preserve"> dependent on government grants (such as service providers) and business</w:t>
      </w:r>
      <w:r w:rsidR="00121005">
        <w:rPr>
          <w:rFonts w:eastAsia="Times New Roman"/>
        </w:rPr>
        <w:t>es</w:t>
      </w:r>
      <w:r w:rsidRPr="003A1F64">
        <w:rPr>
          <w:rFonts w:eastAsia="Times New Roman"/>
        </w:rPr>
        <w:t xml:space="preserve"> that bid for work </w:t>
      </w:r>
      <w:r w:rsidR="00121005">
        <w:rPr>
          <w:rFonts w:eastAsia="Times New Roman"/>
        </w:rPr>
        <w:t>(</w:t>
      </w:r>
      <w:r w:rsidRPr="003A1F64">
        <w:rPr>
          <w:rFonts w:eastAsia="Times New Roman"/>
        </w:rPr>
        <w:t>such as various contractors</w:t>
      </w:r>
      <w:r w:rsidR="00121005">
        <w:rPr>
          <w:rFonts w:eastAsia="Times New Roman"/>
        </w:rPr>
        <w:t>)</w:t>
      </w:r>
      <w:r w:rsidRPr="003A1F64">
        <w:rPr>
          <w:rFonts w:eastAsia="Times New Roman"/>
        </w:rPr>
        <w:t xml:space="preserve"> may also be include</w:t>
      </w:r>
      <w:r w:rsidR="00121005">
        <w:rPr>
          <w:rFonts w:eastAsia="Times New Roman"/>
        </w:rPr>
        <w:t>d</w:t>
      </w:r>
      <w:r w:rsidRPr="003A1F64">
        <w:rPr>
          <w:rFonts w:eastAsia="Times New Roman"/>
        </w:rPr>
        <w:t xml:space="preserve"> here. </w:t>
      </w:r>
    </w:p>
    <w:p w:rsidR="00C42A45" w:rsidRPr="00A10CF2" w:rsidRDefault="00F00330" w:rsidP="00B5480C">
      <w:pPr>
        <w:pStyle w:val="Heading4"/>
      </w:pPr>
      <w:r w:rsidRPr="00A10CF2">
        <w:t>The mechanism for wage increases is ambiguous, or multi-factored.</w:t>
      </w:r>
    </w:p>
    <w:p w:rsidR="00C42A45" w:rsidRPr="003A1F64" w:rsidRDefault="00C42A45" w:rsidP="00527F90">
      <w:pPr>
        <w:ind w:left="720"/>
        <w:rPr>
          <w:rFonts w:eastAsia="Times New Roman"/>
        </w:rPr>
      </w:pPr>
      <w:r w:rsidRPr="003A1F64">
        <w:rPr>
          <w:rFonts w:eastAsia="Times New Roman"/>
        </w:rPr>
        <w:t>Some agreements contain multiple methodologies to calculate wage increases. This may be because different cohorts of employees have their increase calculated in different ways, or a single employee may see their pay increase in several ways. This agreement from a small professional services firm is typical, and provides separate mechanisms to increase the components listed</w:t>
      </w:r>
      <w:r w:rsidR="007F69C2" w:rsidRPr="003A1F64">
        <w:rPr>
          <w:rFonts w:eastAsia="Times New Roman"/>
        </w:rPr>
        <w:t>:</w:t>
      </w:r>
    </w:p>
    <w:p w:rsidR="00C42A45" w:rsidRPr="003A1F64" w:rsidRDefault="00C42A45" w:rsidP="00527F90">
      <w:pPr>
        <w:autoSpaceDE w:val="0"/>
        <w:autoSpaceDN w:val="0"/>
        <w:adjustRightInd w:val="0"/>
        <w:spacing w:after="0" w:line="240" w:lineRule="auto"/>
        <w:ind w:left="720"/>
        <w:rPr>
          <w:i/>
          <w:iCs/>
          <w:color w:val="000000" w:themeColor="text1"/>
        </w:rPr>
      </w:pPr>
      <w:r w:rsidRPr="003A1F64">
        <w:rPr>
          <w:i/>
          <w:iCs/>
          <w:color w:val="000000" w:themeColor="text1"/>
        </w:rPr>
        <w:t>10.2 Total remuneration</w:t>
      </w:r>
    </w:p>
    <w:p w:rsidR="00C42A45" w:rsidRPr="003A1F64" w:rsidRDefault="00C42A45" w:rsidP="00527F90">
      <w:pPr>
        <w:autoSpaceDE w:val="0"/>
        <w:autoSpaceDN w:val="0"/>
        <w:adjustRightInd w:val="0"/>
        <w:spacing w:after="0" w:line="240" w:lineRule="auto"/>
        <w:ind w:left="720"/>
        <w:rPr>
          <w:i/>
          <w:iCs/>
          <w:color w:val="000000" w:themeColor="text1"/>
        </w:rPr>
      </w:pPr>
      <w:r w:rsidRPr="003A1F64">
        <w:rPr>
          <w:i/>
          <w:iCs/>
          <w:color w:val="000000" w:themeColor="text1"/>
        </w:rPr>
        <w:t>Your base salary is only one part of the total remuneration you receive for the work you perform […]. As an […] employee your total remuneration may comprise a number of direct and indirect components including:</w:t>
      </w:r>
    </w:p>
    <w:p w:rsidR="00C42A45" w:rsidRPr="00121005" w:rsidRDefault="00C42A45" w:rsidP="00527F90">
      <w:pPr>
        <w:pStyle w:val="ListParagraph"/>
        <w:numPr>
          <w:ilvl w:val="1"/>
          <w:numId w:val="11"/>
        </w:numPr>
        <w:autoSpaceDE w:val="0"/>
        <w:autoSpaceDN w:val="0"/>
        <w:adjustRightInd w:val="0"/>
        <w:spacing w:after="0" w:line="240" w:lineRule="auto"/>
        <w:rPr>
          <w:i/>
          <w:iCs/>
          <w:color w:val="000000" w:themeColor="text1"/>
        </w:rPr>
      </w:pPr>
      <w:r w:rsidRPr="00121005">
        <w:rPr>
          <w:i/>
          <w:iCs/>
          <w:color w:val="000000" w:themeColor="text1"/>
        </w:rPr>
        <w:t>base salary;</w:t>
      </w:r>
    </w:p>
    <w:p w:rsidR="00C42A45" w:rsidRPr="00121005" w:rsidRDefault="00C42A45" w:rsidP="00527F90">
      <w:pPr>
        <w:pStyle w:val="ListParagraph"/>
        <w:numPr>
          <w:ilvl w:val="1"/>
          <w:numId w:val="11"/>
        </w:numPr>
        <w:autoSpaceDE w:val="0"/>
        <w:autoSpaceDN w:val="0"/>
        <w:adjustRightInd w:val="0"/>
        <w:spacing w:after="0" w:line="240" w:lineRule="auto"/>
        <w:rPr>
          <w:i/>
          <w:iCs/>
          <w:color w:val="000000" w:themeColor="text1"/>
        </w:rPr>
      </w:pPr>
      <w:r w:rsidRPr="00121005">
        <w:rPr>
          <w:i/>
          <w:iCs/>
          <w:color w:val="000000" w:themeColor="text1"/>
        </w:rPr>
        <w:t>performance increases; and</w:t>
      </w:r>
    </w:p>
    <w:p w:rsidR="00964984" w:rsidRPr="00121005" w:rsidRDefault="00C42A45" w:rsidP="00527F90">
      <w:pPr>
        <w:pStyle w:val="ListParagraph"/>
        <w:numPr>
          <w:ilvl w:val="1"/>
          <w:numId w:val="11"/>
        </w:numPr>
        <w:rPr>
          <w:rFonts w:eastAsia="Times New Roman"/>
        </w:rPr>
      </w:pPr>
      <w:proofErr w:type="gramStart"/>
      <w:r w:rsidRPr="00121005">
        <w:rPr>
          <w:i/>
          <w:iCs/>
          <w:color w:val="000000" w:themeColor="text1"/>
        </w:rPr>
        <w:t>incentive</w:t>
      </w:r>
      <w:proofErr w:type="gramEnd"/>
      <w:r w:rsidRPr="00121005">
        <w:rPr>
          <w:i/>
          <w:iCs/>
          <w:color w:val="000000" w:themeColor="text1"/>
        </w:rPr>
        <w:t xml:space="preserve"> schemes.</w:t>
      </w:r>
    </w:p>
    <w:p w:rsidR="00AB6DAF" w:rsidRPr="003A1F64" w:rsidRDefault="00E94CE0" w:rsidP="00527F90">
      <w:pPr>
        <w:rPr>
          <w:rFonts w:eastAsia="Times New Roman"/>
        </w:rPr>
      </w:pPr>
      <w:r w:rsidRPr="003A1F64">
        <w:rPr>
          <w:rFonts w:eastAsia="Times New Roman"/>
        </w:rPr>
        <w:t xml:space="preserve">Due to the broad range of reasons included as part of the ‘other reasons’, </w:t>
      </w:r>
      <w:r w:rsidR="00121005">
        <w:rPr>
          <w:rFonts w:eastAsia="Times New Roman"/>
        </w:rPr>
        <w:t>there are few</w:t>
      </w:r>
      <w:r w:rsidR="007F69C2" w:rsidRPr="003A1F64">
        <w:rPr>
          <w:rFonts w:eastAsia="Times New Roman"/>
        </w:rPr>
        <w:t xml:space="preserve"> common</w:t>
      </w:r>
      <w:r w:rsidRPr="003A1F64">
        <w:rPr>
          <w:rFonts w:eastAsia="Times New Roman"/>
        </w:rPr>
        <w:t xml:space="preserve"> characteristics of agreements or employers in this category.</w:t>
      </w:r>
    </w:p>
    <w:p w:rsidR="007F5ED4" w:rsidRPr="003A1F64" w:rsidRDefault="0042627E" w:rsidP="00527F90">
      <w:pPr>
        <w:pStyle w:val="Heading1"/>
      </w:pPr>
      <w:r w:rsidRPr="003A1F64">
        <w:rPr>
          <w:rFonts w:eastAsia="Times New Roman"/>
        </w:rPr>
        <w:t xml:space="preserve">Characteristics </w:t>
      </w:r>
      <w:r w:rsidR="00BB6557" w:rsidRPr="003A1F64">
        <w:rPr>
          <w:rFonts w:eastAsia="Times New Roman"/>
        </w:rPr>
        <w:t>of non-quantifiable agreement</w:t>
      </w:r>
      <w:r w:rsidRPr="003A1F64">
        <w:rPr>
          <w:rFonts w:eastAsia="Times New Roman"/>
        </w:rPr>
        <w:t>s</w:t>
      </w:r>
    </w:p>
    <w:p w:rsidR="00BB6557" w:rsidRPr="003A1F64" w:rsidRDefault="00BB6557" w:rsidP="00A10CF2">
      <w:pPr>
        <w:pStyle w:val="Heading2"/>
      </w:pPr>
      <w:r w:rsidRPr="003A1F64">
        <w:t>Industry</w:t>
      </w:r>
    </w:p>
    <w:p w:rsidR="00BB6557" w:rsidRPr="003A1F64" w:rsidRDefault="00BB6557" w:rsidP="00527F90">
      <w:pPr>
        <w:pStyle w:val="Quote"/>
        <w:rPr>
          <w:rFonts w:eastAsia="Times New Roman"/>
          <w:i w:val="0"/>
          <w:iCs w:val="0"/>
          <w:color w:val="auto"/>
        </w:rPr>
      </w:pPr>
      <w:r w:rsidRPr="003A1F64">
        <w:rPr>
          <w:rFonts w:eastAsia="Times New Roman"/>
          <w:i w:val="0"/>
          <w:iCs w:val="0"/>
          <w:color w:val="auto"/>
        </w:rPr>
        <w:t xml:space="preserve">There are four industries where employees on agreements are </w:t>
      </w:r>
      <w:r w:rsidR="007F69C2" w:rsidRPr="003A1F64">
        <w:rPr>
          <w:rFonts w:eastAsia="Times New Roman"/>
          <w:i w:val="0"/>
          <w:iCs w:val="0"/>
          <w:color w:val="auto"/>
        </w:rPr>
        <w:t xml:space="preserve">most </w:t>
      </w:r>
      <w:r w:rsidRPr="003A1F64">
        <w:rPr>
          <w:rFonts w:eastAsia="Times New Roman"/>
          <w:i w:val="0"/>
          <w:iCs w:val="0"/>
          <w:color w:val="auto"/>
        </w:rPr>
        <w:t>likely to be employed under a non-quantifiable agreement.</w:t>
      </w:r>
      <w:r w:rsidR="001C33B9" w:rsidRPr="003A1F64">
        <w:rPr>
          <w:rFonts w:eastAsia="Times New Roman"/>
          <w:i w:val="0"/>
          <w:iCs w:val="0"/>
          <w:color w:val="auto"/>
        </w:rPr>
        <w:t xml:space="preserve"> </w:t>
      </w:r>
    </w:p>
    <w:p w:rsidR="00BB6557" w:rsidRPr="003A1F64" w:rsidRDefault="00BB6557" w:rsidP="00527F90">
      <w:r w:rsidRPr="003A1F64">
        <w:t>In Accommodation and Food Services, 90.3 per cent of employees have non-quantifiable wage increases from 67.8 per cent of agreements. The high proportion of non-quantifiable increases on this sector is accounted for by the fact that ma</w:t>
      </w:r>
      <w:r w:rsidR="007F69C2" w:rsidRPr="003A1F64">
        <w:t>n</w:t>
      </w:r>
      <w:r w:rsidRPr="003A1F64">
        <w:t xml:space="preserve">y agreements in this sector allow for increases based on </w:t>
      </w:r>
      <w:r w:rsidR="00C03F3F" w:rsidRPr="003A1F64">
        <w:t>Fair Work Commission</w:t>
      </w:r>
      <w:r w:rsidRPr="003A1F64">
        <w:t xml:space="preserve"> wage reviews</w:t>
      </w:r>
      <w:r w:rsidR="001531A6" w:rsidRPr="003A1F64">
        <w:t>.</w:t>
      </w:r>
      <w:r w:rsidRPr="003A1F64">
        <w:t xml:space="preserve"> The </w:t>
      </w:r>
      <w:r w:rsidR="001531A6" w:rsidRPr="003A1F64">
        <w:t xml:space="preserve">low skilled nature of the industry and </w:t>
      </w:r>
      <w:r w:rsidRPr="003A1F64">
        <w:t xml:space="preserve">low occurrence of union agreements </w:t>
      </w:r>
      <w:r w:rsidR="00F97F3D" w:rsidRPr="003A1F64">
        <w:t xml:space="preserve">contribute </w:t>
      </w:r>
      <w:r w:rsidRPr="003A1F64">
        <w:t>to the high incidence of non-quantifiable agreements.</w:t>
      </w:r>
    </w:p>
    <w:p w:rsidR="00BB6557" w:rsidRPr="003A1F64" w:rsidRDefault="00BB6557" w:rsidP="00527F90">
      <w:pPr>
        <w:pStyle w:val="Quote"/>
        <w:rPr>
          <w:rFonts w:eastAsia="Times New Roman"/>
          <w:i w:val="0"/>
          <w:iCs w:val="0"/>
          <w:color w:val="auto"/>
        </w:rPr>
      </w:pPr>
      <w:r w:rsidRPr="003A1F64">
        <w:rPr>
          <w:rFonts w:eastAsia="Times New Roman"/>
          <w:i w:val="0"/>
          <w:iCs w:val="0"/>
          <w:color w:val="auto"/>
        </w:rPr>
        <w:t>In the Financial and Insurance Services industry, 86.1 per cent of employees with an agreement have non-quantifiable wage increases, despite only 42.3 per cent of agreements in the sector being non-quantifiable. Based on current agreements, the most common reason that agreements are non-quantifiable in this sector is ‘other reasons’, however performance-linked agreements are also very common.</w:t>
      </w:r>
      <w:r w:rsidR="00B04240" w:rsidRPr="003A1F64">
        <w:rPr>
          <w:rFonts w:eastAsia="Times New Roman"/>
          <w:i w:val="0"/>
          <w:iCs w:val="0"/>
          <w:color w:val="auto"/>
        </w:rPr>
        <w:t xml:space="preserve"> About 64 per cent of employees in the Financial </w:t>
      </w:r>
      <w:r w:rsidR="001832F0" w:rsidRPr="003A1F64">
        <w:rPr>
          <w:rFonts w:eastAsia="Times New Roman"/>
          <w:i w:val="0"/>
          <w:iCs w:val="0"/>
          <w:color w:val="auto"/>
        </w:rPr>
        <w:t xml:space="preserve">and Insurance Services </w:t>
      </w:r>
      <w:r w:rsidR="001832F0">
        <w:rPr>
          <w:rFonts w:eastAsia="Times New Roman"/>
          <w:i w:val="0"/>
          <w:iCs w:val="0"/>
          <w:color w:val="auto"/>
        </w:rPr>
        <w:t>industry</w:t>
      </w:r>
      <w:r w:rsidR="00B04240" w:rsidRPr="003A1F64">
        <w:rPr>
          <w:rFonts w:eastAsia="Times New Roman"/>
          <w:i w:val="0"/>
          <w:iCs w:val="0"/>
          <w:color w:val="auto"/>
        </w:rPr>
        <w:t xml:space="preserve"> with non-quantifiable agreements are covered by very large agreements (43 per cent are covered by the largest four agreements alone).</w:t>
      </w:r>
    </w:p>
    <w:p w:rsidR="00BB6557" w:rsidRPr="003A1F64" w:rsidRDefault="00BB6557" w:rsidP="00527F90">
      <w:r w:rsidRPr="003A1F64">
        <w:t xml:space="preserve">Information, Media and Telecommunications has 79.8 per cent of agreement-reliant employees on non-quantifiable agreements. </w:t>
      </w:r>
      <w:r w:rsidR="001531A6" w:rsidRPr="003A1F64">
        <w:t>This includes the Telstra enterprise agreement</w:t>
      </w:r>
      <w:r w:rsidR="00606D09" w:rsidRPr="003A1F64">
        <w:t>, which covers 28,299 employees</w:t>
      </w:r>
      <w:r w:rsidR="00F97F3D" w:rsidRPr="003A1F64">
        <w:t>,</w:t>
      </w:r>
      <w:r w:rsidR="00606D09" w:rsidRPr="003A1F64">
        <w:t xml:space="preserve"> representing 61 per cent of employees in the sector. </w:t>
      </w:r>
      <w:r w:rsidRPr="003A1F64">
        <w:t xml:space="preserve">Despite the significant majority of </w:t>
      </w:r>
      <w:r w:rsidRPr="003A1F64">
        <w:lastRenderedPageBreak/>
        <w:t>employees</w:t>
      </w:r>
      <w:r w:rsidR="00561888">
        <w:t xml:space="preserve"> being on non-quantifiable agreements</w:t>
      </w:r>
      <w:r w:rsidRPr="003A1F64">
        <w:t>, only 27.3 per cent of current agreements</w:t>
      </w:r>
      <w:r w:rsidR="00561888">
        <w:t xml:space="preserve"> themselves</w:t>
      </w:r>
      <w:r w:rsidRPr="003A1F64">
        <w:t xml:space="preserve"> include non-quantifiable wage increases. ‘Other reason</w:t>
      </w:r>
      <w:r w:rsidR="00F97F3D" w:rsidRPr="003A1F64">
        <w:t>s</w:t>
      </w:r>
      <w:r w:rsidRPr="003A1F64">
        <w:t xml:space="preserve">’ is the most common reason for the agreements being non-quantifiable. </w:t>
      </w:r>
    </w:p>
    <w:p w:rsidR="00BB6557" w:rsidRPr="003A1F64" w:rsidRDefault="00BB6557" w:rsidP="00527F90">
      <w:pPr>
        <w:rPr>
          <w:rFonts w:eastAsia="Times New Roman"/>
        </w:rPr>
      </w:pPr>
      <w:r w:rsidRPr="003A1F64">
        <w:rPr>
          <w:rFonts w:eastAsia="Times New Roman"/>
        </w:rPr>
        <w:t>In the Mining industry 61.5 per cent of employees on current agreements have non-quantifiable wage increases, representing 48.1 per cent of agreements</w:t>
      </w:r>
      <w:r w:rsidR="00250BEF" w:rsidRPr="003A1F64">
        <w:rPr>
          <w:rFonts w:eastAsia="Times New Roman"/>
        </w:rPr>
        <w:t>.</w:t>
      </w:r>
    </w:p>
    <w:p w:rsidR="00BB6557" w:rsidRPr="003A1F64" w:rsidRDefault="00BB6557" w:rsidP="00527F90">
      <w:pPr>
        <w:rPr>
          <w:rFonts w:eastAsia="Times New Roman"/>
        </w:rPr>
      </w:pPr>
      <w:r w:rsidRPr="003A1F64">
        <w:rPr>
          <w:rFonts w:eastAsia="Times New Roman"/>
        </w:rPr>
        <w:t xml:space="preserve">The Electricity, Gas, Water and Waste Services sector has the lowest incidence of both proportion of employees (8.5 per cent) and proportion of agreements (9.7 per cent) being non-quantifiable among current agreements. </w:t>
      </w:r>
      <w:r w:rsidR="00FC3D07" w:rsidRPr="003A1F64">
        <w:rPr>
          <w:rFonts w:eastAsia="Times New Roman"/>
        </w:rPr>
        <w:t>C</w:t>
      </w:r>
      <w:r w:rsidRPr="003A1F64">
        <w:rPr>
          <w:rFonts w:eastAsia="Times New Roman"/>
        </w:rPr>
        <w:t>urrent agreements are dominated by a small number of large union agreements</w:t>
      </w:r>
      <w:r w:rsidR="001832F0">
        <w:rPr>
          <w:rFonts w:eastAsia="Times New Roman"/>
        </w:rPr>
        <w:t xml:space="preserve"> with</w:t>
      </w:r>
      <w:r w:rsidRPr="003A1F64">
        <w:rPr>
          <w:rFonts w:eastAsia="Times New Roman"/>
        </w:rPr>
        <w:t xml:space="preserve"> clear and fixed wage increases.</w:t>
      </w:r>
      <w:r w:rsidR="001C33B9" w:rsidRPr="003A1F64">
        <w:rPr>
          <w:rFonts w:eastAsia="Times New Roman"/>
        </w:rPr>
        <w:t xml:space="preserve"> </w:t>
      </w:r>
    </w:p>
    <w:p w:rsidR="00603815" w:rsidRPr="003A1F64" w:rsidRDefault="000E5F50" w:rsidP="00527F90">
      <w:pPr>
        <w:rPr>
          <w:rFonts w:eastAsia="Times New Roman"/>
        </w:rPr>
      </w:pPr>
      <w:r w:rsidRPr="003A1F64">
        <w:rPr>
          <w:rFonts w:eastAsia="Times New Roman"/>
        </w:rPr>
        <w:t xml:space="preserve">While </w:t>
      </w:r>
      <w:r w:rsidR="00FC3D07" w:rsidRPr="003A1F64">
        <w:rPr>
          <w:rFonts w:eastAsia="Times New Roman"/>
        </w:rPr>
        <w:t xml:space="preserve">a long </w:t>
      </w:r>
      <w:r w:rsidRPr="003A1F64">
        <w:rPr>
          <w:rFonts w:eastAsia="Times New Roman"/>
        </w:rPr>
        <w:t xml:space="preserve">time series </w:t>
      </w:r>
      <w:r w:rsidR="00FC3D07" w:rsidRPr="003A1F64">
        <w:rPr>
          <w:rFonts w:eastAsia="Times New Roman"/>
        </w:rPr>
        <w:t>industry analysis</w:t>
      </w:r>
      <w:r w:rsidRPr="003A1F64">
        <w:rPr>
          <w:rFonts w:eastAsia="Times New Roman"/>
        </w:rPr>
        <w:t xml:space="preserve"> ha</w:t>
      </w:r>
      <w:r w:rsidR="00561888">
        <w:rPr>
          <w:rFonts w:eastAsia="Times New Roman"/>
        </w:rPr>
        <w:t>s</w:t>
      </w:r>
      <w:r w:rsidRPr="003A1F64">
        <w:rPr>
          <w:rFonts w:eastAsia="Times New Roman"/>
        </w:rPr>
        <w:t xml:space="preserve"> not been conducted, over the last few quarters the industry distribution of non-quantifiable agreements seems relatively consistent.</w:t>
      </w:r>
    </w:p>
    <w:p w:rsidR="000E5F50" w:rsidRPr="003A1F64" w:rsidRDefault="00603815" w:rsidP="00527F90">
      <w:pPr>
        <w:rPr>
          <w:rFonts w:eastAsia="Times New Roman"/>
        </w:rPr>
      </w:pPr>
      <w:r w:rsidRPr="003A1F64">
        <w:rPr>
          <w:rFonts w:eastAsia="Times New Roman"/>
        </w:rPr>
        <w:t xml:space="preserve">The following chart shows non-quantifiable agreements </w:t>
      </w:r>
      <w:r w:rsidR="00AF7B72">
        <w:rPr>
          <w:rFonts w:eastAsia="Times New Roman"/>
        </w:rPr>
        <w:t>disaggregated</w:t>
      </w:r>
      <w:r w:rsidRPr="003A1F64">
        <w:rPr>
          <w:rFonts w:eastAsia="Times New Roman"/>
        </w:rPr>
        <w:t xml:space="preserve"> by industry for both </w:t>
      </w:r>
      <w:r w:rsidR="00AF7B72">
        <w:rPr>
          <w:rFonts w:eastAsia="Times New Roman"/>
        </w:rPr>
        <w:t>proportion</w:t>
      </w:r>
      <w:r w:rsidRPr="003A1F64">
        <w:rPr>
          <w:rFonts w:eastAsia="Times New Roman"/>
        </w:rPr>
        <w:t xml:space="preserve"> of agreements and </w:t>
      </w:r>
      <w:r w:rsidR="00AF7B72">
        <w:rPr>
          <w:rFonts w:eastAsia="Times New Roman"/>
        </w:rPr>
        <w:t>proportion</w:t>
      </w:r>
      <w:r w:rsidRPr="003A1F64">
        <w:rPr>
          <w:rFonts w:eastAsia="Times New Roman"/>
        </w:rPr>
        <w:t xml:space="preserve"> of employees.</w:t>
      </w:r>
    </w:p>
    <w:p w:rsidR="00603815" w:rsidRPr="00A10CF2" w:rsidRDefault="00603815" w:rsidP="00874BBA">
      <w:pPr>
        <w:pStyle w:val="Caption"/>
      </w:pPr>
      <w:r w:rsidRPr="00A10CF2">
        <w:t>Proportion of current non-quantifiable agreements and employees by industry – as at December quarter 2015</w:t>
      </w:r>
    </w:p>
    <w:p w:rsidR="001A71AA" w:rsidRPr="001A71AA" w:rsidRDefault="001A71AA" w:rsidP="001A71AA">
      <w:pPr>
        <w:spacing w:after="0"/>
      </w:pPr>
      <w:r>
        <w:rPr>
          <w:noProof/>
          <w:lang w:eastAsia="en-AU"/>
        </w:rPr>
        <w:drawing>
          <wp:inline distT="0" distB="0" distL="0" distR="0" wp14:anchorId="62E5EBE5" wp14:editId="29978E61">
            <wp:extent cx="5742940" cy="4559935"/>
            <wp:effectExtent l="0" t="0" r="0" b="0"/>
            <wp:docPr id="4" name="Picture 4" descr="Accommodation and Food Services sector has the highest proportions of employees and agreements being non-quantifiable among current agreements, while the Electricity, Gas, Water and Waste Services sector has the lowest incidence of both propo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2940" cy="4559935"/>
                    </a:xfrm>
                    <a:prstGeom prst="rect">
                      <a:avLst/>
                    </a:prstGeom>
                    <a:noFill/>
                  </pic:spPr>
                </pic:pic>
              </a:graphicData>
            </a:graphic>
          </wp:inline>
        </w:drawing>
      </w:r>
    </w:p>
    <w:p w:rsidR="00603815" w:rsidRPr="003A1F64" w:rsidRDefault="00603815" w:rsidP="00527F90">
      <w:pPr>
        <w:pStyle w:val="Quote"/>
        <w:tabs>
          <w:tab w:val="left" w:pos="6915"/>
        </w:tabs>
        <w:rPr>
          <w:rStyle w:val="SubtleEmphasis"/>
        </w:rPr>
      </w:pPr>
      <w:r w:rsidRPr="00912D32">
        <w:rPr>
          <w:color w:val="auto"/>
          <w:sz w:val="16"/>
          <w:szCs w:val="16"/>
        </w:rPr>
        <w:t>Source: Department of Employment, Workplace Agreement Database, current agreements Dec 2015</w:t>
      </w:r>
    </w:p>
    <w:p w:rsidR="00BB6557" w:rsidRPr="003A1F64" w:rsidRDefault="00D00E21" w:rsidP="00A10CF2">
      <w:pPr>
        <w:pStyle w:val="Heading2"/>
      </w:pPr>
      <w:r w:rsidRPr="003A1F64">
        <w:lastRenderedPageBreak/>
        <w:t xml:space="preserve">Other </w:t>
      </w:r>
      <w:r w:rsidR="0042627E" w:rsidRPr="003A1F64">
        <w:t>characteristics</w:t>
      </w:r>
    </w:p>
    <w:p w:rsidR="00CE2319" w:rsidRPr="003A1F64" w:rsidRDefault="00F97F3D" w:rsidP="00527F90">
      <w:pPr>
        <w:rPr>
          <w:rFonts w:eastAsia="Times New Roman"/>
        </w:rPr>
      </w:pPr>
      <w:r w:rsidRPr="003A1F64">
        <w:rPr>
          <w:rFonts w:eastAsia="Times New Roman"/>
        </w:rPr>
        <w:t>N</w:t>
      </w:r>
      <w:r w:rsidR="00BB6557" w:rsidRPr="003A1F64">
        <w:rPr>
          <w:rFonts w:eastAsia="Times New Roman"/>
        </w:rPr>
        <w:t xml:space="preserve">on-quantifiable agreements are more likely to be non-union agreements. </w:t>
      </w:r>
      <w:r w:rsidR="00D00E21" w:rsidRPr="003A1F64">
        <w:rPr>
          <w:rFonts w:eastAsia="Times New Roman"/>
        </w:rPr>
        <w:t>In 2015, 51.3 per cent of non-union agreements were non-quantifiable and 64.9 per cent of non-union employees were covered by non-quantifiable agreements, compared to 20.7 per cent of union agreements covering 28.7 per cent of employees with union agreements.</w:t>
      </w:r>
      <w:r w:rsidR="001C33B9" w:rsidRPr="003A1F64">
        <w:rPr>
          <w:rFonts w:eastAsia="Times New Roman"/>
        </w:rPr>
        <w:t xml:space="preserve"> </w:t>
      </w:r>
    </w:p>
    <w:p w:rsidR="00EC0C8A" w:rsidRPr="003A1F64" w:rsidRDefault="00BB6557" w:rsidP="00527F90">
      <w:pPr>
        <w:rPr>
          <w:rFonts w:eastAsia="Times New Roman"/>
        </w:rPr>
      </w:pPr>
      <w:r w:rsidRPr="003A1F64">
        <w:rPr>
          <w:rFonts w:eastAsia="Times New Roman"/>
        </w:rPr>
        <w:t xml:space="preserve">In terms of both number of agreements and number of employees covered, agreements with non-quantifiable wage increases are much more likely to be in the private </w:t>
      </w:r>
      <w:r w:rsidR="00CE2319" w:rsidRPr="003A1F64">
        <w:rPr>
          <w:rFonts w:eastAsia="Times New Roman"/>
        </w:rPr>
        <w:t>than the public sector.</w:t>
      </w:r>
      <w:r w:rsidRPr="003A1F64">
        <w:rPr>
          <w:rFonts w:eastAsia="Times New Roman"/>
        </w:rPr>
        <w:t xml:space="preserve"> </w:t>
      </w:r>
      <w:r w:rsidR="00CE2319" w:rsidRPr="003A1F64">
        <w:rPr>
          <w:rFonts w:eastAsia="Times New Roman"/>
        </w:rPr>
        <w:t>In 2015, 32.1 per cent of private</w:t>
      </w:r>
      <w:r w:rsidR="00F97F3D" w:rsidRPr="003A1F64">
        <w:rPr>
          <w:rFonts w:eastAsia="Times New Roman"/>
        </w:rPr>
        <w:t xml:space="preserve"> sector</w:t>
      </w:r>
      <w:r w:rsidR="00CE2319" w:rsidRPr="003A1F64">
        <w:rPr>
          <w:rFonts w:eastAsia="Times New Roman"/>
        </w:rPr>
        <w:t xml:space="preserve"> agreements were non-quantifiable and 37.2 per cent of private sector employees were covered by non-quantifiable agreements, compared to</w:t>
      </w:r>
      <w:r w:rsidR="00E9181A">
        <w:rPr>
          <w:rFonts w:eastAsia="Times New Roman"/>
        </w:rPr>
        <w:t xml:space="preserve"> </w:t>
      </w:r>
      <w:r w:rsidR="00CE2319" w:rsidRPr="003A1F64">
        <w:rPr>
          <w:rFonts w:eastAsia="Times New Roman"/>
        </w:rPr>
        <w:t>11.6 per cent of public sector agreements covering 6.9 per cent of employees covered by public agreements. Much of this discrepancy could be linked to the larger size, higher union density, and industrial composition of public sector agreements.</w:t>
      </w:r>
    </w:p>
    <w:p w:rsidR="000E5F50" w:rsidRPr="003A1F64" w:rsidRDefault="0089403F" w:rsidP="00527F90">
      <w:pPr>
        <w:rPr>
          <w:rFonts w:eastAsia="Times New Roman"/>
        </w:rPr>
      </w:pPr>
      <w:r w:rsidRPr="003A1F64">
        <w:rPr>
          <w:rFonts w:eastAsia="Times New Roman"/>
        </w:rPr>
        <w:t>By size</w:t>
      </w:r>
      <w:r w:rsidR="00561888">
        <w:rPr>
          <w:rFonts w:eastAsia="Times New Roman"/>
        </w:rPr>
        <w:t>,</w:t>
      </w:r>
      <w:r w:rsidR="00BB6557" w:rsidRPr="003A1F64">
        <w:rPr>
          <w:rFonts w:eastAsia="Times New Roman"/>
        </w:rPr>
        <w:t xml:space="preserve"> </w:t>
      </w:r>
      <w:r w:rsidR="00561888" w:rsidRPr="003A1F64">
        <w:rPr>
          <w:rFonts w:eastAsia="Times New Roman"/>
        </w:rPr>
        <w:t>non-quantifiable agreements make up approximately one quarter of all</w:t>
      </w:r>
      <w:r w:rsidR="00561888">
        <w:rPr>
          <w:rFonts w:eastAsia="Times New Roman"/>
        </w:rPr>
        <w:t xml:space="preserve"> </w:t>
      </w:r>
      <w:r w:rsidR="00BB6557" w:rsidRPr="003A1F64">
        <w:rPr>
          <w:rFonts w:eastAsia="Times New Roman"/>
        </w:rPr>
        <w:t>medium</w:t>
      </w:r>
      <w:r w:rsidR="00DA155F" w:rsidRPr="003A1F64">
        <w:rPr>
          <w:rFonts w:eastAsia="Times New Roman"/>
        </w:rPr>
        <w:t>-</w:t>
      </w:r>
      <w:r w:rsidR="00BB6557" w:rsidRPr="003A1F64">
        <w:rPr>
          <w:rFonts w:eastAsia="Times New Roman"/>
        </w:rPr>
        <w:t>sized agreements (20-99 employees) and large</w:t>
      </w:r>
      <w:r w:rsidR="004A5776">
        <w:rPr>
          <w:rFonts w:eastAsia="Times New Roman"/>
        </w:rPr>
        <w:t xml:space="preserve"> agreements (100 and over employees)</w:t>
      </w:r>
      <w:r w:rsidR="00561888">
        <w:rPr>
          <w:rFonts w:eastAsia="Times New Roman"/>
        </w:rPr>
        <w:t>.</w:t>
      </w:r>
      <w:r w:rsidR="00BB6557" w:rsidRPr="003A1F64">
        <w:rPr>
          <w:rFonts w:eastAsia="Times New Roman"/>
        </w:rPr>
        <w:t xml:space="preserve"> Non-quantifiable agreements represent </w:t>
      </w:r>
      <w:r w:rsidR="00FE61EF">
        <w:rPr>
          <w:rFonts w:eastAsia="Times New Roman"/>
        </w:rPr>
        <w:t xml:space="preserve">a third </w:t>
      </w:r>
      <w:r w:rsidR="00BB6557" w:rsidRPr="003A1F64">
        <w:rPr>
          <w:rFonts w:eastAsia="Times New Roman"/>
        </w:rPr>
        <w:t xml:space="preserve">of all small agreements (19 or fewer employees covered). </w:t>
      </w:r>
    </w:p>
    <w:p w:rsidR="00BB6557" w:rsidRPr="003A1F64" w:rsidRDefault="00BB6557" w:rsidP="00527F90">
      <w:pPr>
        <w:rPr>
          <w:rFonts w:eastAsia="Times New Roman"/>
        </w:rPr>
      </w:pPr>
      <w:r w:rsidRPr="003A1F64">
        <w:rPr>
          <w:rFonts w:eastAsia="Times New Roman"/>
        </w:rPr>
        <w:t xml:space="preserve">When considering the proportion of employees covered by non-quantifiable agreements of particular sizes, employees under very large agreements are the most likely to have non-quantifiable wage increases. </w:t>
      </w:r>
      <w:r w:rsidR="00DA155F" w:rsidRPr="003A1F64">
        <w:rPr>
          <w:rFonts w:eastAsia="Times New Roman"/>
        </w:rPr>
        <w:t>T</w:t>
      </w:r>
      <w:r w:rsidRPr="003A1F64">
        <w:rPr>
          <w:rFonts w:eastAsia="Times New Roman"/>
        </w:rPr>
        <w:t>his is likely due to very large agreements covering diverse businesses that necessitate many classifications and worker types on a single agreement.</w:t>
      </w:r>
    </w:p>
    <w:p w:rsidR="00BB6557" w:rsidRPr="003A1F64" w:rsidRDefault="007F5ED4" w:rsidP="00B5480C">
      <w:pPr>
        <w:pStyle w:val="Heading1"/>
      </w:pPr>
      <w:r w:rsidRPr="003A1F64">
        <w:t xml:space="preserve">Trends over </w:t>
      </w:r>
      <w:r w:rsidR="004F2C3B" w:rsidRPr="003A1F64">
        <w:t>time</w:t>
      </w:r>
    </w:p>
    <w:p w:rsidR="00252121" w:rsidRPr="003A1F64" w:rsidRDefault="00252121" w:rsidP="00527F90">
      <w:pPr>
        <w:rPr>
          <w:rFonts w:eastAsia="Times New Roman"/>
        </w:rPr>
      </w:pPr>
      <w:r w:rsidRPr="003A1F64">
        <w:rPr>
          <w:rFonts w:eastAsia="Times New Roman"/>
        </w:rPr>
        <w:t xml:space="preserve">In general, </w:t>
      </w:r>
      <w:r w:rsidR="004F4AA9" w:rsidRPr="003A1F64">
        <w:rPr>
          <w:rFonts w:eastAsia="Times New Roman"/>
        </w:rPr>
        <w:t>since 2011,</w:t>
      </w:r>
      <w:r w:rsidR="00BB6557" w:rsidRPr="003A1F64">
        <w:rPr>
          <w:rFonts w:eastAsia="Times New Roman"/>
        </w:rPr>
        <w:t xml:space="preserve"> non-quantifiable agreements</w:t>
      </w:r>
      <w:r w:rsidR="006A746E" w:rsidRPr="003A1F64">
        <w:rPr>
          <w:rFonts w:eastAsia="Times New Roman"/>
        </w:rPr>
        <w:t xml:space="preserve"> have tended to become more common</w:t>
      </w:r>
      <w:r w:rsidR="00AF7B72">
        <w:rPr>
          <w:rFonts w:eastAsia="Times New Roman"/>
        </w:rPr>
        <w:t xml:space="preserve"> in both proportion</w:t>
      </w:r>
      <w:r w:rsidRPr="003A1F64">
        <w:rPr>
          <w:rFonts w:eastAsia="Times New Roman"/>
        </w:rPr>
        <w:t xml:space="preserve"> of agreements and </w:t>
      </w:r>
      <w:r w:rsidR="00AF7B72">
        <w:rPr>
          <w:rFonts w:eastAsia="Times New Roman"/>
        </w:rPr>
        <w:t>proportion</w:t>
      </w:r>
      <w:r w:rsidRPr="003A1F64">
        <w:rPr>
          <w:rFonts w:eastAsia="Times New Roman"/>
        </w:rPr>
        <w:t xml:space="preserve"> of employees</w:t>
      </w:r>
      <w:r w:rsidR="00BB6557" w:rsidRPr="003A1F64">
        <w:rPr>
          <w:rFonts w:eastAsia="Times New Roman"/>
        </w:rPr>
        <w:t xml:space="preserve">. </w:t>
      </w:r>
    </w:p>
    <w:p w:rsidR="00BB6557" w:rsidRPr="003A1F64" w:rsidRDefault="00252121" w:rsidP="00527F90">
      <w:pPr>
        <w:rPr>
          <w:rFonts w:eastAsia="Times New Roman"/>
        </w:rPr>
      </w:pPr>
      <w:r w:rsidRPr="003A1F64">
        <w:rPr>
          <w:rFonts w:eastAsia="Times New Roman"/>
        </w:rPr>
        <w:t>Variations in the</w:t>
      </w:r>
      <w:r w:rsidR="00BB6557" w:rsidRPr="003A1F64">
        <w:rPr>
          <w:rFonts w:eastAsia="Times New Roman"/>
        </w:rPr>
        <w:t xml:space="preserve"> proportion of employees </w:t>
      </w:r>
      <w:r w:rsidRPr="003A1F64">
        <w:rPr>
          <w:rFonts w:eastAsia="Times New Roman"/>
        </w:rPr>
        <w:t>covered by</w:t>
      </w:r>
      <w:r w:rsidR="00BB6557" w:rsidRPr="003A1F64">
        <w:rPr>
          <w:rFonts w:eastAsia="Times New Roman"/>
        </w:rPr>
        <w:t xml:space="preserve"> non-quantifiable agreement</w:t>
      </w:r>
      <w:r w:rsidRPr="003A1F64">
        <w:rPr>
          <w:rFonts w:eastAsia="Times New Roman"/>
        </w:rPr>
        <w:t>s</w:t>
      </w:r>
      <w:r w:rsidR="00BB6557" w:rsidRPr="003A1F64">
        <w:rPr>
          <w:rFonts w:eastAsia="Times New Roman"/>
        </w:rPr>
        <w:t xml:space="preserve"> </w:t>
      </w:r>
      <w:r w:rsidRPr="003A1F64">
        <w:rPr>
          <w:rFonts w:eastAsia="Times New Roman"/>
        </w:rPr>
        <w:t>may appear</w:t>
      </w:r>
      <w:r w:rsidR="00BB6557" w:rsidRPr="003A1F64">
        <w:rPr>
          <w:rFonts w:eastAsia="Times New Roman"/>
        </w:rPr>
        <w:t xml:space="preserve"> quite </w:t>
      </w:r>
      <w:r w:rsidR="00561888" w:rsidRPr="003A1F64">
        <w:rPr>
          <w:rFonts w:eastAsia="Times New Roman"/>
        </w:rPr>
        <w:t>incons</w:t>
      </w:r>
      <w:r w:rsidR="00561888">
        <w:rPr>
          <w:rFonts w:eastAsia="Times New Roman"/>
        </w:rPr>
        <w:t>is</w:t>
      </w:r>
      <w:r w:rsidR="00561888" w:rsidRPr="003A1F64">
        <w:rPr>
          <w:rFonts w:eastAsia="Times New Roman"/>
        </w:rPr>
        <w:t>tent</w:t>
      </w:r>
      <w:r w:rsidRPr="003A1F64">
        <w:rPr>
          <w:rFonts w:eastAsia="Times New Roman"/>
        </w:rPr>
        <w:t xml:space="preserve"> however this is accounted for by</w:t>
      </w:r>
      <w:r w:rsidR="00BB6557" w:rsidRPr="003A1F64">
        <w:rPr>
          <w:rFonts w:eastAsia="Times New Roman"/>
        </w:rPr>
        <w:t xml:space="preserve"> </w:t>
      </w:r>
      <w:r w:rsidRPr="003A1F64">
        <w:rPr>
          <w:rFonts w:eastAsia="Times New Roman"/>
        </w:rPr>
        <w:t xml:space="preserve">very </w:t>
      </w:r>
      <w:r w:rsidR="00BB6557" w:rsidRPr="003A1F64">
        <w:rPr>
          <w:rFonts w:eastAsia="Times New Roman"/>
        </w:rPr>
        <w:t>large agreements</w:t>
      </w:r>
      <w:r w:rsidRPr="003A1F64">
        <w:rPr>
          <w:rFonts w:eastAsia="Times New Roman"/>
        </w:rPr>
        <w:t xml:space="preserve"> (those with up to tens of thousands of employees, which have the potential to greatly distort trends) expiring or becoming active.</w:t>
      </w:r>
    </w:p>
    <w:p w:rsidR="006A746E" w:rsidRPr="003A1F64" w:rsidRDefault="006A746E" w:rsidP="00874BBA">
      <w:pPr>
        <w:pStyle w:val="Caption"/>
      </w:pPr>
      <w:r w:rsidRPr="003A1F64">
        <w:lastRenderedPageBreak/>
        <w:t xml:space="preserve">Non-quantifiable agreements as a proportion of all approved agreements by </w:t>
      </w:r>
      <w:r w:rsidR="00AF7B72">
        <w:t>proportions</w:t>
      </w:r>
      <w:r w:rsidRPr="003A1F64">
        <w:t xml:space="preserve"> of agreements and employees – to December quarter 2015</w:t>
      </w:r>
    </w:p>
    <w:p w:rsidR="006A746E" w:rsidRPr="003A1F64" w:rsidRDefault="00D554F8" w:rsidP="00527F90">
      <w:pPr>
        <w:rPr>
          <w:rFonts w:eastAsia="Times New Roman"/>
          <w:i/>
        </w:rPr>
      </w:pPr>
      <w:r>
        <w:rPr>
          <w:noProof/>
          <w:sz w:val="16"/>
          <w:szCs w:val="16"/>
          <w:lang w:eastAsia="en-AU"/>
        </w:rPr>
        <w:drawing>
          <wp:inline distT="0" distB="0" distL="0" distR="0" wp14:anchorId="7FE02D60" wp14:editId="5639CB5D">
            <wp:extent cx="5834380" cy="4359275"/>
            <wp:effectExtent l="0" t="0" r="0" b="3175"/>
            <wp:docPr id="9" name="Picture 9" descr="Since 2011, an increasing trend is observed on non-quantifiable agreements as a proportion of all approved agreements by proportions of agreements and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4380" cy="4359275"/>
                    </a:xfrm>
                    <a:prstGeom prst="rect">
                      <a:avLst/>
                    </a:prstGeom>
                    <a:noFill/>
                  </pic:spPr>
                </pic:pic>
              </a:graphicData>
            </a:graphic>
          </wp:inline>
        </w:drawing>
      </w:r>
      <w:r w:rsidR="006A746E" w:rsidRPr="00912D32">
        <w:rPr>
          <w:sz w:val="16"/>
          <w:szCs w:val="16"/>
        </w:rPr>
        <w:t xml:space="preserve">Source: Department of Employment, Workplace Agreement Database, approved agreements </w:t>
      </w:r>
      <w:r w:rsidR="00B069CA" w:rsidRPr="00912D32">
        <w:rPr>
          <w:sz w:val="16"/>
          <w:szCs w:val="16"/>
        </w:rPr>
        <w:t>2015</w:t>
      </w:r>
    </w:p>
    <w:p w:rsidR="00BB6557" w:rsidRPr="00527F90" w:rsidRDefault="00BB6557" w:rsidP="00527F90">
      <w:pPr>
        <w:rPr>
          <w:rFonts w:eastAsia="Times New Roman"/>
        </w:rPr>
      </w:pPr>
      <w:r w:rsidRPr="003A1F64">
        <w:rPr>
          <w:rFonts w:eastAsia="Times New Roman"/>
        </w:rPr>
        <w:t xml:space="preserve">Since 2011, </w:t>
      </w:r>
      <w:r w:rsidR="00843509" w:rsidRPr="003A1F64">
        <w:rPr>
          <w:rFonts w:eastAsia="Times New Roman"/>
        </w:rPr>
        <w:t xml:space="preserve">all </w:t>
      </w:r>
      <w:r w:rsidRPr="003A1F64">
        <w:rPr>
          <w:rFonts w:eastAsia="Times New Roman"/>
        </w:rPr>
        <w:t xml:space="preserve">reasons that agreements are non-quantifiable (by number of agreements) </w:t>
      </w:r>
      <w:r w:rsidR="004F4AA9" w:rsidRPr="003A1F64">
        <w:rPr>
          <w:rFonts w:eastAsia="Times New Roman"/>
        </w:rPr>
        <w:t>have</w:t>
      </w:r>
      <w:r w:rsidRPr="003A1F64">
        <w:rPr>
          <w:rFonts w:eastAsia="Times New Roman"/>
        </w:rPr>
        <w:t xml:space="preserve"> trended slightly downward for all reasons except ‘other</w:t>
      </w:r>
      <w:r w:rsidR="00DA155F" w:rsidRPr="003A1F64">
        <w:rPr>
          <w:rFonts w:eastAsia="Times New Roman"/>
        </w:rPr>
        <w:t xml:space="preserve"> reasons</w:t>
      </w:r>
      <w:r w:rsidRPr="003A1F64">
        <w:rPr>
          <w:rFonts w:eastAsia="Times New Roman"/>
        </w:rPr>
        <w:t xml:space="preserve">’. </w:t>
      </w:r>
      <w:r w:rsidR="004F4AA9" w:rsidRPr="003A1F64">
        <w:rPr>
          <w:rFonts w:eastAsia="Times New Roman"/>
        </w:rPr>
        <w:t xml:space="preserve">This may point </w:t>
      </w:r>
      <w:r w:rsidRPr="003A1F64">
        <w:rPr>
          <w:rFonts w:eastAsia="Times New Roman"/>
        </w:rPr>
        <w:t>to less established ways</w:t>
      </w:r>
      <w:r w:rsidR="001C33B9" w:rsidRPr="003A1F64">
        <w:rPr>
          <w:rFonts w:eastAsia="Times New Roman"/>
        </w:rPr>
        <w:t xml:space="preserve"> </w:t>
      </w:r>
      <w:r w:rsidRPr="003A1F64">
        <w:rPr>
          <w:rFonts w:eastAsia="Times New Roman"/>
        </w:rPr>
        <w:t>of setting wages (such as internal wage reviews, funding-dependant wage increases, or multiple-factor wage increases) becoming more popular in agreement making.</w:t>
      </w:r>
      <w:r w:rsidR="00AF7B72" w:rsidRPr="00AF7B72">
        <w:rPr>
          <w:rFonts w:eastAsia="Times New Roman"/>
        </w:rPr>
        <w:t xml:space="preserve"> </w:t>
      </w:r>
      <w:r w:rsidR="00831963">
        <w:rPr>
          <w:rFonts w:eastAsia="Times New Roman"/>
        </w:rPr>
        <w:t xml:space="preserve">It is possible that this </w:t>
      </w:r>
      <w:r w:rsidR="00831963" w:rsidRPr="003A1F64">
        <w:rPr>
          <w:rFonts w:eastAsia="Times New Roman"/>
        </w:rPr>
        <w:t>suggests</w:t>
      </w:r>
      <w:r w:rsidR="00AF7B72">
        <w:rPr>
          <w:rFonts w:eastAsia="Times New Roman"/>
        </w:rPr>
        <w:t xml:space="preserve"> that a growing priority in agreement negotiations is ensuring a greater level of </w:t>
      </w:r>
      <w:r w:rsidR="00AF7B72" w:rsidRPr="003A1F64">
        <w:rPr>
          <w:rFonts w:eastAsia="Times New Roman"/>
        </w:rPr>
        <w:t>flexibili</w:t>
      </w:r>
      <w:r w:rsidR="00AF7B72" w:rsidRPr="00527F90">
        <w:rPr>
          <w:rFonts w:eastAsia="Times New Roman"/>
        </w:rPr>
        <w:t>ty in wage setting.</w:t>
      </w:r>
    </w:p>
    <w:p w:rsidR="00205188" w:rsidRPr="00527F90" w:rsidRDefault="00AF7B72" w:rsidP="00874BBA">
      <w:pPr>
        <w:pStyle w:val="Caption"/>
        <w:rPr>
          <w:rStyle w:val="SubtleEmphasis"/>
        </w:rPr>
      </w:pPr>
      <w:r w:rsidRPr="00527F90">
        <w:lastRenderedPageBreak/>
        <w:t>Proportion</w:t>
      </w:r>
      <w:r w:rsidR="00252121" w:rsidRPr="00527F90">
        <w:t xml:space="preserve"> of agreements by reason agreement is non-quantifiable – to December quarter 2015</w:t>
      </w:r>
    </w:p>
    <w:p w:rsidR="00252121" w:rsidRPr="00527F90" w:rsidRDefault="00D554F8" w:rsidP="00527F90">
      <w:pPr>
        <w:rPr>
          <w:iCs/>
          <w:color w:val="808080" w:themeColor="text1" w:themeTint="7F"/>
        </w:rPr>
      </w:pPr>
      <w:r>
        <w:rPr>
          <w:noProof/>
          <w:sz w:val="16"/>
          <w:szCs w:val="16"/>
          <w:lang w:eastAsia="en-AU"/>
        </w:rPr>
        <w:drawing>
          <wp:inline distT="0" distB="0" distL="0" distR="0" wp14:anchorId="0B4BD3D3">
            <wp:extent cx="5749290" cy="4377055"/>
            <wp:effectExtent l="0" t="0" r="3810" b="4445"/>
            <wp:docPr id="10" name="Picture 10" descr="Since 2011, all reasons that agreements are non-quantifiable (by number of agreements) have trended slightly downward for all reasons except ‘other reas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9290" cy="4377055"/>
                    </a:xfrm>
                    <a:prstGeom prst="rect">
                      <a:avLst/>
                    </a:prstGeom>
                    <a:noFill/>
                  </pic:spPr>
                </pic:pic>
              </a:graphicData>
            </a:graphic>
          </wp:inline>
        </w:drawing>
      </w:r>
      <w:r w:rsidR="00252121" w:rsidRPr="00912D32">
        <w:rPr>
          <w:sz w:val="16"/>
          <w:szCs w:val="16"/>
        </w:rPr>
        <w:t>Source: Department of Employment, Workplace Agreement Database, approved agreements 2015</w:t>
      </w:r>
    </w:p>
    <w:p w:rsidR="003867D1" w:rsidRPr="00527F90" w:rsidRDefault="004B2113" w:rsidP="00527F90">
      <w:pPr>
        <w:pStyle w:val="Heading1"/>
      </w:pPr>
      <w:r w:rsidRPr="00527F90">
        <w:t>Methods to estimate</w:t>
      </w:r>
      <w:r w:rsidR="003867D1" w:rsidRPr="00527F90">
        <w:t xml:space="preserve"> the quantum of non-quantifiable agreements</w:t>
      </w:r>
    </w:p>
    <w:p w:rsidR="00356149" w:rsidRPr="00527F90" w:rsidRDefault="00F61991" w:rsidP="00527F90">
      <w:r w:rsidRPr="00527F90">
        <w:t>T</w:t>
      </w:r>
      <w:r w:rsidR="00356149" w:rsidRPr="00527F90">
        <w:t xml:space="preserve">o </w:t>
      </w:r>
      <w:r w:rsidR="0035752F">
        <w:t xml:space="preserve">better understand the wage increases in non-quantifiable agreements, </w:t>
      </w:r>
      <w:r w:rsidR="007C3697" w:rsidRPr="00527F90">
        <w:t xml:space="preserve">in 2015 </w:t>
      </w:r>
      <w:r w:rsidR="005A1476" w:rsidRPr="00527F90">
        <w:t xml:space="preserve">the </w:t>
      </w:r>
      <w:r w:rsidR="007C3697" w:rsidRPr="00527F90">
        <w:t>D</w:t>
      </w:r>
      <w:r w:rsidR="005A1476" w:rsidRPr="00527F90">
        <w:t xml:space="preserve">epartment conducted an </w:t>
      </w:r>
      <w:r w:rsidR="007C3697" w:rsidRPr="00527F90">
        <w:t>analysis</w:t>
      </w:r>
      <w:r w:rsidR="005A1476" w:rsidRPr="00527F90">
        <w:t xml:space="preserve"> to test the proximity of wage growth in non-quantifiable agreements with the </w:t>
      </w:r>
      <w:r w:rsidR="007C3697" w:rsidRPr="00527F90">
        <w:t>published</w:t>
      </w:r>
      <w:r w:rsidR="005A1476" w:rsidRPr="00527F90">
        <w:t xml:space="preserve"> </w:t>
      </w:r>
      <w:proofErr w:type="spellStart"/>
      <w:r w:rsidR="005A1476" w:rsidRPr="00527F90">
        <w:t>AAWI</w:t>
      </w:r>
      <w:proofErr w:type="spellEnd"/>
      <w:r w:rsidR="005A1476" w:rsidRPr="00527F90">
        <w:t xml:space="preserve">. </w:t>
      </w:r>
    </w:p>
    <w:p w:rsidR="00F42233" w:rsidRPr="00527F90" w:rsidRDefault="00F42233" w:rsidP="00A10CF2">
      <w:pPr>
        <w:pStyle w:val="Heading2"/>
      </w:pPr>
      <w:r w:rsidRPr="00527F90">
        <w:t>Method</w:t>
      </w:r>
      <w:r w:rsidR="00913ABC" w:rsidRPr="00527F90">
        <w:t>s</w:t>
      </w:r>
    </w:p>
    <w:p w:rsidR="005D3296" w:rsidRDefault="00123794" w:rsidP="00527F90">
      <w:pPr>
        <w:rPr>
          <w:rFonts w:eastAsia="Times New Roman"/>
        </w:rPr>
        <w:sectPr w:rsidR="005D3296">
          <w:footerReference w:type="default" r:id="rId15"/>
          <w:pgSz w:w="11906" w:h="16838"/>
          <w:pgMar w:top="1440" w:right="1440" w:bottom="1440" w:left="1440" w:header="708" w:footer="708" w:gutter="0"/>
          <w:cols w:space="708"/>
          <w:docGrid w:linePitch="360"/>
        </w:sectPr>
      </w:pPr>
      <w:r w:rsidRPr="00527F90">
        <w:t xml:space="preserve">Using March 2015 </w:t>
      </w:r>
      <w:r w:rsidR="00E44B6E" w:rsidRPr="00527F90">
        <w:t>current agreement</w:t>
      </w:r>
      <w:r w:rsidR="007C1C80" w:rsidRPr="00527F90">
        <w:t>s</w:t>
      </w:r>
      <w:r w:rsidR="00E44B6E" w:rsidRPr="00527F90">
        <w:t xml:space="preserve"> </w:t>
      </w:r>
      <w:r w:rsidRPr="00527F90">
        <w:t>data, t</w:t>
      </w:r>
      <w:r w:rsidR="00C22061" w:rsidRPr="00527F90">
        <w:rPr>
          <w:rFonts w:eastAsia="Times New Roman"/>
        </w:rPr>
        <w:t>he Department derive</w:t>
      </w:r>
      <w:r w:rsidR="00CE097B">
        <w:rPr>
          <w:rFonts w:eastAsia="Times New Roman"/>
        </w:rPr>
        <w:t>d</w:t>
      </w:r>
      <w:r w:rsidR="00C22061" w:rsidRPr="00527F90">
        <w:rPr>
          <w:rFonts w:eastAsia="Times New Roman"/>
        </w:rPr>
        <w:t xml:space="preserve"> a best estimate of wage increases</w:t>
      </w:r>
      <w:r w:rsidRPr="00527F90">
        <w:rPr>
          <w:rFonts w:eastAsia="Times New Roman"/>
        </w:rPr>
        <w:t xml:space="preserve"> for each category of non-quantifiable agreements</w:t>
      </w:r>
      <w:r w:rsidR="00D1251C" w:rsidRPr="00527F90">
        <w:rPr>
          <w:rFonts w:eastAsia="Times New Roman"/>
        </w:rPr>
        <w:t>.</w:t>
      </w:r>
      <w:r w:rsidR="00DA155F" w:rsidRPr="00527F90">
        <w:rPr>
          <w:rFonts w:eastAsia="Times New Roman"/>
        </w:rPr>
        <w:t xml:space="preserve"> </w:t>
      </w:r>
      <w:r w:rsidR="00CE097B">
        <w:rPr>
          <w:rFonts w:eastAsia="Times New Roman"/>
        </w:rPr>
        <w:t>For some categories, we were only able to examine a sample of the agreements. However we have ensured that a sufficient proportion of agreements in these categories, and the agreements covering a large number of employees in these categories were examined.</w:t>
      </w:r>
      <w:r w:rsidR="008644AC">
        <w:rPr>
          <w:rFonts w:eastAsia="Times New Roman"/>
        </w:rPr>
        <w:t xml:space="preserve"> </w:t>
      </w:r>
    </w:p>
    <w:p w:rsidR="001A71F4" w:rsidRDefault="00DA155F" w:rsidP="00527F90">
      <w:pPr>
        <w:rPr>
          <w:rFonts w:eastAsia="Times New Roman"/>
        </w:rPr>
      </w:pPr>
      <w:r w:rsidRPr="00527F90">
        <w:rPr>
          <w:rFonts w:eastAsia="Times New Roman"/>
        </w:rPr>
        <w:lastRenderedPageBreak/>
        <w:t>These methods</w:t>
      </w:r>
      <w:r w:rsidR="009F20FE">
        <w:rPr>
          <w:rFonts w:eastAsia="Times New Roman"/>
        </w:rPr>
        <w:t>, along with the results,</w:t>
      </w:r>
      <w:r w:rsidRPr="00527F90">
        <w:rPr>
          <w:rFonts w:eastAsia="Times New Roman"/>
        </w:rPr>
        <w:t xml:space="preserve"> are set out in the table below.</w:t>
      </w:r>
      <w:r w:rsidR="00CE097B">
        <w:rPr>
          <w:rFonts w:eastAsia="Times New Roman"/>
        </w:rPr>
        <w:t xml:space="preserve"> </w:t>
      </w:r>
    </w:p>
    <w:tbl>
      <w:tblPr>
        <w:tblStyle w:val="LightGrid-Accent1"/>
        <w:tblW w:w="9147" w:type="dxa"/>
        <w:tblLayout w:type="fixed"/>
        <w:tblLook w:val="04A0" w:firstRow="1" w:lastRow="0" w:firstColumn="1" w:lastColumn="0" w:noHBand="0" w:noVBand="1"/>
      </w:tblPr>
      <w:tblGrid>
        <w:gridCol w:w="1242"/>
        <w:gridCol w:w="1134"/>
        <w:gridCol w:w="1134"/>
        <w:gridCol w:w="2410"/>
        <w:gridCol w:w="1134"/>
        <w:gridCol w:w="1134"/>
        <w:gridCol w:w="959"/>
      </w:tblGrid>
      <w:tr w:rsidR="00B64BEE" w:rsidRPr="00FE61EF" w:rsidTr="00E31C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42" w:type="dxa"/>
          </w:tcPr>
          <w:p w:rsidR="00B64BEE" w:rsidRPr="00FE61EF" w:rsidRDefault="00B64BEE" w:rsidP="005F1ABF">
            <w:pPr>
              <w:jc w:val="center"/>
              <w:rPr>
                <w:rFonts w:asciiTheme="minorHAnsi" w:hAnsiTheme="minorHAnsi" w:cstheme="minorHAnsi"/>
                <w:b w:val="0"/>
                <w:sz w:val="16"/>
                <w:szCs w:val="16"/>
              </w:rPr>
            </w:pPr>
            <w:r w:rsidRPr="00FE61EF">
              <w:rPr>
                <w:rFonts w:asciiTheme="minorHAnsi" w:hAnsiTheme="minorHAnsi" w:cstheme="minorHAnsi"/>
                <w:sz w:val="16"/>
                <w:szCs w:val="16"/>
              </w:rPr>
              <w:t>Type of non-quantifiable agreement</w:t>
            </w:r>
          </w:p>
        </w:tc>
        <w:tc>
          <w:tcPr>
            <w:tcW w:w="1134" w:type="dxa"/>
          </w:tcPr>
          <w:p w:rsidR="00B64BEE" w:rsidRPr="00FE61EF" w:rsidRDefault="00B64BEE" w:rsidP="005F1AB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6"/>
                <w:szCs w:val="16"/>
              </w:rPr>
            </w:pPr>
            <w:r w:rsidRPr="00FE61EF">
              <w:rPr>
                <w:rFonts w:asciiTheme="minorHAnsi" w:hAnsiTheme="minorHAnsi" w:cstheme="minorHAnsi"/>
                <w:sz w:val="16"/>
                <w:szCs w:val="16"/>
              </w:rPr>
              <w:t>Number of agreements</w:t>
            </w:r>
          </w:p>
        </w:tc>
        <w:tc>
          <w:tcPr>
            <w:tcW w:w="1134" w:type="dxa"/>
          </w:tcPr>
          <w:p w:rsidR="00B64BEE" w:rsidRPr="00FE61EF" w:rsidRDefault="00B64BEE" w:rsidP="005F1AB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6"/>
                <w:szCs w:val="16"/>
              </w:rPr>
            </w:pPr>
            <w:r w:rsidRPr="00FE61EF">
              <w:rPr>
                <w:rFonts w:asciiTheme="minorHAnsi" w:hAnsiTheme="minorHAnsi" w:cstheme="minorHAnsi"/>
                <w:sz w:val="16"/>
                <w:szCs w:val="16"/>
              </w:rPr>
              <w:t>Number of employees (‘000)</w:t>
            </w:r>
          </w:p>
        </w:tc>
        <w:tc>
          <w:tcPr>
            <w:tcW w:w="2410" w:type="dxa"/>
          </w:tcPr>
          <w:p w:rsidR="00B64BEE" w:rsidRPr="00FE61EF" w:rsidRDefault="00B64BEE" w:rsidP="005F1AB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6"/>
                <w:szCs w:val="16"/>
              </w:rPr>
            </w:pPr>
            <w:r w:rsidRPr="00FE61EF">
              <w:rPr>
                <w:rFonts w:asciiTheme="minorHAnsi" w:hAnsiTheme="minorHAnsi" w:cstheme="minorHAnsi"/>
                <w:sz w:val="16"/>
                <w:szCs w:val="16"/>
              </w:rPr>
              <w:t>Proxies</w:t>
            </w:r>
          </w:p>
        </w:tc>
        <w:tc>
          <w:tcPr>
            <w:tcW w:w="1134" w:type="dxa"/>
          </w:tcPr>
          <w:p w:rsidR="00B64BEE" w:rsidRPr="00FE61EF" w:rsidRDefault="00B64BEE" w:rsidP="005F1AB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6"/>
                <w:szCs w:val="16"/>
              </w:rPr>
            </w:pPr>
            <w:r w:rsidRPr="00FE61EF">
              <w:rPr>
                <w:rFonts w:asciiTheme="minorHAnsi" w:hAnsiTheme="minorHAnsi" w:cstheme="minorHAnsi"/>
                <w:sz w:val="16"/>
                <w:szCs w:val="16"/>
              </w:rPr>
              <w:t>Number of agreements in sample*</w:t>
            </w:r>
          </w:p>
        </w:tc>
        <w:tc>
          <w:tcPr>
            <w:tcW w:w="1134" w:type="dxa"/>
          </w:tcPr>
          <w:p w:rsidR="00B64BEE" w:rsidRPr="00FE61EF" w:rsidRDefault="00B64BEE" w:rsidP="005F1AB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6"/>
                <w:szCs w:val="16"/>
              </w:rPr>
            </w:pPr>
            <w:r w:rsidRPr="00FE61EF">
              <w:rPr>
                <w:rFonts w:asciiTheme="minorHAnsi" w:hAnsiTheme="minorHAnsi" w:cstheme="minorHAnsi"/>
                <w:sz w:val="16"/>
                <w:szCs w:val="16"/>
              </w:rPr>
              <w:t>Number of employees in sample (‘000)</w:t>
            </w:r>
          </w:p>
        </w:tc>
        <w:tc>
          <w:tcPr>
            <w:tcW w:w="959" w:type="dxa"/>
          </w:tcPr>
          <w:p w:rsidR="00B64BEE" w:rsidRPr="00FE61EF" w:rsidRDefault="00B64BEE" w:rsidP="005F1AB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6"/>
                <w:szCs w:val="16"/>
              </w:rPr>
            </w:pPr>
            <w:r w:rsidRPr="00FE61EF">
              <w:rPr>
                <w:rFonts w:asciiTheme="minorHAnsi" w:hAnsiTheme="minorHAnsi" w:cstheme="minorHAnsi"/>
                <w:sz w:val="16"/>
                <w:szCs w:val="16"/>
              </w:rPr>
              <w:t xml:space="preserve">Estimated </w:t>
            </w:r>
            <w:proofErr w:type="spellStart"/>
            <w:r w:rsidRPr="00FE61EF">
              <w:rPr>
                <w:rFonts w:asciiTheme="minorHAnsi" w:hAnsiTheme="minorHAnsi" w:cstheme="minorHAnsi"/>
                <w:sz w:val="16"/>
                <w:szCs w:val="16"/>
              </w:rPr>
              <w:t>AAWI</w:t>
            </w:r>
            <w:proofErr w:type="spellEnd"/>
          </w:p>
        </w:tc>
      </w:tr>
      <w:tr w:rsidR="00B64BEE" w:rsidRPr="00DF1411" w:rsidTr="005F1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64BEE" w:rsidRPr="002B5F10" w:rsidRDefault="00B64BEE" w:rsidP="005F1ABF">
            <w:pPr>
              <w:rPr>
                <w:rFonts w:asciiTheme="minorHAnsi" w:eastAsia="Times New Roman" w:hAnsiTheme="minorHAnsi" w:cstheme="minorHAnsi"/>
                <w:b w:val="0"/>
                <w:sz w:val="16"/>
                <w:szCs w:val="16"/>
              </w:rPr>
            </w:pPr>
            <w:r w:rsidRPr="002B5F10">
              <w:rPr>
                <w:rFonts w:asciiTheme="minorHAnsi" w:hAnsiTheme="minorHAnsi" w:cstheme="minorHAnsi"/>
                <w:sz w:val="16"/>
                <w:szCs w:val="16"/>
              </w:rPr>
              <w:t>Inconsistent increase</w:t>
            </w:r>
          </w:p>
        </w:tc>
        <w:tc>
          <w:tcPr>
            <w:tcW w:w="1134" w:type="dxa"/>
          </w:tcPr>
          <w:p w:rsidR="00B64BEE" w:rsidRPr="002B5F10" w:rsidRDefault="00B64BEE"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752</w:t>
            </w:r>
          </w:p>
        </w:tc>
        <w:tc>
          <w:tcPr>
            <w:tcW w:w="1134" w:type="dxa"/>
          </w:tcPr>
          <w:p w:rsidR="00B64BEE" w:rsidRPr="002B5F10" w:rsidRDefault="00B64BEE"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heme="majorEastAsia" w:cstheme="minorHAnsi"/>
                <w:sz w:val="16"/>
                <w:szCs w:val="16"/>
              </w:rPr>
              <w:t>306.9</w:t>
            </w:r>
          </w:p>
        </w:tc>
        <w:tc>
          <w:tcPr>
            <w:tcW w:w="2410" w:type="dxa"/>
          </w:tcPr>
          <w:p w:rsidR="00B64BEE" w:rsidRPr="002B5F10" w:rsidRDefault="00B64BEE"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heme="majorEastAsia" w:cstheme="minorHAnsi"/>
                <w:bCs/>
                <w:sz w:val="16"/>
                <w:szCs w:val="16"/>
              </w:rPr>
              <w:t>Increases within agreements, averaged to produce an increase for each agreement. Process repeated and averaged over all agreements in the sample</w:t>
            </w:r>
          </w:p>
        </w:tc>
        <w:tc>
          <w:tcPr>
            <w:tcW w:w="1134" w:type="dxa"/>
          </w:tcPr>
          <w:p w:rsidR="00B64BEE" w:rsidRPr="002B5F10" w:rsidRDefault="00B64BEE"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100</w:t>
            </w:r>
          </w:p>
        </w:tc>
        <w:tc>
          <w:tcPr>
            <w:tcW w:w="1134" w:type="dxa"/>
          </w:tcPr>
          <w:p w:rsidR="00B64BEE" w:rsidRPr="002B5F10" w:rsidRDefault="00B64BEE"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DF1411">
              <w:rPr>
                <w:rFonts w:eastAsia="Times New Roman" w:cstheme="minorHAnsi"/>
                <w:sz w:val="16"/>
                <w:szCs w:val="16"/>
              </w:rPr>
              <w:t>38.7</w:t>
            </w:r>
          </w:p>
        </w:tc>
        <w:tc>
          <w:tcPr>
            <w:tcW w:w="959" w:type="dxa"/>
          </w:tcPr>
          <w:p w:rsidR="00B64BEE" w:rsidRPr="002B5F10" w:rsidRDefault="00B64BEE"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2.2%</w:t>
            </w:r>
          </w:p>
        </w:tc>
      </w:tr>
      <w:tr w:rsidR="00B64BEE" w:rsidRPr="00DF1411" w:rsidTr="005F1A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64BEE" w:rsidRPr="002B5F10" w:rsidRDefault="00B64BEE" w:rsidP="005F1ABF">
            <w:pPr>
              <w:rPr>
                <w:rFonts w:asciiTheme="minorHAnsi" w:eastAsia="Times New Roman" w:hAnsiTheme="minorHAnsi" w:cstheme="minorHAnsi"/>
                <w:b w:val="0"/>
                <w:sz w:val="16"/>
                <w:szCs w:val="16"/>
              </w:rPr>
            </w:pPr>
            <w:r w:rsidRPr="002B5F10">
              <w:rPr>
                <w:rFonts w:asciiTheme="minorHAnsi" w:hAnsiTheme="minorHAnsi" w:cstheme="minorHAnsi"/>
                <w:sz w:val="16"/>
                <w:szCs w:val="16"/>
              </w:rPr>
              <w:t>Performance linked</w:t>
            </w:r>
          </w:p>
        </w:tc>
        <w:tc>
          <w:tcPr>
            <w:tcW w:w="1134" w:type="dxa"/>
          </w:tcPr>
          <w:p w:rsidR="00B64BEE" w:rsidRPr="002B5F10" w:rsidRDefault="00B64BEE"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155</w:t>
            </w:r>
          </w:p>
        </w:tc>
        <w:tc>
          <w:tcPr>
            <w:tcW w:w="1134" w:type="dxa"/>
          </w:tcPr>
          <w:p w:rsidR="00B64BEE" w:rsidRPr="002B5F10" w:rsidRDefault="00B64BEE"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heme="majorEastAsia" w:cstheme="minorHAnsi"/>
                <w:sz w:val="16"/>
                <w:szCs w:val="16"/>
              </w:rPr>
              <w:t>101.7</w:t>
            </w:r>
          </w:p>
        </w:tc>
        <w:tc>
          <w:tcPr>
            <w:tcW w:w="2410" w:type="dxa"/>
          </w:tcPr>
          <w:p w:rsidR="00B64BEE" w:rsidRPr="002B5F10" w:rsidRDefault="00B64BEE"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heme="majorEastAsia" w:cstheme="minorHAnsi"/>
                <w:bCs/>
                <w:sz w:val="16"/>
                <w:szCs w:val="16"/>
              </w:rPr>
              <w:t>Calculated average increase in wages between the pay rates at commencement of the agreement and the pay rates at the commencement of the agreement it replaced</w:t>
            </w:r>
          </w:p>
        </w:tc>
        <w:tc>
          <w:tcPr>
            <w:tcW w:w="1134" w:type="dxa"/>
          </w:tcPr>
          <w:p w:rsidR="00B64BEE" w:rsidRPr="002B5F10" w:rsidRDefault="00B64BEE" w:rsidP="00473CE9">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49*</w:t>
            </w:r>
          </w:p>
        </w:tc>
        <w:tc>
          <w:tcPr>
            <w:tcW w:w="1134" w:type="dxa"/>
          </w:tcPr>
          <w:p w:rsidR="00B64BEE" w:rsidRPr="002B5F10" w:rsidRDefault="00B64BEE"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201.3</w:t>
            </w:r>
          </w:p>
        </w:tc>
        <w:tc>
          <w:tcPr>
            <w:tcW w:w="959" w:type="dxa"/>
          </w:tcPr>
          <w:p w:rsidR="00B64BEE" w:rsidRPr="002B5F10" w:rsidRDefault="00B64BEE" w:rsidP="00473CE9">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3.2%</w:t>
            </w:r>
          </w:p>
        </w:tc>
      </w:tr>
      <w:tr w:rsidR="00B64BEE" w:rsidRPr="00DF1411" w:rsidTr="005F1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64BEE" w:rsidRPr="002B5F10" w:rsidRDefault="00B64BEE" w:rsidP="005F1ABF">
            <w:pPr>
              <w:rPr>
                <w:rFonts w:asciiTheme="minorHAnsi" w:eastAsia="Times New Roman" w:hAnsiTheme="minorHAnsi" w:cstheme="minorHAnsi"/>
                <w:b w:val="0"/>
                <w:sz w:val="16"/>
                <w:szCs w:val="16"/>
              </w:rPr>
            </w:pPr>
            <w:r w:rsidRPr="002B5F10">
              <w:rPr>
                <w:rFonts w:asciiTheme="minorHAnsi" w:hAnsiTheme="minorHAnsi" w:cstheme="minorHAnsi"/>
                <w:sz w:val="16"/>
                <w:szCs w:val="16"/>
              </w:rPr>
              <w:t xml:space="preserve">Linked to </w:t>
            </w:r>
            <w:proofErr w:type="spellStart"/>
            <w:r w:rsidRPr="002B5F10">
              <w:rPr>
                <w:rFonts w:asciiTheme="minorHAnsi" w:hAnsiTheme="minorHAnsi" w:cstheme="minorHAnsi"/>
                <w:sz w:val="16"/>
                <w:szCs w:val="16"/>
              </w:rPr>
              <w:t>AWR</w:t>
            </w:r>
            <w:proofErr w:type="spellEnd"/>
            <w:r w:rsidRPr="002B5F10">
              <w:rPr>
                <w:rFonts w:asciiTheme="minorHAnsi" w:hAnsiTheme="minorHAnsi" w:cstheme="minorHAnsi"/>
                <w:sz w:val="16"/>
                <w:szCs w:val="16"/>
              </w:rPr>
              <w:t xml:space="preserve"> </w:t>
            </w:r>
          </w:p>
        </w:tc>
        <w:tc>
          <w:tcPr>
            <w:tcW w:w="1134" w:type="dxa"/>
          </w:tcPr>
          <w:p w:rsidR="00B64BEE" w:rsidRPr="002B5F10" w:rsidRDefault="00B64BEE"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1251</w:t>
            </w:r>
          </w:p>
        </w:tc>
        <w:tc>
          <w:tcPr>
            <w:tcW w:w="1134" w:type="dxa"/>
          </w:tcPr>
          <w:p w:rsidR="00B64BEE" w:rsidRPr="002B5F10" w:rsidRDefault="00B64BEE"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heme="majorEastAsia" w:cstheme="minorHAnsi"/>
                <w:sz w:val="16"/>
                <w:szCs w:val="16"/>
              </w:rPr>
              <w:t>75.1</w:t>
            </w:r>
          </w:p>
        </w:tc>
        <w:tc>
          <w:tcPr>
            <w:tcW w:w="2410" w:type="dxa"/>
          </w:tcPr>
          <w:p w:rsidR="00B64BEE" w:rsidRPr="002B5F10" w:rsidRDefault="00B64BEE"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heme="majorEastAsia" w:cstheme="minorHAnsi"/>
                <w:bCs/>
                <w:sz w:val="16"/>
                <w:szCs w:val="16"/>
              </w:rPr>
              <w:t>Average of 3 most recent Annual Wage Reviews</w:t>
            </w:r>
          </w:p>
        </w:tc>
        <w:tc>
          <w:tcPr>
            <w:tcW w:w="1134" w:type="dxa"/>
          </w:tcPr>
          <w:p w:rsidR="00B64BEE" w:rsidRPr="002B5F10" w:rsidRDefault="00B64BEE"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1251</w:t>
            </w:r>
          </w:p>
        </w:tc>
        <w:tc>
          <w:tcPr>
            <w:tcW w:w="1134" w:type="dxa"/>
          </w:tcPr>
          <w:p w:rsidR="00B64BEE" w:rsidRPr="002B5F10" w:rsidRDefault="00B64BEE"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75.1</w:t>
            </w:r>
          </w:p>
        </w:tc>
        <w:tc>
          <w:tcPr>
            <w:tcW w:w="959" w:type="dxa"/>
          </w:tcPr>
          <w:p w:rsidR="00B64BEE" w:rsidRPr="002B5F10" w:rsidRDefault="00B64BEE"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2.9%</w:t>
            </w:r>
          </w:p>
        </w:tc>
      </w:tr>
      <w:tr w:rsidR="00B64BEE" w:rsidRPr="00DF1411" w:rsidTr="005F1A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64BEE" w:rsidRPr="002B5F10" w:rsidRDefault="00B64BEE" w:rsidP="005F1ABF">
            <w:pPr>
              <w:rPr>
                <w:rFonts w:asciiTheme="minorHAnsi" w:eastAsia="Times New Roman" w:hAnsiTheme="minorHAnsi" w:cstheme="minorHAnsi"/>
                <w:b w:val="0"/>
                <w:sz w:val="16"/>
                <w:szCs w:val="16"/>
              </w:rPr>
            </w:pPr>
            <w:r w:rsidRPr="002B5F10">
              <w:rPr>
                <w:rFonts w:asciiTheme="minorHAnsi" w:hAnsiTheme="minorHAnsi" w:cstheme="minorHAnsi"/>
                <w:sz w:val="16"/>
                <w:szCs w:val="16"/>
              </w:rPr>
              <w:t xml:space="preserve">Linked to CPI </w:t>
            </w:r>
          </w:p>
        </w:tc>
        <w:tc>
          <w:tcPr>
            <w:tcW w:w="1134" w:type="dxa"/>
          </w:tcPr>
          <w:p w:rsidR="00B64BEE" w:rsidRPr="002B5F10" w:rsidRDefault="00B64BEE"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389</w:t>
            </w:r>
          </w:p>
        </w:tc>
        <w:tc>
          <w:tcPr>
            <w:tcW w:w="1134" w:type="dxa"/>
          </w:tcPr>
          <w:p w:rsidR="00B64BEE" w:rsidRPr="002B5F10" w:rsidRDefault="00B64BEE"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heme="majorEastAsia" w:cstheme="minorHAnsi"/>
                <w:sz w:val="16"/>
                <w:szCs w:val="16"/>
              </w:rPr>
              <w:t>22.8</w:t>
            </w:r>
          </w:p>
        </w:tc>
        <w:tc>
          <w:tcPr>
            <w:tcW w:w="2410" w:type="dxa"/>
          </w:tcPr>
          <w:p w:rsidR="00B64BEE" w:rsidRPr="002B5F10" w:rsidRDefault="00B64BEE"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heme="majorEastAsia" w:cstheme="minorHAnsi"/>
                <w:bCs/>
                <w:sz w:val="16"/>
                <w:szCs w:val="16"/>
              </w:rPr>
              <w:t>Treasury inflation forecasts as part of 2015-2016 Federal Budget</w:t>
            </w:r>
          </w:p>
        </w:tc>
        <w:tc>
          <w:tcPr>
            <w:tcW w:w="1134" w:type="dxa"/>
          </w:tcPr>
          <w:p w:rsidR="00B64BEE" w:rsidRPr="002B5F10" w:rsidRDefault="00B64BEE"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389</w:t>
            </w:r>
          </w:p>
        </w:tc>
        <w:tc>
          <w:tcPr>
            <w:tcW w:w="1134" w:type="dxa"/>
          </w:tcPr>
          <w:p w:rsidR="00B64BEE" w:rsidRPr="002B5F10" w:rsidRDefault="00B64BEE"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22.8</w:t>
            </w:r>
          </w:p>
        </w:tc>
        <w:tc>
          <w:tcPr>
            <w:tcW w:w="959" w:type="dxa"/>
          </w:tcPr>
          <w:p w:rsidR="00B64BEE" w:rsidRPr="002B5F10" w:rsidRDefault="00B64BEE"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2.8%</w:t>
            </w:r>
          </w:p>
        </w:tc>
      </w:tr>
      <w:tr w:rsidR="00290616" w:rsidRPr="00DF1411" w:rsidTr="00290616">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90616" w:rsidRPr="002B5F10" w:rsidRDefault="00290616" w:rsidP="005F1ABF">
            <w:pPr>
              <w:rPr>
                <w:rFonts w:asciiTheme="minorHAnsi" w:eastAsia="Times New Roman" w:hAnsiTheme="minorHAnsi" w:cstheme="minorHAnsi"/>
                <w:b w:val="0"/>
                <w:sz w:val="16"/>
                <w:szCs w:val="16"/>
              </w:rPr>
            </w:pPr>
            <w:r w:rsidRPr="002B5F10">
              <w:rPr>
                <w:rFonts w:asciiTheme="minorHAnsi" w:hAnsiTheme="minorHAnsi" w:cstheme="minorHAnsi"/>
                <w:sz w:val="16"/>
                <w:szCs w:val="16"/>
              </w:rPr>
              <w:t>Other reasons</w:t>
            </w:r>
          </w:p>
        </w:tc>
        <w:tc>
          <w:tcPr>
            <w:tcW w:w="1134" w:type="dxa"/>
            <w:vMerge w:val="restart"/>
          </w:tcPr>
          <w:p w:rsidR="00290616" w:rsidRPr="002B5F10" w:rsidRDefault="00290616"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2151</w:t>
            </w:r>
          </w:p>
        </w:tc>
        <w:tc>
          <w:tcPr>
            <w:tcW w:w="1134" w:type="dxa"/>
            <w:vMerge w:val="restart"/>
          </w:tcPr>
          <w:p w:rsidR="00290616" w:rsidRPr="002B5F10" w:rsidRDefault="00290616"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heme="majorEastAsia" w:cstheme="minorHAnsi"/>
                <w:sz w:val="16"/>
                <w:szCs w:val="16"/>
              </w:rPr>
              <w:t>172.2</w:t>
            </w:r>
          </w:p>
        </w:tc>
        <w:tc>
          <w:tcPr>
            <w:tcW w:w="2410" w:type="dxa"/>
          </w:tcPr>
          <w:p w:rsidR="00290616" w:rsidRPr="002B5F10" w:rsidRDefault="00290616" w:rsidP="00290616">
            <w:pPr>
              <w:cnfStyle w:val="000000100000" w:firstRow="0" w:lastRow="0" w:firstColumn="0" w:lastColumn="0" w:oddVBand="0" w:evenVBand="0" w:oddHBand="1" w:evenHBand="0" w:firstRowFirstColumn="0" w:firstRowLastColumn="0" w:lastRowFirstColumn="0" w:lastRowLastColumn="0"/>
              <w:rPr>
                <w:rFonts w:eastAsiaTheme="majorEastAsia" w:cstheme="minorHAnsi"/>
                <w:bCs/>
                <w:sz w:val="16"/>
                <w:szCs w:val="16"/>
              </w:rPr>
            </w:pPr>
            <w:r w:rsidRPr="002B5F10">
              <w:rPr>
                <w:rFonts w:eastAsiaTheme="majorEastAsia" w:cstheme="minorHAnsi"/>
                <w:bCs/>
                <w:sz w:val="16"/>
                <w:szCs w:val="16"/>
              </w:rPr>
              <w:t>Maintaining relative to awards: Average of 3 most recent Annual Wage Reviews</w:t>
            </w:r>
          </w:p>
        </w:tc>
        <w:tc>
          <w:tcPr>
            <w:tcW w:w="1134" w:type="dxa"/>
          </w:tcPr>
          <w:p w:rsidR="00290616" w:rsidRPr="002B5F10" w:rsidRDefault="00290616" w:rsidP="00290616">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260</w:t>
            </w:r>
          </w:p>
        </w:tc>
        <w:tc>
          <w:tcPr>
            <w:tcW w:w="1134" w:type="dxa"/>
          </w:tcPr>
          <w:p w:rsidR="00290616" w:rsidRPr="002B5F10" w:rsidRDefault="00290616" w:rsidP="00290616">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17.9</w:t>
            </w:r>
          </w:p>
        </w:tc>
        <w:tc>
          <w:tcPr>
            <w:tcW w:w="959" w:type="dxa"/>
          </w:tcPr>
          <w:p w:rsidR="00290616" w:rsidRPr="002B5F10" w:rsidRDefault="00290616" w:rsidP="00290616">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2.9%</w:t>
            </w:r>
          </w:p>
        </w:tc>
      </w:tr>
      <w:tr w:rsidR="00290616" w:rsidRPr="00DF1411" w:rsidTr="00290616">
        <w:trPr>
          <w:cnfStyle w:val="000000010000" w:firstRow="0" w:lastRow="0" w:firstColumn="0" w:lastColumn="0" w:oddVBand="0" w:evenVBand="0" w:oddHBand="0" w:evenHBand="1"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242" w:type="dxa"/>
            <w:vMerge/>
            <w:shd w:val="clear" w:color="auto" w:fill="D3DFEE" w:themeFill="accent1" w:themeFillTint="3F"/>
          </w:tcPr>
          <w:p w:rsidR="00290616" w:rsidRPr="002B5F10" w:rsidRDefault="00290616" w:rsidP="005F1ABF">
            <w:pPr>
              <w:rPr>
                <w:rFonts w:asciiTheme="minorHAnsi" w:hAnsiTheme="minorHAnsi" w:cstheme="minorHAnsi"/>
                <w:sz w:val="16"/>
                <w:szCs w:val="16"/>
              </w:rPr>
            </w:pPr>
          </w:p>
        </w:tc>
        <w:tc>
          <w:tcPr>
            <w:tcW w:w="1134" w:type="dxa"/>
            <w:vMerge/>
            <w:shd w:val="clear" w:color="auto" w:fill="D3DFEE" w:themeFill="accent1" w:themeFillTint="3F"/>
          </w:tcPr>
          <w:p w:rsidR="00290616" w:rsidRPr="002B5F10" w:rsidRDefault="00290616"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p>
        </w:tc>
        <w:tc>
          <w:tcPr>
            <w:tcW w:w="1134" w:type="dxa"/>
            <w:vMerge/>
            <w:shd w:val="clear" w:color="auto" w:fill="D3DFEE" w:themeFill="accent1" w:themeFillTint="3F"/>
          </w:tcPr>
          <w:p w:rsidR="00290616" w:rsidRPr="002B5F10" w:rsidRDefault="00290616" w:rsidP="005F1ABF">
            <w:pPr>
              <w:cnfStyle w:val="000000010000" w:firstRow="0" w:lastRow="0" w:firstColumn="0" w:lastColumn="0" w:oddVBand="0" w:evenVBand="0" w:oddHBand="0" w:evenHBand="1" w:firstRowFirstColumn="0" w:firstRowLastColumn="0" w:lastRowFirstColumn="0" w:lastRowLastColumn="0"/>
              <w:rPr>
                <w:rFonts w:eastAsiaTheme="majorEastAsia" w:cstheme="minorHAnsi"/>
                <w:sz w:val="16"/>
                <w:szCs w:val="16"/>
              </w:rPr>
            </w:pPr>
          </w:p>
        </w:tc>
        <w:tc>
          <w:tcPr>
            <w:tcW w:w="2410" w:type="dxa"/>
            <w:shd w:val="clear" w:color="auto" w:fill="D3DFEE" w:themeFill="accent1" w:themeFillTint="3F"/>
          </w:tcPr>
          <w:p w:rsidR="00290616" w:rsidRPr="002B5F10" w:rsidRDefault="00290616" w:rsidP="005F1ABF">
            <w:pPr>
              <w:cnfStyle w:val="000000010000" w:firstRow="0" w:lastRow="0" w:firstColumn="0" w:lastColumn="0" w:oddVBand="0" w:evenVBand="0" w:oddHBand="0" w:evenHBand="1" w:firstRowFirstColumn="0" w:firstRowLastColumn="0" w:lastRowFirstColumn="0" w:lastRowLastColumn="0"/>
              <w:rPr>
                <w:rFonts w:eastAsiaTheme="majorEastAsia" w:cstheme="minorHAnsi"/>
                <w:bCs/>
                <w:sz w:val="16"/>
                <w:szCs w:val="16"/>
              </w:rPr>
            </w:pPr>
            <w:r w:rsidRPr="002B5F10">
              <w:rPr>
                <w:rFonts w:eastAsiaTheme="majorEastAsia" w:cstheme="minorHAnsi"/>
                <w:bCs/>
                <w:sz w:val="16"/>
                <w:szCs w:val="16"/>
              </w:rPr>
              <w:t xml:space="preserve">Maintaining market rates: </w:t>
            </w:r>
            <w:proofErr w:type="spellStart"/>
            <w:r w:rsidRPr="002B5F10">
              <w:rPr>
                <w:rFonts w:eastAsiaTheme="majorEastAsia" w:cstheme="minorHAnsi"/>
                <w:bCs/>
                <w:sz w:val="16"/>
                <w:szCs w:val="16"/>
              </w:rPr>
              <w:t>AAWI</w:t>
            </w:r>
            <w:proofErr w:type="spellEnd"/>
          </w:p>
        </w:tc>
        <w:tc>
          <w:tcPr>
            <w:tcW w:w="1134" w:type="dxa"/>
          </w:tcPr>
          <w:p w:rsidR="00290616" w:rsidRPr="002B5F10" w:rsidRDefault="00290616"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71</w:t>
            </w:r>
          </w:p>
        </w:tc>
        <w:tc>
          <w:tcPr>
            <w:tcW w:w="1134" w:type="dxa"/>
          </w:tcPr>
          <w:p w:rsidR="00290616" w:rsidRPr="002B5F10" w:rsidRDefault="00290616"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6.3</w:t>
            </w:r>
          </w:p>
        </w:tc>
        <w:tc>
          <w:tcPr>
            <w:tcW w:w="959" w:type="dxa"/>
          </w:tcPr>
          <w:p w:rsidR="00290616" w:rsidRPr="002B5F10" w:rsidRDefault="00290616"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3.1%</w:t>
            </w:r>
          </w:p>
        </w:tc>
      </w:tr>
      <w:tr w:rsidR="00290616" w:rsidRPr="00DF1411" w:rsidTr="00290616">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242" w:type="dxa"/>
            <w:vMerge/>
          </w:tcPr>
          <w:p w:rsidR="00290616" w:rsidRPr="002B5F10" w:rsidRDefault="00290616" w:rsidP="005F1ABF">
            <w:pPr>
              <w:rPr>
                <w:rFonts w:asciiTheme="minorHAnsi" w:hAnsiTheme="minorHAnsi" w:cstheme="minorHAnsi"/>
                <w:sz w:val="16"/>
                <w:szCs w:val="16"/>
              </w:rPr>
            </w:pPr>
          </w:p>
        </w:tc>
        <w:tc>
          <w:tcPr>
            <w:tcW w:w="1134" w:type="dxa"/>
            <w:vMerge/>
          </w:tcPr>
          <w:p w:rsidR="00290616" w:rsidRPr="002B5F10" w:rsidRDefault="00290616"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p>
        </w:tc>
        <w:tc>
          <w:tcPr>
            <w:tcW w:w="1134" w:type="dxa"/>
            <w:vMerge/>
          </w:tcPr>
          <w:p w:rsidR="00290616" w:rsidRPr="002B5F10" w:rsidRDefault="00290616" w:rsidP="005F1ABF">
            <w:pPr>
              <w:cnfStyle w:val="000000100000" w:firstRow="0" w:lastRow="0" w:firstColumn="0" w:lastColumn="0" w:oddVBand="0" w:evenVBand="0" w:oddHBand="1" w:evenHBand="0" w:firstRowFirstColumn="0" w:firstRowLastColumn="0" w:lastRowFirstColumn="0" w:lastRowLastColumn="0"/>
              <w:rPr>
                <w:rFonts w:eastAsiaTheme="majorEastAsia" w:cstheme="minorHAnsi"/>
                <w:sz w:val="16"/>
                <w:szCs w:val="16"/>
              </w:rPr>
            </w:pPr>
          </w:p>
        </w:tc>
        <w:tc>
          <w:tcPr>
            <w:tcW w:w="2410" w:type="dxa"/>
          </w:tcPr>
          <w:p w:rsidR="00290616" w:rsidRPr="002B5F10" w:rsidRDefault="00290616" w:rsidP="005F1ABF">
            <w:pPr>
              <w:cnfStyle w:val="000000100000" w:firstRow="0" w:lastRow="0" w:firstColumn="0" w:lastColumn="0" w:oddVBand="0" w:evenVBand="0" w:oddHBand="1" w:evenHBand="0" w:firstRowFirstColumn="0" w:firstRowLastColumn="0" w:lastRowFirstColumn="0" w:lastRowLastColumn="0"/>
              <w:rPr>
                <w:rFonts w:eastAsiaTheme="majorEastAsia" w:cstheme="minorHAnsi"/>
                <w:bCs/>
                <w:sz w:val="16"/>
                <w:szCs w:val="16"/>
              </w:rPr>
            </w:pPr>
            <w:r w:rsidRPr="002B5F10">
              <w:rPr>
                <w:rFonts w:eastAsiaTheme="majorEastAsia" w:cstheme="minorHAnsi"/>
                <w:bCs/>
                <w:sz w:val="16"/>
                <w:szCs w:val="16"/>
              </w:rPr>
              <w:t>Calculated average increase in wages between the pay rates at commencement of the agreement with the pay rates at the commencement of the agreement it replaced</w:t>
            </w:r>
          </w:p>
        </w:tc>
        <w:tc>
          <w:tcPr>
            <w:tcW w:w="1134" w:type="dxa"/>
          </w:tcPr>
          <w:p w:rsidR="00290616" w:rsidRPr="002B5F10" w:rsidRDefault="00290616"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110**</w:t>
            </w:r>
          </w:p>
        </w:tc>
        <w:tc>
          <w:tcPr>
            <w:tcW w:w="1134" w:type="dxa"/>
          </w:tcPr>
          <w:p w:rsidR="00290616" w:rsidRPr="002B5F10" w:rsidRDefault="00290616"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12.3</w:t>
            </w:r>
          </w:p>
        </w:tc>
        <w:tc>
          <w:tcPr>
            <w:tcW w:w="959" w:type="dxa"/>
          </w:tcPr>
          <w:p w:rsidR="00290616" w:rsidRPr="002B5F10" w:rsidRDefault="00290616" w:rsidP="005F1ABF">
            <w:pP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3.5%</w:t>
            </w:r>
          </w:p>
        </w:tc>
      </w:tr>
      <w:tr w:rsidR="00290616" w:rsidRPr="00DF1411" w:rsidTr="00290616">
        <w:trPr>
          <w:cnfStyle w:val="000000010000" w:firstRow="0" w:lastRow="0" w:firstColumn="0" w:lastColumn="0" w:oddVBand="0" w:evenVBand="0" w:oddHBand="0" w:evenHBand="1"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242" w:type="dxa"/>
            <w:vMerge/>
            <w:shd w:val="clear" w:color="auto" w:fill="D3DFEE" w:themeFill="accent1" w:themeFillTint="3F"/>
          </w:tcPr>
          <w:p w:rsidR="00290616" w:rsidRPr="002B5F10" w:rsidRDefault="00290616" w:rsidP="005F1ABF">
            <w:pPr>
              <w:rPr>
                <w:rFonts w:asciiTheme="minorHAnsi" w:hAnsiTheme="minorHAnsi" w:cstheme="minorHAnsi"/>
                <w:sz w:val="16"/>
                <w:szCs w:val="16"/>
              </w:rPr>
            </w:pPr>
          </w:p>
        </w:tc>
        <w:tc>
          <w:tcPr>
            <w:tcW w:w="1134" w:type="dxa"/>
            <w:vMerge/>
            <w:shd w:val="clear" w:color="auto" w:fill="D3DFEE" w:themeFill="accent1" w:themeFillTint="3F"/>
          </w:tcPr>
          <w:p w:rsidR="00290616" w:rsidRPr="002B5F10" w:rsidRDefault="00290616"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p>
        </w:tc>
        <w:tc>
          <w:tcPr>
            <w:tcW w:w="1134" w:type="dxa"/>
            <w:vMerge/>
            <w:shd w:val="clear" w:color="auto" w:fill="D3DFEE" w:themeFill="accent1" w:themeFillTint="3F"/>
          </w:tcPr>
          <w:p w:rsidR="00290616" w:rsidRPr="002B5F10" w:rsidRDefault="00290616" w:rsidP="005F1ABF">
            <w:pPr>
              <w:cnfStyle w:val="000000010000" w:firstRow="0" w:lastRow="0" w:firstColumn="0" w:lastColumn="0" w:oddVBand="0" w:evenVBand="0" w:oddHBand="0" w:evenHBand="1" w:firstRowFirstColumn="0" w:firstRowLastColumn="0" w:lastRowFirstColumn="0" w:lastRowLastColumn="0"/>
              <w:rPr>
                <w:rFonts w:eastAsiaTheme="majorEastAsia" w:cstheme="minorHAnsi"/>
                <w:sz w:val="16"/>
                <w:szCs w:val="16"/>
              </w:rPr>
            </w:pPr>
          </w:p>
        </w:tc>
        <w:tc>
          <w:tcPr>
            <w:tcW w:w="2410" w:type="dxa"/>
            <w:shd w:val="clear" w:color="auto" w:fill="D3DFEE" w:themeFill="accent1" w:themeFillTint="3F"/>
          </w:tcPr>
          <w:p w:rsidR="00290616" w:rsidRPr="002B5F10" w:rsidRDefault="00290616" w:rsidP="00DF1411">
            <w:pPr>
              <w:cnfStyle w:val="000000010000" w:firstRow="0" w:lastRow="0" w:firstColumn="0" w:lastColumn="0" w:oddVBand="0" w:evenVBand="0" w:oddHBand="0" w:evenHBand="1" w:firstRowFirstColumn="0" w:firstRowLastColumn="0" w:lastRowFirstColumn="0" w:lastRowLastColumn="0"/>
              <w:rPr>
                <w:rFonts w:eastAsiaTheme="majorEastAsia" w:cstheme="minorHAnsi"/>
                <w:bCs/>
                <w:sz w:val="16"/>
                <w:szCs w:val="16"/>
              </w:rPr>
            </w:pPr>
            <w:r w:rsidRPr="002B5F10">
              <w:rPr>
                <w:rFonts w:eastAsiaTheme="majorEastAsia" w:cstheme="minorHAnsi"/>
                <w:bCs/>
                <w:sz w:val="16"/>
                <w:szCs w:val="16"/>
              </w:rPr>
              <w:t xml:space="preserve">Weighted </w:t>
            </w:r>
            <w:proofErr w:type="spellStart"/>
            <w:r w:rsidR="00DF1411">
              <w:rPr>
                <w:rFonts w:eastAsiaTheme="majorEastAsia" w:cstheme="minorHAnsi"/>
                <w:bCs/>
                <w:sz w:val="16"/>
                <w:szCs w:val="16"/>
              </w:rPr>
              <w:t>AAWI</w:t>
            </w:r>
            <w:proofErr w:type="spellEnd"/>
            <w:r w:rsidRPr="002B5F10">
              <w:rPr>
                <w:rFonts w:eastAsiaTheme="majorEastAsia" w:cstheme="minorHAnsi"/>
                <w:bCs/>
                <w:sz w:val="16"/>
                <w:szCs w:val="16"/>
              </w:rPr>
              <w:t xml:space="preserve"> for ‘Other</w:t>
            </w:r>
            <w:r w:rsidR="00DF1411">
              <w:rPr>
                <w:rFonts w:eastAsiaTheme="majorEastAsia" w:cstheme="minorHAnsi"/>
                <w:bCs/>
                <w:sz w:val="16"/>
                <w:szCs w:val="16"/>
              </w:rPr>
              <w:t xml:space="preserve"> reasons</w:t>
            </w:r>
            <w:r w:rsidRPr="002B5F10">
              <w:rPr>
                <w:rFonts w:eastAsiaTheme="majorEastAsia" w:cstheme="minorHAnsi"/>
                <w:bCs/>
                <w:sz w:val="16"/>
                <w:szCs w:val="16"/>
              </w:rPr>
              <w:t>’</w:t>
            </w:r>
          </w:p>
        </w:tc>
        <w:tc>
          <w:tcPr>
            <w:tcW w:w="1134" w:type="dxa"/>
          </w:tcPr>
          <w:p w:rsidR="00290616" w:rsidRPr="002B5F10" w:rsidRDefault="00643C10"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Not applicable</w:t>
            </w:r>
          </w:p>
        </w:tc>
        <w:tc>
          <w:tcPr>
            <w:tcW w:w="1134" w:type="dxa"/>
          </w:tcPr>
          <w:p w:rsidR="00290616" w:rsidRPr="002B5F10" w:rsidRDefault="00643C10"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Not applicable</w:t>
            </w:r>
          </w:p>
        </w:tc>
        <w:tc>
          <w:tcPr>
            <w:tcW w:w="959" w:type="dxa"/>
          </w:tcPr>
          <w:p w:rsidR="00290616" w:rsidRPr="002B5F10" w:rsidRDefault="00290616" w:rsidP="005F1ABF">
            <w:pPr>
              <w:cnfStyle w:val="000000010000" w:firstRow="0" w:lastRow="0" w:firstColumn="0" w:lastColumn="0" w:oddVBand="0" w:evenVBand="0" w:oddHBand="0" w:evenHBand="1" w:firstRowFirstColumn="0" w:firstRowLastColumn="0" w:lastRowFirstColumn="0" w:lastRowLastColumn="0"/>
              <w:rPr>
                <w:rFonts w:eastAsia="Times New Roman" w:cstheme="minorHAnsi"/>
                <w:sz w:val="16"/>
                <w:szCs w:val="16"/>
              </w:rPr>
            </w:pPr>
            <w:r w:rsidRPr="002B5F10">
              <w:rPr>
                <w:rFonts w:eastAsia="Times New Roman" w:cstheme="minorHAnsi"/>
                <w:sz w:val="16"/>
                <w:szCs w:val="16"/>
              </w:rPr>
              <w:t>3.</w:t>
            </w:r>
            <w:r w:rsidR="00C2534C" w:rsidRPr="002B5F10">
              <w:rPr>
                <w:rFonts w:eastAsia="Times New Roman" w:cstheme="minorHAnsi"/>
                <w:sz w:val="16"/>
                <w:szCs w:val="16"/>
              </w:rPr>
              <w:t>1</w:t>
            </w:r>
            <w:r w:rsidRPr="002B5F10">
              <w:rPr>
                <w:rFonts w:eastAsia="Times New Roman" w:cstheme="minorHAnsi"/>
                <w:sz w:val="16"/>
                <w:szCs w:val="16"/>
              </w:rPr>
              <w:t>%</w:t>
            </w:r>
          </w:p>
        </w:tc>
      </w:tr>
    </w:tbl>
    <w:p w:rsidR="00B64BEE" w:rsidRPr="002B5F10" w:rsidRDefault="00B64BEE" w:rsidP="00B64BEE">
      <w:pPr>
        <w:spacing w:after="0"/>
        <w:rPr>
          <w:rFonts w:eastAsia="Times New Roman" w:cstheme="minorHAnsi"/>
          <w:sz w:val="16"/>
          <w:szCs w:val="16"/>
        </w:rPr>
      </w:pPr>
      <w:r w:rsidRPr="002B5F10">
        <w:rPr>
          <w:rFonts w:eastAsia="Times New Roman" w:cstheme="minorHAnsi"/>
          <w:sz w:val="16"/>
          <w:szCs w:val="16"/>
        </w:rPr>
        <w:t xml:space="preserve">* 84 agreements were initially considered; however only for 49 an </w:t>
      </w:r>
      <w:proofErr w:type="spellStart"/>
      <w:r w:rsidRPr="002B5F10">
        <w:rPr>
          <w:rFonts w:eastAsia="Times New Roman" w:cstheme="minorHAnsi"/>
          <w:sz w:val="16"/>
          <w:szCs w:val="16"/>
        </w:rPr>
        <w:t>AAWI</w:t>
      </w:r>
      <w:proofErr w:type="spellEnd"/>
      <w:r w:rsidRPr="002B5F10">
        <w:rPr>
          <w:rFonts w:eastAsia="Times New Roman" w:cstheme="minorHAnsi"/>
          <w:sz w:val="16"/>
          <w:szCs w:val="16"/>
        </w:rPr>
        <w:t xml:space="preserve"> can be reasonably estimated.</w:t>
      </w:r>
    </w:p>
    <w:p w:rsidR="00B64BEE" w:rsidRPr="002B5F10" w:rsidRDefault="00B64BEE" w:rsidP="00B64BEE">
      <w:pPr>
        <w:spacing w:after="0"/>
        <w:rPr>
          <w:rFonts w:eastAsia="Times New Roman" w:cstheme="minorHAnsi"/>
          <w:sz w:val="16"/>
          <w:szCs w:val="16"/>
        </w:rPr>
      </w:pPr>
      <w:r w:rsidRPr="002B5F10">
        <w:rPr>
          <w:rFonts w:eastAsia="Times New Roman" w:cstheme="minorHAnsi"/>
          <w:sz w:val="16"/>
          <w:szCs w:val="16"/>
        </w:rPr>
        <w:t xml:space="preserve">**125 agreements were initially considered; however only for 110 an </w:t>
      </w:r>
      <w:proofErr w:type="spellStart"/>
      <w:r w:rsidRPr="002B5F10">
        <w:rPr>
          <w:rFonts w:eastAsia="Times New Roman" w:cstheme="minorHAnsi"/>
          <w:sz w:val="16"/>
          <w:szCs w:val="16"/>
        </w:rPr>
        <w:t>AAWI</w:t>
      </w:r>
      <w:proofErr w:type="spellEnd"/>
      <w:r w:rsidRPr="002B5F10">
        <w:rPr>
          <w:rFonts w:eastAsia="Times New Roman" w:cstheme="minorHAnsi"/>
          <w:sz w:val="16"/>
          <w:szCs w:val="16"/>
        </w:rPr>
        <w:t xml:space="preserve"> can be reasonably estimated.</w:t>
      </w:r>
    </w:p>
    <w:p w:rsidR="001A71F4" w:rsidRDefault="001A71F4" w:rsidP="005D3296">
      <w:pPr>
        <w:spacing w:before="240"/>
        <w:rPr>
          <w:rFonts w:eastAsia="Times New Roman"/>
        </w:rPr>
      </w:pPr>
      <w:r w:rsidRPr="00527F90">
        <w:rPr>
          <w:rFonts w:eastAsia="Times New Roman"/>
        </w:rPr>
        <w:t xml:space="preserve">For </w:t>
      </w:r>
      <w:r w:rsidR="0035752F">
        <w:rPr>
          <w:rFonts w:eastAsia="Times New Roman"/>
        </w:rPr>
        <w:t xml:space="preserve">the </w:t>
      </w:r>
      <w:r w:rsidR="0035752F" w:rsidRPr="00527F90">
        <w:rPr>
          <w:rFonts w:eastAsia="Times New Roman"/>
        </w:rPr>
        <w:t xml:space="preserve">agreements </w:t>
      </w:r>
      <w:r w:rsidR="0035752F">
        <w:rPr>
          <w:rFonts w:eastAsia="Times New Roman"/>
        </w:rPr>
        <w:t xml:space="preserve">with </w:t>
      </w:r>
      <w:r w:rsidRPr="00527F90">
        <w:rPr>
          <w:rFonts w:eastAsia="Times New Roman"/>
        </w:rPr>
        <w:t xml:space="preserve">inconsistent </w:t>
      </w:r>
      <w:r w:rsidR="00C00345">
        <w:rPr>
          <w:rFonts w:eastAsia="Times New Roman"/>
        </w:rPr>
        <w:t xml:space="preserve">wage </w:t>
      </w:r>
      <w:r w:rsidRPr="00527F90">
        <w:rPr>
          <w:rFonts w:eastAsia="Times New Roman"/>
        </w:rPr>
        <w:t>increase</w:t>
      </w:r>
      <w:r w:rsidR="00C00345">
        <w:rPr>
          <w:rFonts w:eastAsia="Times New Roman"/>
        </w:rPr>
        <w:t>s</w:t>
      </w:r>
      <w:r w:rsidRPr="00527F90">
        <w:rPr>
          <w:rFonts w:eastAsia="Times New Roman"/>
        </w:rPr>
        <w:t xml:space="preserve"> </w:t>
      </w:r>
      <w:r w:rsidR="0035752F">
        <w:rPr>
          <w:rFonts w:eastAsia="Times New Roman"/>
        </w:rPr>
        <w:t>between employee groups</w:t>
      </w:r>
      <w:r w:rsidRPr="00527F90">
        <w:rPr>
          <w:rFonts w:eastAsia="Times New Roman"/>
        </w:rPr>
        <w:t>, a sample of 100 agreements</w:t>
      </w:r>
      <w:r w:rsidR="0035752F">
        <w:rPr>
          <w:rFonts w:eastAsia="Times New Roman"/>
        </w:rPr>
        <w:t xml:space="preserve">, </w:t>
      </w:r>
      <w:r w:rsidRPr="00527F90">
        <w:rPr>
          <w:rFonts w:eastAsia="Times New Roman"/>
        </w:rPr>
        <w:t>covering 38,736 employees</w:t>
      </w:r>
      <w:r w:rsidR="0035752F">
        <w:rPr>
          <w:rFonts w:eastAsia="Times New Roman"/>
        </w:rPr>
        <w:t>,</w:t>
      </w:r>
      <w:r w:rsidRPr="00527F90">
        <w:rPr>
          <w:rFonts w:eastAsia="Times New Roman"/>
        </w:rPr>
        <w:t xml:space="preserve"> was drawn from </w:t>
      </w:r>
      <w:r w:rsidR="0035752F" w:rsidRPr="00527F90">
        <w:rPr>
          <w:rFonts w:eastAsia="Times New Roman"/>
        </w:rPr>
        <w:t xml:space="preserve">752 </w:t>
      </w:r>
      <w:r w:rsidRPr="00527F90">
        <w:rPr>
          <w:rFonts w:eastAsia="Times New Roman"/>
        </w:rPr>
        <w:t>current</w:t>
      </w:r>
      <w:r>
        <w:rPr>
          <w:rFonts w:eastAsia="Times New Roman"/>
        </w:rPr>
        <w:t xml:space="preserve"> applicable</w:t>
      </w:r>
      <w:r w:rsidRPr="00527F90">
        <w:rPr>
          <w:rFonts w:eastAsia="Times New Roman"/>
        </w:rPr>
        <w:t xml:space="preserve"> agreements as at 31 March 2015. </w:t>
      </w:r>
      <w:r w:rsidR="0035752F">
        <w:rPr>
          <w:rFonts w:eastAsia="Times New Roman"/>
        </w:rPr>
        <w:t>As</w:t>
      </w:r>
      <w:r w:rsidRPr="00527F90">
        <w:rPr>
          <w:rFonts w:eastAsia="Times New Roman"/>
        </w:rPr>
        <w:t xml:space="preserve"> the agreements did not </w:t>
      </w:r>
      <w:r w:rsidR="0035752F">
        <w:rPr>
          <w:rFonts w:eastAsia="Times New Roman"/>
        </w:rPr>
        <w:t xml:space="preserve">contain </w:t>
      </w:r>
      <w:r w:rsidRPr="00527F90">
        <w:rPr>
          <w:rFonts w:eastAsia="Times New Roman"/>
        </w:rPr>
        <w:t>the number of employees in each employee category</w:t>
      </w:r>
      <w:r w:rsidR="00716241">
        <w:rPr>
          <w:rFonts w:eastAsia="Times New Roman"/>
        </w:rPr>
        <w:t xml:space="preserve"> </w:t>
      </w:r>
      <w:r w:rsidR="00716241" w:rsidRPr="00527F90">
        <w:rPr>
          <w:rFonts w:eastAsia="Times New Roman"/>
        </w:rPr>
        <w:t>for</w:t>
      </w:r>
      <w:r w:rsidRPr="00527F90">
        <w:rPr>
          <w:rFonts w:eastAsia="Times New Roman"/>
        </w:rPr>
        <w:t xml:space="preserve"> each agreement in the sample, a simple average of</w:t>
      </w:r>
      <w:r w:rsidR="007C2856">
        <w:rPr>
          <w:rFonts w:eastAsia="Times New Roman"/>
        </w:rPr>
        <w:t xml:space="preserve"> different</w:t>
      </w:r>
      <w:r w:rsidRPr="00527F90">
        <w:rPr>
          <w:rFonts w:eastAsia="Times New Roman"/>
        </w:rPr>
        <w:t xml:space="preserve"> increases was calculated</w:t>
      </w:r>
      <w:r w:rsidR="0035752F">
        <w:rPr>
          <w:rFonts w:eastAsia="Times New Roman"/>
        </w:rPr>
        <w:t xml:space="preserve">. </w:t>
      </w:r>
      <w:r w:rsidR="007C2856">
        <w:rPr>
          <w:rFonts w:eastAsia="Times New Roman"/>
        </w:rPr>
        <w:t>The</w:t>
      </w:r>
      <w:r w:rsidRPr="00527F90">
        <w:rPr>
          <w:rFonts w:eastAsia="Times New Roman"/>
        </w:rPr>
        <w:t xml:space="preserve"> combined </w:t>
      </w:r>
      <w:proofErr w:type="spellStart"/>
      <w:r w:rsidR="007C2856">
        <w:rPr>
          <w:rFonts w:eastAsia="Times New Roman"/>
        </w:rPr>
        <w:t>AAWI</w:t>
      </w:r>
      <w:proofErr w:type="spellEnd"/>
      <w:r w:rsidR="007C2856">
        <w:rPr>
          <w:rFonts w:eastAsia="Times New Roman"/>
        </w:rPr>
        <w:t xml:space="preserve"> </w:t>
      </w:r>
      <w:r w:rsidRPr="00527F90">
        <w:rPr>
          <w:rFonts w:eastAsia="Times New Roman"/>
        </w:rPr>
        <w:t>for the sample agreements was 2.2 per cent</w:t>
      </w:r>
      <w:r>
        <w:rPr>
          <w:rFonts w:eastAsia="Times New Roman"/>
        </w:rPr>
        <w:t>.</w:t>
      </w:r>
    </w:p>
    <w:p w:rsidR="00184683" w:rsidRDefault="007C2856" w:rsidP="00523094">
      <w:pPr>
        <w:rPr>
          <w:rFonts w:eastAsia="Times New Roman"/>
        </w:rPr>
      </w:pPr>
      <w:r>
        <w:rPr>
          <w:rFonts w:eastAsia="Times New Roman"/>
        </w:rPr>
        <w:t>A</w:t>
      </w:r>
      <w:r w:rsidR="00F61486" w:rsidRPr="00527F90">
        <w:rPr>
          <w:rFonts w:eastAsia="Times New Roman"/>
        </w:rPr>
        <w:t xml:space="preserve"> sample of 8</w:t>
      </w:r>
      <w:r w:rsidR="00051AFE" w:rsidRPr="00527F90">
        <w:rPr>
          <w:rFonts w:eastAsia="Times New Roman"/>
        </w:rPr>
        <w:t>4</w:t>
      </w:r>
      <w:r w:rsidR="00F61486" w:rsidRPr="00527F90">
        <w:rPr>
          <w:rFonts w:eastAsia="Times New Roman"/>
        </w:rPr>
        <w:t xml:space="preserve"> agreements </w:t>
      </w:r>
      <w:r w:rsidR="00ED42FE" w:rsidRPr="00527F90">
        <w:rPr>
          <w:rFonts w:eastAsia="Times New Roman"/>
        </w:rPr>
        <w:t xml:space="preserve">from a total of </w:t>
      </w:r>
      <w:r w:rsidR="004A7E55" w:rsidRPr="00527F90">
        <w:rPr>
          <w:rFonts w:eastAsia="Times New Roman"/>
        </w:rPr>
        <w:t>155</w:t>
      </w:r>
      <w:r w:rsidR="00ED42FE" w:rsidRPr="00527F90">
        <w:rPr>
          <w:rFonts w:eastAsia="Times New Roman"/>
        </w:rPr>
        <w:t xml:space="preserve"> performance linked agreements</w:t>
      </w:r>
      <w:r w:rsidR="00C1084A">
        <w:rPr>
          <w:rFonts w:eastAsia="Times New Roman"/>
        </w:rPr>
        <w:t xml:space="preserve"> </w:t>
      </w:r>
      <w:r w:rsidR="00500AC7">
        <w:rPr>
          <w:rFonts w:eastAsia="Times New Roman"/>
        </w:rPr>
        <w:t>was</w:t>
      </w:r>
      <w:r w:rsidR="00C1084A">
        <w:rPr>
          <w:rFonts w:eastAsia="Times New Roman"/>
        </w:rPr>
        <w:t xml:space="preserve"> studied.</w:t>
      </w:r>
      <w:r w:rsidR="00ED42FE" w:rsidRPr="00527F90">
        <w:rPr>
          <w:rFonts w:eastAsia="Times New Roman"/>
        </w:rPr>
        <w:t xml:space="preserve"> </w:t>
      </w:r>
      <w:r w:rsidR="00F61486" w:rsidRPr="00527F90">
        <w:rPr>
          <w:rFonts w:eastAsia="Times New Roman"/>
        </w:rPr>
        <w:t xml:space="preserve">Of </w:t>
      </w:r>
      <w:r>
        <w:rPr>
          <w:rFonts w:eastAsia="Times New Roman"/>
        </w:rPr>
        <w:t>these</w:t>
      </w:r>
      <w:r w:rsidRPr="00527F90">
        <w:rPr>
          <w:rFonts w:eastAsia="Times New Roman"/>
        </w:rPr>
        <w:t xml:space="preserve"> </w:t>
      </w:r>
      <w:r w:rsidR="00F61486" w:rsidRPr="00527F90">
        <w:rPr>
          <w:rFonts w:eastAsia="Times New Roman"/>
        </w:rPr>
        <w:t>agreements,</w:t>
      </w:r>
      <w:r w:rsidR="00184683">
        <w:rPr>
          <w:rFonts w:eastAsia="Times New Roman"/>
        </w:rPr>
        <w:t xml:space="preserve"> </w:t>
      </w:r>
      <w:r w:rsidR="00184683" w:rsidRPr="00527F90">
        <w:rPr>
          <w:rFonts w:eastAsia="Times New Roman"/>
        </w:rPr>
        <w:t xml:space="preserve">there were no </w:t>
      </w:r>
      <w:r w:rsidR="00184683">
        <w:rPr>
          <w:rFonts w:eastAsia="Times New Roman"/>
        </w:rPr>
        <w:t>r</w:t>
      </w:r>
      <w:r w:rsidR="00184683" w:rsidRPr="00527F90">
        <w:rPr>
          <w:rFonts w:eastAsia="Times New Roman"/>
        </w:rPr>
        <w:t>easonable methods that could be applied to calculate an estimate</w:t>
      </w:r>
      <w:r w:rsidR="00184683">
        <w:rPr>
          <w:rFonts w:eastAsia="Times New Roman"/>
        </w:rPr>
        <w:t xml:space="preserve"> for </w:t>
      </w:r>
      <w:r w:rsidR="00184683" w:rsidRPr="00527F90">
        <w:rPr>
          <w:rFonts w:eastAsia="Times New Roman"/>
        </w:rPr>
        <w:t>35 agreements</w:t>
      </w:r>
      <w:r w:rsidR="00184683">
        <w:rPr>
          <w:rFonts w:eastAsia="Times New Roman"/>
        </w:rPr>
        <w:t xml:space="preserve">. </w:t>
      </w:r>
    </w:p>
    <w:p w:rsidR="007C2856" w:rsidRDefault="00184683" w:rsidP="00523094">
      <w:pPr>
        <w:rPr>
          <w:rFonts w:eastAsia="Times New Roman"/>
        </w:rPr>
      </w:pPr>
      <w:r>
        <w:rPr>
          <w:rFonts w:eastAsia="Times New Roman"/>
        </w:rPr>
        <w:t>I</w:t>
      </w:r>
      <w:r w:rsidR="00F61486" w:rsidRPr="00527F90">
        <w:rPr>
          <w:rFonts w:eastAsia="Times New Roman"/>
        </w:rPr>
        <w:t xml:space="preserve">t was possible to estimate an average wage increase for </w:t>
      </w:r>
      <w:r>
        <w:rPr>
          <w:rFonts w:eastAsia="Times New Roman"/>
        </w:rPr>
        <w:t xml:space="preserve">the other </w:t>
      </w:r>
      <w:r w:rsidR="00F61486" w:rsidRPr="00527F90">
        <w:rPr>
          <w:rFonts w:eastAsia="Times New Roman"/>
        </w:rPr>
        <w:t>49 agreements</w:t>
      </w:r>
      <w:r w:rsidR="007C2856">
        <w:rPr>
          <w:rFonts w:eastAsia="Times New Roman"/>
        </w:rPr>
        <w:t xml:space="preserve">. This is because either these </w:t>
      </w:r>
      <w:r w:rsidR="007C2856" w:rsidRPr="00CE097B">
        <w:rPr>
          <w:rFonts w:eastAsia="Times New Roman"/>
        </w:rPr>
        <w:t xml:space="preserve">agreements </w:t>
      </w:r>
      <w:r w:rsidR="007C2856">
        <w:rPr>
          <w:rFonts w:eastAsia="Times New Roman"/>
        </w:rPr>
        <w:t>specified</w:t>
      </w:r>
      <w:r w:rsidR="007C2856" w:rsidRPr="00CE097B">
        <w:rPr>
          <w:rFonts w:eastAsia="Times New Roman"/>
        </w:rPr>
        <w:t xml:space="preserve"> </w:t>
      </w:r>
      <w:r w:rsidR="007C2856">
        <w:rPr>
          <w:rFonts w:eastAsia="Times New Roman"/>
        </w:rPr>
        <w:t>a</w:t>
      </w:r>
      <w:r w:rsidR="007C2856" w:rsidRPr="00CE097B">
        <w:rPr>
          <w:rFonts w:eastAsia="Times New Roman"/>
        </w:rPr>
        <w:t xml:space="preserve"> </w:t>
      </w:r>
      <w:r w:rsidR="007C2856">
        <w:rPr>
          <w:rFonts w:eastAsia="Times New Roman"/>
        </w:rPr>
        <w:t>fixed</w:t>
      </w:r>
      <w:r w:rsidR="007C2856" w:rsidRPr="00CE097B">
        <w:rPr>
          <w:rFonts w:eastAsia="Times New Roman"/>
        </w:rPr>
        <w:t xml:space="preserve"> </w:t>
      </w:r>
      <w:r w:rsidR="007C2856" w:rsidRPr="00AF3490">
        <w:rPr>
          <w:rFonts w:eastAsia="Times New Roman"/>
        </w:rPr>
        <w:t xml:space="preserve">percentage </w:t>
      </w:r>
      <w:r w:rsidR="007C2856" w:rsidRPr="00CE097B">
        <w:rPr>
          <w:rFonts w:eastAsia="Times New Roman"/>
        </w:rPr>
        <w:t xml:space="preserve">pool </w:t>
      </w:r>
      <w:r w:rsidR="007C2856">
        <w:rPr>
          <w:rFonts w:eastAsia="Times New Roman"/>
        </w:rPr>
        <w:t xml:space="preserve">of its total remuneration </w:t>
      </w:r>
      <w:r w:rsidR="007C2856" w:rsidRPr="00CE097B">
        <w:rPr>
          <w:rFonts w:eastAsia="Times New Roman"/>
        </w:rPr>
        <w:t>to</w:t>
      </w:r>
      <w:r w:rsidR="007C2856">
        <w:rPr>
          <w:rFonts w:eastAsia="Times New Roman"/>
        </w:rPr>
        <w:t xml:space="preserve"> fund wage increase</w:t>
      </w:r>
      <w:r w:rsidR="00731646">
        <w:rPr>
          <w:rFonts w:eastAsia="Times New Roman"/>
        </w:rPr>
        <w:t xml:space="preserve">, </w:t>
      </w:r>
      <w:r w:rsidR="00731646" w:rsidRPr="00CE097B">
        <w:rPr>
          <w:rFonts w:eastAsia="Times New Roman"/>
        </w:rPr>
        <w:t>or</w:t>
      </w:r>
      <w:r w:rsidR="007C2856">
        <w:rPr>
          <w:rFonts w:eastAsia="Times New Roman"/>
        </w:rPr>
        <w:t xml:space="preserve"> </w:t>
      </w:r>
      <w:r w:rsidR="007C2856" w:rsidRPr="00CE097B">
        <w:rPr>
          <w:rFonts w:eastAsia="Times New Roman"/>
        </w:rPr>
        <w:t xml:space="preserve">an estimated </w:t>
      </w:r>
      <w:proofErr w:type="spellStart"/>
      <w:r w:rsidR="007C2856" w:rsidRPr="00CE097B">
        <w:rPr>
          <w:rFonts w:eastAsia="Times New Roman"/>
        </w:rPr>
        <w:t>AAWI</w:t>
      </w:r>
      <w:proofErr w:type="spellEnd"/>
      <w:r w:rsidR="007C2856" w:rsidRPr="00CE097B">
        <w:rPr>
          <w:rFonts w:eastAsia="Times New Roman"/>
        </w:rPr>
        <w:t xml:space="preserve"> </w:t>
      </w:r>
      <w:r w:rsidR="007C2856">
        <w:rPr>
          <w:rFonts w:eastAsia="Times New Roman"/>
        </w:rPr>
        <w:t>can be</w:t>
      </w:r>
      <w:r w:rsidR="007C2856" w:rsidRPr="00CE097B">
        <w:rPr>
          <w:rFonts w:eastAsia="Times New Roman"/>
        </w:rPr>
        <w:t xml:space="preserve"> derived by </w:t>
      </w:r>
      <w:r w:rsidR="007C2856">
        <w:rPr>
          <w:rFonts w:eastAsia="Times New Roman"/>
        </w:rPr>
        <w:t xml:space="preserve">comparing </w:t>
      </w:r>
      <w:r w:rsidR="007C2856" w:rsidRPr="00CE097B">
        <w:rPr>
          <w:rFonts w:eastAsia="Times New Roman"/>
        </w:rPr>
        <w:t xml:space="preserve">the starting wage rates of the agreement and </w:t>
      </w:r>
      <w:r w:rsidR="00A053AB">
        <w:rPr>
          <w:rFonts w:eastAsia="Times New Roman"/>
        </w:rPr>
        <w:t xml:space="preserve">those </w:t>
      </w:r>
      <w:r w:rsidR="00DF1411">
        <w:rPr>
          <w:rFonts w:eastAsia="Times New Roman"/>
        </w:rPr>
        <w:t xml:space="preserve">at the commencement </w:t>
      </w:r>
      <w:proofErr w:type="gramStart"/>
      <w:r w:rsidR="00DF1411">
        <w:rPr>
          <w:rFonts w:eastAsia="Times New Roman"/>
        </w:rPr>
        <w:t xml:space="preserve">of </w:t>
      </w:r>
      <w:r w:rsidR="00A053AB">
        <w:rPr>
          <w:rFonts w:eastAsia="Times New Roman"/>
        </w:rPr>
        <w:t xml:space="preserve"> </w:t>
      </w:r>
      <w:r w:rsidR="007C2856" w:rsidRPr="00CE097B">
        <w:rPr>
          <w:rFonts w:eastAsia="Times New Roman"/>
        </w:rPr>
        <w:t>its</w:t>
      </w:r>
      <w:proofErr w:type="gramEnd"/>
      <w:r w:rsidR="007C2856" w:rsidRPr="00CE097B">
        <w:rPr>
          <w:rFonts w:eastAsia="Times New Roman"/>
        </w:rPr>
        <w:t xml:space="preserve"> immediate predecessor</w:t>
      </w:r>
      <w:r w:rsidR="007C2856">
        <w:rPr>
          <w:rFonts w:eastAsia="Times New Roman"/>
        </w:rPr>
        <w:t>.</w:t>
      </w:r>
    </w:p>
    <w:p w:rsidR="00523094" w:rsidRPr="00E07550" w:rsidRDefault="00A61047" w:rsidP="00523094">
      <w:pPr>
        <w:rPr>
          <w:rFonts w:eastAsia="Times New Roman"/>
        </w:rPr>
      </w:pPr>
      <w:r w:rsidRPr="00527F90">
        <w:rPr>
          <w:rFonts w:eastAsia="Times New Roman"/>
        </w:rPr>
        <w:t xml:space="preserve">The average </w:t>
      </w:r>
      <w:proofErr w:type="spellStart"/>
      <w:r w:rsidRPr="00527F90">
        <w:rPr>
          <w:rFonts w:eastAsia="Times New Roman"/>
        </w:rPr>
        <w:t>AAWI</w:t>
      </w:r>
      <w:proofErr w:type="spellEnd"/>
      <w:r w:rsidRPr="00527F90">
        <w:rPr>
          <w:rFonts w:eastAsia="Times New Roman"/>
        </w:rPr>
        <w:t xml:space="preserve"> for the</w:t>
      </w:r>
      <w:r w:rsidR="000E2D65" w:rsidRPr="00527F90">
        <w:rPr>
          <w:rFonts w:eastAsia="Times New Roman"/>
        </w:rPr>
        <w:t xml:space="preserve"> 49 </w:t>
      </w:r>
      <w:r w:rsidR="00D63762" w:rsidRPr="00527F90">
        <w:rPr>
          <w:rFonts w:eastAsia="Times New Roman"/>
        </w:rPr>
        <w:t>agreements was</w:t>
      </w:r>
      <w:r w:rsidRPr="00527F90">
        <w:rPr>
          <w:rFonts w:eastAsia="Times New Roman"/>
        </w:rPr>
        <w:t xml:space="preserve"> 3.2 per cent</w:t>
      </w:r>
      <w:r w:rsidR="00184683">
        <w:rPr>
          <w:rFonts w:eastAsia="Times New Roman"/>
        </w:rPr>
        <w:t xml:space="preserve"> which </w:t>
      </w:r>
      <w:r w:rsidR="001A71F4" w:rsidRPr="00E07550">
        <w:rPr>
          <w:rFonts w:eastAsia="Times New Roman"/>
        </w:rPr>
        <w:t xml:space="preserve">was then applied to </w:t>
      </w:r>
      <w:r w:rsidR="007C2856" w:rsidRPr="00E07550">
        <w:rPr>
          <w:rFonts w:eastAsia="Times New Roman"/>
        </w:rPr>
        <w:t>all performance linked agreements</w:t>
      </w:r>
      <w:r w:rsidR="001A71F4" w:rsidRPr="00E07550">
        <w:rPr>
          <w:rFonts w:eastAsia="Times New Roman"/>
        </w:rPr>
        <w:t>.</w:t>
      </w:r>
    </w:p>
    <w:p w:rsidR="007541D8" w:rsidRPr="00E07550" w:rsidRDefault="00A61047" w:rsidP="00527F90">
      <w:pPr>
        <w:rPr>
          <w:rFonts w:eastAsia="Times New Roman"/>
        </w:rPr>
      </w:pPr>
      <w:r w:rsidRPr="00E07550">
        <w:rPr>
          <w:rFonts w:eastAsia="Times New Roman"/>
        </w:rPr>
        <w:lastRenderedPageBreak/>
        <w:t xml:space="preserve">For </w:t>
      </w:r>
      <w:r w:rsidR="007541D8" w:rsidRPr="00E07550">
        <w:rPr>
          <w:rFonts w:eastAsia="Times New Roman"/>
        </w:rPr>
        <w:t xml:space="preserve">all </w:t>
      </w:r>
      <w:r w:rsidR="009C7CF1" w:rsidRPr="00E07550">
        <w:rPr>
          <w:rFonts w:eastAsia="Times New Roman"/>
        </w:rPr>
        <w:t>1</w:t>
      </w:r>
      <w:r w:rsidR="000F0D6D" w:rsidRPr="00E07550">
        <w:rPr>
          <w:rFonts w:eastAsia="Times New Roman"/>
        </w:rPr>
        <w:t>,</w:t>
      </w:r>
      <w:r w:rsidR="009C7CF1" w:rsidRPr="00E07550">
        <w:rPr>
          <w:rFonts w:eastAsia="Times New Roman"/>
        </w:rPr>
        <w:t>251</w:t>
      </w:r>
      <w:r w:rsidR="007541D8" w:rsidRPr="00E07550">
        <w:rPr>
          <w:rFonts w:eastAsia="Times New Roman"/>
        </w:rPr>
        <w:t xml:space="preserve"> </w:t>
      </w:r>
      <w:r w:rsidRPr="00E07550">
        <w:rPr>
          <w:rFonts w:eastAsia="Times New Roman"/>
        </w:rPr>
        <w:t>agreements linked</w:t>
      </w:r>
      <w:r w:rsidR="007541D8" w:rsidRPr="00E07550">
        <w:rPr>
          <w:rFonts w:eastAsia="Times New Roman"/>
        </w:rPr>
        <w:t xml:space="preserve"> to the Annual Wage Review</w:t>
      </w:r>
      <w:r w:rsidR="00334F73" w:rsidRPr="00E07550">
        <w:rPr>
          <w:rFonts w:eastAsia="Times New Roman"/>
        </w:rPr>
        <w:t xml:space="preserve"> current as at 31 March 2015</w:t>
      </w:r>
      <w:r w:rsidR="007541D8" w:rsidRPr="00E07550">
        <w:rPr>
          <w:rFonts w:eastAsia="Times New Roman"/>
        </w:rPr>
        <w:t xml:space="preserve">, an average increase of past </w:t>
      </w:r>
      <w:r w:rsidR="00D63762" w:rsidRPr="00E07550">
        <w:rPr>
          <w:rFonts w:eastAsia="Times New Roman"/>
        </w:rPr>
        <w:t>reviews for</w:t>
      </w:r>
      <w:r w:rsidR="00334F73" w:rsidRPr="00E07550">
        <w:rPr>
          <w:rFonts w:eastAsia="Times New Roman"/>
        </w:rPr>
        <w:t xml:space="preserve"> 2012, 2013 and 2014 </w:t>
      </w:r>
      <w:r w:rsidR="007541D8" w:rsidRPr="00E07550">
        <w:rPr>
          <w:rFonts w:eastAsia="Times New Roman"/>
        </w:rPr>
        <w:t>w</w:t>
      </w:r>
      <w:r w:rsidR="00051AFE" w:rsidRPr="00E07550">
        <w:rPr>
          <w:rFonts w:eastAsia="Times New Roman"/>
        </w:rPr>
        <w:t>as</w:t>
      </w:r>
      <w:r w:rsidR="007541D8" w:rsidRPr="00E07550">
        <w:rPr>
          <w:rFonts w:eastAsia="Times New Roman"/>
        </w:rPr>
        <w:t xml:space="preserve"> applied. The average </w:t>
      </w:r>
      <w:proofErr w:type="spellStart"/>
      <w:r w:rsidR="007541D8" w:rsidRPr="00E07550">
        <w:rPr>
          <w:rFonts w:eastAsia="Times New Roman"/>
        </w:rPr>
        <w:t>AAWI</w:t>
      </w:r>
      <w:proofErr w:type="spellEnd"/>
      <w:r w:rsidR="007541D8" w:rsidRPr="00E07550">
        <w:rPr>
          <w:rFonts w:eastAsia="Times New Roman"/>
        </w:rPr>
        <w:t xml:space="preserve"> produced for this category was 2.</w:t>
      </w:r>
      <w:r w:rsidR="003A7189" w:rsidRPr="00E07550">
        <w:rPr>
          <w:rFonts w:eastAsia="Times New Roman"/>
        </w:rPr>
        <w:t>9</w:t>
      </w:r>
      <w:r w:rsidR="007541D8" w:rsidRPr="00E07550">
        <w:rPr>
          <w:rFonts w:eastAsia="Times New Roman"/>
        </w:rPr>
        <w:t xml:space="preserve"> per cent</w:t>
      </w:r>
      <w:r w:rsidR="00E07550">
        <w:rPr>
          <w:rFonts w:eastAsia="Times New Roman"/>
        </w:rPr>
        <w:t>.</w:t>
      </w:r>
    </w:p>
    <w:p w:rsidR="005B674C" w:rsidRPr="00632418" w:rsidRDefault="005B674C" w:rsidP="00527F90">
      <w:pPr>
        <w:rPr>
          <w:rFonts w:eastAsia="Times New Roman"/>
        </w:rPr>
      </w:pPr>
      <w:r w:rsidRPr="00E07550">
        <w:rPr>
          <w:rFonts w:eastAsia="Times New Roman"/>
        </w:rPr>
        <w:t xml:space="preserve">For </w:t>
      </w:r>
      <w:r w:rsidR="00F42233" w:rsidRPr="00E07550">
        <w:rPr>
          <w:rFonts w:eastAsia="Times New Roman"/>
        </w:rPr>
        <w:t xml:space="preserve">all </w:t>
      </w:r>
      <w:r w:rsidR="00334F73" w:rsidRPr="00E07550">
        <w:rPr>
          <w:rFonts w:eastAsia="Times New Roman"/>
        </w:rPr>
        <w:t>389</w:t>
      </w:r>
      <w:r w:rsidR="00E21836" w:rsidRPr="00E07550">
        <w:rPr>
          <w:rFonts w:eastAsia="Times New Roman"/>
        </w:rPr>
        <w:t xml:space="preserve"> </w:t>
      </w:r>
      <w:r w:rsidR="00F42233" w:rsidRPr="00E07550">
        <w:rPr>
          <w:rFonts w:eastAsia="Times New Roman"/>
        </w:rPr>
        <w:t>agreements</w:t>
      </w:r>
      <w:r w:rsidRPr="00E07550">
        <w:rPr>
          <w:rFonts w:eastAsia="Times New Roman"/>
        </w:rPr>
        <w:t xml:space="preserve"> linked to the CPI</w:t>
      </w:r>
      <w:r w:rsidR="00334F73" w:rsidRPr="00E07550">
        <w:rPr>
          <w:rFonts w:eastAsia="Times New Roman"/>
        </w:rPr>
        <w:t xml:space="preserve"> current as at 31 March 2015</w:t>
      </w:r>
      <w:r w:rsidRPr="00E07550">
        <w:rPr>
          <w:rFonts w:eastAsia="Times New Roman"/>
        </w:rPr>
        <w:t xml:space="preserve">, </w:t>
      </w:r>
      <w:r w:rsidR="00F42233" w:rsidRPr="00E07550">
        <w:rPr>
          <w:rFonts w:eastAsia="Times New Roman"/>
        </w:rPr>
        <w:t xml:space="preserve">inflation estimates and forecasts by Treasury were used as the basis for calculating pay increases. The average </w:t>
      </w:r>
      <w:proofErr w:type="spellStart"/>
      <w:r w:rsidR="00F42233" w:rsidRPr="00E07550">
        <w:rPr>
          <w:rFonts w:eastAsia="Times New Roman"/>
        </w:rPr>
        <w:t>AAWI</w:t>
      </w:r>
      <w:proofErr w:type="spellEnd"/>
      <w:r w:rsidR="00F42233" w:rsidRPr="00E07550">
        <w:rPr>
          <w:rFonts w:eastAsia="Times New Roman"/>
        </w:rPr>
        <w:t xml:space="preserve"> produced for this category was 2.8 per cent</w:t>
      </w:r>
      <w:r w:rsidR="006307A6" w:rsidRPr="00E07550">
        <w:rPr>
          <w:rFonts w:eastAsia="Times New Roman"/>
        </w:rPr>
        <w:t>.</w:t>
      </w:r>
      <w:r w:rsidR="00334F73" w:rsidRPr="00632418">
        <w:rPr>
          <w:rFonts w:eastAsia="Times New Roman"/>
        </w:rPr>
        <w:t xml:space="preserve"> </w:t>
      </w:r>
    </w:p>
    <w:p w:rsidR="00FC3641" w:rsidRDefault="002A0A0B" w:rsidP="00527F90">
      <w:pPr>
        <w:rPr>
          <w:rFonts w:eastAsia="Times New Roman"/>
        </w:rPr>
      </w:pPr>
      <w:r>
        <w:rPr>
          <w:rFonts w:eastAsia="Times New Roman"/>
        </w:rPr>
        <w:t xml:space="preserve">Calculating </w:t>
      </w:r>
      <w:r w:rsidR="00B26649">
        <w:rPr>
          <w:rFonts w:eastAsia="Times New Roman"/>
        </w:rPr>
        <w:t>an</w:t>
      </w:r>
      <w:r>
        <w:rPr>
          <w:rFonts w:eastAsia="Times New Roman"/>
        </w:rPr>
        <w:t xml:space="preserve"> </w:t>
      </w:r>
      <w:proofErr w:type="spellStart"/>
      <w:r>
        <w:rPr>
          <w:rFonts w:eastAsia="Times New Roman"/>
        </w:rPr>
        <w:t>AAWI</w:t>
      </w:r>
      <w:proofErr w:type="spellEnd"/>
      <w:r>
        <w:rPr>
          <w:rFonts w:eastAsia="Times New Roman"/>
        </w:rPr>
        <w:t xml:space="preserve"> for ‘other reason’ </w:t>
      </w:r>
      <w:r w:rsidR="00FC3641">
        <w:rPr>
          <w:rFonts w:eastAsia="Times New Roman"/>
        </w:rPr>
        <w:t>agreements</w:t>
      </w:r>
      <w:r>
        <w:rPr>
          <w:rFonts w:eastAsia="Times New Roman"/>
        </w:rPr>
        <w:t xml:space="preserve"> was particularly difficult due to the many </w:t>
      </w:r>
      <w:r w:rsidR="00FC3641">
        <w:rPr>
          <w:rFonts w:eastAsia="Times New Roman"/>
        </w:rPr>
        <w:t>types of agreements in this category, and the level of information provided in the agreements.</w:t>
      </w:r>
      <w:r>
        <w:rPr>
          <w:rFonts w:eastAsia="Times New Roman"/>
        </w:rPr>
        <w:t xml:space="preserve"> </w:t>
      </w:r>
    </w:p>
    <w:p w:rsidR="00DF1969" w:rsidRDefault="00FC3641" w:rsidP="00527F90">
      <w:pPr>
        <w:rPr>
          <w:rFonts w:eastAsia="Times New Roman"/>
        </w:rPr>
      </w:pPr>
      <w:r>
        <w:rPr>
          <w:rFonts w:eastAsia="Times New Roman"/>
        </w:rPr>
        <w:t>For the 260 agreements that maintain</w:t>
      </w:r>
      <w:r w:rsidR="00952886">
        <w:rPr>
          <w:rFonts w:eastAsia="Times New Roman"/>
        </w:rPr>
        <w:t xml:space="preserve"> wage level</w:t>
      </w:r>
      <w:r>
        <w:rPr>
          <w:rFonts w:eastAsia="Times New Roman"/>
        </w:rPr>
        <w:t xml:space="preserve"> relativity to their awards, </w:t>
      </w:r>
      <w:r w:rsidR="00952886">
        <w:rPr>
          <w:rFonts w:eastAsia="Times New Roman"/>
        </w:rPr>
        <w:t xml:space="preserve">a three year average of minimum wage increases was </w:t>
      </w:r>
      <w:r>
        <w:rPr>
          <w:rFonts w:eastAsia="Times New Roman"/>
        </w:rPr>
        <w:t xml:space="preserve">used as a proxy, resulting in an </w:t>
      </w:r>
      <w:proofErr w:type="spellStart"/>
      <w:r>
        <w:rPr>
          <w:rFonts w:eastAsia="Times New Roman"/>
        </w:rPr>
        <w:t>AAWI</w:t>
      </w:r>
      <w:proofErr w:type="spellEnd"/>
      <w:r>
        <w:rPr>
          <w:rFonts w:eastAsia="Times New Roman"/>
        </w:rPr>
        <w:t xml:space="preserve"> of </w:t>
      </w:r>
      <w:r w:rsidR="003B6FAD">
        <w:rPr>
          <w:rFonts w:eastAsia="Times New Roman"/>
        </w:rPr>
        <w:t>2.9</w:t>
      </w:r>
      <w:r>
        <w:rPr>
          <w:rFonts w:eastAsia="Times New Roman"/>
        </w:rPr>
        <w:t xml:space="preserve"> per cent.</w:t>
      </w:r>
    </w:p>
    <w:p w:rsidR="003B6FAD" w:rsidRDefault="00FC3641" w:rsidP="00527F90">
      <w:pPr>
        <w:rPr>
          <w:rFonts w:eastAsia="Times New Roman"/>
        </w:rPr>
      </w:pPr>
      <w:r>
        <w:rPr>
          <w:rFonts w:eastAsia="Times New Roman"/>
        </w:rPr>
        <w:t>For the 71</w:t>
      </w:r>
      <w:r w:rsidR="003B6FAD">
        <w:rPr>
          <w:rFonts w:eastAsia="Times New Roman"/>
        </w:rPr>
        <w:t xml:space="preserve"> agreement</w:t>
      </w:r>
      <w:r w:rsidR="00CC2C7F">
        <w:rPr>
          <w:rFonts w:eastAsia="Times New Roman"/>
        </w:rPr>
        <w:t>s</w:t>
      </w:r>
      <w:r w:rsidR="003B6FAD">
        <w:rPr>
          <w:rFonts w:eastAsia="Times New Roman"/>
        </w:rPr>
        <w:t xml:space="preserve"> </w:t>
      </w:r>
      <w:r>
        <w:rPr>
          <w:rFonts w:eastAsia="Times New Roman"/>
        </w:rPr>
        <w:t>that commit to maintaining parity with market rates</w:t>
      </w:r>
      <w:r w:rsidR="004661F3">
        <w:rPr>
          <w:rFonts w:eastAsia="Times New Roman"/>
        </w:rPr>
        <w:t>,</w:t>
      </w:r>
      <w:r w:rsidR="003B6FAD">
        <w:rPr>
          <w:rFonts w:eastAsia="Times New Roman"/>
        </w:rPr>
        <w:t xml:space="preserve"> </w:t>
      </w:r>
      <w:r w:rsidR="00DF1411">
        <w:rPr>
          <w:rFonts w:eastAsia="Times New Roman"/>
        </w:rPr>
        <w:t xml:space="preserve">the </w:t>
      </w:r>
      <w:proofErr w:type="spellStart"/>
      <w:r>
        <w:rPr>
          <w:rFonts w:eastAsia="Times New Roman"/>
        </w:rPr>
        <w:t>AAWI</w:t>
      </w:r>
      <w:proofErr w:type="spellEnd"/>
      <w:r>
        <w:rPr>
          <w:rFonts w:eastAsia="Times New Roman"/>
        </w:rPr>
        <w:t xml:space="preserve"> itself, as a measure of market rates, can be used as a proxy</w:t>
      </w:r>
      <w:r w:rsidR="00B26649">
        <w:rPr>
          <w:rFonts w:eastAsia="Times New Roman"/>
        </w:rPr>
        <w:t xml:space="preserve">. In this case </w:t>
      </w:r>
      <w:r w:rsidR="004661F3">
        <w:rPr>
          <w:rFonts w:eastAsia="Times New Roman"/>
        </w:rPr>
        <w:t>i</w:t>
      </w:r>
      <w:r w:rsidR="00CC2C7F">
        <w:rPr>
          <w:rFonts w:eastAsia="Times New Roman"/>
        </w:rPr>
        <w:t>t’</w:t>
      </w:r>
      <w:r w:rsidR="004661F3">
        <w:rPr>
          <w:rFonts w:eastAsia="Times New Roman"/>
        </w:rPr>
        <w:t xml:space="preserve">s </w:t>
      </w:r>
      <w:r w:rsidR="003B6FAD">
        <w:rPr>
          <w:rFonts w:eastAsia="Times New Roman"/>
        </w:rPr>
        <w:t>3.1</w:t>
      </w:r>
      <w:r>
        <w:rPr>
          <w:rFonts w:eastAsia="Times New Roman"/>
        </w:rPr>
        <w:t xml:space="preserve"> per cent</w:t>
      </w:r>
      <w:r w:rsidR="003B6FAD">
        <w:rPr>
          <w:rFonts w:eastAsia="Times New Roman"/>
        </w:rPr>
        <w:t>.</w:t>
      </w:r>
    </w:p>
    <w:p w:rsidR="003B6FAD" w:rsidRDefault="00CC2C7F" w:rsidP="00527F90">
      <w:pPr>
        <w:rPr>
          <w:rFonts w:eastAsia="Times New Roman"/>
        </w:rPr>
      </w:pPr>
      <w:r>
        <w:rPr>
          <w:rFonts w:eastAsia="Times New Roman"/>
        </w:rPr>
        <w:t xml:space="preserve">From the remaining </w:t>
      </w:r>
      <w:r w:rsidR="00DF1969">
        <w:t>agreements</w:t>
      </w:r>
      <w:r w:rsidR="00DF1969" w:rsidRPr="00CC2C7F">
        <w:rPr>
          <w:rFonts w:eastAsia="Times New Roman"/>
        </w:rPr>
        <w:t xml:space="preserve"> </w:t>
      </w:r>
      <w:r>
        <w:rPr>
          <w:rFonts w:eastAsia="Times New Roman"/>
        </w:rPr>
        <w:t>in the ‘other</w:t>
      </w:r>
      <w:r w:rsidR="00DF1411">
        <w:rPr>
          <w:rFonts w:eastAsia="Times New Roman"/>
        </w:rPr>
        <w:t xml:space="preserve"> reasons</w:t>
      </w:r>
      <w:r>
        <w:rPr>
          <w:rFonts w:eastAsia="Times New Roman"/>
        </w:rPr>
        <w:t>’ category</w:t>
      </w:r>
      <w:r>
        <w:t xml:space="preserve">, </w:t>
      </w:r>
      <w:r>
        <w:rPr>
          <w:rFonts w:eastAsia="Times New Roman"/>
        </w:rPr>
        <w:t xml:space="preserve">424 </w:t>
      </w:r>
      <w:r w:rsidR="00CC0A49">
        <w:rPr>
          <w:rFonts w:eastAsia="Times New Roman"/>
        </w:rPr>
        <w:t xml:space="preserve">agreements </w:t>
      </w:r>
      <w:r w:rsidR="003B6FAD">
        <w:rPr>
          <w:rFonts w:eastAsia="Times New Roman"/>
        </w:rPr>
        <w:t xml:space="preserve">had an </w:t>
      </w:r>
      <w:r w:rsidR="002A0A0B">
        <w:rPr>
          <w:rFonts w:eastAsia="Times New Roman"/>
        </w:rPr>
        <w:t>immediate</w:t>
      </w:r>
      <w:r w:rsidR="003B6FAD">
        <w:rPr>
          <w:rFonts w:eastAsia="Times New Roman"/>
        </w:rPr>
        <w:t xml:space="preserve"> predecessor agreement, </w:t>
      </w:r>
      <w:r w:rsidR="00B26649">
        <w:rPr>
          <w:rFonts w:eastAsia="Times New Roman"/>
        </w:rPr>
        <w:t xml:space="preserve">allowing the comparison of </w:t>
      </w:r>
      <w:r w:rsidR="003B6FAD">
        <w:rPr>
          <w:rFonts w:eastAsia="Times New Roman"/>
        </w:rPr>
        <w:t xml:space="preserve">starting wages in </w:t>
      </w:r>
      <w:r w:rsidR="00DF1411">
        <w:rPr>
          <w:rFonts w:eastAsia="Times New Roman"/>
        </w:rPr>
        <w:t xml:space="preserve">the </w:t>
      </w:r>
      <w:r w:rsidR="003B6FAD">
        <w:rPr>
          <w:rFonts w:eastAsia="Times New Roman"/>
        </w:rPr>
        <w:t>two generation</w:t>
      </w:r>
      <w:r w:rsidR="00DF1411">
        <w:rPr>
          <w:rFonts w:eastAsia="Times New Roman"/>
        </w:rPr>
        <w:t>s</w:t>
      </w:r>
      <w:r w:rsidR="003B6FAD">
        <w:rPr>
          <w:rFonts w:eastAsia="Times New Roman"/>
        </w:rPr>
        <w:t xml:space="preserve"> of </w:t>
      </w:r>
      <w:r w:rsidR="002A0A0B">
        <w:rPr>
          <w:rFonts w:eastAsia="Times New Roman"/>
        </w:rPr>
        <w:t>agreements</w:t>
      </w:r>
      <w:r w:rsidR="003B6FAD">
        <w:rPr>
          <w:rFonts w:eastAsia="Times New Roman"/>
        </w:rPr>
        <w:t xml:space="preserve">. </w:t>
      </w:r>
      <w:r w:rsidR="00B26649" w:rsidRPr="00632418">
        <w:rPr>
          <w:rFonts w:eastAsia="Times New Roman"/>
        </w:rPr>
        <w:t>A</w:t>
      </w:r>
      <w:r w:rsidR="005B674C" w:rsidRPr="00632418">
        <w:rPr>
          <w:rFonts w:eastAsia="Times New Roman"/>
        </w:rPr>
        <w:t xml:space="preserve"> sample of </w:t>
      </w:r>
      <w:r w:rsidR="00334F73" w:rsidRPr="00632418">
        <w:rPr>
          <w:rFonts w:eastAsia="Times New Roman"/>
        </w:rPr>
        <w:t>125</w:t>
      </w:r>
      <w:r w:rsidR="005B674C" w:rsidRPr="00632418">
        <w:rPr>
          <w:rFonts w:eastAsia="Times New Roman"/>
        </w:rPr>
        <w:t xml:space="preserve"> agreements </w:t>
      </w:r>
      <w:r w:rsidR="00CC0A49">
        <w:rPr>
          <w:rFonts w:eastAsia="Times New Roman"/>
        </w:rPr>
        <w:t xml:space="preserve">was </w:t>
      </w:r>
      <w:r w:rsidR="00E719CC">
        <w:rPr>
          <w:rFonts w:eastAsia="Times New Roman"/>
        </w:rPr>
        <w:t>analysed</w:t>
      </w:r>
      <w:r w:rsidR="003B6FAD">
        <w:rPr>
          <w:rFonts w:eastAsia="Times New Roman"/>
        </w:rPr>
        <w:t xml:space="preserve">, a valid </w:t>
      </w:r>
      <w:proofErr w:type="spellStart"/>
      <w:r w:rsidR="00E07550">
        <w:rPr>
          <w:rFonts w:eastAsia="Times New Roman"/>
        </w:rPr>
        <w:t>AAWI</w:t>
      </w:r>
      <w:proofErr w:type="spellEnd"/>
      <w:r w:rsidR="00E07550">
        <w:rPr>
          <w:rFonts w:eastAsia="Times New Roman"/>
        </w:rPr>
        <w:t xml:space="preserve"> </w:t>
      </w:r>
      <w:r w:rsidR="00B26649">
        <w:rPr>
          <w:rFonts w:eastAsia="Times New Roman"/>
        </w:rPr>
        <w:t xml:space="preserve">was able to </w:t>
      </w:r>
      <w:r w:rsidR="003B6FAD">
        <w:rPr>
          <w:rFonts w:eastAsia="Times New Roman"/>
        </w:rPr>
        <w:t xml:space="preserve">be calculated </w:t>
      </w:r>
      <w:r w:rsidR="00E07550">
        <w:rPr>
          <w:rFonts w:eastAsia="Times New Roman"/>
        </w:rPr>
        <w:t xml:space="preserve">for </w:t>
      </w:r>
      <w:r w:rsidR="007C6750">
        <w:rPr>
          <w:rFonts w:eastAsia="Times New Roman"/>
        </w:rPr>
        <w:t xml:space="preserve">110 of </w:t>
      </w:r>
      <w:r w:rsidR="00E07550">
        <w:rPr>
          <w:rFonts w:eastAsia="Times New Roman"/>
        </w:rPr>
        <w:t>these 125 agreement</w:t>
      </w:r>
      <w:r w:rsidR="00C56079">
        <w:rPr>
          <w:rFonts w:eastAsia="Times New Roman"/>
        </w:rPr>
        <w:t>s</w:t>
      </w:r>
      <w:r w:rsidR="003B6FAD">
        <w:rPr>
          <w:rFonts w:eastAsia="Times New Roman"/>
        </w:rPr>
        <w:t>.</w:t>
      </w:r>
      <w:r w:rsidR="003B6FAD" w:rsidDel="003B6FAD">
        <w:rPr>
          <w:rFonts w:eastAsia="Times New Roman"/>
        </w:rPr>
        <w:t xml:space="preserve"> </w:t>
      </w:r>
      <w:r w:rsidR="00B26649">
        <w:rPr>
          <w:rFonts w:eastAsia="Times New Roman"/>
        </w:rPr>
        <w:t xml:space="preserve">This returned an </w:t>
      </w:r>
      <w:proofErr w:type="spellStart"/>
      <w:r w:rsidR="00B26649">
        <w:rPr>
          <w:rFonts w:eastAsia="Times New Roman"/>
        </w:rPr>
        <w:t>AAWI</w:t>
      </w:r>
      <w:proofErr w:type="spellEnd"/>
      <w:r w:rsidR="00B26649">
        <w:rPr>
          <w:rFonts w:eastAsia="Times New Roman"/>
        </w:rPr>
        <w:t xml:space="preserve"> for these agreements of 3.5 per cent.</w:t>
      </w:r>
    </w:p>
    <w:p w:rsidR="003B6FAD" w:rsidRDefault="00B26649" w:rsidP="00527F90">
      <w:pPr>
        <w:rPr>
          <w:rFonts w:eastAsia="Times New Roman"/>
        </w:rPr>
      </w:pPr>
      <w:r>
        <w:rPr>
          <w:rFonts w:eastAsia="Times New Roman"/>
        </w:rPr>
        <w:t xml:space="preserve">Combining these methodologies, </w:t>
      </w:r>
      <w:r w:rsidR="00DF1969">
        <w:rPr>
          <w:rFonts w:eastAsia="Times New Roman"/>
        </w:rPr>
        <w:t xml:space="preserve">weighting </w:t>
      </w:r>
      <w:r>
        <w:rPr>
          <w:rFonts w:eastAsia="Times New Roman"/>
        </w:rPr>
        <w:t xml:space="preserve">by number of employees </w:t>
      </w:r>
      <w:r w:rsidR="00DF1969">
        <w:rPr>
          <w:rFonts w:eastAsia="Times New Roman"/>
        </w:rPr>
        <w:t xml:space="preserve">yielded </w:t>
      </w:r>
      <w:r>
        <w:rPr>
          <w:rFonts w:eastAsia="Times New Roman"/>
        </w:rPr>
        <w:t xml:space="preserve">a total </w:t>
      </w:r>
      <w:proofErr w:type="spellStart"/>
      <w:r>
        <w:rPr>
          <w:rFonts w:eastAsia="Times New Roman"/>
        </w:rPr>
        <w:t>AAWI</w:t>
      </w:r>
      <w:proofErr w:type="spellEnd"/>
      <w:r>
        <w:rPr>
          <w:rFonts w:eastAsia="Times New Roman"/>
        </w:rPr>
        <w:t xml:space="preserve"> of 3.</w:t>
      </w:r>
      <w:r w:rsidR="00C2534C">
        <w:rPr>
          <w:rFonts w:eastAsia="Times New Roman"/>
        </w:rPr>
        <w:t>1</w:t>
      </w:r>
      <w:r w:rsidR="008644AC">
        <w:rPr>
          <w:rFonts w:eastAsia="Times New Roman"/>
        </w:rPr>
        <w:t> </w:t>
      </w:r>
      <w:r w:rsidR="00DF1969">
        <w:rPr>
          <w:rFonts w:eastAsia="Times New Roman"/>
        </w:rPr>
        <w:t>per </w:t>
      </w:r>
      <w:r>
        <w:rPr>
          <w:rFonts w:eastAsia="Times New Roman"/>
        </w:rPr>
        <w:t>cent</w:t>
      </w:r>
      <w:r w:rsidR="00DF1969">
        <w:rPr>
          <w:rFonts w:eastAsia="Times New Roman"/>
        </w:rPr>
        <w:t xml:space="preserve"> for agreements not quantifiable for ‘other reasons’</w:t>
      </w:r>
      <w:r>
        <w:rPr>
          <w:rFonts w:eastAsia="Times New Roman"/>
        </w:rPr>
        <w:t>.</w:t>
      </w:r>
    </w:p>
    <w:p w:rsidR="00DA155F" w:rsidRPr="00632418" w:rsidRDefault="0009663A" w:rsidP="00CE097B">
      <w:pPr>
        <w:spacing w:before="120"/>
        <w:rPr>
          <w:rFonts w:eastAsia="Times New Roman"/>
        </w:rPr>
      </w:pPr>
      <w:r>
        <w:rPr>
          <w:rFonts w:eastAsia="Times New Roman"/>
        </w:rPr>
        <w:t>Combining the estimates for each category,</w:t>
      </w:r>
      <w:r w:rsidR="000B117E" w:rsidRPr="005F561F">
        <w:rPr>
          <w:rFonts w:eastAsia="Times New Roman"/>
        </w:rPr>
        <w:t xml:space="preserve"> </w:t>
      </w:r>
      <w:r w:rsidR="00500AC7">
        <w:rPr>
          <w:rFonts w:eastAsia="Times New Roman"/>
        </w:rPr>
        <w:t xml:space="preserve">an </w:t>
      </w:r>
      <w:proofErr w:type="spellStart"/>
      <w:r w:rsidR="000B117E" w:rsidRPr="005F561F">
        <w:rPr>
          <w:rFonts w:eastAsia="Times New Roman"/>
        </w:rPr>
        <w:t>AAWI</w:t>
      </w:r>
      <w:proofErr w:type="spellEnd"/>
      <w:r w:rsidR="000B117E" w:rsidRPr="005F561F">
        <w:rPr>
          <w:rFonts w:eastAsia="Times New Roman"/>
        </w:rPr>
        <w:t xml:space="preserve"> for </w:t>
      </w:r>
      <w:r>
        <w:rPr>
          <w:rFonts w:eastAsia="Times New Roman"/>
        </w:rPr>
        <w:t xml:space="preserve">all the non-quantifiable agreements that were current at </w:t>
      </w:r>
      <w:r w:rsidR="00FD2C6D">
        <w:rPr>
          <w:rFonts w:eastAsia="Times New Roman"/>
        </w:rPr>
        <w:t xml:space="preserve">March 2015 </w:t>
      </w:r>
      <w:r w:rsidR="001A6199">
        <w:rPr>
          <w:rFonts w:eastAsia="Times New Roman"/>
        </w:rPr>
        <w:t xml:space="preserve">was </w:t>
      </w:r>
      <w:r w:rsidR="00FD2C6D">
        <w:rPr>
          <w:rFonts w:eastAsia="Times New Roman"/>
        </w:rPr>
        <w:t>2.</w:t>
      </w:r>
      <w:r w:rsidR="001E6F8A">
        <w:rPr>
          <w:rFonts w:eastAsia="Times New Roman"/>
        </w:rPr>
        <w:t>6</w:t>
      </w:r>
      <w:r w:rsidR="00CC0A49">
        <w:rPr>
          <w:rFonts w:eastAsia="Times New Roman"/>
        </w:rPr>
        <w:t xml:space="preserve"> </w:t>
      </w:r>
      <w:r w:rsidR="00FD2C6D">
        <w:rPr>
          <w:rFonts w:eastAsia="Times New Roman"/>
        </w:rPr>
        <w:t>per cent</w:t>
      </w:r>
      <w:r w:rsidR="007476BB" w:rsidRPr="005F561F">
        <w:rPr>
          <w:rFonts w:eastAsia="Times New Roman"/>
        </w:rPr>
        <w:t xml:space="preserve">. The </w:t>
      </w:r>
      <w:proofErr w:type="spellStart"/>
      <w:r w:rsidR="007476BB" w:rsidRPr="005F561F">
        <w:rPr>
          <w:rFonts w:eastAsia="Times New Roman"/>
        </w:rPr>
        <w:t>AAWI</w:t>
      </w:r>
      <w:proofErr w:type="spellEnd"/>
      <w:r w:rsidR="007476BB" w:rsidRPr="005F561F">
        <w:rPr>
          <w:rFonts w:eastAsia="Times New Roman"/>
        </w:rPr>
        <w:t xml:space="preserve"> for quantifiable </w:t>
      </w:r>
      <w:r w:rsidR="001E6F8A">
        <w:rPr>
          <w:rFonts w:eastAsia="Times New Roman"/>
        </w:rPr>
        <w:t>agreements approved in</w:t>
      </w:r>
      <w:r w:rsidR="007476BB" w:rsidRPr="00632418">
        <w:rPr>
          <w:rFonts w:eastAsia="Times New Roman"/>
        </w:rPr>
        <w:t xml:space="preserve"> the March quarter 2015 was 3.1</w:t>
      </w:r>
      <w:r w:rsidR="007E2DD1">
        <w:rPr>
          <w:rFonts w:eastAsia="Times New Roman"/>
        </w:rPr>
        <w:t> </w:t>
      </w:r>
      <w:r w:rsidR="00FD2C6D" w:rsidRPr="00632418">
        <w:rPr>
          <w:rFonts w:eastAsia="Times New Roman"/>
        </w:rPr>
        <w:t>per</w:t>
      </w:r>
      <w:r w:rsidR="007E2DD1">
        <w:rPr>
          <w:rFonts w:eastAsia="Times New Roman"/>
        </w:rPr>
        <w:t> </w:t>
      </w:r>
      <w:r w:rsidR="00FD2C6D" w:rsidRPr="00632418">
        <w:rPr>
          <w:rFonts w:eastAsia="Times New Roman"/>
        </w:rPr>
        <w:t>cent</w:t>
      </w:r>
      <w:r w:rsidR="007476BB" w:rsidRPr="00632418">
        <w:rPr>
          <w:rFonts w:eastAsia="Times New Roman"/>
        </w:rPr>
        <w:t xml:space="preserve">. </w:t>
      </w:r>
    </w:p>
    <w:p w:rsidR="00AD43C2" w:rsidRPr="00632418" w:rsidRDefault="00DA155F" w:rsidP="00527F90">
      <w:pPr>
        <w:rPr>
          <w:rFonts w:eastAsia="Times New Roman"/>
        </w:rPr>
      </w:pPr>
      <w:r w:rsidRPr="00632418">
        <w:rPr>
          <w:rFonts w:eastAsia="Times New Roman"/>
        </w:rPr>
        <w:t xml:space="preserve">If non-quantifiable agreements were included in the March 2015 </w:t>
      </w:r>
      <w:proofErr w:type="spellStart"/>
      <w:r w:rsidRPr="00632418">
        <w:rPr>
          <w:rFonts w:eastAsia="Times New Roman"/>
        </w:rPr>
        <w:t>AAWI</w:t>
      </w:r>
      <w:proofErr w:type="spellEnd"/>
      <w:r w:rsidRPr="00632418">
        <w:rPr>
          <w:rFonts w:eastAsia="Times New Roman"/>
        </w:rPr>
        <w:t xml:space="preserve">, it would have shown a total wage increase of </w:t>
      </w:r>
      <w:r w:rsidR="003A7189" w:rsidRPr="00632418">
        <w:rPr>
          <w:rFonts w:eastAsia="Times New Roman"/>
        </w:rPr>
        <w:t>3.0</w:t>
      </w:r>
      <w:r w:rsidRPr="00632418">
        <w:rPr>
          <w:rFonts w:eastAsia="Times New Roman"/>
        </w:rPr>
        <w:t xml:space="preserve"> per cent</w:t>
      </w:r>
      <w:r w:rsidR="00E719CC">
        <w:rPr>
          <w:rFonts w:eastAsia="Times New Roman"/>
        </w:rPr>
        <w:t xml:space="preserve"> in that quarter</w:t>
      </w:r>
      <w:r w:rsidRPr="00632418">
        <w:rPr>
          <w:rFonts w:eastAsia="Times New Roman"/>
        </w:rPr>
        <w:t>.</w:t>
      </w:r>
    </w:p>
    <w:tbl>
      <w:tblPr>
        <w:tblStyle w:val="LightGrid-Accent1"/>
        <w:tblW w:w="5000" w:type="pct"/>
        <w:tblLook w:val="04A0" w:firstRow="1" w:lastRow="0" w:firstColumn="1" w:lastColumn="0" w:noHBand="0" w:noVBand="1"/>
      </w:tblPr>
      <w:tblGrid>
        <w:gridCol w:w="3080"/>
        <w:gridCol w:w="3081"/>
        <w:gridCol w:w="3081"/>
      </w:tblGrid>
      <w:tr w:rsidR="00316D10" w:rsidRPr="00E31C5A" w:rsidTr="00E31C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6" w:type="pct"/>
          </w:tcPr>
          <w:p w:rsidR="00316D10" w:rsidRPr="00E31C5A" w:rsidRDefault="00316D10" w:rsidP="00527F90">
            <w:pPr>
              <w:jc w:val="center"/>
              <w:rPr>
                <w:b w:val="0"/>
              </w:rPr>
            </w:pPr>
            <w:r w:rsidRPr="00E31C5A">
              <w:rPr>
                <w:b w:val="0"/>
              </w:rPr>
              <w:t>Agreement type</w:t>
            </w:r>
          </w:p>
        </w:tc>
        <w:tc>
          <w:tcPr>
            <w:tcW w:w="1667" w:type="pct"/>
          </w:tcPr>
          <w:p w:rsidR="00316D10" w:rsidRPr="00E31C5A" w:rsidRDefault="00316D10" w:rsidP="00527F90">
            <w:pPr>
              <w:jc w:val="center"/>
              <w:cnfStyle w:val="100000000000" w:firstRow="1" w:lastRow="0" w:firstColumn="0" w:lastColumn="0" w:oddVBand="0" w:evenVBand="0" w:oddHBand="0" w:evenHBand="0" w:firstRowFirstColumn="0" w:firstRowLastColumn="0" w:lastRowFirstColumn="0" w:lastRowLastColumn="0"/>
              <w:rPr>
                <w:b w:val="0"/>
              </w:rPr>
            </w:pPr>
            <w:r w:rsidRPr="00E31C5A">
              <w:rPr>
                <w:b w:val="0"/>
              </w:rPr>
              <w:t>Employees (‘000)</w:t>
            </w:r>
          </w:p>
        </w:tc>
        <w:tc>
          <w:tcPr>
            <w:tcW w:w="1667" w:type="pct"/>
          </w:tcPr>
          <w:p w:rsidR="00316D10" w:rsidRPr="00E31C5A" w:rsidRDefault="00316D10" w:rsidP="00527F90">
            <w:pPr>
              <w:jc w:val="center"/>
              <w:cnfStyle w:val="100000000000" w:firstRow="1" w:lastRow="0" w:firstColumn="0" w:lastColumn="0" w:oddVBand="0" w:evenVBand="0" w:oddHBand="0" w:evenHBand="0" w:firstRowFirstColumn="0" w:firstRowLastColumn="0" w:lastRowFirstColumn="0" w:lastRowLastColumn="0"/>
              <w:rPr>
                <w:b w:val="0"/>
              </w:rPr>
            </w:pPr>
            <w:r w:rsidRPr="00E31C5A">
              <w:rPr>
                <w:b w:val="0"/>
              </w:rPr>
              <w:t>Proxy wage increase</w:t>
            </w:r>
          </w:p>
        </w:tc>
      </w:tr>
      <w:tr w:rsidR="00316D10" w:rsidRPr="00E31C5A" w:rsidTr="005F5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316D10" w:rsidRPr="00E31C5A" w:rsidRDefault="00316D10" w:rsidP="00175EE9">
            <w:pPr>
              <w:jc w:val="center"/>
              <w:rPr>
                <w:b w:val="0"/>
              </w:rPr>
            </w:pPr>
            <w:r w:rsidRPr="00E31C5A">
              <w:rPr>
                <w:b w:val="0"/>
              </w:rPr>
              <w:t>Inconsistent increase</w:t>
            </w:r>
          </w:p>
        </w:tc>
        <w:tc>
          <w:tcPr>
            <w:tcW w:w="1667" w:type="pct"/>
          </w:tcPr>
          <w:p w:rsidR="00316D10" w:rsidRPr="00E31C5A" w:rsidRDefault="00316D10" w:rsidP="00527F90">
            <w:pPr>
              <w:jc w:val="center"/>
              <w:cnfStyle w:val="000000100000" w:firstRow="0" w:lastRow="0" w:firstColumn="0" w:lastColumn="0" w:oddVBand="0" w:evenVBand="0" w:oddHBand="1" w:evenHBand="0" w:firstRowFirstColumn="0" w:firstRowLastColumn="0" w:lastRowFirstColumn="0" w:lastRowLastColumn="0"/>
              <w:rPr>
                <w:rFonts w:eastAsiaTheme="majorEastAsia"/>
              </w:rPr>
            </w:pPr>
            <w:r w:rsidRPr="00E31C5A">
              <w:rPr>
                <w:rFonts w:eastAsiaTheme="majorEastAsia"/>
              </w:rPr>
              <w:t>306.9</w:t>
            </w:r>
          </w:p>
        </w:tc>
        <w:tc>
          <w:tcPr>
            <w:tcW w:w="1667" w:type="pct"/>
          </w:tcPr>
          <w:p w:rsidR="00316D10" w:rsidRPr="00E31C5A" w:rsidRDefault="00316D10" w:rsidP="00527F90">
            <w:pPr>
              <w:jc w:val="center"/>
              <w:cnfStyle w:val="000000100000" w:firstRow="0" w:lastRow="0" w:firstColumn="0" w:lastColumn="0" w:oddVBand="0" w:evenVBand="0" w:oddHBand="1" w:evenHBand="0" w:firstRowFirstColumn="0" w:firstRowLastColumn="0" w:lastRowFirstColumn="0" w:lastRowLastColumn="0"/>
              <w:rPr>
                <w:rFonts w:eastAsiaTheme="majorEastAsia"/>
              </w:rPr>
            </w:pPr>
            <w:r w:rsidRPr="00E31C5A">
              <w:rPr>
                <w:rFonts w:eastAsiaTheme="majorEastAsia"/>
              </w:rPr>
              <w:t>2.2%</w:t>
            </w:r>
          </w:p>
        </w:tc>
      </w:tr>
      <w:tr w:rsidR="00316D10" w:rsidRPr="00E31C5A" w:rsidTr="005F56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316D10" w:rsidRPr="00E31C5A" w:rsidRDefault="00316D10" w:rsidP="00175EE9">
            <w:pPr>
              <w:jc w:val="center"/>
              <w:rPr>
                <w:b w:val="0"/>
              </w:rPr>
            </w:pPr>
            <w:r w:rsidRPr="00E31C5A">
              <w:rPr>
                <w:b w:val="0"/>
              </w:rPr>
              <w:t>Performance linked</w:t>
            </w:r>
          </w:p>
        </w:tc>
        <w:tc>
          <w:tcPr>
            <w:tcW w:w="1667" w:type="pct"/>
          </w:tcPr>
          <w:p w:rsidR="00316D10" w:rsidRPr="00E31C5A" w:rsidRDefault="00316D10" w:rsidP="00527F90">
            <w:pPr>
              <w:jc w:val="center"/>
              <w:cnfStyle w:val="000000010000" w:firstRow="0" w:lastRow="0" w:firstColumn="0" w:lastColumn="0" w:oddVBand="0" w:evenVBand="0" w:oddHBand="0" w:evenHBand="1" w:firstRowFirstColumn="0" w:firstRowLastColumn="0" w:lastRowFirstColumn="0" w:lastRowLastColumn="0"/>
              <w:rPr>
                <w:rFonts w:eastAsiaTheme="majorEastAsia"/>
              </w:rPr>
            </w:pPr>
            <w:r w:rsidRPr="00E31C5A">
              <w:rPr>
                <w:rFonts w:eastAsiaTheme="majorEastAsia"/>
              </w:rPr>
              <w:t>101.7</w:t>
            </w:r>
          </w:p>
        </w:tc>
        <w:tc>
          <w:tcPr>
            <w:tcW w:w="1667" w:type="pct"/>
          </w:tcPr>
          <w:p w:rsidR="00316D10" w:rsidRPr="00E31C5A" w:rsidRDefault="00316D10" w:rsidP="00527F90">
            <w:pPr>
              <w:jc w:val="center"/>
              <w:cnfStyle w:val="000000010000" w:firstRow="0" w:lastRow="0" w:firstColumn="0" w:lastColumn="0" w:oddVBand="0" w:evenVBand="0" w:oddHBand="0" w:evenHBand="1" w:firstRowFirstColumn="0" w:firstRowLastColumn="0" w:lastRowFirstColumn="0" w:lastRowLastColumn="0"/>
              <w:rPr>
                <w:rFonts w:eastAsiaTheme="majorEastAsia"/>
              </w:rPr>
            </w:pPr>
            <w:r w:rsidRPr="00E31C5A">
              <w:rPr>
                <w:rFonts w:eastAsiaTheme="majorEastAsia"/>
              </w:rPr>
              <w:t>3.2%</w:t>
            </w:r>
          </w:p>
        </w:tc>
      </w:tr>
      <w:tr w:rsidR="00316D10" w:rsidRPr="00E31C5A" w:rsidTr="005F5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316D10" w:rsidRPr="00E31C5A" w:rsidRDefault="00316D10" w:rsidP="00175EE9">
            <w:pPr>
              <w:jc w:val="center"/>
              <w:rPr>
                <w:b w:val="0"/>
              </w:rPr>
            </w:pPr>
            <w:proofErr w:type="spellStart"/>
            <w:r w:rsidRPr="00E31C5A">
              <w:rPr>
                <w:b w:val="0"/>
              </w:rPr>
              <w:t>AWR</w:t>
            </w:r>
            <w:proofErr w:type="spellEnd"/>
            <w:r w:rsidRPr="00E31C5A">
              <w:rPr>
                <w:b w:val="0"/>
              </w:rPr>
              <w:t xml:space="preserve"> increases</w:t>
            </w:r>
          </w:p>
        </w:tc>
        <w:tc>
          <w:tcPr>
            <w:tcW w:w="1667" w:type="pct"/>
          </w:tcPr>
          <w:p w:rsidR="00316D10" w:rsidRPr="00E31C5A" w:rsidRDefault="00316D10" w:rsidP="00527F90">
            <w:pPr>
              <w:jc w:val="center"/>
              <w:cnfStyle w:val="000000100000" w:firstRow="0" w:lastRow="0" w:firstColumn="0" w:lastColumn="0" w:oddVBand="0" w:evenVBand="0" w:oddHBand="1" w:evenHBand="0" w:firstRowFirstColumn="0" w:firstRowLastColumn="0" w:lastRowFirstColumn="0" w:lastRowLastColumn="0"/>
              <w:rPr>
                <w:rFonts w:eastAsiaTheme="majorEastAsia"/>
              </w:rPr>
            </w:pPr>
            <w:r w:rsidRPr="00E31C5A">
              <w:rPr>
                <w:rFonts w:eastAsiaTheme="majorEastAsia"/>
              </w:rPr>
              <w:t>75.1</w:t>
            </w:r>
          </w:p>
        </w:tc>
        <w:tc>
          <w:tcPr>
            <w:tcW w:w="1667" w:type="pct"/>
          </w:tcPr>
          <w:p w:rsidR="00316D10" w:rsidRPr="00E31C5A" w:rsidRDefault="00316D10" w:rsidP="00527F90">
            <w:pPr>
              <w:jc w:val="center"/>
              <w:cnfStyle w:val="000000100000" w:firstRow="0" w:lastRow="0" w:firstColumn="0" w:lastColumn="0" w:oddVBand="0" w:evenVBand="0" w:oddHBand="1" w:evenHBand="0" w:firstRowFirstColumn="0" w:firstRowLastColumn="0" w:lastRowFirstColumn="0" w:lastRowLastColumn="0"/>
              <w:rPr>
                <w:rFonts w:eastAsiaTheme="majorEastAsia"/>
              </w:rPr>
            </w:pPr>
            <w:r w:rsidRPr="00E31C5A">
              <w:rPr>
                <w:rFonts w:eastAsiaTheme="majorEastAsia"/>
              </w:rPr>
              <w:t>2.</w:t>
            </w:r>
            <w:r w:rsidR="00334F73" w:rsidRPr="00E31C5A">
              <w:rPr>
                <w:rFonts w:eastAsiaTheme="majorEastAsia"/>
              </w:rPr>
              <w:t>8</w:t>
            </w:r>
            <w:r w:rsidRPr="00E31C5A">
              <w:rPr>
                <w:rFonts w:eastAsiaTheme="majorEastAsia"/>
              </w:rPr>
              <w:t>%</w:t>
            </w:r>
          </w:p>
        </w:tc>
      </w:tr>
      <w:tr w:rsidR="00316D10" w:rsidRPr="00E31C5A" w:rsidTr="005F561F">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666" w:type="pct"/>
          </w:tcPr>
          <w:p w:rsidR="00316D10" w:rsidRPr="00E31C5A" w:rsidRDefault="00316D10" w:rsidP="00175EE9">
            <w:pPr>
              <w:jc w:val="center"/>
              <w:rPr>
                <w:b w:val="0"/>
              </w:rPr>
            </w:pPr>
            <w:r w:rsidRPr="00E31C5A">
              <w:rPr>
                <w:b w:val="0"/>
              </w:rPr>
              <w:t>CPI increases</w:t>
            </w:r>
          </w:p>
        </w:tc>
        <w:tc>
          <w:tcPr>
            <w:tcW w:w="1667" w:type="pct"/>
          </w:tcPr>
          <w:p w:rsidR="00316D10" w:rsidRPr="00E31C5A" w:rsidRDefault="00316D10" w:rsidP="00527F90">
            <w:pPr>
              <w:jc w:val="center"/>
              <w:cnfStyle w:val="000000010000" w:firstRow="0" w:lastRow="0" w:firstColumn="0" w:lastColumn="0" w:oddVBand="0" w:evenVBand="0" w:oddHBand="0" w:evenHBand="1" w:firstRowFirstColumn="0" w:firstRowLastColumn="0" w:lastRowFirstColumn="0" w:lastRowLastColumn="0"/>
              <w:rPr>
                <w:rFonts w:eastAsiaTheme="majorEastAsia"/>
              </w:rPr>
            </w:pPr>
            <w:r w:rsidRPr="00E31C5A">
              <w:rPr>
                <w:rFonts w:eastAsiaTheme="majorEastAsia"/>
              </w:rPr>
              <w:t>22.8</w:t>
            </w:r>
          </w:p>
        </w:tc>
        <w:tc>
          <w:tcPr>
            <w:tcW w:w="1667" w:type="pct"/>
          </w:tcPr>
          <w:p w:rsidR="00316D10" w:rsidRPr="00E31C5A" w:rsidRDefault="00316D10" w:rsidP="00527F90">
            <w:pPr>
              <w:jc w:val="center"/>
              <w:cnfStyle w:val="000000010000" w:firstRow="0" w:lastRow="0" w:firstColumn="0" w:lastColumn="0" w:oddVBand="0" w:evenVBand="0" w:oddHBand="0" w:evenHBand="1" w:firstRowFirstColumn="0" w:firstRowLastColumn="0" w:lastRowFirstColumn="0" w:lastRowLastColumn="0"/>
              <w:rPr>
                <w:rFonts w:eastAsiaTheme="majorEastAsia"/>
              </w:rPr>
            </w:pPr>
            <w:r w:rsidRPr="00E31C5A">
              <w:rPr>
                <w:rFonts w:eastAsiaTheme="majorEastAsia"/>
              </w:rPr>
              <w:t>2.8%</w:t>
            </w:r>
          </w:p>
        </w:tc>
      </w:tr>
      <w:tr w:rsidR="00316D10" w:rsidRPr="00E31C5A" w:rsidTr="005F56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666" w:type="pct"/>
          </w:tcPr>
          <w:p w:rsidR="00316D10" w:rsidRPr="00E31C5A" w:rsidRDefault="00316D10" w:rsidP="00175EE9">
            <w:pPr>
              <w:jc w:val="center"/>
              <w:rPr>
                <w:b w:val="0"/>
              </w:rPr>
            </w:pPr>
            <w:r w:rsidRPr="00E31C5A">
              <w:rPr>
                <w:b w:val="0"/>
              </w:rPr>
              <w:t>Other reason</w:t>
            </w:r>
            <w:r w:rsidR="00831963" w:rsidRPr="00E31C5A">
              <w:rPr>
                <w:b w:val="0"/>
              </w:rPr>
              <w:t>s</w:t>
            </w:r>
          </w:p>
        </w:tc>
        <w:tc>
          <w:tcPr>
            <w:tcW w:w="1667" w:type="pct"/>
          </w:tcPr>
          <w:p w:rsidR="00316D10" w:rsidRPr="00E31C5A" w:rsidRDefault="00316D10" w:rsidP="00527F90">
            <w:pPr>
              <w:jc w:val="center"/>
              <w:cnfStyle w:val="000000100000" w:firstRow="0" w:lastRow="0" w:firstColumn="0" w:lastColumn="0" w:oddVBand="0" w:evenVBand="0" w:oddHBand="1" w:evenHBand="0" w:firstRowFirstColumn="0" w:firstRowLastColumn="0" w:lastRowFirstColumn="0" w:lastRowLastColumn="0"/>
              <w:rPr>
                <w:rFonts w:eastAsiaTheme="majorEastAsia"/>
              </w:rPr>
            </w:pPr>
            <w:r w:rsidRPr="00E31C5A">
              <w:rPr>
                <w:rFonts w:eastAsiaTheme="majorEastAsia"/>
              </w:rPr>
              <w:t>172.2</w:t>
            </w:r>
          </w:p>
        </w:tc>
        <w:tc>
          <w:tcPr>
            <w:tcW w:w="1667" w:type="pct"/>
          </w:tcPr>
          <w:p w:rsidR="00316D10" w:rsidRPr="00E31C5A" w:rsidRDefault="00316D10" w:rsidP="00DF1969">
            <w:pPr>
              <w:jc w:val="center"/>
              <w:cnfStyle w:val="000000100000" w:firstRow="0" w:lastRow="0" w:firstColumn="0" w:lastColumn="0" w:oddVBand="0" w:evenVBand="0" w:oddHBand="1" w:evenHBand="0" w:firstRowFirstColumn="0" w:firstRowLastColumn="0" w:lastRowFirstColumn="0" w:lastRowLastColumn="0"/>
              <w:rPr>
                <w:rFonts w:eastAsiaTheme="majorEastAsia"/>
              </w:rPr>
            </w:pPr>
            <w:r w:rsidRPr="00E31C5A">
              <w:rPr>
                <w:rFonts w:eastAsiaTheme="majorEastAsia"/>
              </w:rPr>
              <w:t>3.</w:t>
            </w:r>
            <w:r w:rsidR="00DF1969" w:rsidRPr="00E31C5A">
              <w:rPr>
                <w:rFonts w:eastAsiaTheme="majorEastAsia"/>
              </w:rPr>
              <w:t>3</w:t>
            </w:r>
            <w:r w:rsidRPr="00E31C5A">
              <w:rPr>
                <w:rFonts w:eastAsiaTheme="majorEastAsia"/>
              </w:rPr>
              <w:t>%</w:t>
            </w:r>
          </w:p>
        </w:tc>
      </w:tr>
      <w:tr w:rsidR="00175EE9" w:rsidRPr="00E31C5A" w:rsidTr="00175E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75EE9" w:rsidRPr="00E31C5A" w:rsidRDefault="00175EE9" w:rsidP="00E31C5A">
            <w:pPr>
              <w:jc w:val="center"/>
              <w:rPr>
                <w:b w:val="0"/>
              </w:rPr>
            </w:pPr>
            <w:r w:rsidRPr="00E31C5A">
              <w:rPr>
                <w:b w:val="0"/>
              </w:rPr>
              <w:t>Total (weighted average of non-quantifiable agreements)</w:t>
            </w:r>
          </w:p>
        </w:tc>
        <w:tc>
          <w:tcPr>
            <w:tcW w:w="1667" w:type="pct"/>
          </w:tcPr>
          <w:p w:rsidR="00175EE9" w:rsidRPr="00E31C5A" w:rsidRDefault="00870CBD" w:rsidP="005D5B73">
            <w:pPr>
              <w:jc w:val="center"/>
              <w:cnfStyle w:val="000000010000" w:firstRow="0" w:lastRow="0" w:firstColumn="0" w:lastColumn="0" w:oddVBand="0" w:evenVBand="0" w:oddHBand="0" w:evenHBand="1" w:firstRowFirstColumn="0" w:firstRowLastColumn="0" w:lastRowFirstColumn="0" w:lastRowLastColumn="0"/>
            </w:pPr>
            <w:r>
              <w:t>Not applicable</w:t>
            </w:r>
          </w:p>
        </w:tc>
        <w:tc>
          <w:tcPr>
            <w:tcW w:w="1667" w:type="pct"/>
          </w:tcPr>
          <w:p w:rsidR="00175EE9" w:rsidRPr="00E31C5A" w:rsidRDefault="00175EE9" w:rsidP="00527F90">
            <w:pPr>
              <w:jc w:val="center"/>
              <w:cnfStyle w:val="000000010000" w:firstRow="0" w:lastRow="0" w:firstColumn="0" w:lastColumn="0" w:oddVBand="0" w:evenVBand="0" w:oddHBand="0" w:evenHBand="1" w:firstRowFirstColumn="0" w:firstRowLastColumn="0" w:lastRowFirstColumn="0" w:lastRowLastColumn="0"/>
              <w:rPr>
                <w:rFonts w:eastAsiaTheme="majorEastAsia"/>
              </w:rPr>
            </w:pPr>
            <w:r w:rsidRPr="00E31C5A">
              <w:rPr>
                <w:rFonts w:eastAsiaTheme="majorEastAsia"/>
              </w:rPr>
              <w:t>2.</w:t>
            </w:r>
            <w:r w:rsidR="001E6F8A">
              <w:rPr>
                <w:rFonts w:eastAsiaTheme="majorEastAsia"/>
              </w:rPr>
              <w:t>6</w:t>
            </w:r>
            <w:r w:rsidRPr="00E31C5A">
              <w:rPr>
                <w:rFonts w:eastAsiaTheme="majorEastAsia"/>
              </w:rPr>
              <w:t>%</w:t>
            </w:r>
          </w:p>
        </w:tc>
      </w:tr>
      <w:tr w:rsidR="00175EE9" w:rsidRPr="00E31C5A" w:rsidTr="00175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75EE9" w:rsidRPr="00E31C5A" w:rsidRDefault="00175EE9" w:rsidP="00175EE9">
            <w:pPr>
              <w:jc w:val="center"/>
              <w:rPr>
                <w:b w:val="0"/>
                <w:bCs w:val="0"/>
              </w:rPr>
            </w:pPr>
            <w:r w:rsidRPr="00E31C5A">
              <w:rPr>
                <w:b w:val="0"/>
              </w:rPr>
              <w:t>Quantifiable agreements</w:t>
            </w:r>
          </w:p>
        </w:tc>
        <w:tc>
          <w:tcPr>
            <w:tcW w:w="1667" w:type="pct"/>
          </w:tcPr>
          <w:p w:rsidR="00175EE9" w:rsidRPr="00E31C5A" w:rsidRDefault="00870CBD" w:rsidP="005D5B73">
            <w:pPr>
              <w:jc w:val="center"/>
              <w:cnfStyle w:val="000000100000" w:firstRow="0" w:lastRow="0" w:firstColumn="0" w:lastColumn="0" w:oddVBand="0" w:evenVBand="0" w:oddHBand="1" w:evenHBand="0" w:firstRowFirstColumn="0" w:firstRowLastColumn="0" w:lastRowFirstColumn="0" w:lastRowLastColumn="0"/>
            </w:pPr>
            <w:r>
              <w:t>Not applicable</w:t>
            </w:r>
          </w:p>
        </w:tc>
        <w:tc>
          <w:tcPr>
            <w:tcW w:w="1667" w:type="pct"/>
          </w:tcPr>
          <w:p w:rsidR="00175EE9" w:rsidRPr="00E31C5A" w:rsidRDefault="00175EE9" w:rsidP="00527F90">
            <w:pPr>
              <w:jc w:val="center"/>
              <w:cnfStyle w:val="000000100000" w:firstRow="0" w:lastRow="0" w:firstColumn="0" w:lastColumn="0" w:oddVBand="0" w:evenVBand="0" w:oddHBand="1" w:evenHBand="0" w:firstRowFirstColumn="0" w:firstRowLastColumn="0" w:lastRowFirstColumn="0" w:lastRowLastColumn="0"/>
              <w:rPr>
                <w:rFonts w:eastAsiaTheme="majorEastAsia"/>
              </w:rPr>
            </w:pPr>
            <w:r w:rsidRPr="00E31C5A">
              <w:rPr>
                <w:rFonts w:eastAsiaTheme="majorEastAsia"/>
              </w:rPr>
              <w:t>3.1%</w:t>
            </w:r>
          </w:p>
        </w:tc>
      </w:tr>
      <w:tr w:rsidR="00175EE9" w:rsidRPr="00E31C5A" w:rsidTr="00175E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75EE9" w:rsidRPr="00E31C5A" w:rsidRDefault="00175EE9" w:rsidP="00175EE9">
            <w:pPr>
              <w:jc w:val="center"/>
              <w:rPr>
                <w:b w:val="0"/>
                <w:bCs w:val="0"/>
              </w:rPr>
            </w:pPr>
            <w:r w:rsidRPr="00E31C5A">
              <w:rPr>
                <w:b w:val="0"/>
              </w:rPr>
              <w:t xml:space="preserve">Hypothetical </w:t>
            </w:r>
            <w:proofErr w:type="spellStart"/>
            <w:r w:rsidRPr="00E31C5A">
              <w:rPr>
                <w:b w:val="0"/>
              </w:rPr>
              <w:t>AAWI</w:t>
            </w:r>
            <w:proofErr w:type="spellEnd"/>
            <w:r w:rsidRPr="00E31C5A">
              <w:rPr>
                <w:b w:val="0"/>
              </w:rPr>
              <w:t xml:space="preserve"> for quantifiable and non-quantifiable agreements combined</w:t>
            </w:r>
          </w:p>
        </w:tc>
        <w:tc>
          <w:tcPr>
            <w:tcW w:w="1667" w:type="pct"/>
          </w:tcPr>
          <w:p w:rsidR="00175EE9" w:rsidRPr="00E31C5A" w:rsidRDefault="00870CBD" w:rsidP="005D5B73">
            <w:pPr>
              <w:jc w:val="center"/>
              <w:cnfStyle w:val="000000010000" w:firstRow="0" w:lastRow="0" w:firstColumn="0" w:lastColumn="0" w:oddVBand="0" w:evenVBand="0" w:oddHBand="0" w:evenHBand="1" w:firstRowFirstColumn="0" w:firstRowLastColumn="0" w:lastRowFirstColumn="0" w:lastRowLastColumn="0"/>
            </w:pPr>
            <w:r>
              <w:t>Not applicable</w:t>
            </w:r>
          </w:p>
        </w:tc>
        <w:tc>
          <w:tcPr>
            <w:tcW w:w="1667" w:type="pct"/>
          </w:tcPr>
          <w:p w:rsidR="00175EE9" w:rsidRPr="00E31C5A" w:rsidRDefault="00175EE9" w:rsidP="00527F90">
            <w:pPr>
              <w:jc w:val="center"/>
              <w:cnfStyle w:val="000000010000" w:firstRow="0" w:lastRow="0" w:firstColumn="0" w:lastColumn="0" w:oddVBand="0" w:evenVBand="0" w:oddHBand="0" w:evenHBand="1" w:firstRowFirstColumn="0" w:firstRowLastColumn="0" w:lastRowFirstColumn="0" w:lastRowLastColumn="0"/>
              <w:rPr>
                <w:rFonts w:eastAsiaTheme="majorEastAsia"/>
              </w:rPr>
            </w:pPr>
            <w:r w:rsidRPr="00E31C5A">
              <w:rPr>
                <w:rFonts w:eastAsiaTheme="majorEastAsia"/>
              </w:rPr>
              <w:t>3.0%</w:t>
            </w:r>
          </w:p>
        </w:tc>
      </w:tr>
    </w:tbl>
    <w:p w:rsidR="00CE097B" w:rsidRDefault="00576627" w:rsidP="005D3296">
      <w:pPr>
        <w:spacing w:before="240"/>
        <w:rPr>
          <w:rFonts w:eastAsia="Times New Roman"/>
        </w:rPr>
      </w:pPr>
      <w:r w:rsidRPr="00632418">
        <w:rPr>
          <w:rFonts w:eastAsia="Times New Roman"/>
        </w:rPr>
        <w:t xml:space="preserve">While </w:t>
      </w:r>
      <w:r w:rsidR="00E21836" w:rsidRPr="00632418">
        <w:rPr>
          <w:rFonts w:eastAsia="Times New Roman"/>
        </w:rPr>
        <w:t>each method</w:t>
      </w:r>
      <w:r w:rsidRPr="00632418">
        <w:rPr>
          <w:rFonts w:eastAsia="Times New Roman"/>
        </w:rPr>
        <w:t xml:space="preserve"> used provides a reasonable</w:t>
      </w:r>
      <w:r w:rsidR="001A6199">
        <w:rPr>
          <w:rFonts w:eastAsia="Times New Roman"/>
        </w:rPr>
        <w:t xml:space="preserve"> </w:t>
      </w:r>
      <w:proofErr w:type="spellStart"/>
      <w:r w:rsidR="001A6199">
        <w:rPr>
          <w:rFonts w:eastAsia="Times New Roman"/>
        </w:rPr>
        <w:t>AAWI</w:t>
      </w:r>
      <w:proofErr w:type="spellEnd"/>
      <w:r w:rsidRPr="00632418">
        <w:rPr>
          <w:rFonts w:eastAsia="Times New Roman"/>
        </w:rPr>
        <w:t xml:space="preserve"> estimation,</w:t>
      </w:r>
      <w:r w:rsidR="00E21836" w:rsidRPr="00632418">
        <w:rPr>
          <w:rFonts w:eastAsia="Times New Roman"/>
        </w:rPr>
        <w:t xml:space="preserve"> they do</w:t>
      </w:r>
      <w:r w:rsidRPr="00632418">
        <w:rPr>
          <w:rFonts w:eastAsia="Times New Roman"/>
        </w:rPr>
        <w:t xml:space="preserve"> have significant </w:t>
      </w:r>
      <w:r w:rsidR="00B071F6" w:rsidRPr="00632418">
        <w:rPr>
          <w:rFonts w:eastAsia="Times New Roman"/>
        </w:rPr>
        <w:t xml:space="preserve">limitations. </w:t>
      </w:r>
    </w:p>
    <w:p w:rsidR="00C85556" w:rsidRDefault="00B071F6" w:rsidP="00527F90">
      <w:pPr>
        <w:rPr>
          <w:rFonts w:eastAsia="Times New Roman"/>
        </w:rPr>
      </w:pPr>
      <w:r w:rsidRPr="00632418">
        <w:rPr>
          <w:rFonts w:eastAsia="Times New Roman"/>
        </w:rPr>
        <w:lastRenderedPageBreak/>
        <w:t>For</w:t>
      </w:r>
      <w:r w:rsidR="00C03F3F" w:rsidRPr="00632418">
        <w:rPr>
          <w:rFonts w:eastAsia="Times New Roman"/>
        </w:rPr>
        <w:t xml:space="preserve"> </w:t>
      </w:r>
      <w:r w:rsidR="002D3771" w:rsidRPr="00632418">
        <w:rPr>
          <w:rFonts w:eastAsia="Times New Roman"/>
        </w:rPr>
        <w:t>agreements with inconsistent</w:t>
      </w:r>
      <w:r w:rsidR="00C03F3F" w:rsidRPr="00632418">
        <w:rPr>
          <w:rFonts w:eastAsia="Times New Roman"/>
        </w:rPr>
        <w:t xml:space="preserve"> increases, the </w:t>
      </w:r>
      <w:r w:rsidR="00C85556">
        <w:rPr>
          <w:rFonts w:eastAsia="Times New Roman"/>
        </w:rPr>
        <w:t xml:space="preserve">estimation does not </w:t>
      </w:r>
      <w:r w:rsidR="00E719CC">
        <w:rPr>
          <w:rFonts w:eastAsia="Times New Roman"/>
        </w:rPr>
        <w:t>account for</w:t>
      </w:r>
      <w:r w:rsidR="00C03F3F" w:rsidRPr="00632418">
        <w:rPr>
          <w:rFonts w:eastAsia="Times New Roman"/>
        </w:rPr>
        <w:t xml:space="preserve"> the </w:t>
      </w:r>
      <w:r w:rsidR="00C85556">
        <w:rPr>
          <w:rFonts w:eastAsia="Times New Roman"/>
        </w:rPr>
        <w:t xml:space="preserve">varying </w:t>
      </w:r>
      <w:r w:rsidR="00C03F3F" w:rsidRPr="00632418">
        <w:rPr>
          <w:rFonts w:eastAsia="Times New Roman"/>
        </w:rPr>
        <w:t>number of employees at each classification</w:t>
      </w:r>
      <w:r w:rsidR="00C85556">
        <w:rPr>
          <w:rFonts w:eastAsia="Times New Roman"/>
        </w:rPr>
        <w:t xml:space="preserve"> and hence is not accurate</w:t>
      </w:r>
      <w:r w:rsidR="00C03F3F" w:rsidRPr="00632418">
        <w:rPr>
          <w:rFonts w:eastAsia="Times New Roman"/>
        </w:rPr>
        <w:t>.</w:t>
      </w:r>
      <w:r w:rsidR="00E21836" w:rsidRPr="00632418">
        <w:rPr>
          <w:rFonts w:eastAsia="Times New Roman"/>
        </w:rPr>
        <w:t xml:space="preserve"> </w:t>
      </w:r>
    </w:p>
    <w:p w:rsidR="00183F70" w:rsidRDefault="00F8464A" w:rsidP="00183F70">
      <w:pPr>
        <w:rPr>
          <w:rFonts w:eastAsia="Times New Roman"/>
        </w:rPr>
      </w:pPr>
      <w:r>
        <w:rPr>
          <w:rFonts w:eastAsia="Times New Roman"/>
        </w:rPr>
        <w:t>The derivation of s</w:t>
      </w:r>
      <w:r w:rsidR="00C85556">
        <w:rPr>
          <w:rFonts w:eastAsia="Times New Roman"/>
        </w:rPr>
        <w:t>ome estimation,</w:t>
      </w:r>
      <w:r w:rsidR="00183F70">
        <w:rPr>
          <w:rFonts w:eastAsia="Times New Roman"/>
        </w:rPr>
        <w:t xml:space="preserve"> for example</w:t>
      </w:r>
      <w:r>
        <w:rPr>
          <w:rFonts w:eastAsia="Times New Roman"/>
        </w:rPr>
        <w:t xml:space="preserve"> comparing the wage rates </w:t>
      </w:r>
      <w:r w:rsidR="00183F70">
        <w:rPr>
          <w:rFonts w:eastAsia="Times New Roman"/>
        </w:rPr>
        <w:t>with those in the replacement agreement and referring to the Annual Wage Reviews decisions, i</w:t>
      </w:r>
      <w:r w:rsidR="00E719CC">
        <w:rPr>
          <w:rFonts w:eastAsia="Times New Roman"/>
        </w:rPr>
        <w:t>s retrospective</w:t>
      </w:r>
      <w:r w:rsidR="00183F70">
        <w:rPr>
          <w:rFonts w:eastAsia="Times New Roman"/>
        </w:rPr>
        <w:t xml:space="preserve"> and </w:t>
      </w:r>
      <w:r w:rsidR="00183F70" w:rsidRPr="005F561F">
        <w:rPr>
          <w:rFonts w:eastAsia="Times New Roman"/>
        </w:rPr>
        <w:t xml:space="preserve">unsuitable for </w:t>
      </w:r>
      <w:r w:rsidR="00CE097B">
        <w:rPr>
          <w:rFonts w:eastAsia="Times New Roman"/>
        </w:rPr>
        <w:t xml:space="preserve">calculating current </w:t>
      </w:r>
      <w:proofErr w:type="spellStart"/>
      <w:r w:rsidR="00CE097B">
        <w:rPr>
          <w:rFonts w:eastAsia="Times New Roman"/>
        </w:rPr>
        <w:t>AAWIs</w:t>
      </w:r>
      <w:proofErr w:type="spellEnd"/>
      <w:r w:rsidR="00183F70" w:rsidRPr="005F561F">
        <w:rPr>
          <w:rFonts w:eastAsia="Times New Roman"/>
        </w:rPr>
        <w:t xml:space="preserve">. </w:t>
      </w:r>
      <w:r w:rsidR="00183F70">
        <w:rPr>
          <w:rFonts w:eastAsia="Times New Roman"/>
        </w:rPr>
        <w:t>For CPI-</w:t>
      </w:r>
      <w:r w:rsidR="00CE097B">
        <w:rPr>
          <w:rFonts w:eastAsia="Times New Roman"/>
        </w:rPr>
        <w:t>link</w:t>
      </w:r>
      <w:r w:rsidR="00183F70">
        <w:rPr>
          <w:rFonts w:eastAsia="Times New Roman"/>
        </w:rPr>
        <w:t xml:space="preserve">ed agreements, the methodology relied on predictive forecasts, which usually differ from the actual rates. </w:t>
      </w:r>
    </w:p>
    <w:p w:rsidR="00F61486" w:rsidRDefault="00183F70">
      <w:pPr>
        <w:rPr>
          <w:rFonts w:eastAsia="Times New Roman"/>
        </w:rPr>
      </w:pPr>
      <w:r>
        <w:rPr>
          <w:rFonts w:eastAsia="Times New Roman"/>
        </w:rPr>
        <w:t xml:space="preserve">Lastly, for many </w:t>
      </w:r>
      <w:r w:rsidR="00F61486" w:rsidRPr="005A62A4">
        <w:rPr>
          <w:rFonts w:eastAsia="Times New Roman"/>
        </w:rPr>
        <w:t>agreements</w:t>
      </w:r>
      <w:r>
        <w:rPr>
          <w:rFonts w:eastAsia="Times New Roman"/>
        </w:rPr>
        <w:t xml:space="preserve">, there is no reliable way to calculate a reasonable wage increase. </w:t>
      </w:r>
    </w:p>
    <w:p w:rsidR="00F42233" w:rsidRDefault="00F42233" w:rsidP="00A10CF2">
      <w:pPr>
        <w:pStyle w:val="Heading1"/>
      </w:pPr>
      <w:r w:rsidRPr="002A4659">
        <w:t xml:space="preserve">Conclusions </w:t>
      </w:r>
    </w:p>
    <w:p w:rsidR="00AF7B72" w:rsidRDefault="00DA155F" w:rsidP="00527F90">
      <w:pPr>
        <w:rPr>
          <w:rFonts w:eastAsia="Times New Roman"/>
        </w:rPr>
      </w:pPr>
      <w:r>
        <w:rPr>
          <w:rFonts w:eastAsia="Times New Roman"/>
        </w:rPr>
        <w:t>Based on the limitations explained above</w:t>
      </w:r>
      <w:r w:rsidR="004B2841">
        <w:rPr>
          <w:rFonts w:eastAsia="Times New Roman"/>
        </w:rPr>
        <w:t xml:space="preserve">, it is </w:t>
      </w:r>
      <w:r>
        <w:rPr>
          <w:rFonts w:eastAsia="Times New Roman"/>
        </w:rPr>
        <w:t xml:space="preserve">not </w:t>
      </w:r>
      <w:r w:rsidR="00E719CC">
        <w:rPr>
          <w:rFonts w:eastAsia="Times New Roman"/>
        </w:rPr>
        <w:t xml:space="preserve">prudent or feasible </w:t>
      </w:r>
      <w:r w:rsidR="004B2841">
        <w:rPr>
          <w:rFonts w:eastAsia="Times New Roman"/>
        </w:rPr>
        <w:t xml:space="preserve">to include non-quantifiable agreements into the official </w:t>
      </w:r>
      <w:proofErr w:type="spellStart"/>
      <w:r w:rsidR="004B2841">
        <w:rPr>
          <w:rFonts w:eastAsia="Times New Roman"/>
        </w:rPr>
        <w:t>AAWI</w:t>
      </w:r>
      <w:proofErr w:type="spellEnd"/>
      <w:r>
        <w:rPr>
          <w:rFonts w:eastAsia="Times New Roman"/>
        </w:rPr>
        <w:t xml:space="preserve"> published in </w:t>
      </w:r>
      <w:r>
        <w:rPr>
          <w:rFonts w:eastAsia="Times New Roman"/>
          <w:i/>
        </w:rPr>
        <w:t>Trends</w:t>
      </w:r>
      <w:r w:rsidR="004B2841">
        <w:rPr>
          <w:rFonts w:eastAsia="Times New Roman"/>
        </w:rPr>
        <w:t xml:space="preserve">. </w:t>
      </w:r>
    </w:p>
    <w:p w:rsidR="00183F70" w:rsidRDefault="0076156F" w:rsidP="00561398">
      <w:pPr>
        <w:rPr>
          <w:rFonts w:eastAsia="Times New Roman"/>
        </w:rPr>
      </w:pPr>
      <w:r>
        <w:rPr>
          <w:rFonts w:eastAsia="Times New Roman"/>
        </w:rPr>
        <w:t>The analysis demonstrate</w:t>
      </w:r>
      <w:r w:rsidR="00D33041">
        <w:rPr>
          <w:rFonts w:eastAsia="Times New Roman"/>
        </w:rPr>
        <w:t>s</w:t>
      </w:r>
      <w:r w:rsidR="00576627">
        <w:rPr>
          <w:rFonts w:eastAsia="Times New Roman"/>
        </w:rPr>
        <w:t xml:space="preserve"> </w:t>
      </w:r>
      <w:r w:rsidR="000C02DC">
        <w:rPr>
          <w:rFonts w:eastAsia="Times New Roman"/>
        </w:rPr>
        <w:t xml:space="preserve">that </w:t>
      </w:r>
      <w:r w:rsidR="00561398">
        <w:rPr>
          <w:rFonts w:eastAsia="Times New Roman"/>
        </w:rPr>
        <w:t xml:space="preserve">the difference between </w:t>
      </w:r>
      <w:r w:rsidR="007E2DD1">
        <w:rPr>
          <w:rFonts w:eastAsia="Times New Roman"/>
        </w:rPr>
        <w:t xml:space="preserve">non-quantifiable agreements </w:t>
      </w:r>
      <w:r w:rsidR="00561398">
        <w:rPr>
          <w:rFonts w:eastAsia="Times New Roman"/>
        </w:rPr>
        <w:t>and</w:t>
      </w:r>
      <w:r w:rsidR="007E2DD1">
        <w:rPr>
          <w:rFonts w:eastAsia="Times New Roman"/>
        </w:rPr>
        <w:t xml:space="preserve"> quantifiable agreements</w:t>
      </w:r>
      <w:r w:rsidR="000C02DC">
        <w:rPr>
          <w:rFonts w:eastAsia="Times New Roman"/>
        </w:rPr>
        <w:t xml:space="preserve"> </w:t>
      </w:r>
      <w:r w:rsidR="00561398">
        <w:rPr>
          <w:rFonts w:eastAsia="Times New Roman"/>
        </w:rPr>
        <w:t xml:space="preserve">in aggregate </w:t>
      </w:r>
      <w:r w:rsidR="00FC34F8">
        <w:rPr>
          <w:rFonts w:eastAsia="Times New Roman"/>
        </w:rPr>
        <w:t>do</w:t>
      </w:r>
      <w:r w:rsidR="00716241">
        <w:rPr>
          <w:rFonts w:eastAsia="Times New Roman"/>
        </w:rPr>
        <w:t xml:space="preserve">es </w:t>
      </w:r>
      <w:r w:rsidR="00FC34F8">
        <w:rPr>
          <w:rFonts w:eastAsia="Times New Roman"/>
        </w:rPr>
        <w:t xml:space="preserve">not have a particularly significant impact on the overall reported </w:t>
      </w:r>
      <w:proofErr w:type="spellStart"/>
      <w:r w:rsidR="00FC34F8">
        <w:rPr>
          <w:rFonts w:eastAsia="Times New Roman"/>
        </w:rPr>
        <w:t>AAWI</w:t>
      </w:r>
      <w:proofErr w:type="spellEnd"/>
      <w:r w:rsidR="00DA77C4">
        <w:rPr>
          <w:rFonts w:eastAsia="Times New Roman"/>
        </w:rPr>
        <w:t>,</w:t>
      </w:r>
      <w:r w:rsidR="00500AC7" w:rsidRPr="00500AC7">
        <w:rPr>
          <w:rFonts w:eastAsia="Times New Roman"/>
        </w:rPr>
        <w:t xml:space="preserve"> </w:t>
      </w:r>
      <w:r w:rsidR="00500AC7">
        <w:rPr>
          <w:rFonts w:eastAsia="Times New Roman"/>
        </w:rPr>
        <w:t>altogether yielding only a difference</w:t>
      </w:r>
      <w:r w:rsidR="00DF1969">
        <w:rPr>
          <w:rFonts w:eastAsia="Times New Roman"/>
        </w:rPr>
        <w:t xml:space="preserve"> of 0.1 percentage points</w:t>
      </w:r>
      <w:r w:rsidR="00FC34F8">
        <w:rPr>
          <w:rFonts w:eastAsia="Times New Roman"/>
        </w:rPr>
        <w:t xml:space="preserve">. </w:t>
      </w:r>
      <w:r w:rsidR="00DF1969">
        <w:rPr>
          <w:rFonts w:eastAsia="Times New Roman"/>
        </w:rPr>
        <w:t>The exclusion of n</w:t>
      </w:r>
      <w:r w:rsidRPr="005F561F">
        <w:rPr>
          <w:rFonts w:eastAsia="Times New Roman"/>
        </w:rPr>
        <w:t>on-quantifiable agreements is</w:t>
      </w:r>
      <w:r w:rsidR="00522487">
        <w:rPr>
          <w:rFonts w:eastAsia="Times New Roman"/>
        </w:rPr>
        <w:t xml:space="preserve"> therefore</w:t>
      </w:r>
      <w:r w:rsidRPr="005F561F">
        <w:rPr>
          <w:rFonts w:eastAsia="Times New Roman"/>
        </w:rPr>
        <w:t xml:space="preserve"> </w:t>
      </w:r>
      <w:r>
        <w:rPr>
          <w:rFonts w:eastAsia="Times New Roman"/>
        </w:rPr>
        <w:t xml:space="preserve">unlikely to </w:t>
      </w:r>
      <w:r w:rsidR="00183F70">
        <w:rPr>
          <w:rFonts w:eastAsia="Times New Roman"/>
        </w:rPr>
        <w:t xml:space="preserve">materially reduce </w:t>
      </w:r>
      <w:r w:rsidRPr="005F561F">
        <w:rPr>
          <w:rFonts w:eastAsia="Times New Roman"/>
        </w:rPr>
        <w:t>the accuracy of the</w:t>
      </w:r>
      <w:r w:rsidR="00183F70">
        <w:rPr>
          <w:rFonts w:eastAsia="Times New Roman"/>
        </w:rPr>
        <w:t xml:space="preserve"> wage increases statistics in the </w:t>
      </w:r>
      <w:r w:rsidRPr="005F561F">
        <w:rPr>
          <w:rFonts w:eastAsia="Times New Roman"/>
          <w:i/>
        </w:rPr>
        <w:t>Trends</w:t>
      </w:r>
      <w:r w:rsidR="00183F70">
        <w:rPr>
          <w:rFonts w:eastAsia="Times New Roman"/>
          <w:i/>
        </w:rPr>
        <w:t xml:space="preserve"> </w:t>
      </w:r>
      <w:r w:rsidR="00183F70" w:rsidRPr="00CE097B">
        <w:rPr>
          <w:rFonts w:eastAsia="Times New Roman"/>
        </w:rPr>
        <w:t>reports</w:t>
      </w:r>
      <w:r>
        <w:rPr>
          <w:rFonts w:eastAsia="Times New Roman"/>
        </w:rPr>
        <w:t xml:space="preserve">. </w:t>
      </w:r>
    </w:p>
    <w:p w:rsidR="00DA77C4" w:rsidRDefault="00DA77C4" w:rsidP="00527F90">
      <w:pPr>
        <w:rPr>
          <w:rFonts w:eastAsia="Times New Roman"/>
        </w:rPr>
      </w:pPr>
      <w:r>
        <w:rPr>
          <w:rFonts w:eastAsia="Times New Roman"/>
        </w:rPr>
        <w:t xml:space="preserve">In order to enable users to better understand the potential influence of non-quantifiable agreements on the reported </w:t>
      </w:r>
      <w:proofErr w:type="spellStart"/>
      <w:r>
        <w:rPr>
          <w:rFonts w:eastAsia="Times New Roman"/>
        </w:rPr>
        <w:t>AAWI</w:t>
      </w:r>
      <w:proofErr w:type="spellEnd"/>
      <w:r>
        <w:rPr>
          <w:rFonts w:eastAsia="Times New Roman"/>
        </w:rPr>
        <w:t xml:space="preserve">, the </w:t>
      </w:r>
      <w:r w:rsidRPr="00CE097B">
        <w:rPr>
          <w:rFonts w:eastAsia="Times New Roman"/>
          <w:i/>
        </w:rPr>
        <w:t>Trends</w:t>
      </w:r>
      <w:r>
        <w:rPr>
          <w:rFonts w:eastAsia="Times New Roman"/>
        </w:rPr>
        <w:t xml:space="preserve"> report will include more </w:t>
      </w:r>
      <w:r w:rsidR="00344D4D">
        <w:rPr>
          <w:rFonts w:eastAsia="Times New Roman"/>
        </w:rPr>
        <w:t xml:space="preserve">details on </w:t>
      </w:r>
      <w:r>
        <w:rPr>
          <w:rFonts w:eastAsia="Times New Roman"/>
        </w:rPr>
        <w:t xml:space="preserve">large </w:t>
      </w:r>
      <w:r w:rsidR="00344D4D">
        <w:rPr>
          <w:rFonts w:eastAsia="Times New Roman"/>
        </w:rPr>
        <w:t xml:space="preserve">non-quantifiable agreements </w:t>
      </w:r>
      <w:r>
        <w:rPr>
          <w:rFonts w:eastAsia="Times New Roman"/>
        </w:rPr>
        <w:t xml:space="preserve">approved in each quarter, such as the number of employees, and a summary of </w:t>
      </w:r>
      <w:r w:rsidR="003E7A4F">
        <w:rPr>
          <w:rFonts w:eastAsia="Times New Roman"/>
        </w:rPr>
        <w:t xml:space="preserve">the </w:t>
      </w:r>
      <w:r>
        <w:rPr>
          <w:rFonts w:eastAsia="Times New Roman"/>
        </w:rPr>
        <w:t xml:space="preserve">wage increase arrangement. </w:t>
      </w:r>
    </w:p>
    <w:p w:rsidR="00C127B3" w:rsidRDefault="00344D4D" w:rsidP="00527F90">
      <w:r>
        <w:rPr>
          <w:rFonts w:eastAsia="Times New Roman"/>
        </w:rPr>
        <w:t>The Department</w:t>
      </w:r>
      <w:r w:rsidR="00DA77C4">
        <w:rPr>
          <w:rFonts w:eastAsia="Times New Roman"/>
        </w:rPr>
        <w:t xml:space="preserve"> will</w:t>
      </w:r>
      <w:r>
        <w:rPr>
          <w:rFonts w:eastAsia="Times New Roman"/>
        </w:rPr>
        <w:t xml:space="preserve"> also </w:t>
      </w:r>
      <w:r w:rsidR="003E7A4F">
        <w:rPr>
          <w:rFonts w:eastAsia="Times New Roman"/>
        </w:rPr>
        <w:t xml:space="preserve">continue to </w:t>
      </w:r>
      <w:r>
        <w:rPr>
          <w:rFonts w:eastAsia="Times New Roman"/>
        </w:rPr>
        <w:t>monitor the trends in non-quantifiable agreements, particularly their prevalence among all agreements</w:t>
      </w:r>
      <w:r w:rsidR="003E7A4F">
        <w:rPr>
          <w:rFonts w:eastAsia="Times New Roman"/>
        </w:rPr>
        <w:t xml:space="preserve"> and any likely impact</w:t>
      </w:r>
      <w:r>
        <w:rPr>
          <w:rFonts w:eastAsia="Times New Roman"/>
        </w:rPr>
        <w:t xml:space="preserve"> of </w:t>
      </w:r>
      <w:r w:rsidR="00CC2C7F">
        <w:rPr>
          <w:rFonts w:eastAsia="Times New Roman"/>
        </w:rPr>
        <w:t xml:space="preserve">their </w:t>
      </w:r>
      <w:r>
        <w:rPr>
          <w:rFonts w:eastAsia="Times New Roman"/>
        </w:rPr>
        <w:t xml:space="preserve">exclusion from overall </w:t>
      </w:r>
      <w:proofErr w:type="spellStart"/>
      <w:r>
        <w:rPr>
          <w:rFonts w:eastAsia="Times New Roman"/>
        </w:rPr>
        <w:t>AAWI</w:t>
      </w:r>
      <w:proofErr w:type="spellEnd"/>
      <w:r>
        <w:rPr>
          <w:rFonts w:eastAsia="Times New Roman"/>
        </w:rPr>
        <w:t xml:space="preserve"> calculations. </w:t>
      </w:r>
    </w:p>
    <w:sectPr w:rsidR="00C127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B66" w:rsidRDefault="00B53B66">
      <w:pPr>
        <w:spacing w:after="0" w:line="240" w:lineRule="auto"/>
      </w:pPr>
      <w:r>
        <w:separator/>
      </w:r>
    </w:p>
  </w:endnote>
  <w:endnote w:type="continuationSeparator" w:id="0">
    <w:p w:rsidR="00B53B66" w:rsidRDefault="00B53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7716010"/>
      <w:docPartObj>
        <w:docPartGallery w:val="Page Numbers (Bottom of Page)"/>
        <w:docPartUnique/>
      </w:docPartObj>
    </w:sdtPr>
    <w:sdtEndPr>
      <w:rPr>
        <w:noProof/>
      </w:rPr>
    </w:sdtEndPr>
    <w:sdtContent>
      <w:p w:rsidR="008644AC" w:rsidRDefault="008644AC">
        <w:pPr>
          <w:pStyle w:val="Footer"/>
          <w:jc w:val="center"/>
        </w:pPr>
        <w:r>
          <w:fldChar w:fldCharType="begin"/>
        </w:r>
        <w:r>
          <w:instrText xml:space="preserve"> PAGE   \* MERGEFORMAT </w:instrText>
        </w:r>
        <w:r>
          <w:fldChar w:fldCharType="separate"/>
        </w:r>
        <w:r w:rsidR="00EB5FE8">
          <w:rPr>
            <w:noProof/>
          </w:rPr>
          <w:t>1</w:t>
        </w:r>
        <w:r>
          <w:rPr>
            <w:noProof/>
          </w:rPr>
          <w:fldChar w:fldCharType="end"/>
        </w:r>
      </w:p>
    </w:sdtContent>
  </w:sdt>
  <w:p w:rsidR="008644AC" w:rsidRDefault="008644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B66" w:rsidRDefault="00B53B66">
      <w:pPr>
        <w:spacing w:after="0" w:line="240" w:lineRule="auto"/>
      </w:pPr>
      <w:r>
        <w:separator/>
      </w:r>
    </w:p>
  </w:footnote>
  <w:footnote w:type="continuationSeparator" w:id="0">
    <w:p w:rsidR="00B53B66" w:rsidRDefault="00B53B66">
      <w:pPr>
        <w:spacing w:after="0" w:line="240" w:lineRule="auto"/>
      </w:pPr>
      <w:r>
        <w:continuationSeparator/>
      </w:r>
    </w:p>
  </w:footnote>
  <w:footnote w:id="1">
    <w:p w:rsidR="00EC0C8A" w:rsidRDefault="00EC0C8A">
      <w:pPr>
        <w:pStyle w:val="FootnoteText"/>
      </w:pPr>
      <w:r>
        <w:rPr>
          <w:rStyle w:val="FootnoteReference"/>
        </w:rPr>
        <w:footnoteRef/>
      </w:r>
      <w:r>
        <w:t xml:space="preserve"> </w:t>
      </w:r>
      <w:proofErr w:type="gramStart"/>
      <w:r w:rsidRPr="00964984">
        <w:rPr>
          <w:i/>
        </w:rPr>
        <w:t>ABS Employee Earning and Hours (Cat.</w:t>
      </w:r>
      <w:proofErr w:type="gramEnd"/>
      <w:r w:rsidRPr="00964984">
        <w:rPr>
          <w:i/>
        </w:rPr>
        <w:t xml:space="preserve"> No. 6306.0), May 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8448F8"/>
    <w:lvl w:ilvl="0">
      <w:start w:val="1"/>
      <w:numFmt w:val="decimal"/>
      <w:lvlText w:val="%1."/>
      <w:lvlJc w:val="left"/>
      <w:pPr>
        <w:tabs>
          <w:tab w:val="num" w:pos="1492"/>
        </w:tabs>
        <w:ind w:left="1492" w:hanging="360"/>
      </w:pPr>
    </w:lvl>
  </w:abstractNum>
  <w:abstractNum w:abstractNumId="1">
    <w:nsid w:val="FFFFFF7D"/>
    <w:multiLevelType w:val="singleLevel"/>
    <w:tmpl w:val="6FD488CC"/>
    <w:lvl w:ilvl="0">
      <w:start w:val="1"/>
      <w:numFmt w:val="decimal"/>
      <w:lvlText w:val="%1."/>
      <w:lvlJc w:val="left"/>
      <w:pPr>
        <w:tabs>
          <w:tab w:val="num" w:pos="1209"/>
        </w:tabs>
        <w:ind w:left="1209" w:hanging="360"/>
      </w:pPr>
    </w:lvl>
  </w:abstractNum>
  <w:abstractNum w:abstractNumId="2">
    <w:nsid w:val="FFFFFF7E"/>
    <w:multiLevelType w:val="singleLevel"/>
    <w:tmpl w:val="9A6823A8"/>
    <w:lvl w:ilvl="0">
      <w:start w:val="1"/>
      <w:numFmt w:val="decimal"/>
      <w:lvlText w:val="%1."/>
      <w:lvlJc w:val="left"/>
      <w:pPr>
        <w:tabs>
          <w:tab w:val="num" w:pos="926"/>
        </w:tabs>
        <w:ind w:left="926" w:hanging="360"/>
      </w:pPr>
    </w:lvl>
  </w:abstractNum>
  <w:abstractNum w:abstractNumId="3">
    <w:nsid w:val="FFFFFF7F"/>
    <w:multiLevelType w:val="singleLevel"/>
    <w:tmpl w:val="1A3CCAC2"/>
    <w:lvl w:ilvl="0">
      <w:start w:val="1"/>
      <w:numFmt w:val="decimal"/>
      <w:lvlText w:val="%1."/>
      <w:lvlJc w:val="left"/>
      <w:pPr>
        <w:tabs>
          <w:tab w:val="num" w:pos="643"/>
        </w:tabs>
        <w:ind w:left="643" w:hanging="360"/>
      </w:pPr>
    </w:lvl>
  </w:abstractNum>
  <w:abstractNum w:abstractNumId="4">
    <w:nsid w:val="FFFFFF80"/>
    <w:multiLevelType w:val="singleLevel"/>
    <w:tmpl w:val="36EEA76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E3A1BC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E3EF9F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A495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C14EBAC"/>
    <w:lvl w:ilvl="0">
      <w:start w:val="1"/>
      <w:numFmt w:val="decimal"/>
      <w:lvlText w:val="%1."/>
      <w:lvlJc w:val="left"/>
      <w:pPr>
        <w:tabs>
          <w:tab w:val="num" w:pos="360"/>
        </w:tabs>
        <w:ind w:left="360" w:hanging="360"/>
      </w:pPr>
    </w:lvl>
  </w:abstractNum>
  <w:abstractNum w:abstractNumId="9">
    <w:nsid w:val="FFFFFF89"/>
    <w:multiLevelType w:val="singleLevel"/>
    <w:tmpl w:val="ADAADC10"/>
    <w:lvl w:ilvl="0">
      <w:start w:val="1"/>
      <w:numFmt w:val="bullet"/>
      <w:lvlText w:val=""/>
      <w:lvlJc w:val="left"/>
      <w:pPr>
        <w:tabs>
          <w:tab w:val="num" w:pos="360"/>
        </w:tabs>
        <w:ind w:left="360" w:hanging="360"/>
      </w:pPr>
      <w:rPr>
        <w:rFonts w:ascii="Symbol" w:hAnsi="Symbol" w:hint="default"/>
      </w:rPr>
    </w:lvl>
  </w:abstractNum>
  <w:abstractNum w:abstractNumId="10">
    <w:nsid w:val="001F60C6"/>
    <w:multiLevelType w:val="hybridMultilevel"/>
    <w:tmpl w:val="3E526298"/>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42D5B6B"/>
    <w:multiLevelType w:val="hybridMultilevel"/>
    <w:tmpl w:val="9F645C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nsid w:val="0FC2414B"/>
    <w:multiLevelType w:val="hybridMultilevel"/>
    <w:tmpl w:val="58841B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nsid w:val="178E6218"/>
    <w:multiLevelType w:val="hybridMultilevel"/>
    <w:tmpl w:val="EE4C7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17719B1"/>
    <w:multiLevelType w:val="hybridMultilevel"/>
    <w:tmpl w:val="58E009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6DE2DF1"/>
    <w:multiLevelType w:val="hybridMultilevel"/>
    <w:tmpl w:val="86701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CCD4394"/>
    <w:multiLevelType w:val="hybridMultilevel"/>
    <w:tmpl w:val="9E964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69144CE"/>
    <w:multiLevelType w:val="hybridMultilevel"/>
    <w:tmpl w:val="3118D622"/>
    <w:lvl w:ilvl="0" w:tplc="950673DE">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9D74F4A"/>
    <w:multiLevelType w:val="hybridMultilevel"/>
    <w:tmpl w:val="2D5232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3F73972"/>
    <w:multiLevelType w:val="hybridMultilevel"/>
    <w:tmpl w:val="161456A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4081D24"/>
    <w:multiLevelType w:val="hybridMultilevel"/>
    <w:tmpl w:val="2D5232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6"/>
  </w:num>
  <w:num w:numId="3">
    <w:abstractNumId w:val="15"/>
  </w:num>
  <w:num w:numId="4">
    <w:abstractNumId w:val="13"/>
  </w:num>
  <w:num w:numId="5">
    <w:abstractNumId w:val="11"/>
  </w:num>
  <w:num w:numId="6">
    <w:abstractNumId w:val="11"/>
  </w:num>
  <w:num w:numId="7">
    <w:abstractNumId w:val="12"/>
  </w:num>
  <w:num w:numId="8">
    <w:abstractNumId w:val="17"/>
  </w:num>
  <w:num w:numId="9">
    <w:abstractNumId w:val="20"/>
  </w:num>
  <w:num w:numId="10">
    <w:abstractNumId w:val="19"/>
  </w:num>
  <w:num w:numId="11">
    <w:abstractNumId w:val="10"/>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557"/>
    <w:rsid w:val="000058CB"/>
    <w:rsid w:val="000301EF"/>
    <w:rsid w:val="00030F71"/>
    <w:rsid w:val="00051AFE"/>
    <w:rsid w:val="00052D5B"/>
    <w:rsid w:val="00060D1F"/>
    <w:rsid w:val="00062726"/>
    <w:rsid w:val="00075010"/>
    <w:rsid w:val="0008335E"/>
    <w:rsid w:val="0009146F"/>
    <w:rsid w:val="0009663A"/>
    <w:rsid w:val="000A1A94"/>
    <w:rsid w:val="000B0702"/>
    <w:rsid w:val="000B117E"/>
    <w:rsid w:val="000B1B7F"/>
    <w:rsid w:val="000B3942"/>
    <w:rsid w:val="000B7ABC"/>
    <w:rsid w:val="000C02DC"/>
    <w:rsid w:val="000C1314"/>
    <w:rsid w:val="000C20EF"/>
    <w:rsid w:val="000C39BA"/>
    <w:rsid w:val="000D261D"/>
    <w:rsid w:val="000E2D65"/>
    <w:rsid w:val="000E2F1F"/>
    <w:rsid w:val="000E3ACF"/>
    <w:rsid w:val="000E5F50"/>
    <w:rsid w:val="000F0D6D"/>
    <w:rsid w:val="000F1649"/>
    <w:rsid w:val="00100928"/>
    <w:rsid w:val="00111998"/>
    <w:rsid w:val="00113A8A"/>
    <w:rsid w:val="00121005"/>
    <w:rsid w:val="00123794"/>
    <w:rsid w:val="0014237C"/>
    <w:rsid w:val="001456C6"/>
    <w:rsid w:val="00146CF2"/>
    <w:rsid w:val="001531A6"/>
    <w:rsid w:val="001556D6"/>
    <w:rsid w:val="00162A06"/>
    <w:rsid w:val="0016767E"/>
    <w:rsid w:val="00175EE9"/>
    <w:rsid w:val="001813CF"/>
    <w:rsid w:val="001832F0"/>
    <w:rsid w:val="00183F70"/>
    <w:rsid w:val="00184683"/>
    <w:rsid w:val="001849C8"/>
    <w:rsid w:val="0018613E"/>
    <w:rsid w:val="00186746"/>
    <w:rsid w:val="001A2C95"/>
    <w:rsid w:val="001A6199"/>
    <w:rsid w:val="001A71AA"/>
    <w:rsid w:val="001A71F4"/>
    <w:rsid w:val="001B1EF5"/>
    <w:rsid w:val="001B49C7"/>
    <w:rsid w:val="001C33B9"/>
    <w:rsid w:val="001C35C1"/>
    <w:rsid w:val="001C6182"/>
    <w:rsid w:val="001E6F8A"/>
    <w:rsid w:val="00205188"/>
    <w:rsid w:val="00225010"/>
    <w:rsid w:val="00226028"/>
    <w:rsid w:val="0023555E"/>
    <w:rsid w:val="00250BEF"/>
    <w:rsid w:val="00250C0C"/>
    <w:rsid w:val="00252121"/>
    <w:rsid w:val="0027187D"/>
    <w:rsid w:val="0027588F"/>
    <w:rsid w:val="0028318D"/>
    <w:rsid w:val="002833F9"/>
    <w:rsid w:val="00290616"/>
    <w:rsid w:val="002A0A0B"/>
    <w:rsid w:val="002A4659"/>
    <w:rsid w:val="002B5F10"/>
    <w:rsid w:val="002B75B2"/>
    <w:rsid w:val="002C71CC"/>
    <w:rsid w:val="002D3771"/>
    <w:rsid w:val="002E6518"/>
    <w:rsid w:val="002F6101"/>
    <w:rsid w:val="002F7418"/>
    <w:rsid w:val="002F7B04"/>
    <w:rsid w:val="00316D10"/>
    <w:rsid w:val="00334F73"/>
    <w:rsid w:val="00337523"/>
    <w:rsid w:val="003400DE"/>
    <w:rsid w:val="0034020A"/>
    <w:rsid w:val="00344D4D"/>
    <w:rsid w:val="00350F7A"/>
    <w:rsid w:val="00356149"/>
    <w:rsid w:val="0035752F"/>
    <w:rsid w:val="003603AC"/>
    <w:rsid w:val="00360E22"/>
    <w:rsid w:val="00361C9D"/>
    <w:rsid w:val="0036331F"/>
    <w:rsid w:val="00371960"/>
    <w:rsid w:val="003726D5"/>
    <w:rsid w:val="00374CEC"/>
    <w:rsid w:val="003867D1"/>
    <w:rsid w:val="003871FD"/>
    <w:rsid w:val="003A1F64"/>
    <w:rsid w:val="003A5577"/>
    <w:rsid w:val="003A7189"/>
    <w:rsid w:val="003B6FAD"/>
    <w:rsid w:val="003C2EA2"/>
    <w:rsid w:val="003C6F70"/>
    <w:rsid w:val="003E1D3F"/>
    <w:rsid w:val="003E41D6"/>
    <w:rsid w:val="003E7A4F"/>
    <w:rsid w:val="00400CDB"/>
    <w:rsid w:val="00422498"/>
    <w:rsid w:val="00423822"/>
    <w:rsid w:val="00424A76"/>
    <w:rsid w:val="0042627E"/>
    <w:rsid w:val="00431F17"/>
    <w:rsid w:val="00440624"/>
    <w:rsid w:val="00452FFF"/>
    <w:rsid w:val="004661F3"/>
    <w:rsid w:val="00473CE9"/>
    <w:rsid w:val="00477F21"/>
    <w:rsid w:val="00495D17"/>
    <w:rsid w:val="004A5776"/>
    <w:rsid w:val="004A61EE"/>
    <w:rsid w:val="004A7E55"/>
    <w:rsid w:val="004B2113"/>
    <w:rsid w:val="004B2841"/>
    <w:rsid w:val="004B7C34"/>
    <w:rsid w:val="004C7417"/>
    <w:rsid w:val="004F2C3B"/>
    <w:rsid w:val="004F4AA9"/>
    <w:rsid w:val="00500AC7"/>
    <w:rsid w:val="005013CA"/>
    <w:rsid w:val="005044D9"/>
    <w:rsid w:val="00520479"/>
    <w:rsid w:val="00522487"/>
    <w:rsid w:val="00523094"/>
    <w:rsid w:val="00525DB8"/>
    <w:rsid w:val="00527F90"/>
    <w:rsid w:val="00537B2B"/>
    <w:rsid w:val="0054673A"/>
    <w:rsid w:val="00561398"/>
    <w:rsid w:val="00561888"/>
    <w:rsid w:val="00571BCF"/>
    <w:rsid w:val="005758F4"/>
    <w:rsid w:val="00576627"/>
    <w:rsid w:val="00580024"/>
    <w:rsid w:val="0058474F"/>
    <w:rsid w:val="00594791"/>
    <w:rsid w:val="00595BC0"/>
    <w:rsid w:val="00595D05"/>
    <w:rsid w:val="005A1476"/>
    <w:rsid w:val="005A62A4"/>
    <w:rsid w:val="005B54CF"/>
    <w:rsid w:val="005B674C"/>
    <w:rsid w:val="005C1EE5"/>
    <w:rsid w:val="005D3296"/>
    <w:rsid w:val="005D5B73"/>
    <w:rsid w:val="005E2475"/>
    <w:rsid w:val="005F561F"/>
    <w:rsid w:val="005F5815"/>
    <w:rsid w:val="005F6395"/>
    <w:rsid w:val="00603815"/>
    <w:rsid w:val="00606D09"/>
    <w:rsid w:val="00607AE0"/>
    <w:rsid w:val="00611047"/>
    <w:rsid w:val="00614398"/>
    <w:rsid w:val="00627CD9"/>
    <w:rsid w:val="006307A6"/>
    <w:rsid w:val="006313CB"/>
    <w:rsid w:val="00632418"/>
    <w:rsid w:val="00634C0E"/>
    <w:rsid w:val="00643C10"/>
    <w:rsid w:val="006648E0"/>
    <w:rsid w:val="00683B58"/>
    <w:rsid w:val="00685338"/>
    <w:rsid w:val="00696AFE"/>
    <w:rsid w:val="006A1F47"/>
    <w:rsid w:val="006A746E"/>
    <w:rsid w:val="006B5BB3"/>
    <w:rsid w:val="006C01B3"/>
    <w:rsid w:val="006C1CF5"/>
    <w:rsid w:val="006C42A5"/>
    <w:rsid w:val="006E17AD"/>
    <w:rsid w:val="006E6ED0"/>
    <w:rsid w:val="006E7BBC"/>
    <w:rsid w:val="00715D02"/>
    <w:rsid w:val="00716241"/>
    <w:rsid w:val="00731646"/>
    <w:rsid w:val="00733978"/>
    <w:rsid w:val="00734294"/>
    <w:rsid w:val="007476BB"/>
    <w:rsid w:val="007541D8"/>
    <w:rsid w:val="0076156F"/>
    <w:rsid w:val="00763D9F"/>
    <w:rsid w:val="00766E78"/>
    <w:rsid w:val="00767D2C"/>
    <w:rsid w:val="00791B05"/>
    <w:rsid w:val="007B025F"/>
    <w:rsid w:val="007B6928"/>
    <w:rsid w:val="007C1C80"/>
    <w:rsid w:val="007C2856"/>
    <w:rsid w:val="007C3697"/>
    <w:rsid w:val="007C6750"/>
    <w:rsid w:val="007E2DD1"/>
    <w:rsid w:val="007E6CE7"/>
    <w:rsid w:val="007E71EE"/>
    <w:rsid w:val="007F5ED4"/>
    <w:rsid w:val="007F69C2"/>
    <w:rsid w:val="00804235"/>
    <w:rsid w:val="00810359"/>
    <w:rsid w:val="008131D7"/>
    <w:rsid w:val="008147F7"/>
    <w:rsid w:val="008249D7"/>
    <w:rsid w:val="00827706"/>
    <w:rsid w:val="00831963"/>
    <w:rsid w:val="00843509"/>
    <w:rsid w:val="00847A54"/>
    <w:rsid w:val="008644AC"/>
    <w:rsid w:val="00870CBD"/>
    <w:rsid w:val="00874BBA"/>
    <w:rsid w:val="00877F29"/>
    <w:rsid w:val="0089403F"/>
    <w:rsid w:val="008A09ED"/>
    <w:rsid w:val="008B0B44"/>
    <w:rsid w:val="008B287E"/>
    <w:rsid w:val="008C255C"/>
    <w:rsid w:val="008C4106"/>
    <w:rsid w:val="008E305E"/>
    <w:rsid w:val="008E5716"/>
    <w:rsid w:val="00901D35"/>
    <w:rsid w:val="00906A08"/>
    <w:rsid w:val="00912D32"/>
    <w:rsid w:val="00913ABC"/>
    <w:rsid w:val="00925650"/>
    <w:rsid w:val="00926B15"/>
    <w:rsid w:val="00933B9D"/>
    <w:rsid w:val="00952886"/>
    <w:rsid w:val="00963AF7"/>
    <w:rsid w:val="00964984"/>
    <w:rsid w:val="009877D9"/>
    <w:rsid w:val="00991259"/>
    <w:rsid w:val="00993165"/>
    <w:rsid w:val="009B163C"/>
    <w:rsid w:val="009B6469"/>
    <w:rsid w:val="009C40D5"/>
    <w:rsid w:val="009C7CF1"/>
    <w:rsid w:val="009D4062"/>
    <w:rsid w:val="009E1235"/>
    <w:rsid w:val="009E474C"/>
    <w:rsid w:val="009F20FE"/>
    <w:rsid w:val="00A053AB"/>
    <w:rsid w:val="00A10CF2"/>
    <w:rsid w:val="00A12AB9"/>
    <w:rsid w:val="00A17398"/>
    <w:rsid w:val="00A44A82"/>
    <w:rsid w:val="00A502C9"/>
    <w:rsid w:val="00A54F4B"/>
    <w:rsid w:val="00A61047"/>
    <w:rsid w:val="00A73339"/>
    <w:rsid w:val="00AA2BDB"/>
    <w:rsid w:val="00AB418C"/>
    <w:rsid w:val="00AB6DAF"/>
    <w:rsid w:val="00AC6C22"/>
    <w:rsid w:val="00AD43C2"/>
    <w:rsid w:val="00AD6728"/>
    <w:rsid w:val="00AE1BD9"/>
    <w:rsid w:val="00AF1B2F"/>
    <w:rsid w:val="00AF3E63"/>
    <w:rsid w:val="00AF7B72"/>
    <w:rsid w:val="00B02BD1"/>
    <w:rsid w:val="00B03998"/>
    <w:rsid w:val="00B04240"/>
    <w:rsid w:val="00B05831"/>
    <w:rsid w:val="00B069CA"/>
    <w:rsid w:val="00B071F6"/>
    <w:rsid w:val="00B13FC8"/>
    <w:rsid w:val="00B26649"/>
    <w:rsid w:val="00B45A99"/>
    <w:rsid w:val="00B52672"/>
    <w:rsid w:val="00B53B66"/>
    <w:rsid w:val="00B5480C"/>
    <w:rsid w:val="00B63E53"/>
    <w:rsid w:val="00B64A4E"/>
    <w:rsid w:val="00B64BEE"/>
    <w:rsid w:val="00B744E2"/>
    <w:rsid w:val="00B901C1"/>
    <w:rsid w:val="00B9760C"/>
    <w:rsid w:val="00BB6557"/>
    <w:rsid w:val="00BB65BA"/>
    <w:rsid w:val="00BC6B2C"/>
    <w:rsid w:val="00BE1A10"/>
    <w:rsid w:val="00BE1E52"/>
    <w:rsid w:val="00BF33EB"/>
    <w:rsid w:val="00BF64FF"/>
    <w:rsid w:val="00C00345"/>
    <w:rsid w:val="00C03F3F"/>
    <w:rsid w:val="00C1084A"/>
    <w:rsid w:val="00C127B3"/>
    <w:rsid w:val="00C166E8"/>
    <w:rsid w:val="00C22061"/>
    <w:rsid w:val="00C2534C"/>
    <w:rsid w:val="00C25820"/>
    <w:rsid w:val="00C3343D"/>
    <w:rsid w:val="00C42A45"/>
    <w:rsid w:val="00C455FB"/>
    <w:rsid w:val="00C46A57"/>
    <w:rsid w:val="00C4707F"/>
    <w:rsid w:val="00C475EF"/>
    <w:rsid w:val="00C56079"/>
    <w:rsid w:val="00C75612"/>
    <w:rsid w:val="00C85556"/>
    <w:rsid w:val="00CA6F6F"/>
    <w:rsid w:val="00CA7AC2"/>
    <w:rsid w:val="00CB569D"/>
    <w:rsid w:val="00CC0A49"/>
    <w:rsid w:val="00CC2C7F"/>
    <w:rsid w:val="00CC46EB"/>
    <w:rsid w:val="00CD7A88"/>
    <w:rsid w:val="00CE097B"/>
    <w:rsid w:val="00CE2319"/>
    <w:rsid w:val="00CE6B30"/>
    <w:rsid w:val="00CF2C0E"/>
    <w:rsid w:val="00D00D71"/>
    <w:rsid w:val="00D00E21"/>
    <w:rsid w:val="00D01EE3"/>
    <w:rsid w:val="00D0269D"/>
    <w:rsid w:val="00D03F99"/>
    <w:rsid w:val="00D1251C"/>
    <w:rsid w:val="00D157C0"/>
    <w:rsid w:val="00D27357"/>
    <w:rsid w:val="00D33041"/>
    <w:rsid w:val="00D554F8"/>
    <w:rsid w:val="00D63762"/>
    <w:rsid w:val="00D75185"/>
    <w:rsid w:val="00D935D2"/>
    <w:rsid w:val="00DA1305"/>
    <w:rsid w:val="00DA155F"/>
    <w:rsid w:val="00DA2883"/>
    <w:rsid w:val="00DA77C4"/>
    <w:rsid w:val="00DB5342"/>
    <w:rsid w:val="00DB5BDD"/>
    <w:rsid w:val="00DC6D10"/>
    <w:rsid w:val="00DF1411"/>
    <w:rsid w:val="00DF1969"/>
    <w:rsid w:val="00DF3AEA"/>
    <w:rsid w:val="00DF5C66"/>
    <w:rsid w:val="00E01FE7"/>
    <w:rsid w:val="00E02955"/>
    <w:rsid w:val="00E03020"/>
    <w:rsid w:val="00E07550"/>
    <w:rsid w:val="00E21836"/>
    <w:rsid w:val="00E31C5A"/>
    <w:rsid w:val="00E32CBC"/>
    <w:rsid w:val="00E34271"/>
    <w:rsid w:val="00E34D71"/>
    <w:rsid w:val="00E44B6E"/>
    <w:rsid w:val="00E55334"/>
    <w:rsid w:val="00E557A3"/>
    <w:rsid w:val="00E5702C"/>
    <w:rsid w:val="00E7056F"/>
    <w:rsid w:val="00E719CC"/>
    <w:rsid w:val="00E82A54"/>
    <w:rsid w:val="00E9181A"/>
    <w:rsid w:val="00E9184B"/>
    <w:rsid w:val="00E94CE0"/>
    <w:rsid w:val="00EA0000"/>
    <w:rsid w:val="00EA0D22"/>
    <w:rsid w:val="00EA7845"/>
    <w:rsid w:val="00EB23C8"/>
    <w:rsid w:val="00EB29FA"/>
    <w:rsid w:val="00EB5FE8"/>
    <w:rsid w:val="00EB65C9"/>
    <w:rsid w:val="00EC0C8A"/>
    <w:rsid w:val="00ED42FE"/>
    <w:rsid w:val="00ED72B6"/>
    <w:rsid w:val="00EF3860"/>
    <w:rsid w:val="00F00330"/>
    <w:rsid w:val="00F16158"/>
    <w:rsid w:val="00F32BE1"/>
    <w:rsid w:val="00F33D85"/>
    <w:rsid w:val="00F42233"/>
    <w:rsid w:val="00F4365F"/>
    <w:rsid w:val="00F61486"/>
    <w:rsid w:val="00F61991"/>
    <w:rsid w:val="00F70040"/>
    <w:rsid w:val="00F82CDC"/>
    <w:rsid w:val="00F8464A"/>
    <w:rsid w:val="00F85846"/>
    <w:rsid w:val="00F9752D"/>
    <w:rsid w:val="00F97F3D"/>
    <w:rsid w:val="00FA14E3"/>
    <w:rsid w:val="00FB6E3A"/>
    <w:rsid w:val="00FC34F8"/>
    <w:rsid w:val="00FC3641"/>
    <w:rsid w:val="00FC3D07"/>
    <w:rsid w:val="00FC6A9C"/>
    <w:rsid w:val="00FD2C6D"/>
    <w:rsid w:val="00FE5CC9"/>
    <w:rsid w:val="00FE61EF"/>
    <w:rsid w:val="00FF0B8C"/>
    <w:rsid w:val="00FF69B4"/>
    <w:rsid w:val="00FF6E0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106"/>
  </w:style>
  <w:style w:type="paragraph" w:styleId="Heading1">
    <w:name w:val="heading 1"/>
    <w:basedOn w:val="Normal"/>
    <w:next w:val="Normal"/>
    <w:link w:val="Heading1Char"/>
    <w:uiPriority w:val="9"/>
    <w:qFormat/>
    <w:rsid w:val="00BB6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65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10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655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55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B6557"/>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BB655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BB6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655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B6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557"/>
  </w:style>
  <w:style w:type="paragraph" w:styleId="ListParagraph">
    <w:name w:val="List Paragraph"/>
    <w:basedOn w:val="Normal"/>
    <w:uiPriority w:val="34"/>
    <w:qFormat/>
    <w:rsid w:val="00BB6557"/>
    <w:pPr>
      <w:ind w:left="720"/>
      <w:contextualSpacing/>
    </w:pPr>
  </w:style>
  <w:style w:type="paragraph" w:styleId="Quote">
    <w:name w:val="Quote"/>
    <w:basedOn w:val="Normal"/>
    <w:next w:val="Normal"/>
    <w:link w:val="QuoteChar"/>
    <w:uiPriority w:val="29"/>
    <w:qFormat/>
    <w:rsid w:val="00BB6557"/>
    <w:rPr>
      <w:i/>
      <w:iCs/>
      <w:color w:val="000000" w:themeColor="text1"/>
    </w:rPr>
  </w:style>
  <w:style w:type="character" w:customStyle="1" w:styleId="QuoteChar">
    <w:name w:val="Quote Char"/>
    <w:basedOn w:val="DefaultParagraphFont"/>
    <w:link w:val="Quote"/>
    <w:uiPriority w:val="29"/>
    <w:rsid w:val="00BB6557"/>
    <w:rPr>
      <w:i/>
      <w:iCs/>
      <w:color w:val="000000" w:themeColor="text1"/>
    </w:rPr>
  </w:style>
  <w:style w:type="character" w:styleId="SubtleEmphasis">
    <w:name w:val="Subtle Emphasis"/>
    <w:basedOn w:val="DefaultParagraphFont"/>
    <w:uiPriority w:val="19"/>
    <w:qFormat/>
    <w:rsid w:val="00BB6557"/>
    <w:rPr>
      <w:i/>
      <w:iCs/>
      <w:color w:val="808080" w:themeColor="text1" w:themeTint="7F"/>
    </w:rPr>
  </w:style>
  <w:style w:type="table" w:styleId="LightGrid-Accent1">
    <w:name w:val="Light Grid Accent 1"/>
    <w:basedOn w:val="TableNormal"/>
    <w:uiPriority w:val="62"/>
    <w:rsid w:val="00BB655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BB6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557"/>
    <w:rPr>
      <w:rFonts w:ascii="Tahoma" w:hAnsi="Tahoma" w:cs="Tahoma"/>
      <w:sz w:val="16"/>
      <w:szCs w:val="16"/>
    </w:rPr>
  </w:style>
  <w:style w:type="table" w:styleId="TableGrid">
    <w:name w:val="Table Grid"/>
    <w:basedOn w:val="TableNormal"/>
    <w:uiPriority w:val="59"/>
    <w:rsid w:val="00B05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B0583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571BC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571BC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571BC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CommentReference">
    <w:name w:val="annotation reference"/>
    <w:basedOn w:val="DefaultParagraphFont"/>
    <w:uiPriority w:val="99"/>
    <w:semiHidden/>
    <w:unhideWhenUsed/>
    <w:rsid w:val="00696AFE"/>
    <w:rPr>
      <w:sz w:val="16"/>
      <w:szCs w:val="16"/>
    </w:rPr>
  </w:style>
  <w:style w:type="paragraph" w:styleId="CommentText">
    <w:name w:val="annotation text"/>
    <w:basedOn w:val="Normal"/>
    <w:link w:val="CommentTextChar"/>
    <w:uiPriority w:val="99"/>
    <w:semiHidden/>
    <w:unhideWhenUsed/>
    <w:rsid w:val="00696AFE"/>
    <w:pPr>
      <w:spacing w:line="240" w:lineRule="auto"/>
    </w:pPr>
    <w:rPr>
      <w:sz w:val="20"/>
      <w:szCs w:val="20"/>
    </w:rPr>
  </w:style>
  <w:style w:type="character" w:customStyle="1" w:styleId="CommentTextChar">
    <w:name w:val="Comment Text Char"/>
    <w:basedOn w:val="DefaultParagraphFont"/>
    <w:link w:val="CommentText"/>
    <w:uiPriority w:val="99"/>
    <w:semiHidden/>
    <w:rsid w:val="00696AFE"/>
    <w:rPr>
      <w:sz w:val="20"/>
      <w:szCs w:val="20"/>
    </w:rPr>
  </w:style>
  <w:style w:type="paragraph" w:styleId="CommentSubject">
    <w:name w:val="annotation subject"/>
    <w:basedOn w:val="CommentText"/>
    <w:next w:val="CommentText"/>
    <w:link w:val="CommentSubjectChar"/>
    <w:uiPriority w:val="99"/>
    <w:semiHidden/>
    <w:unhideWhenUsed/>
    <w:rsid w:val="00696AFE"/>
    <w:rPr>
      <w:b/>
      <w:bCs/>
    </w:rPr>
  </w:style>
  <w:style w:type="character" w:customStyle="1" w:styleId="CommentSubjectChar">
    <w:name w:val="Comment Subject Char"/>
    <w:basedOn w:val="CommentTextChar"/>
    <w:link w:val="CommentSubject"/>
    <w:uiPriority w:val="99"/>
    <w:semiHidden/>
    <w:rsid w:val="00696AFE"/>
    <w:rPr>
      <w:b/>
      <w:bCs/>
      <w:sz w:val="20"/>
      <w:szCs w:val="20"/>
    </w:rPr>
  </w:style>
  <w:style w:type="paragraph" w:styleId="Revision">
    <w:name w:val="Revision"/>
    <w:hidden/>
    <w:uiPriority w:val="99"/>
    <w:semiHidden/>
    <w:rsid w:val="00696AFE"/>
    <w:pPr>
      <w:spacing w:after="0" w:line="240" w:lineRule="auto"/>
    </w:pPr>
  </w:style>
  <w:style w:type="paragraph" w:styleId="FootnoteText">
    <w:name w:val="footnote text"/>
    <w:basedOn w:val="Normal"/>
    <w:link w:val="FootnoteTextChar"/>
    <w:uiPriority w:val="99"/>
    <w:semiHidden/>
    <w:unhideWhenUsed/>
    <w:rsid w:val="002250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5010"/>
    <w:rPr>
      <w:sz w:val="20"/>
      <w:szCs w:val="20"/>
    </w:rPr>
  </w:style>
  <w:style w:type="character" w:styleId="FootnoteReference">
    <w:name w:val="footnote reference"/>
    <w:basedOn w:val="DefaultParagraphFont"/>
    <w:uiPriority w:val="99"/>
    <w:semiHidden/>
    <w:unhideWhenUsed/>
    <w:rsid w:val="00225010"/>
    <w:rPr>
      <w:vertAlign w:val="superscript"/>
    </w:rPr>
  </w:style>
  <w:style w:type="paragraph" w:styleId="Footer">
    <w:name w:val="footer"/>
    <w:basedOn w:val="Normal"/>
    <w:link w:val="FooterChar"/>
    <w:uiPriority w:val="99"/>
    <w:unhideWhenUsed/>
    <w:rsid w:val="00D93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5D2"/>
  </w:style>
  <w:style w:type="table" w:styleId="LightShading-Accent1">
    <w:name w:val="Light Shading Accent 1"/>
    <w:basedOn w:val="TableNormal"/>
    <w:uiPriority w:val="60"/>
    <w:rsid w:val="00ED42F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8C410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C4106"/>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B5480C"/>
    <w:pPr>
      <w:keepNext/>
      <w:spacing w:after="0"/>
    </w:pPr>
    <w:rPr>
      <w:rFonts w:eastAsia="Times New Roman"/>
      <w:color w:val="365F91" w:themeColor="accent1" w:themeShade="B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106"/>
  </w:style>
  <w:style w:type="paragraph" w:styleId="Heading1">
    <w:name w:val="heading 1"/>
    <w:basedOn w:val="Normal"/>
    <w:next w:val="Normal"/>
    <w:link w:val="Heading1Char"/>
    <w:uiPriority w:val="9"/>
    <w:qFormat/>
    <w:rsid w:val="00BB6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65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10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655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55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B6557"/>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BB655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BB6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655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B6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557"/>
  </w:style>
  <w:style w:type="paragraph" w:styleId="ListParagraph">
    <w:name w:val="List Paragraph"/>
    <w:basedOn w:val="Normal"/>
    <w:uiPriority w:val="34"/>
    <w:qFormat/>
    <w:rsid w:val="00BB6557"/>
    <w:pPr>
      <w:ind w:left="720"/>
      <w:contextualSpacing/>
    </w:pPr>
  </w:style>
  <w:style w:type="paragraph" w:styleId="Quote">
    <w:name w:val="Quote"/>
    <w:basedOn w:val="Normal"/>
    <w:next w:val="Normal"/>
    <w:link w:val="QuoteChar"/>
    <w:uiPriority w:val="29"/>
    <w:qFormat/>
    <w:rsid w:val="00BB6557"/>
    <w:rPr>
      <w:i/>
      <w:iCs/>
      <w:color w:val="000000" w:themeColor="text1"/>
    </w:rPr>
  </w:style>
  <w:style w:type="character" w:customStyle="1" w:styleId="QuoteChar">
    <w:name w:val="Quote Char"/>
    <w:basedOn w:val="DefaultParagraphFont"/>
    <w:link w:val="Quote"/>
    <w:uiPriority w:val="29"/>
    <w:rsid w:val="00BB6557"/>
    <w:rPr>
      <w:i/>
      <w:iCs/>
      <w:color w:val="000000" w:themeColor="text1"/>
    </w:rPr>
  </w:style>
  <w:style w:type="character" w:styleId="SubtleEmphasis">
    <w:name w:val="Subtle Emphasis"/>
    <w:basedOn w:val="DefaultParagraphFont"/>
    <w:uiPriority w:val="19"/>
    <w:qFormat/>
    <w:rsid w:val="00BB6557"/>
    <w:rPr>
      <w:i/>
      <w:iCs/>
      <w:color w:val="808080" w:themeColor="text1" w:themeTint="7F"/>
    </w:rPr>
  </w:style>
  <w:style w:type="table" w:styleId="LightGrid-Accent1">
    <w:name w:val="Light Grid Accent 1"/>
    <w:basedOn w:val="TableNormal"/>
    <w:uiPriority w:val="62"/>
    <w:rsid w:val="00BB655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BB6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557"/>
    <w:rPr>
      <w:rFonts w:ascii="Tahoma" w:hAnsi="Tahoma" w:cs="Tahoma"/>
      <w:sz w:val="16"/>
      <w:szCs w:val="16"/>
    </w:rPr>
  </w:style>
  <w:style w:type="table" w:styleId="TableGrid">
    <w:name w:val="Table Grid"/>
    <w:basedOn w:val="TableNormal"/>
    <w:uiPriority w:val="59"/>
    <w:rsid w:val="00B05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B0583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571BC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571BC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571BC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CommentReference">
    <w:name w:val="annotation reference"/>
    <w:basedOn w:val="DefaultParagraphFont"/>
    <w:uiPriority w:val="99"/>
    <w:semiHidden/>
    <w:unhideWhenUsed/>
    <w:rsid w:val="00696AFE"/>
    <w:rPr>
      <w:sz w:val="16"/>
      <w:szCs w:val="16"/>
    </w:rPr>
  </w:style>
  <w:style w:type="paragraph" w:styleId="CommentText">
    <w:name w:val="annotation text"/>
    <w:basedOn w:val="Normal"/>
    <w:link w:val="CommentTextChar"/>
    <w:uiPriority w:val="99"/>
    <w:semiHidden/>
    <w:unhideWhenUsed/>
    <w:rsid w:val="00696AFE"/>
    <w:pPr>
      <w:spacing w:line="240" w:lineRule="auto"/>
    </w:pPr>
    <w:rPr>
      <w:sz w:val="20"/>
      <w:szCs w:val="20"/>
    </w:rPr>
  </w:style>
  <w:style w:type="character" w:customStyle="1" w:styleId="CommentTextChar">
    <w:name w:val="Comment Text Char"/>
    <w:basedOn w:val="DefaultParagraphFont"/>
    <w:link w:val="CommentText"/>
    <w:uiPriority w:val="99"/>
    <w:semiHidden/>
    <w:rsid w:val="00696AFE"/>
    <w:rPr>
      <w:sz w:val="20"/>
      <w:szCs w:val="20"/>
    </w:rPr>
  </w:style>
  <w:style w:type="paragraph" w:styleId="CommentSubject">
    <w:name w:val="annotation subject"/>
    <w:basedOn w:val="CommentText"/>
    <w:next w:val="CommentText"/>
    <w:link w:val="CommentSubjectChar"/>
    <w:uiPriority w:val="99"/>
    <w:semiHidden/>
    <w:unhideWhenUsed/>
    <w:rsid w:val="00696AFE"/>
    <w:rPr>
      <w:b/>
      <w:bCs/>
    </w:rPr>
  </w:style>
  <w:style w:type="character" w:customStyle="1" w:styleId="CommentSubjectChar">
    <w:name w:val="Comment Subject Char"/>
    <w:basedOn w:val="CommentTextChar"/>
    <w:link w:val="CommentSubject"/>
    <w:uiPriority w:val="99"/>
    <w:semiHidden/>
    <w:rsid w:val="00696AFE"/>
    <w:rPr>
      <w:b/>
      <w:bCs/>
      <w:sz w:val="20"/>
      <w:szCs w:val="20"/>
    </w:rPr>
  </w:style>
  <w:style w:type="paragraph" w:styleId="Revision">
    <w:name w:val="Revision"/>
    <w:hidden/>
    <w:uiPriority w:val="99"/>
    <w:semiHidden/>
    <w:rsid w:val="00696AFE"/>
    <w:pPr>
      <w:spacing w:after="0" w:line="240" w:lineRule="auto"/>
    </w:pPr>
  </w:style>
  <w:style w:type="paragraph" w:styleId="FootnoteText">
    <w:name w:val="footnote text"/>
    <w:basedOn w:val="Normal"/>
    <w:link w:val="FootnoteTextChar"/>
    <w:uiPriority w:val="99"/>
    <w:semiHidden/>
    <w:unhideWhenUsed/>
    <w:rsid w:val="002250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5010"/>
    <w:rPr>
      <w:sz w:val="20"/>
      <w:szCs w:val="20"/>
    </w:rPr>
  </w:style>
  <w:style w:type="character" w:styleId="FootnoteReference">
    <w:name w:val="footnote reference"/>
    <w:basedOn w:val="DefaultParagraphFont"/>
    <w:uiPriority w:val="99"/>
    <w:semiHidden/>
    <w:unhideWhenUsed/>
    <w:rsid w:val="00225010"/>
    <w:rPr>
      <w:vertAlign w:val="superscript"/>
    </w:rPr>
  </w:style>
  <w:style w:type="paragraph" w:styleId="Footer">
    <w:name w:val="footer"/>
    <w:basedOn w:val="Normal"/>
    <w:link w:val="FooterChar"/>
    <w:uiPriority w:val="99"/>
    <w:unhideWhenUsed/>
    <w:rsid w:val="00D93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5D2"/>
  </w:style>
  <w:style w:type="table" w:styleId="LightShading-Accent1">
    <w:name w:val="Light Shading Accent 1"/>
    <w:basedOn w:val="TableNormal"/>
    <w:uiPriority w:val="60"/>
    <w:rsid w:val="00ED42F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8C410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C4106"/>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B5480C"/>
    <w:pPr>
      <w:keepNext/>
      <w:spacing w:after="0"/>
    </w:pPr>
    <w:rPr>
      <w:rFonts w:eastAsia="Times New Roman"/>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907429">
      <w:bodyDiv w:val="1"/>
      <w:marLeft w:val="0"/>
      <w:marRight w:val="0"/>
      <w:marTop w:val="0"/>
      <w:marBottom w:val="0"/>
      <w:divBdr>
        <w:top w:val="none" w:sz="0" w:space="0" w:color="auto"/>
        <w:left w:val="none" w:sz="0" w:space="0" w:color="auto"/>
        <w:bottom w:val="none" w:sz="0" w:space="0" w:color="auto"/>
        <w:right w:val="none" w:sz="0" w:space="0" w:color="auto"/>
      </w:divBdr>
    </w:div>
    <w:div w:id="989597739">
      <w:bodyDiv w:val="1"/>
      <w:marLeft w:val="0"/>
      <w:marRight w:val="0"/>
      <w:marTop w:val="0"/>
      <w:marBottom w:val="0"/>
      <w:divBdr>
        <w:top w:val="none" w:sz="0" w:space="0" w:color="auto"/>
        <w:left w:val="none" w:sz="0" w:space="0" w:color="auto"/>
        <w:bottom w:val="none" w:sz="0" w:space="0" w:color="auto"/>
        <w:right w:val="none" w:sz="0" w:space="0" w:color="auto"/>
      </w:divBdr>
    </w:div>
    <w:div w:id="1022584698">
      <w:bodyDiv w:val="1"/>
      <w:marLeft w:val="0"/>
      <w:marRight w:val="0"/>
      <w:marTop w:val="0"/>
      <w:marBottom w:val="0"/>
      <w:divBdr>
        <w:top w:val="none" w:sz="0" w:space="0" w:color="auto"/>
        <w:left w:val="none" w:sz="0" w:space="0" w:color="auto"/>
        <w:bottom w:val="none" w:sz="0" w:space="0" w:color="auto"/>
        <w:right w:val="none" w:sz="0" w:space="0" w:color="auto"/>
      </w:divBdr>
    </w:div>
    <w:div w:id="1441148883">
      <w:bodyDiv w:val="1"/>
      <w:marLeft w:val="0"/>
      <w:marRight w:val="0"/>
      <w:marTop w:val="0"/>
      <w:marBottom w:val="0"/>
      <w:divBdr>
        <w:top w:val="none" w:sz="0" w:space="0" w:color="auto"/>
        <w:left w:val="none" w:sz="0" w:space="0" w:color="auto"/>
        <w:bottom w:val="none" w:sz="0" w:space="0" w:color="auto"/>
        <w:right w:val="none" w:sz="0" w:space="0" w:color="auto"/>
      </w:divBdr>
    </w:div>
    <w:div w:id="1588735672">
      <w:bodyDiv w:val="1"/>
      <w:marLeft w:val="0"/>
      <w:marRight w:val="0"/>
      <w:marTop w:val="0"/>
      <w:marBottom w:val="0"/>
      <w:divBdr>
        <w:top w:val="none" w:sz="0" w:space="0" w:color="auto"/>
        <w:left w:val="none" w:sz="0" w:space="0" w:color="auto"/>
        <w:bottom w:val="none" w:sz="0" w:space="0" w:color="auto"/>
        <w:right w:val="none" w:sz="0" w:space="0" w:color="auto"/>
      </w:divBdr>
    </w:div>
    <w:div w:id="1707172289">
      <w:bodyDiv w:val="1"/>
      <w:marLeft w:val="0"/>
      <w:marRight w:val="0"/>
      <w:marTop w:val="0"/>
      <w:marBottom w:val="0"/>
      <w:divBdr>
        <w:top w:val="none" w:sz="0" w:space="0" w:color="auto"/>
        <w:left w:val="none" w:sz="0" w:space="0" w:color="auto"/>
        <w:bottom w:val="none" w:sz="0" w:space="0" w:color="auto"/>
        <w:right w:val="none" w:sz="0" w:space="0" w:color="auto"/>
      </w:divBdr>
    </w:div>
    <w:div w:id="17371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F3FB251-C62F-4220-8C23-32394DBC8125}"/>
</file>

<file path=customXml/itemProps2.xml><?xml version="1.0" encoding="utf-8"?>
<ds:datastoreItem xmlns:ds="http://schemas.openxmlformats.org/officeDocument/2006/customXml" ds:itemID="{DE94F595-F8E8-48CF-A563-785C27D20E7C}"/>
</file>

<file path=customXml/itemProps3.xml><?xml version="1.0" encoding="utf-8"?>
<ds:datastoreItem xmlns:ds="http://schemas.openxmlformats.org/officeDocument/2006/customXml" ds:itemID="{B985E1B8-3C6E-4829-B3EC-76DB50FC407A}"/>
</file>

<file path=customXml/itemProps4.xml><?xml version="1.0" encoding="utf-8"?>
<ds:datastoreItem xmlns:ds="http://schemas.openxmlformats.org/officeDocument/2006/customXml" ds:itemID="{A03A394E-6AC0-48C7-A2DC-4FBF2D079A52}"/>
</file>

<file path=docProps/app.xml><?xml version="1.0" encoding="utf-8"?>
<Properties xmlns="http://schemas.openxmlformats.org/officeDocument/2006/extended-properties" xmlns:vt="http://schemas.openxmlformats.org/officeDocument/2006/docPropsVTypes">
  <Template>10682813.dotm</Template>
  <TotalTime>0</TotalTime>
  <Pages>13</Pages>
  <Words>3796</Words>
  <Characters>21642</Characters>
  <Application>Microsoft Office Word</Application>
  <DocSecurity>4</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25388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Non-quantifiable wage increases in federal enterprise agreements</dc:title>
  <dc:creator>Mark Bothe</dc:creator>
  <cp:lastModifiedBy>Adam Hogan</cp:lastModifiedBy>
  <cp:revision>2</cp:revision>
  <cp:lastPrinted>2016-09-27T04:59:00Z</cp:lastPrinted>
  <dcterms:created xsi:type="dcterms:W3CDTF">2016-10-05T23:24:00Z</dcterms:created>
  <dcterms:modified xsi:type="dcterms:W3CDTF">2016-10-05T23:24:00Z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TemplateUrl">
    <vt:lpwstr/>
  </property>
  <property fmtid="{D5CDD505-2E9C-101B-9397-08002B2CF9AE}" pid="4" name="Order">
    <vt:r8>4400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