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rawings/drawing1.xml" ContentType="application/vnd.openxmlformats-officedocument.drawingml.chartshapes+xml"/>
  <Override PartName="/word/document.xml" ContentType="application/vnd.openxmlformats-officedocument.wordprocessingml.document.main+xml"/>
  <Override PartName="/word/header5.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theme/themeOverride2.xml" ContentType="application/vnd.openxmlformats-officedocument.themeOverride+xml"/>
  <Override PartName="/word/theme/themeOverride1.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CF" w:rsidRPr="006A280B" w:rsidRDefault="00636C27" w:rsidP="00E66426">
      <w:bookmarkStart w:id="0" w:name="_GoBack"/>
      <w:bookmarkEnd w:id="0"/>
      <w:r>
        <w:rPr>
          <w:noProof/>
        </w:rPr>
        <w:drawing>
          <wp:inline distT="0" distB="0" distL="0" distR="0" wp14:anchorId="6578C592" wp14:editId="65404FFF">
            <wp:extent cx="4756688" cy="1104900"/>
            <wp:effectExtent l="0" t="0" r="6350" b="0"/>
            <wp:docPr id="2" name="Picture 2" descr="Coat of Arms" title="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0482\AppData\Local\Microsoft\Windows\Temporary Internet Files\Content.Outlook\P11B970A\Dept Employment_Inline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688" cy="1104900"/>
                    </a:xfrm>
                    <a:prstGeom prst="rect">
                      <a:avLst/>
                    </a:prstGeom>
                    <a:noFill/>
                    <a:ln>
                      <a:noFill/>
                    </a:ln>
                  </pic:spPr>
                </pic:pic>
              </a:graphicData>
            </a:graphic>
          </wp:inline>
        </w:drawing>
      </w:r>
    </w:p>
    <w:p w:rsidR="00690BC2" w:rsidRPr="006A280B" w:rsidRDefault="00690BC2" w:rsidP="00E66426"/>
    <w:p w:rsidR="00690BC2" w:rsidRDefault="00690BC2" w:rsidP="00E66426"/>
    <w:p w:rsidR="00636C27" w:rsidRPr="006A280B" w:rsidRDefault="00636C27" w:rsidP="00E66426"/>
    <w:p w:rsidR="00690BC2" w:rsidRPr="006A280B" w:rsidRDefault="00690BC2" w:rsidP="00E66426"/>
    <w:p w:rsidR="00690BC2" w:rsidRPr="006A280B" w:rsidRDefault="00690BC2" w:rsidP="00E66426"/>
    <w:p w:rsidR="00690BC2" w:rsidRPr="006A280B" w:rsidRDefault="00690BC2" w:rsidP="00E66426">
      <w:pPr>
        <w:pStyle w:val="Title"/>
      </w:pPr>
      <w:r w:rsidRPr="006A280B">
        <w:t>DISCUSSION PAPER</w:t>
      </w:r>
    </w:p>
    <w:p w:rsidR="00690BC2" w:rsidRPr="006A280B" w:rsidRDefault="00690BC2" w:rsidP="00E66426">
      <w:pPr>
        <w:pStyle w:val="Title"/>
      </w:pPr>
    </w:p>
    <w:p w:rsidR="00690BC2" w:rsidRPr="006A280B" w:rsidRDefault="00F728A8" w:rsidP="00E66426">
      <w:pPr>
        <w:pStyle w:val="Title"/>
      </w:pPr>
      <w:r w:rsidRPr="00794C9E">
        <w:t xml:space="preserve">A REVIEW TO </w:t>
      </w:r>
      <w:r w:rsidR="00690BC2" w:rsidRPr="00794C9E">
        <w:t>MODERNIS</w:t>
      </w:r>
      <w:r w:rsidRPr="00794C9E">
        <w:t>E</w:t>
      </w:r>
      <w:r>
        <w:t xml:space="preserve"> </w:t>
      </w:r>
      <w:r w:rsidR="00690BC2" w:rsidRPr="006A280B">
        <w:t xml:space="preserve">THE OFFICE OF THE FEDERAL SAFETY COMMISSIONER AND THE AUSTRALIAN GOVERNMENT </w:t>
      </w:r>
      <w:r w:rsidR="00962FA3" w:rsidRPr="006A280B">
        <w:t xml:space="preserve">BUILDING AND CONSTRUCTION </w:t>
      </w:r>
      <w:r w:rsidR="00690BC2" w:rsidRPr="006A280B">
        <w:t>OHS ACCREDITATION SCHEME</w:t>
      </w:r>
    </w:p>
    <w:p w:rsidR="00690BC2" w:rsidRPr="006A280B" w:rsidRDefault="00690BC2" w:rsidP="00E66426"/>
    <w:p w:rsidR="00E96FC6" w:rsidRPr="006A280B" w:rsidRDefault="00E96FC6" w:rsidP="00E66426">
      <w:pPr>
        <w:sectPr w:rsidR="00E96FC6" w:rsidRPr="006A280B" w:rsidSect="009829D0">
          <w:headerReference w:type="even" r:id="rId10"/>
          <w:headerReference w:type="default" r:id="rId11"/>
          <w:footerReference w:type="default" r:id="rId12"/>
          <w:pgSz w:w="11906" w:h="16838" w:code="9"/>
          <w:pgMar w:top="1418" w:right="1274" w:bottom="1418" w:left="1418" w:header="567" w:footer="567" w:gutter="0"/>
          <w:cols w:space="708"/>
          <w:titlePg/>
          <w:docGrid w:linePitch="360"/>
        </w:sectPr>
      </w:pPr>
    </w:p>
    <w:p w:rsidR="00E96FC6" w:rsidRDefault="00E96FC6" w:rsidP="00E66426">
      <w:pPr>
        <w:pStyle w:val="Heading1"/>
      </w:pPr>
      <w:bookmarkStart w:id="1" w:name="_Toc370220556"/>
      <w:bookmarkStart w:id="2" w:name="_Toc371604959"/>
      <w:bookmarkStart w:id="3" w:name="_Toc377032021"/>
      <w:bookmarkStart w:id="4" w:name="_Toc378322591"/>
      <w:r w:rsidRPr="006A280B">
        <w:lastRenderedPageBreak/>
        <w:t>Contents</w:t>
      </w:r>
      <w:bookmarkEnd w:id="1"/>
      <w:bookmarkEnd w:id="2"/>
      <w:bookmarkEnd w:id="3"/>
      <w:bookmarkEnd w:id="4"/>
    </w:p>
    <w:p w:rsidR="00030663" w:rsidRPr="00030663" w:rsidRDefault="00030663" w:rsidP="00030663"/>
    <w:p w:rsidR="00B16C47" w:rsidRDefault="00F54ECF">
      <w:pPr>
        <w:pStyle w:val="TOC1"/>
        <w:tabs>
          <w:tab w:val="right" w:leader="dot" w:pos="9204"/>
        </w:tabs>
        <w:rPr>
          <w:noProof/>
          <w:lang w:val="en-AU" w:eastAsia="en-AU"/>
        </w:rPr>
      </w:pPr>
      <w:r>
        <w:fldChar w:fldCharType="begin"/>
      </w:r>
      <w:r>
        <w:instrText xml:space="preserve"> TOC \o "1-2" \h \z \u </w:instrText>
      </w:r>
      <w:r>
        <w:fldChar w:fldCharType="separate"/>
      </w:r>
      <w:hyperlink w:anchor="_Toc378322592" w:history="1">
        <w:r w:rsidR="00B16C47" w:rsidRPr="00B85830">
          <w:rPr>
            <w:rStyle w:val="Hyperlink"/>
            <w:noProof/>
          </w:rPr>
          <w:t>Foreword</w:t>
        </w:r>
        <w:r w:rsidR="00B16C47">
          <w:rPr>
            <w:noProof/>
            <w:webHidden/>
          </w:rPr>
          <w:tab/>
        </w:r>
        <w:r w:rsidR="00B16C47">
          <w:rPr>
            <w:noProof/>
            <w:webHidden/>
          </w:rPr>
          <w:fldChar w:fldCharType="begin"/>
        </w:r>
        <w:r w:rsidR="00B16C47">
          <w:rPr>
            <w:noProof/>
            <w:webHidden/>
          </w:rPr>
          <w:instrText xml:space="preserve"> PAGEREF _Toc378322592 \h </w:instrText>
        </w:r>
        <w:r w:rsidR="00B16C47">
          <w:rPr>
            <w:noProof/>
            <w:webHidden/>
          </w:rPr>
        </w:r>
        <w:r w:rsidR="00B16C47">
          <w:rPr>
            <w:noProof/>
            <w:webHidden/>
          </w:rPr>
          <w:fldChar w:fldCharType="separate"/>
        </w:r>
        <w:r w:rsidR="00444BC5">
          <w:rPr>
            <w:noProof/>
            <w:webHidden/>
          </w:rPr>
          <w:t>3</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593" w:history="1">
        <w:r w:rsidR="00B16C47" w:rsidRPr="00B85830">
          <w:rPr>
            <w:rStyle w:val="Hyperlink"/>
            <w:noProof/>
          </w:rPr>
          <w:t>Terms of Reference</w:t>
        </w:r>
        <w:r w:rsidR="00B16C47">
          <w:rPr>
            <w:noProof/>
            <w:webHidden/>
          </w:rPr>
          <w:tab/>
        </w:r>
        <w:r w:rsidR="00B16C47">
          <w:rPr>
            <w:noProof/>
            <w:webHidden/>
          </w:rPr>
          <w:fldChar w:fldCharType="begin"/>
        </w:r>
        <w:r w:rsidR="00B16C47">
          <w:rPr>
            <w:noProof/>
            <w:webHidden/>
          </w:rPr>
          <w:instrText xml:space="preserve"> PAGEREF _Toc378322593 \h </w:instrText>
        </w:r>
        <w:r w:rsidR="00B16C47">
          <w:rPr>
            <w:noProof/>
            <w:webHidden/>
          </w:rPr>
        </w:r>
        <w:r w:rsidR="00B16C47">
          <w:rPr>
            <w:noProof/>
            <w:webHidden/>
          </w:rPr>
          <w:fldChar w:fldCharType="separate"/>
        </w:r>
        <w:r w:rsidR="00444BC5">
          <w:rPr>
            <w:noProof/>
            <w:webHidden/>
          </w:rPr>
          <w:t>3</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594" w:history="1">
        <w:r w:rsidR="00B16C47" w:rsidRPr="00B85830">
          <w:rPr>
            <w:rStyle w:val="Hyperlink"/>
            <w:noProof/>
          </w:rPr>
          <w:t>Providing a Submission to the Review</w:t>
        </w:r>
        <w:r w:rsidR="00B16C47">
          <w:rPr>
            <w:noProof/>
            <w:webHidden/>
          </w:rPr>
          <w:tab/>
        </w:r>
        <w:r w:rsidR="00B16C47">
          <w:rPr>
            <w:noProof/>
            <w:webHidden/>
          </w:rPr>
          <w:fldChar w:fldCharType="begin"/>
        </w:r>
        <w:r w:rsidR="00B16C47">
          <w:rPr>
            <w:noProof/>
            <w:webHidden/>
          </w:rPr>
          <w:instrText xml:space="preserve"> PAGEREF _Toc378322594 \h </w:instrText>
        </w:r>
        <w:r w:rsidR="00B16C47">
          <w:rPr>
            <w:noProof/>
            <w:webHidden/>
          </w:rPr>
        </w:r>
        <w:r w:rsidR="00B16C47">
          <w:rPr>
            <w:noProof/>
            <w:webHidden/>
          </w:rPr>
          <w:fldChar w:fldCharType="separate"/>
        </w:r>
        <w:r w:rsidR="00444BC5">
          <w:rPr>
            <w:noProof/>
            <w:webHidden/>
          </w:rPr>
          <w:t>4</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595" w:history="1">
        <w:r w:rsidR="00B16C47" w:rsidRPr="00B85830">
          <w:rPr>
            <w:rStyle w:val="Hyperlink"/>
            <w:noProof/>
          </w:rPr>
          <w:t>Background</w:t>
        </w:r>
        <w:r w:rsidR="00B16C47">
          <w:rPr>
            <w:noProof/>
            <w:webHidden/>
          </w:rPr>
          <w:tab/>
        </w:r>
        <w:r w:rsidR="00B16C47">
          <w:rPr>
            <w:noProof/>
            <w:webHidden/>
          </w:rPr>
          <w:fldChar w:fldCharType="begin"/>
        </w:r>
        <w:r w:rsidR="00B16C47">
          <w:rPr>
            <w:noProof/>
            <w:webHidden/>
          </w:rPr>
          <w:instrText xml:space="preserve"> PAGEREF _Toc378322595 \h </w:instrText>
        </w:r>
        <w:r w:rsidR="00B16C47">
          <w:rPr>
            <w:noProof/>
            <w:webHidden/>
          </w:rPr>
        </w:r>
        <w:r w:rsidR="00B16C47">
          <w:rPr>
            <w:noProof/>
            <w:webHidden/>
          </w:rPr>
          <w:fldChar w:fldCharType="separate"/>
        </w:r>
        <w:r w:rsidR="00444BC5">
          <w:rPr>
            <w:noProof/>
            <w:webHidden/>
          </w:rPr>
          <w:t>5</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599" w:history="1">
        <w:r w:rsidR="00B16C47" w:rsidRPr="00B85830">
          <w:rPr>
            <w:rStyle w:val="Hyperlink"/>
            <w:noProof/>
          </w:rPr>
          <w:t>Issues for comment</w:t>
        </w:r>
        <w:r w:rsidR="00B16C47">
          <w:rPr>
            <w:noProof/>
            <w:webHidden/>
          </w:rPr>
          <w:tab/>
        </w:r>
        <w:r w:rsidR="00B16C47">
          <w:rPr>
            <w:noProof/>
            <w:webHidden/>
          </w:rPr>
          <w:fldChar w:fldCharType="begin"/>
        </w:r>
        <w:r w:rsidR="00B16C47">
          <w:rPr>
            <w:noProof/>
            <w:webHidden/>
          </w:rPr>
          <w:instrText xml:space="preserve"> PAGEREF _Toc378322599 \h </w:instrText>
        </w:r>
        <w:r w:rsidR="00B16C47">
          <w:rPr>
            <w:noProof/>
            <w:webHidden/>
          </w:rPr>
        </w:r>
        <w:r w:rsidR="00B16C47">
          <w:rPr>
            <w:noProof/>
            <w:webHidden/>
          </w:rPr>
          <w:fldChar w:fldCharType="separate"/>
        </w:r>
        <w:r w:rsidR="00444BC5">
          <w:rPr>
            <w:noProof/>
            <w:webHidden/>
          </w:rPr>
          <w:t>10</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0" w:history="1">
        <w:r w:rsidR="00DB6787">
          <w:rPr>
            <w:rStyle w:val="Hyperlink"/>
            <w:noProof/>
          </w:rPr>
          <w:t xml:space="preserve">What projects are covered by </w:t>
        </w:r>
        <w:r w:rsidR="00B16C47" w:rsidRPr="00B85830">
          <w:rPr>
            <w:rStyle w:val="Hyperlink"/>
            <w:noProof/>
          </w:rPr>
          <w:t>the Scheme</w:t>
        </w:r>
        <w:r w:rsidR="00B16C47">
          <w:rPr>
            <w:noProof/>
            <w:webHidden/>
          </w:rPr>
          <w:tab/>
        </w:r>
        <w:r w:rsidR="00B16C47">
          <w:rPr>
            <w:noProof/>
            <w:webHidden/>
          </w:rPr>
          <w:fldChar w:fldCharType="begin"/>
        </w:r>
        <w:r w:rsidR="00B16C47">
          <w:rPr>
            <w:noProof/>
            <w:webHidden/>
          </w:rPr>
          <w:instrText xml:space="preserve"> PAGEREF _Toc378322600 \h </w:instrText>
        </w:r>
        <w:r w:rsidR="00B16C47">
          <w:rPr>
            <w:noProof/>
            <w:webHidden/>
          </w:rPr>
        </w:r>
        <w:r w:rsidR="00B16C47">
          <w:rPr>
            <w:noProof/>
            <w:webHidden/>
          </w:rPr>
          <w:fldChar w:fldCharType="separate"/>
        </w:r>
        <w:r w:rsidR="00444BC5">
          <w:rPr>
            <w:noProof/>
            <w:webHidden/>
          </w:rPr>
          <w:t>10</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1" w:history="1">
        <w:r w:rsidR="00B16C47" w:rsidRPr="00B85830">
          <w:rPr>
            <w:rStyle w:val="Hyperlink"/>
            <w:noProof/>
          </w:rPr>
          <w:t>Accessibility of the Scheme</w:t>
        </w:r>
        <w:r w:rsidR="00B16C47">
          <w:rPr>
            <w:noProof/>
            <w:webHidden/>
          </w:rPr>
          <w:tab/>
        </w:r>
        <w:r w:rsidR="00B16C47">
          <w:rPr>
            <w:noProof/>
            <w:webHidden/>
          </w:rPr>
          <w:fldChar w:fldCharType="begin"/>
        </w:r>
        <w:r w:rsidR="00B16C47">
          <w:rPr>
            <w:noProof/>
            <w:webHidden/>
          </w:rPr>
          <w:instrText xml:space="preserve"> PAGEREF _Toc378322601 \h </w:instrText>
        </w:r>
        <w:r w:rsidR="00B16C47">
          <w:rPr>
            <w:noProof/>
            <w:webHidden/>
          </w:rPr>
        </w:r>
        <w:r w:rsidR="00B16C47">
          <w:rPr>
            <w:noProof/>
            <w:webHidden/>
          </w:rPr>
          <w:fldChar w:fldCharType="separate"/>
        </w:r>
        <w:r w:rsidR="00444BC5">
          <w:rPr>
            <w:noProof/>
            <w:webHidden/>
          </w:rPr>
          <w:t>13</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2" w:history="1">
        <w:r w:rsidR="00B16C47" w:rsidRPr="00B85830">
          <w:rPr>
            <w:rStyle w:val="Hyperlink"/>
            <w:noProof/>
          </w:rPr>
          <w:t>Clarity of Scheme requirements</w:t>
        </w:r>
        <w:r w:rsidR="00B16C47">
          <w:rPr>
            <w:noProof/>
            <w:webHidden/>
          </w:rPr>
          <w:tab/>
        </w:r>
        <w:r w:rsidR="00B16C47">
          <w:rPr>
            <w:noProof/>
            <w:webHidden/>
          </w:rPr>
          <w:fldChar w:fldCharType="begin"/>
        </w:r>
        <w:r w:rsidR="00B16C47">
          <w:rPr>
            <w:noProof/>
            <w:webHidden/>
          </w:rPr>
          <w:instrText xml:space="preserve"> PAGEREF _Toc378322602 \h </w:instrText>
        </w:r>
        <w:r w:rsidR="00B16C47">
          <w:rPr>
            <w:noProof/>
            <w:webHidden/>
          </w:rPr>
        </w:r>
        <w:r w:rsidR="00B16C47">
          <w:rPr>
            <w:noProof/>
            <w:webHidden/>
          </w:rPr>
          <w:fldChar w:fldCharType="separate"/>
        </w:r>
        <w:r w:rsidR="00444BC5">
          <w:rPr>
            <w:noProof/>
            <w:webHidden/>
          </w:rPr>
          <w:t>17</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3" w:history="1">
        <w:r w:rsidR="00B16C47" w:rsidRPr="00B85830">
          <w:rPr>
            <w:rStyle w:val="Hyperlink"/>
            <w:noProof/>
          </w:rPr>
          <w:t>Ongoing Accreditation Compliance requirements</w:t>
        </w:r>
        <w:r w:rsidR="00B16C47">
          <w:rPr>
            <w:noProof/>
            <w:webHidden/>
          </w:rPr>
          <w:tab/>
        </w:r>
        <w:r w:rsidR="00B16C47">
          <w:rPr>
            <w:noProof/>
            <w:webHidden/>
          </w:rPr>
          <w:fldChar w:fldCharType="begin"/>
        </w:r>
        <w:r w:rsidR="00B16C47">
          <w:rPr>
            <w:noProof/>
            <w:webHidden/>
          </w:rPr>
          <w:instrText xml:space="preserve"> PAGEREF _Toc378322603 \h </w:instrText>
        </w:r>
        <w:r w:rsidR="00B16C47">
          <w:rPr>
            <w:noProof/>
            <w:webHidden/>
          </w:rPr>
        </w:r>
        <w:r w:rsidR="00B16C47">
          <w:rPr>
            <w:noProof/>
            <w:webHidden/>
          </w:rPr>
          <w:fldChar w:fldCharType="separate"/>
        </w:r>
        <w:r w:rsidR="00444BC5">
          <w:rPr>
            <w:noProof/>
            <w:webHidden/>
          </w:rPr>
          <w:t>18</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4" w:history="1">
        <w:r w:rsidR="00B16C47" w:rsidRPr="00B85830">
          <w:rPr>
            <w:rStyle w:val="Hyperlink"/>
            <w:noProof/>
          </w:rPr>
          <w:t>OFSC and FSO performance</w:t>
        </w:r>
        <w:r w:rsidR="00B16C47">
          <w:rPr>
            <w:noProof/>
            <w:webHidden/>
          </w:rPr>
          <w:tab/>
        </w:r>
        <w:r w:rsidR="00B16C47">
          <w:rPr>
            <w:noProof/>
            <w:webHidden/>
          </w:rPr>
          <w:fldChar w:fldCharType="begin"/>
        </w:r>
        <w:r w:rsidR="00B16C47">
          <w:rPr>
            <w:noProof/>
            <w:webHidden/>
          </w:rPr>
          <w:instrText xml:space="preserve"> PAGEREF _Toc378322604 \h </w:instrText>
        </w:r>
        <w:r w:rsidR="00B16C47">
          <w:rPr>
            <w:noProof/>
            <w:webHidden/>
          </w:rPr>
        </w:r>
        <w:r w:rsidR="00B16C47">
          <w:rPr>
            <w:noProof/>
            <w:webHidden/>
          </w:rPr>
          <w:fldChar w:fldCharType="separate"/>
        </w:r>
        <w:r w:rsidR="00444BC5">
          <w:rPr>
            <w:noProof/>
            <w:webHidden/>
          </w:rPr>
          <w:t>23</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5" w:history="1">
        <w:r w:rsidR="00B16C47" w:rsidRPr="00B85830">
          <w:rPr>
            <w:rStyle w:val="Hyperlink"/>
            <w:noProof/>
          </w:rPr>
          <w:t>Agencies’ adherence to Scheme requirements</w:t>
        </w:r>
        <w:r w:rsidR="00B16C47">
          <w:rPr>
            <w:noProof/>
            <w:webHidden/>
          </w:rPr>
          <w:tab/>
        </w:r>
        <w:r w:rsidR="00B16C47">
          <w:rPr>
            <w:noProof/>
            <w:webHidden/>
          </w:rPr>
          <w:fldChar w:fldCharType="begin"/>
        </w:r>
        <w:r w:rsidR="00B16C47">
          <w:rPr>
            <w:noProof/>
            <w:webHidden/>
          </w:rPr>
          <w:instrText xml:space="preserve"> PAGEREF _Toc378322605 \h </w:instrText>
        </w:r>
        <w:r w:rsidR="00B16C47">
          <w:rPr>
            <w:noProof/>
            <w:webHidden/>
          </w:rPr>
        </w:r>
        <w:r w:rsidR="00B16C47">
          <w:rPr>
            <w:noProof/>
            <w:webHidden/>
          </w:rPr>
          <w:fldChar w:fldCharType="separate"/>
        </w:r>
        <w:r w:rsidR="00444BC5">
          <w:rPr>
            <w:noProof/>
            <w:webHidden/>
          </w:rPr>
          <w:t>26</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6" w:history="1">
        <w:r w:rsidR="00B16C47" w:rsidRPr="00B85830">
          <w:rPr>
            <w:rStyle w:val="Hyperlink"/>
            <w:noProof/>
          </w:rPr>
          <w:t>Interaction of the Scheme with other compliance requirements</w:t>
        </w:r>
        <w:r w:rsidR="00B16C47">
          <w:rPr>
            <w:noProof/>
            <w:webHidden/>
          </w:rPr>
          <w:tab/>
        </w:r>
        <w:r w:rsidR="00B16C47">
          <w:rPr>
            <w:noProof/>
            <w:webHidden/>
          </w:rPr>
          <w:fldChar w:fldCharType="begin"/>
        </w:r>
        <w:r w:rsidR="00B16C47">
          <w:rPr>
            <w:noProof/>
            <w:webHidden/>
          </w:rPr>
          <w:instrText xml:space="preserve"> PAGEREF _Toc378322606 \h </w:instrText>
        </w:r>
        <w:r w:rsidR="00B16C47">
          <w:rPr>
            <w:noProof/>
            <w:webHidden/>
          </w:rPr>
        </w:r>
        <w:r w:rsidR="00B16C47">
          <w:rPr>
            <w:noProof/>
            <w:webHidden/>
          </w:rPr>
          <w:fldChar w:fldCharType="separate"/>
        </w:r>
        <w:r w:rsidR="00444BC5">
          <w:rPr>
            <w:noProof/>
            <w:webHidden/>
          </w:rPr>
          <w:t>27</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7" w:history="1">
        <w:r w:rsidR="00B16C47" w:rsidRPr="00B85830">
          <w:rPr>
            <w:rStyle w:val="Hyperlink"/>
            <w:noProof/>
          </w:rPr>
          <w:t>The interaction of the Scheme with state and territory pre-qualification arrangements</w:t>
        </w:r>
        <w:r w:rsidR="00B16C47">
          <w:rPr>
            <w:noProof/>
            <w:webHidden/>
          </w:rPr>
          <w:tab/>
        </w:r>
        <w:r w:rsidR="00B16C47">
          <w:rPr>
            <w:noProof/>
            <w:webHidden/>
          </w:rPr>
          <w:fldChar w:fldCharType="begin"/>
        </w:r>
        <w:r w:rsidR="00B16C47">
          <w:rPr>
            <w:noProof/>
            <w:webHidden/>
          </w:rPr>
          <w:instrText xml:space="preserve"> PAGEREF _Toc378322607 \h </w:instrText>
        </w:r>
        <w:r w:rsidR="00B16C47">
          <w:rPr>
            <w:noProof/>
            <w:webHidden/>
          </w:rPr>
        </w:r>
        <w:r w:rsidR="00B16C47">
          <w:rPr>
            <w:noProof/>
            <w:webHidden/>
          </w:rPr>
          <w:fldChar w:fldCharType="separate"/>
        </w:r>
        <w:r w:rsidR="00444BC5">
          <w:rPr>
            <w:noProof/>
            <w:webHidden/>
          </w:rPr>
          <w:t>29</w:t>
        </w:r>
        <w:r w:rsidR="00B16C47">
          <w:rPr>
            <w:noProof/>
            <w:webHidden/>
          </w:rPr>
          <w:fldChar w:fldCharType="end"/>
        </w:r>
      </w:hyperlink>
    </w:p>
    <w:p w:rsidR="00B16C47" w:rsidRDefault="00D07E8E">
      <w:pPr>
        <w:pStyle w:val="TOC2"/>
        <w:tabs>
          <w:tab w:val="right" w:leader="dot" w:pos="9204"/>
        </w:tabs>
        <w:rPr>
          <w:noProof/>
          <w:lang w:val="en-AU" w:eastAsia="en-AU"/>
        </w:rPr>
      </w:pPr>
      <w:hyperlink w:anchor="_Toc378322608" w:history="1">
        <w:r w:rsidR="00B16C47" w:rsidRPr="00B85830">
          <w:rPr>
            <w:rStyle w:val="Hyperlink"/>
            <w:noProof/>
          </w:rPr>
          <w:t>Other issues</w:t>
        </w:r>
        <w:r w:rsidR="00B16C47">
          <w:rPr>
            <w:noProof/>
            <w:webHidden/>
          </w:rPr>
          <w:tab/>
        </w:r>
        <w:r w:rsidR="00B16C47">
          <w:rPr>
            <w:noProof/>
            <w:webHidden/>
          </w:rPr>
          <w:fldChar w:fldCharType="begin"/>
        </w:r>
        <w:r w:rsidR="00B16C47">
          <w:rPr>
            <w:noProof/>
            <w:webHidden/>
          </w:rPr>
          <w:instrText xml:space="preserve"> PAGEREF _Toc378322608 \h </w:instrText>
        </w:r>
        <w:r w:rsidR="00B16C47">
          <w:rPr>
            <w:noProof/>
            <w:webHidden/>
          </w:rPr>
        </w:r>
        <w:r w:rsidR="00B16C47">
          <w:rPr>
            <w:noProof/>
            <w:webHidden/>
          </w:rPr>
          <w:fldChar w:fldCharType="separate"/>
        </w:r>
        <w:r w:rsidR="00444BC5">
          <w:rPr>
            <w:noProof/>
            <w:webHidden/>
          </w:rPr>
          <w:t>30</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609" w:history="1">
        <w:r w:rsidR="00B16C47" w:rsidRPr="00B85830">
          <w:rPr>
            <w:rStyle w:val="Hyperlink"/>
            <w:noProof/>
          </w:rPr>
          <w:t>Submitting a response</w:t>
        </w:r>
        <w:r w:rsidR="00B16C47">
          <w:rPr>
            <w:noProof/>
            <w:webHidden/>
          </w:rPr>
          <w:tab/>
        </w:r>
        <w:r w:rsidR="00B16C47">
          <w:rPr>
            <w:noProof/>
            <w:webHidden/>
          </w:rPr>
          <w:fldChar w:fldCharType="begin"/>
        </w:r>
        <w:r w:rsidR="00B16C47">
          <w:rPr>
            <w:noProof/>
            <w:webHidden/>
          </w:rPr>
          <w:instrText xml:space="preserve"> PAGEREF _Toc378322609 \h </w:instrText>
        </w:r>
        <w:r w:rsidR="00B16C47">
          <w:rPr>
            <w:noProof/>
            <w:webHidden/>
          </w:rPr>
        </w:r>
        <w:r w:rsidR="00B16C47">
          <w:rPr>
            <w:noProof/>
            <w:webHidden/>
          </w:rPr>
          <w:fldChar w:fldCharType="separate"/>
        </w:r>
        <w:r w:rsidR="00444BC5">
          <w:rPr>
            <w:noProof/>
            <w:webHidden/>
          </w:rPr>
          <w:t>32</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610" w:history="1">
        <w:r w:rsidR="00B16C47" w:rsidRPr="00B85830">
          <w:rPr>
            <w:rStyle w:val="Hyperlink"/>
            <w:noProof/>
          </w:rPr>
          <w:t>Attachment A</w:t>
        </w:r>
        <w:r w:rsidR="006D5C66">
          <w:rPr>
            <w:rStyle w:val="Hyperlink"/>
            <w:noProof/>
          </w:rPr>
          <w:t xml:space="preserve"> (Comment Response Cover Sheet)</w:t>
        </w:r>
        <w:r w:rsidR="00B16C47">
          <w:rPr>
            <w:noProof/>
            <w:webHidden/>
          </w:rPr>
          <w:tab/>
        </w:r>
        <w:r w:rsidR="00B16C47">
          <w:rPr>
            <w:noProof/>
            <w:webHidden/>
          </w:rPr>
          <w:fldChar w:fldCharType="begin"/>
        </w:r>
        <w:r w:rsidR="00B16C47">
          <w:rPr>
            <w:noProof/>
            <w:webHidden/>
          </w:rPr>
          <w:instrText xml:space="preserve"> PAGEREF _Toc378322610 \h </w:instrText>
        </w:r>
        <w:r w:rsidR="00B16C47">
          <w:rPr>
            <w:noProof/>
            <w:webHidden/>
          </w:rPr>
        </w:r>
        <w:r w:rsidR="00B16C47">
          <w:rPr>
            <w:noProof/>
            <w:webHidden/>
          </w:rPr>
          <w:fldChar w:fldCharType="separate"/>
        </w:r>
        <w:r w:rsidR="00444BC5">
          <w:rPr>
            <w:noProof/>
            <w:webHidden/>
          </w:rPr>
          <w:t>33</w:t>
        </w:r>
        <w:r w:rsidR="00B16C47">
          <w:rPr>
            <w:noProof/>
            <w:webHidden/>
          </w:rPr>
          <w:fldChar w:fldCharType="end"/>
        </w:r>
      </w:hyperlink>
    </w:p>
    <w:p w:rsidR="00B16C47" w:rsidRDefault="00D07E8E">
      <w:pPr>
        <w:pStyle w:val="TOC1"/>
        <w:tabs>
          <w:tab w:val="right" w:leader="dot" w:pos="9204"/>
        </w:tabs>
        <w:rPr>
          <w:noProof/>
          <w:lang w:val="en-AU" w:eastAsia="en-AU"/>
        </w:rPr>
      </w:pPr>
      <w:hyperlink w:anchor="_Toc378322611" w:history="1">
        <w:r w:rsidR="00B16C47" w:rsidRPr="00B85830">
          <w:rPr>
            <w:rStyle w:val="Hyperlink"/>
            <w:noProof/>
          </w:rPr>
          <w:t>Attachment B</w:t>
        </w:r>
        <w:r w:rsidR="006D5C66">
          <w:rPr>
            <w:rStyle w:val="Hyperlink"/>
            <w:noProof/>
          </w:rPr>
          <w:t xml:space="preserve"> (Comment Response Form) </w:t>
        </w:r>
        <w:r w:rsidR="00B16C47">
          <w:rPr>
            <w:noProof/>
            <w:webHidden/>
          </w:rPr>
          <w:tab/>
        </w:r>
        <w:r w:rsidR="00B16C47">
          <w:rPr>
            <w:noProof/>
            <w:webHidden/>
          </w:rPr>
          <w:fldChar w:fldCharType="begin"/>
        </w:r>
        <w:r w:rsidR="00B16C47">
          <w:rPr>
            <w:noProof/>
            <w:webHidden/>
          </w:rPr>
          <w:instrText xml:space="preserve"> PAGEREF _Toc378322611 \h </w:instrText>
        </w:r>
        <w:r w:rsidR="00B16C47">
          <w:rPr>
            <w:noProof/>
            <w:webHidden/>
          </w:rPr>
        </w:r>
        <w:r w:rsidR="00B16C47">
          <w:rPr>
            <w:noProof/>
            <w:webHidden/>
          </w:rPr>
          <w:fldChar w:fldCharType="separate"/>
        </w:r>
        <w:r w:rsidR="00444BC5">
          <w:rPr>
            <w:noProof/>
            <w:webHidden/>
          </w:rPr>
          <w:t>34</w:t>
        </w:r>
        <w:r w:rsidR="00B16C47">
          <w:rPr>
            <w:noProof/>
            <w:webHidden/>
          </w:rPr>
          <w:fldChar w:fldCharType="end"/>
        </w:r>
      </w:hyperlink>
    </w:p>
    <w:p w:rsidR="00F54ECF" w:rsidRPr="006A280B" w:rsidRDefault="00F54ECF" w:rsidP="00E66426">
      <w:r>
        <w:fldChar w:fldCharType="end"/>
      </w:r>
    </w:p>
    <w:p w:rsidR="00512348" w:rsidRPr="006A280B" w:rsidRDefault="00512348" w:rsidP="00E66426"/>
    <w:p w:rsidR="00E96FC6" w:rsidRPr="006A280B" w:rsidRDefault="00E96FC6" w:rsidP="00E66426">
      <w:pPr>
        <w:sectPr w:rsidR="00E96FC6" w:rsidRPr="006A280B" w:rsidSect="00690BC2">
          <w:headerReference w:type="even" r:id="rId13"/>
          <w:headerReference w:type="default" r:id="rId14"/>
          <w:footerReference w:type="default" r:id="rId15"/>
          <w:headerReference w:type="first" r:id="rId16"/>
          <w:pgSz w:w="11906" w:h="16838" w:code="9"/>
          <w:pgMar w:top="1418" w:right="1274" w:bottom="1418" w:left="1418" w:header="567" w:footer="567" w:gutter="0"/>
          <w:cols w:space="708"/>
          <w:docGrid w:linePitch="360"/>
        </w:sectPr>
      </w:pPr>
    </w:p>
    <w:p w:rsidR="00E96FC6" w:rsidRPr="00E66426" w:rsidRDefault="00E96FC6" w:rsidP="00E66426">
      <w:pPr>
        <w:pStyle w:val="Heading1"/>
      </w:pPr>
      <w:bookmarkStart w:id="5" w:name="_Toc377032022"/>
      <w:bookmarkStart w:id="6" w:name="_Toc378322592"/>
      <w:r w:rsidRPr="00E66426">
        <w:lastRenderedPageBreak/>
        <w:t>Foreword</w:t>
      </w:r>
      <w:bookmarkEnd w:id="5"/>
      <w:bookmarkEnd w:id="6"/>
    </w:p>
    <w:p w:rsidR="00E96FC6" w:rsidRPr="006A280B" w:rsidRDefault="00E96FC6" w:rsidP="00E66426"/>
    <w:p w:rsidR="002027CB" w:rsidRPr="00E66426" w:rsidRDefault="002027CB" w:rsidP="00E66426">
      <w:r w:rsidRPr="00E66426">
        <w:t xml:space="preserve">In 2003, </w:t>
      </w:r>
      <w:r w:rsidR="0092212B">
        <w:t>t</w:t>
      </w:r>
      <w:r w:rsidRPr="00E66426">
        <w:t>he Cole Royal Commission into the Building and Construction Industry found that the safety record for the industry was unacceptable. It recommended that the Government use its influence as a client and provider of capital to foster improved W</w:t>
      </w:r>
      <w:r w:rsidR="0092212B">
        <w:t xml:space="preserve">ork Health and Safety (WHS) </w:t>
      </w:r>
      <w:r w:rsidRPr="00E66426">
        <w:t>performance.</w:t>
      </w:r>
    </w:p>
    <w:p w:rsidR="002027CB" w:rsidRPr="00E66426" w:rsidRDefault="002027CB" w:rsidP="00E66426"/>
    <w:p w:rsidR="002027CB" w:rsidRPr="00E66426" w:rsidRDefault="0092212B" w:rsidP="00E66426">
      <w:r>
        <w:t>In response to the Ro</w:t>
      </w:r>
      <w:r w:rsidR="002027CB" w:rsidRPr="00E66426">
        <w:t>yal Commission</w:t>
      </w:r>
      <w:r w:rsidR="00DB52D9">
        <w:t xml:space="preserve"> the </w:t>
      </w:r>
      <w:r>
        <w:t xml:space="preserve">Government established </w:t>
      </w:r>
      <w:r w:rsidR="002027CB" w:rsidRPr="00E66426">
        <w:t>the Federal Safety Commissioner (FSC) to develop, implement and administer a WHS accreditation scheme for Government building and construction work.</w:t>
      </w:r>
    </w:p>
    <w:p w:rsidR="002027CB" w:rsidRPr="00E66426" w:rsidRDefault="002027CB" w:rsidP="00E66426"/>
    <w:p w:rsidR="00C845CB" w:rsidRDefault="002027CB" w:rsidP="00E66426">
      <w:r w:rsidRPr="00E66426">
        <w:t xml:space="preserve">The </w:t>
      </w:r>
      <w:r w:rsidR="001063BE" w:rsidRPr="00E66426">
        <w:t xml:space="preserve">Australian Government Building and Construction OHS Accreditation Scheme </w:t>
      </w:r>
    </w:p>
    <w:p w:rsidR="003F67CF" w:rsidRDefault="001063BE" w:rsidP="00E66426">
      <w:r w:rsidRPr="00E66426">
        <w:t>(</w:t>
      </w:r>
      <w:proofErr w:type="gramStart"/>
      <w:r w:rsidRPr="00E66426">
        <w:t>the</w:t>
      </w:r>
      <w:proofErr w:type="gramEnd"/>
      <w:r w:rsidRPr="00E66426">
        <w:t xml:space="preserve"> </w:t>
      </w:r>
      <w:r w:rsidR="002027CB" w:rsidRPr="00E66426">
        <w:t>Scheme</w:t>
      </w:r>
      <w:r w:rsidRPr="00E66426">
        <w:t>)</w:t>
      </w:r>
      <w:r w:rsidR="002027CB" w:rsidRPr="00E66426">
        <w:t xml:space="preserve"> has been operational </w:t>
      </w:r>
      <w:r w:rsidR="0061486F">
        <w:t xml:space="preserve">since 2006 </w:t>
      </w:r>
      <w:r w:rsidR="002027CB" w:rsidRPr="00E66426">
        <w:t>and it is timely that it be reviewed</w:t>
      </w:r>
      <w:r w:rsidR="0061486F">
        <w:t xml:space="preserve">. The scope of the Review is to modernise and streamline the Scheme while not reducing safety outcomes. </w:t>
      </w:r>
    </w:p>
    <w:p w:rsidR="0061486F" w:rsidRDefault="0061486F" w:rsidP="00E66426"/>
    <w:p w:rsidR="003F67CF" w:rsidRDefault="0061486F" w:rsidP="00E66426">
      <w:r>
        <w:t>The</w:t>
      </w:r>
      <w:r w:rsidR="00D80138">
        <w:t xml:space="preserve"> R</w:t>
      </w:r>
      <w:r w:rsidR="002E1A77">
        <w:t>eview provides an opportunity to</w:t>
      </w:r>
      <w:r w:rsidR="00026AF0">
        <w:t xml:space="preserve"> examine a number of aspects of the Scheme, such as to</w:t>
      </w:r>
      <w:r w:rsidR="00F70ECE">
        <w:t>:</w:t>
      </w:r>
      <w:r w:rsidR="00D80138">
        <w:t xml:space="preserve"> </w:t>
      </w:r>
      <w:r>
        <w:t>improve accessibility</w:t>
      </w:r>
      <w:r w:rsidR="00F70ECE">
        <w:t>;</w:t>
      </w:r>
      <w:r>
        <w:t xml:space="preserve"> </w:t>
      </w:r>
      <w:r w:rsidR="003F67CF" w:rsidRPr="003F67CF">
        <w:t>reduce red tape</w:t>
      </w:r>
      <w:r w:rsidR="00F70ECE">
        <w:t>;</w:t>
      </w:r>
      <w:r w:rsidR="003F67CF" w:rsidRPr="003F67CF">
        <w:t xml:space="preserve"> harmonise processes</w:t>
      </w:r>
      <w:r w:rsidR="00F70ECE">
        <w:t>;</w:t>
      </w:r>
      <w:r w:rsidR="003F67CF" w:rsidRPr="003F67CF">
        <w:t xml:space="preserve"> eliminate duplication</w:t>
      </w:r>
      <w:r w:rsidR="00F70ECE">
        <w:t>;</w:t>
      </w:r>
      <w:r w:rsidR="003F67CF" w:rsidRPr="003F67CF">
        <w:t xml:space="preserve"> increase effectiveness and consistency</w:t>
      </w:r>
      <w:r w:rsidR="00F70ECE">
        <w:t>;</w:t>
      </w:r>
      <w:r w:rsidR="003F67CF" w:rsidRPr="003F67CF">
        <w:t xml:space="preserve"> </w:t>
      </w:r>
      <w:r w:rsidR="00F70ECE">
        <w:t xml:space="preserve">implement risk-based </w:t>
      </w:r>
      <w:r w:rsidR="00D80138">
        <w:t>approach</w:t>
      </w:r>
      <w:r w:rsidR="00F70ECE">
        <w:t>es</w:t>
      </w:r>
      <w:r w:rsidR="00D80138">
        <w:t xml:space="preserve"> and better leverage</w:t>
      </w:r>
      <w:r w:rsidR="003F67CF" w:rsidRPr="003F67CF">
        <w:t xml:space="preserve"> the educational benefits </w:t>
      </w:r>
      <w:r>
        <w:t xml:space="preserve">arising from </w:t>
      </w:r>
      <w:r w:rsidR="003F67CF" w:rsidRPr="003F67CF">
        <w:t xml:space="preserve">the </w:t>
      </w:r>
      <w:r>
        <w:t>S</w:t>
      </w:r>
      <w:r w:rsidR="003F67CF" w:rsidRPr="003F67CF">
        <w:t>cheme</w:t>
      </w:r>
      <w:r w:rsidR="002E1A77">
        <w:t>.</w:t>
      </w:r>
    </w:p>
    <w:p w:rsidR="009A73B9" w:rsidRDefault="009A73B9" w:rsidP="00E66426"/>
    <w:p w:rsidR="009A73B9" w:rsidRPr="00584DF0" w:rsidRDefault="009A73B9" w:rsidP="009A73B9">
      <w:pPr>
        <w:pStyle w:val="Heading1"/>
      </w:pPr>
      <w:bookmarkStart w:id="7" w:name="_Toc377032024"/>
      <w:bookmarkStart w:id="8" w:name="_Toc378322593"/>
      <w:r>
        <w:t>Terms of Reference</w:t>
      </w:r>
      <w:bookmarkEnd w:id="7"/>
      <w:bookmarkEnd w:id="8"/>
    </w:p>
    <w:p w:rsidR="009A73B9" w:rsidRDefault="009A73B9" w:rsidP="009A73B9"/>
    <w:p w:rsidR="009A73B9" w:rsidRPr="00584DF0" w:rsidRDefault="009A73B9" w:rsidP="009A73B9">
      <w:r>
        <w:t>The R</w:t>
      </w:r>
      <w:r w:rsidRPr="00584DF0">
        <w:t>eview will address:</w:t>
      </w:r>
    </w:p>
    <w:p w:rsidR="009A73B9" w:rsidRPr="00584DF0" w:rsidRDefault="009A73B9" w:rsidP="009A73B9">
      <w:pPr>
        <w:pStyle w:val="ListParagraph"/>
        <w:numPr>
          <w:ilvl w:val="0"/>
          <w:numId w:val="14"/>
        </w:numPr>
      </w:pPr>
      <w:r w:rsidRPr="00584DF0">
        <w:t>the costs of complying with the Scheme, including the cost of seeking and maintaining accreditation, particularly for smaller businesses/projects</w:t>
      </w:r>
    </w:p>
    <w:p w:rsidR="009A73B9" w:rsidRPr="00584DF0" w:rsidRDefault="009A73B9" w:rsidP="009A73B9">
      <w:pPr>
        <w:pStyle w:val="ListParagraph"/>
        <w:numPr>
          <w:ilvl w:val="0"/>
          <w:numId w:val="14"/>
        </w:numPr>
      </w:pPr>
      <w:r w:rsidRPr="00584DF0">
        <w:t>the suitability of current funding threshold limits applying to building work covered by the Scheme</w:t>
      </w:r>
    </w:p>
    <w:p w:rsidR="009A73B9" w:rsidRPr="00584DF0" w:rsidRDefault="009A73B9" w:rsidP="009A73B9">
      <w:pPr>
        <w:pStyle w:val="ListParagraph"/>
        <w:numPr>
          <w:ilvl w:val="0"/>
          <w:numId w:val="14"/>
        </w:numPr>
      </w:pPr>
      <w:r w:rsidRPr="00584DF0">
        <w:t>scope for improvements in the accreditation process to reduce red tape, including but not limited to:</w:t>
      </w:r>
    </w:p>
    <w:p w:rsidR="009A73B9" w:rsidRPr="00584DF0" w:rsidRDefault="009A73B9" w:rsidP="009A73B9">
      <w:pPr>
        <w:pStyle w:val="ListParagraph"/>
        <w:numPr>
          <w:ilvl w:val="1"/>
          <w:numId w:val="14"/>
        </w:numPr>
      </w:pPr>
      <w:r w:rsidRPr="00584DF0">
        <w:t>application and other paperwork requirements at the accreditation and re</w:t>
      </w:r>
      <w:r w:rsidRPr="00584DF0">
        <w:noBreakHyphen/>
        <w:t>accreditation stages</w:t>
      </w:r>
    </w:p>
    <w:p w:rsidR="009A73B9" w:rsidRPr="00584DF0" w:rsidRDefault="009A73B9" w:rsidP="009A73B9">
      <w:pPr>
        <w:pStyle w:val="ListParagraph"/>
        <w:numPr>
          <w:ilvl w:val="1"/>
          <w:numId w:val="14"/>
        </w:numPr>
      </w:pPr>
      <w:r w:rsidRPr="00584DF0">
        <w:t>scope to better target compliance effort (in particular, on-site audits) according to risk, and to increase voluntary compliance by companies</w:t>
      </w:r>
    </w:p>
    <w:p w:rsidR="009A73B9" w:rsidRPr="00584DF0" w:rsidRDefault="009A73B9" w:rsidP="009A73B9">
      <w:pPr>
        <w:pStyle w:val="ListParagraph"/>
        <w:numPr>
          <w:ilvl w:val="1"/>
          <w:numId w:val="14"/>
        </w:numPr>
      </w:pPr>
      <w:r w:rsidRPr="00584DF0">
        <w:t>extending the period of accreditation for businesses with a good audit history</w:t>
      </w:r>
    </w:p>
    <w:p w:rsidR="009A73B9" w:rsidRPr="00584DF0" w:rsidRDefault="009A73B9" w:rsidP="009A73B9">
      <w:pPr>
        <w:pStyle w:val="ListParagraph"/>
        <w:numPr>
          <w:ilvl w:val="1"/>
          <w:numId w:val="14"/>
        </w:numPr>
      </w:pPr>
      <w:r w:rsidRPr="00584DF0">
        <w:t>capacity of smaller businesses to achieve accreditation</w:t>
      </w:r>
    </w:p>
    <w:p w:rsidR="009A73B9" w:rsidRPr="00584DF0" w:rsidRDefault="009A73B9" w:rsidP="009A73B9">
      <w:pPr>
        <w:pStyle w:val="ListParagraph"/>
        <w:numPr>
          <w:ilvl w:val="1"/>
          <w:numId w:val="14"/>
        </w:numPr>
      </w:pPr>
      <w:r w:rsidRPr="00584DF0">
        <w:t>the suitability of AS/</w:t>
      </w:r>
      <w:proofErr w:type="spellStart"/>
      <w:r w:rsidRPr="00584DF0">
        <w:t>NZS</w:t>
      </w:r>
      <w:proofErr w:type="spellEnd"/>
      <w:r w:rsidRPr="00584DF0">
        <w:t xml:space="preserve"> 4801 as a pre-requisite for the Scheme</w:t>
      </w:r>
    </w:p>
    <w:p w:rsidR="009A73B9" w:rsidRPr="00584DF0" w:rsidRDefault="009A73B9" w:rsidP="009A73B9">
      <w:pPr>
        <w:pStyle w:val="ListParagraph"/>
        <w:numPr>
          <w:ilvl w:val="1"/>
          <w:numId w:val="14"/>
        </w:numPr>
      </w:pPr>
      <w:proofErr w:type="gramStart"/>
      <w:r w:rsidRPr="00584DF0">
        <w:t>options</w:t>
      </w:r>
      <w:proofErr w:type="gramEnd"/>
      <w:r w:rsidRPr="00584DF0">
        <w:t xml:space="preserve"> to charge for audits. </w:t>
      </w:r>
    </w:p>
    <w:p w:rsidR="009A73B9" w:rsidRPr="00584DF0" w:rsidRDefault="009A73B9" w:rsidP="009A73B9">
      <w:pPr>
        <w:pStyle w:val="ListParagraph"/>
        <w:numPr>
          <w:ilvl w:val="0"/>
          <w:numId w:val="15"/>
        </w:numPr>
      </w:pPr>
      <w:r w:rsidRPr="00584DF0">
        <w:t>changes to the Scheme criteria and/or associated guidance material which would streamline or clarify requirements (including any updates necessary to reflect current best practice)</w:t>
      </w:r>
    </w:p>
    <w:p w:rsidR="009A73B9" w:rsidRPr="00584DF0" w:rsidRDefault="009A73B9" w:rsidP="009A73B9">
      <w:pPr>
        <w:pStyle w:val="ListParagraph"/>
        <w:numPr>
          <w:ilvl w:val="0"/>
          <w:numId w:val="15"/>
        </w:numPr>
      </w:pPr>
      <w:r w:rsidRPr="00584DF0">
        <w:t xml:space="preserve">consistency, transparency and accountability in the application of Scheme criteria by Federal Safety Officers and the Office of the Federal Safety Commissioner </w:t>
      </w:r>
    </w:p>
    <w:p w:rsidR="009A73B9" w:rsidRPr="00584DF0" w:rsidRDefault="009A73B9" w:rsidP="009A73B9">
      <w:pPr>
        <w:pStyle w:val="ListParagraph"/>
        <w:numPr>
          <w:ilvl w:val="0"/>
          <w:numId w:val="15"/>
        </w:numPr>
      </w:pPr>
      <w:r w:rsidRPr="00584DF0">
        <w:t xml:space="preserve">the process for selecting and appointing Federal Safety Officers to ensure any potential for conflict of interest is appropriately managed </w:t>
      </w:r>
    </w:p>
    <w:p w:rsidR="009A73B9" w:rsidRPr="00584DF0" w:rsidRDefault="009A73B9" w:rsidP="009A73B9">
      <w:pPr>
        <w:pStyle w:val="ListParagraph"/>
        <w:numPr>
          <w:ilvl w:val="0"/>
          <w:numId w:val="15"/>
        </w:numPr>
      </w:pPr>
      <w:r w:rsidRPr="00584DF0">
        <w:t>awareness of, and adherence by, funding entities to the Scheme requirements</w:t>
      </w:r>
    </w:p>
    <w:p w:rsidR="009A73B9" w:rsidRPr="00584DF0" w:rsidRDefault="009A73B9" w:rsidP="009A73B9">
      <w:pPr>
        <w:pStyle w:val="ListParagraph"/>
        <w:numPr>
          <w:ilvl w:val="0"/>
          <w:numId w:val="15"/>
        </w:numPr>
      </w:pPr>
      <w:r w:rsidRPr="00584DF0">
        <w:t>interaction of the Scheme with state and territory pre-qualification arrangements for their building and construction procurements</w:t>
      </w:r>
    </w:p>
    <w:p w:rsidR="009A73B9" w:rsidRPr="00584DF0" w:rsidRDefault="009A73B9" w:rsidP="009A73B9">
      <w:pPr>
        <w:pStyle w:val="ListParagraph"/>
        <w:numPr>
          <w:ilvl w:val="0"/>
          <w:numId w:val="15"/>
        </w:numPr>
      </w:pPr>
      <w:proofErr w:type="gramStart"/>
      <w:r w:rsidRPr="00584DF0">
        <w:t>the</w:t>
      </w:r>
      <w:proofErr w:type="gramEnd"/>
      <w:r w:rsidRPr="00584DF0">
        <w:t xml:space="preserve"> interaction of the Scheme with other Commonwealth procurement processes.</w:t>
      </w:r>
    </w:p>
    <w:p w:rsidR="009A73B9" w:rsidRPr="00584DF0" w:rsidRDefault="009A73B9" w:rsidP="009A73B9"/>
    <w:p w:rsidR="009A73B9" w:rsidRPr="00584DF0" w:rsidRDefault="009A73B9" w:rsidP="009A73B9">
      <w:r>
        <w:t>A report on the outcome of the R</w:t>
      </w:r>
      <w:r w:rsidRPr="00584DF0">
        <w:t>eview will be provided to the Minister for Employment by 30</w:t>
      </w:r>
      <w:r>
        <w:t> </w:t>
      </w:r>
      <w:r w:rsidRPr="00584DF0">
        <w:t>June 2014.</w:t>
      </w:r>
    </w:p>
    <w:p w:rsidR="009A73B9" w:rsidRDefault="009A73B9">
      <w:r>
        <w:br w:type="page"/>
      </w:r>
    </w:p>
    <w:p w:rsidR="00B044EC" w:rsidRDefault="00B044EC" w:rsidP="00B044EC">
      <w:pPr>
        <w:pStyle w:val="Heading1"/>
      </w:pPr>
      <w:bookmarkStart w:id="9" w:name="_Toc378322594"/>
      <w:r>
        <w:lastRenderedPageBreak/>
        <w:t xml:space="preserve">Providing </w:t>
      </w:r>
      <w:r w:rsidR="00383F86">
        <w:t xml:space="preserve">a Submission </w:t>
      </w:r>
      <w:r>
        <w:t>to the Review</w:t>
      </w:r>
      <w:bookmarkEnd w:id="9"/>
    </w:p>
    <w:p w:rsidR="00B044EC" w:rsidRDefault="00B044EC" w:rsidP="00B044EC">
      <w:pPr>
        <w:pStyle w:val="Heading1"/>
      </w:pPr>
    </w:p>
    <w:p w:rsidR="00B044EC" w:rsidRPr="00B16C47" w:rsidRDefault="00B044EC" w:rsidP="00B16C47">
      <w:r w:rsidRPr="00B16C47">
        <w:t xml:space="preserve">The Review will be undertaken by the Department </w:t>
      </w:r>
      <w:r w:rsidR="009A73B9" w:rsidRPr="00B16C47">
        <w:t xml:space="preserve">of Employment (the Department) </w:t>
      </w:r>
      <w:r w:rsidRPr="00B16C47">
        <w:t xml:space="preserve">in consultation with an Advisory Panel comprising representatives of key industry associations, the </w:t>
      </w:r>
      <w:r w:rsidRPr="00794C9E">
        <w:t>A</w:t>
      </w:r>
      <w:r w:rsidR="00161F72" w:rsidRPr="00794C9E">
        <w:t xml:space="preserve">ustralian </w:t>
      </w:r>
      <w:r w:rsidRPr="00794C9E">
        <w:t>C</w:t>
      </w:r>
      <w:r w:rsidR="00161F72" w:rsidRPr="00794C9E">
        <w:t xml:space="preserve">ouncil of </w:t>
      </w:r>
      <w:r w:rsidRPr="00794C9E">
        <w:t>T</w:t>
      </w:r>
      <w:r w:rsidR="00161F72" w:rsidRPr="00794C9E">
        <w:t xml:space="preserve">rade </w:t>
      </w:r>
      <w:r w:rsidRPr="00794C9E">
        <w:t>U</w:t>
      </w:r>
      <w:r w:rsidR="00161F72" w:rsidRPr="00B16C47">
        <w:t>nions</w:t>
      </w:r>
      <w:r w:rsidRPr="00B16C47">
        <w:t>, the F</w:t>
      </w:r>
      <w:r w:rsidR="009A73B9" w:rsidRPr="00B16C47">
        <w:t>SC</w:t>
      </w:r>
      <w:r w:rsidRPr="00B16C47">
        <w:t xml:space="preserve"> and government agencies that procure building works.</w:t>
      </w:r>
      <w:r w:rsidR="00383F86" w:rsidRPr="00B16C47">
        <w:t xml:space="preserve"> </w:t>
      </w:r>
    </w:p>
    <w:p w:rsidR="00B044EC" w:rsidRPr="00B16C47" w:rsidRDefault="00B044EC" w:rsidP="00B16C47"/>
    <w:p w:rsidR="00B044EC" w:rsidRPr="00B16C47" w:rsidRDefault="00B044EC" w:rsidP="00B16C47">
      <w:r w:rsidRPr="00B16C47">
        <w:t xml:space="preserve">Accordingly, building industry participants </w:t>
      </w:r>
      <w:r w:rsidR="00383F86" w:rsidRPr="00B16C47">
        <w:t xml:space="preserve">and other stakeholders </w:t>
      </w:r>
      <w:r w:rsidRPr="00B16C47">
        <w:t xml:space="preserve">are encouraged to consult with their industry association </w:t>
      </w:r>
      <w:r w:rsidR="00383F86" w:rsidRPr="00B16C47">
        <w:t>in the first instance, as they will be the primary means by which</w:t>
      </w:r>
      <w:r w:rsidRPr="00B16C47">
        <w:t xml:space="preserve"> views </w:t>
      </w:r>
      <w:r w:rsidR="00383F86" w:rsidRPr="00B16C47">
        <w:t xml:space="preserve">will be provided </w:t>
      </w:r>
      <w:r w:rsidRPr="00B16C47">
        <w:t xml:space="preserve">to </w:t>
      </w:r>
      <w:r w:rsidR="00161F72" w:rsidRPr="00B16C47">
        <w:t xml:space="preserve">the </w:t>
      </w:r>
      <w:r w:rsidRPr="00B16C47">
        <w:t>Review</w:t>
      </w:r>
      <w:r w:rsidR="009C433E">
        <w:t xml:space="preserve">. </w:t>
      </w:r>
      <w:r w:rsidR="00383F86" w:rsidRPr="00B16C47">
        <w:t xml:space="preserve">Submissions must address the Terms of Reference, and should focus on tangible suggestions for changes to the way in which the Scheme operates. This Discussion Paper is designed to assist and focus input to the review, by suggesting a range of key questions that relate to the Terms of Reference. </w:t>
      </w:r>
    </w:p>
    <w:p w:rsidR="00383F86" w:rsidRPr="00383F86" w:rsidRDefault="00383F86" w:rsidP="00383F86"/>
    <w:p w:rsidR="00383F86" w:rsidRPr="00B16C47" w:rsidRDefault="00B044EC" w:rsidP="00B16C47">
      <w:r w:rsidRPr="00B16C47">
        <w:t xml:space="preserve">A response template has been provided at the end of the </w:t>
      </w:r>
      <w:r w:rsidR="00383F86" w:rsidRPr="00B16C47">
        <w:t xml:space="preserve">Discussion Paper. </w:t>
      </w:r>
      <w:r w:rsidR="00D57E11">
        <w:t xml:space="preserve">Submissions can address any or all of the questions in the template. It is not necessary to provide a response to every question. The template also provides </w:t>
      </w:r>
      <w:r w:rsidR="00DB4CB5">
        <w:t>space</w:t>
      </w:r>
      <w:r w:rsidR="00D57E11">
        <w:t xml:space="preserve"> for </w:t>
      </w:r>
      <w:r w:rsidR="00DB4CB5">
        <w:t xml:space="preserve">any </w:t>
      </w:r>
      <w:r w:rsidR="00D57E11">
        <w:t xml:space="preserve">additional comments </w:t>
      </w:r>
      <w:r w:rsidR="00DB4CB5">
        <w:t xml:space="preserve">that responders may have that have not been raised in the questions. </w:t>
      </w:r>
      <w:r w:rsidR="00D57E11">
        <w:t xml:space="preserve"> </w:t>
      </w:r>
    </w:p>
    <w:p w:rsidR="00383F86" w:rsidRPr="00B16C47" w:rsidRDefault="00383F86" w:rsidP="00B16C47"/>
    <w:p w:rsidR="00383F86" w:rsidRPr="00B16C47" w:rsidRDefault="00383F86" w:rsidP="00B16C47">
      <w:r w:rsidRPr="00B16C47">
        <w:t xml:space="preserve">Submissions should be provided by </w:t>
      </w:r>
      <w:r w:rsidR="00D57E11">
        <w:t xml:space="preserve">4 April </w:t>
      </w:r>
      <w:r w:rsidRPr="00B16C47">
        <w:t xml:space="preserve">2014 to </w:t>
      </w:r>
      <w:hyperlink r:id="rId17" w:history="1">
        <w:r w:rsidR="009B14FF">
          <w:t>ofsc</w:t>
        </w:r>
        <w:r w:rsidR="009B14FF" w:rsidRPr="00B16C47">
          <w:t>review@employment.gov.au</w:t>
        </w:r>
      </w:hyperlink>
      <w:r w:rsidRPr="00B16C47">
        <w:t xml:space="preserve">. </w:t>
      </w:r>
      <w:r w:rsidR="007E21D3">
        <w:t>E</w:t>
      </w:r>
      <w:r w:rsidRPr="00B16C47">
        <w:t xml:space="preserve">nquiries about the review can be made by email to the same address, or by phone: </w:t>
      </w:r>
      <w:r w:rsidR="006628BA" w:rsidRPr="00B16C47">
        <w:t>1800 652 500</w:t>
      </w:r>
      <w:r w:rsidRPr="00B16C47">
        <w:t>.</w:t>
      </w:r>
    </w:p>
    <w:p w:rsidR="00584DF0" w:rsidRDefault="00383F86" w:rsidP="00B044EC">
      <w:pPr>
        <w:pStyle w:val="Heading1"/>
      </w:pPr>
      <w:r>
        <w:rPr>
          <w:b w:val="0"/>
          <w:sz w:val="22"/>
          <w:szCs w:val="22"/>
        </w:rPr>
        <w:t xml:space="preserve"> </w:t>
      </w:r>
      <w:r w:rsidR="00584DF0">
        <w:br w:type="page"/>
      </w:r>
    </w:p>
    <w:p w:rsidR="00484DCE" w:rsidRDefault="00E96FC6" w:rsidP="00E66426">
      <w:pPr>
        <w:pStyle w:val="Heading1"/>
      </w:pPr>
      <w:bookmarkStart w:id="10" w:name="_Toc377032025"/>
      <w:bookmarkStart w:id="11" w:name="_Toc378322595"/>
      <w:r w:rsidRPr="00E66426">
        <w:lastRenderedPageBreak/>
        <w:t>Background</w:t>
      </w:r>
      <w:bookmarkEnd w:id="10"/>
      <w:bookmarkEnd w:id="11"/>
    </w:p>
    <w:p w:rsidR="009A73B9" w:rsidRDefault="009A73B9" w:rsidP="009A73B9"/>
    <w:p w:rsidR="009A73B9" w:rsidRDefault="009A73B9" w:rsidP="009A73B9">
      <w:pPr>
        <w:rPr>
          <w:b/>
        </w:rPr>
      </w:pPr>
      <w:r w:rsidRPr="009A73B9">
        <w:rPr>
          <w:b/>
        </w:rPr>
        <w:t>How does the Scheme operate?</w:t>
      </w:r>
    </w:p>
    <w:p w:rsidR="009A73B9" w:rsidRDefault="009A73B9" w:rsidP="009A73B9">
      <w:pPr>
        <w:rPr>
          <w:b/>
        </w:rPr>
      </w:pPr>
    </w:p>
    <w:p w:rsidR="00F70ECE" w:rsidRDefault="00F70ECE" w:rsidP="005735D1">
      <w:pPr>
        <w:rPr>
          <w:i/>
        </w:rPr>
      </w:pPr>
      <w:r w:rsidRPr="00F70ECE">
        <w:rPr>
          <w:i/>
        </w:rPr>
        <w:t>Legislative Basis</w:t>
      </w:r>
    </w:p>
    <w:p w:rsidR="00F70ECE" w:rsidRPr="00F70ECE" w:rsidRDefault="00F70ECE" w:rsidP="005735D1">
      <w:pPr>
        <w:rPr>
          <w:i/>
        </w:rPr>
      </w:pPr>
    </w:p>
    <w:p w:rsidR="00F70ECE" w:rsidRDefault="005735D1" w:rsidP="005735D1">
      <w:r w:rsidRPr="005735D1">
        <w:t xml:space="preserve">The FSC and the Scheme are established under section 35 of the </w:t>
      </w:r>
      <w:r w:rsidRPr="00A87128">
        <w:rPr>
          <w:i/>
        </w:rPr>
        <w:t>Fair Work (Building Industry) Act 2012</w:t>
      </w:r>
      <w:r w:rsidRPr="005735D1">
        <w:t xml:space="preserve"> (the </w:t>
      </w:r>
      <w:proofErr w:type="spellStart"/>
      <w:r w:rsidRPr="005735D1">
        <w:t>FWBI</w:t>
      </w:r>
      <w:proofErr w:type="spellEnd"/>
      <w:r w:rsidRPr="005735D1">
        <w:t xml:space="preserve"> Act). The Scheme is supported by the </w:t>
      </w:r>
      <w:r w:rsidRPr="00A87128">
        <w:rPr>
          <w:i/>
        </w:rPr>
        <w:t>Fair Work (Building Industry – Accreditation Scheme) Regulations 2005</w:t>
      </w:r>
      <w:r w:rsidRPr="005735D1">
        <w:t xml:space="preserve"> (Scheme Regulations). </w:t>
      </w:r>
      <w:r w:rsidR="009C433E">
        <w:t xml:space="preserve">The Scheme is maintained in the </w:t>
      </w:r>
      <w:r w:rsidR="009C433E" w:rsidRPr="009C433E">
        <w:rPr>
          <w:i/>
        </w:rPr>
        <w:t>Building and Construction Industry (Improving Productivity) Bill 2013</w:t>
      </w:r>
      <w:r w:rsidR="009C433E">
        <w:rPr>
          <w:i/>
        </w:rPr>
        <w:t xml:space="preserve"> </w:t>
      </w:r>
      <w:r w:rsidR="009C433E">
        <w:t xml:space="preserve">which is currently before the Australian Parliament. </w:t>
      </w:r>
    </w:p>
    <w:p w:rsidR="00F70ECE" w:rsidRDefault="00F70ECE" w:rsidP="005735D1"/>
    <w:p w:rsidR="00F70ECE" w:rsidRPr="00F70ECE" w:rsidRDefault="00F70ECE" w:rsidP="005735D1">
      <w:pPr>
        <w:rPr>
          <w:i/>
        </w:rPr>
      </w:pPr>
      <w:r w:rsidRPr="00F70ECE">
        <w:rPr>
          <w:i/>
        </w:rPr>
        <w:t>R</w:t>
      </w:r>
      <w:r>
        <w:rPr>
          <w:i/>
        </w:rPr>
        <w:t>a</w:t>
      </w:r>
      <w:r w:rsidRPr="00F70ECE">
        <w:rPr>
          <w:i/>
        </w:rPr>
        <w:t>tionale</w:t>
      </w:r>
    </w:p>
    <w:p w:rsidR="00F70ECE" w:rsidRDefault="00F70ECE" w:rsidP="005735D1"/>
    <w:p w:rsidR="00377A25" w:rsidRDefault="005735D1" w:rsidP="005735D1">
      <w:r w:rsidRPr="005735D1">
        <w:t xml:space="preserve">The </w:t>
      </w:r>
      <w:r w:rsidR="00E8398A">
        <w:t>objective</w:t>
      </w:r>
      <w:r w:rsidRPr="005735D1">
        <w:t xml:space="preserve"> of the FSC is to use the influence of the Government as a client and provider of capita</w:t>
      </w:r>
      <w:r w:rsidR="008E0F4C">
        <w:t xml:space="preserve">l to improve the safety culture </w:t>
      </w:r>
      <w:r w:rsidRPr="005735D1">
        <w:t>of the building and construction industry.</w:t>
      </w:r>
      <w:r w:rsidR="00F70ECE">
        <w:t xml:space="preserve"> </w:t>
      </w:r>
      <w:r w:rsidR="00026AF0">
        <w:t>O</w:t>
      </w:r>
      <w:r w:rsidRPr="005735D1">
        <w:t xml:space="preserve">nly companies </w:t>
      </w:r>
      <w:r w:rsidR="0080023E">
        <w:t xml:space="preserve">that </w:t>
      </w:r>
      <w:r w:rsidRPr="005735D1">
        <w:t xml:space="preserve">are accredited under the Scheme can enter into head contracts for building work </w:t>
      </w:r>
      <w:r w:rsidR="00026AF0">
        <w:t xml:space="preserve">(above specified thresholds) </w:t>
      </w:r>
      <w:r w:rsidRPr="005735D1">
        <w:t xml:space="preserve">funded </w:t>
      </w:r>
      <w:r w:rsidR="0080023E">
        <w:t>(</w:t>
      </w:r>
      <w:r w:rsidR="0080023E" w:rsidRPr="005735D1">
        <w:t>directly or indirectly</w:t>
      </w:r>
      <w:r w:rsidR="0080023E">
        <w:t xml:space="preserve">) </w:t>
      </w:r>
      <w:r w:rsidRPr="005735D1">
        <w:t xml:space="preserve">by the </w:t>
      </w:r>
      <w:r w:rsidR="0080023E" w:rsidRPr="005735D1">
        <w:t>Government</w:t>
      </w:r>
      <w:r w:rsidRPr="005735D1">
        <w:t>.</w:t>
      </w:r>
      <w:r w:rsidR="0080023E">
        <w:t xml:space="preserve"> </w:t>
      </w:r>
    </w:p>
    <w:p w:rsidR="00377A25" w:rsidRDefault="00377A25" w:rsidP="005735D1"/>
    <w:p w:rsidR="00DF1204" w:rsidRDefault="00377A25" w:rsidP="00DF1204">
      <w:r>
        <w:t xml:space="preserve">The FSC is not a regulator of the building industry – that role </w:t>
      </w:r>
      <w:r w:rsidR="00026AF0">
        <w:t xml:space="preserve">falls to the jurisdictional regulator set out in the relevant Commonwealth, state and territory </w:t>
      </w:r>
      <w:r>
        <w:t>work health and safety legislation.</w:t>
      </w:r>
      <w:r w:rsidR="008E0F4C">
        <w:t xml:space="preserve"> </w:t>
      </w:r>
      <w:r w:rsidR="00026AF0">
        <w:t>WHS</w:t>
      </w:r>
      <w:r w:rsidR="00DF1204" w:rsidRPr="00432428">
        <w:t xml:space="preserve"> </w:t>
      </w:r>
      <w:r w:rsidR="008E0F4C">
        <w:t xml:space="preserve">regulators </w:t>
      </w:r>
      <w:r>
        <w:t xml:space="preserve">may issue penalties or stop work on building sites where specific breaches occur. </w:t>
      </w:r>
      <w:r w:rsidR="00DF1204" w:rsidRPr="00432428">
        <w:t xml:space="preserve">The </w:t>
      </w:r>
      <w:r>
        <w:t xml:space="preserve">Scheme </w:t>
      </w:r>
      <w:r w:rsidR="008E0F4C">
        <w:t xml:space="preserve">aims </w:t>
      </w:r>
      <w:r>
        <w:t xml:space="preserve">to complement the role of </w:t>
      </w:r>
      <w:r w:rsidR="008E0F4C">
        <w:t xml:space="preserve">regulators </w:t>
      </w:r>
      <w:r>
        <w:t xml:space="preserve">by assessing and auditing </w:t>
      </w:r>
      <w:r w:rsidR="00DF1204" w:rsidRPr="00432428">
        <w:t xml:space="preserve">how </w:t>
      </w:r>
      <w:r>
        <w:t xml:space="preserve">well </w:t>
      </w:r>
      <w:r w:rsidR="00DF1204" w:rsidRPr="00432428">
        <w:t xml:space="preserve">builders systematically manage </w:t>
      </w:r>
      <w:r w:rsidR="008E0F4C">
        <w:t>work health and safety</w:t>
      </w:r>
      <w:r w:rsidR="00DF1204" w:rsidRPr="00432428">
        <w:t xml:space="preserve"> (including risks and the cause </w:t>
      </w:r>
      <w:r w:rsidR="008E0F4C">
        <w:t>of problems) to minimise the likelihood of incidents occurring</w:t>
      </w:r>
      <w:r w:rsidR="00DF1204" w:rsidRPr="00432428">
        <w:t xml:space="preserve">. </w:t>
      </w:r>
    </w:p>
    <w:p w:rsidR="00377A25" w:rsidRDefault="00377A25" w:rsidP="00DF1204"/>
    <w:p w:rsidR="00F70ECE" w:rsidRPr="00F70ECE" w:rsidRDefault="00F70ECE" w:rsidP="005735D1">
      <w:pPr>
        <w:rPr>
          <w:i/>
        </w:rPr>
      </w:pPr>
      <w:r w:rsidRPr="00F70ECE">
        <w:rPr>
          <w:i/>
        </w:rPr>
        <w:t>What is assessed?</w:t>
      </w:r>
    </w:p>
    <w:p w:rsidR="005735D1" w:rsidRPr="005735D1" w:rsidRDefault="005735D1" w:rsidP="005735D1"/>
    <w:p w:rsidR="001F3912" w:rsidRDefault="005735D1" w:rsidP="005735D1">
      <w:r w:rsidRPr="005735D1">
        <w:t xml:space="preserve">The Accreditation process evaluates both a company’s </w:t>
      </w:r>
      <w:r w:rsidR="00626CAC">
        <w:t xml:space="preserve">documented </w:t>
      </w:r>
      <w:r w:rsidRPr="005735D1">
        <w:t>Workplace Health and Safety Management System (</w:t>
      </w:r>
      <w:proofErr w:type="spellStart"/>
      <w:r w:rsidRPr="005735D1">
        <w:t>WHSMS</w:t>
      </w:r>
      <w:proofErr w:type="spellEnd"/>
      <w:r w:rsidRPr="005735D1">
        <w:t xml:space="preserve">) </w:t>
      </w:r>
      <w:r w:rsidRPr="00626CAC">
        <w:rPr>
          <w:u w:val="single"/>
        </w:rPr>
        <w:t>and</w:t>
      </w:r>
      <w:r w:rsidRPr="005735D1">
        <w:t xml:space="preserve"> </w:t>
      </w:r>
      <w:r w:rsidR="00432428">
        <w:t xml:space="preserve">its </w:t>
      </w:r>
      <w:r w:rsidR="001F3912">
        <w:t xml:space="preserve">observed </w:t>
      </w:r>
      <w:r w:rsidR="0080023E">
        <w:t xml:space="preserve">application </w:t>
      </w:r>
      <w:r w:rsidRPr="005735D1">
        <w:t xml:space="preserve">on site. </w:t>
      </w:r>
      <w:r w:rsidR="003830AA">
        <w:t xml:space="preserve">Assessment is against the </w:t>
      </w:r>
      <w:hyperlink r:id="rId18" w:history="1">
        <w:r w:rsidR="0080023E" w:rsidRPr="00097823">
          <w:rPr>
            <w:rStyle w:val="Hyperlink"/>
          </w:rPr>
          <w:t>criteria</w:t>
        </w:r>
      </w:hyperlink>
      <w:r w:rsidR="0080023E">
        <w:t xml:space="preserve"> </w:t>
      </w:r>
      <w:r w:rsidR="003830AA">
        <w:t xml:space="preserve">which are available at </w:t>
      </w:r>
      <w:hyperlink r:id="rId19" w:history="1">
        <w:r w:rsidR="007578E0" w:rsidRPr="00696FDE">
          <w:rPr>
            <w:rStyle w:val="Hyperlink"/>
          </w:rPr>
          <w:t>www.fsc.gov.au</w:t>
        </w:r>
      </w:hyperlink>
      <w:r w:rsidR="007578E0">
        <w:t xml:space="preserve"> </w:t>
      </w:r>
    </w:p>
    <w:p w:rsidR="001F3912" w:rsidRDefault="001F3912" w:rsidP="005735D1"/>
    <w:p w:rsidR="005735D1" w:rsidRPr="005735D1" w:rsidRDefault="00A87128" w:rsidP="005735D1">
      <w:r>
        <w:t>In addition to system</w:t>
      </w:r>
      <w:r w:rsidR="00432428">
        <w:t>-</w:t>
      </w:r>
      <w:r>
        <w:t xml:space="preserve">based and </w:t>
      </w:r>
      <w:r w:rsidR="003830AA">
        <w:t>on</w:t>
      </w:r>
      <w:r w:rsidR="00296CE9">
        <w:t>-</w:t>
      </w:r>
      <w:r>
        <w:t>site</w:t>
      </w:r>
      <w:r w:rsidR="003830AA">
        <w:t xml:space="preserve"> risk</w:t>
      </w:r>
      <w:r w:rsidR="00432428">
        <w:t>-</w:t>
      </w:r>
      <w:r>
        <w:t>based criteria, t</w:t>
      </w:r>
      <w:r w:rsidR="005735D1" w:rsidRPr="005735D1">
        <w:t xml:space="preserve">he Scheme pays particular attention to </w:t>
      </w:r>
      <w:r>
        <w:t>six</w:t>
      </w:r>
      <w:r w:rsidR="005735D1" w:rsidRPr="005735D1">
        <w:t xml:space="preserve"> </w:t>
      </w:r>
      <w:r w:rsidR="003830AA">
        <w:t xml:space="preserve">broader </w:t>
      </w:r>
      <w:r w:rsidR="005735D1" w:rsidRPr="005735D1">
        <w:t>categories</w:t>
      </w:r>
      <w:r w:rsidR="003830AA">
        <w:t>. On establishment of the Scheme, these</w:t>
      </w:r>
      <w:r w:rsidR="005735D1" w:rsidRPr="005735D1">
        <w:t xml:space="preserve"> </w:t>
      </w:r>
      <w:r w:rsidR="003830AA">
        <w:t xml:space="preserve">were considered to be </w:t>
      </w:r>
      <w:r w:rsidR="005735D1" w:rsidRPr="005735D1">
        <w:t>c</w:t>
      </w:r>
      <w:r w:rsidR="00AC0E52">
        <w:t>entral</w:t>
      </w:r>
      <w:r w:rsidR="005735D1" w:rsidRPr="005735D1">
        <w:t xml:space="preserve"> to developing and improving the safety culture of companies and the industry:</w:t>
      </w:r>
    </w:p>
    <w:p w:rsidR="005735D1" w:rsidRPr="005735D1" w:rsidRDefault="005735D1" w:rsidP="005735D1"/>
    <w:p w:rsidR="005735D1" w:rsidRPr="005735D1" w:rsidRDefault="005735D1" w:rsidP="005735D1">
      <w:pPr>
        <w:numPr>
          <w:ilvl w:val="0"/>
          <w:numId w:val="30"/>
        </w:numPr>
      </w:pPr>
      <w:r w:rsidRPr="005735D1">
        <w:t>Senior Management Commitment</w:t>
      </w:r>
    </w:p>
    <w:p w:rsidR="005735D1" w:rsidRPr="005735D1" w:rsidRDefault="005735D1" w:rsidP="005735D1">
      <w:pPr>
        <w:numPr>
          <w:ilvl w:val="0"/>
          <w:numId w:val="30"/>
        </w:numPr>
      </w:pPr>
      <w:r w:rsidRPr="005735D1">
        <w:t>Integration of Design Issues</w:t>
      </w:r>
    </w:p>
    <w:p w:rsidR="005735D1" w:rsidRPr="005735D1" w:rsidRDefault="005735D1" w:rsidP="005735D1">
      <w:pPr>
        <w:numPr>
          <w:ilvl w:val="0"/>
          <w:numId w:val="30"/>
        </w:numPr>
      </w:pPr>
      <w:r w:rsidRPr="005735D1">
        <w:t>Whole of Project Consultation</w:t>
      </w:r>
    </w:p>
    <w:p w:rsidR="005735D1" w:rsidRPr="005735D1" w:rsidRDefault="005735D1" w:rsidP="005735D1">
      <w:pPr>
        <w:numPr>
          <w:ilvl w:val="0"/>
          <w:numId w:val="30"/>
        </w:numPr>
      </w:pPr>
      <w:r w:rsidRPr="005735D1">
        <w:t>Management of Subcontractor WHS</w:t>
      </w:r>
    </w:p>
    <w:p w:rsidR="005735D1" w:rsidRPr="005735D1" w:rsidRDefault="005735D1" w:rsidP="005735D1">
      <w:pPr>
        <w:numPr>
          <w:ilvl w:val="0"/>
          <w:numId w:val="30"/>
        </w:numPr>
      </w:pPr>
      <w:r w:rsidRPr="005735D1">
        <w:t>Project Performance Measurement</w:t>
      </w:r>
    </w:p>
    <w:p w:rsidR="005735D1" w:rsidRPr="005735D1" w:rsidRDefault="005735D1" w:rsidP="005735D1">
      <w:pPr>
        <w:numPr>
          <w:ilvl w:val="0"/>
          <w:numId w:val="30"/>
        </w:numPr>
      </w:pPr>
      <w:r w:rsidRPr="005735D1">
        <w:t>Training Arrangements.</w:t>
      </w:r>
    </w:p>
    <w:p w:rsidR="005735D1" w:rsidRPr="005735D1" w:rsidRDefault="005735D1" w:rsidP="005735D1"/>
    <w:p w:rsidR="00730CFF" w:rsidRPr="00730CFF" w:rsidRDefault="00730CFF" w:rsidP="005735D1">
      <w:pPr>
        <w:rPr>
          <w:i/>
        </w:rPr>
      </w:pPr>
      <w:r w:rsidRPr="00730CFF">
        <w:rPr>
          <w:i/>
        </w:rPr>
        <w:t>How is accreditation</w:t>
      </w:r>
      <w:r w:rsidR="00B123C9">
        <w:rPr>
          <w:i/>
        </w:rPr>
        <w:t xml:space="preserve"> </w:t>
      </w:r>
      <w:r w:rsidRPr="00730CFF">
        <w:rPr>
          <w:i/>
        </w:rPr>
        <w:t>achieved</w:t>
      </w:r>
      <w:r w:rsidR="00B123C9">
        <w:rPr>
          <w:i/>
        </w:rPr>
        <w:t xml:space="preserve"> and maintained</w:t>
      </w:r>
      <w:r w:rsidRPr="00730CFF">
        <w:rPr>
          <w:i/>
        </w:rPr>
        <w:t>?</w:t>
      </w:r>
    </w:p>
    <w:p w:rsidR="00730CFF" w:rsidRDefault="00730CFF" w:rsidP="005735D1"/>
    <w:p w:rsidR="00730CFF" w:rsidRDefault="00B123C9" w:rsidP="005735D1">
      <w:pPr>
        <w:rPr>
          <w:color w:val="92D050"/>
        </w:rPr>
      </w:pPr>
      <w:r>
        <w:t>A</w:t>
      </w:r>
      <w:r w:rsidR="005735D1" w:rsidRPr="005735D1">
        <w:t xml:space="preserve">pplicants are required to submit </w:t>
      </w:r>
      <w:r w:rsidR="008E0F4C">
        <w:t xml:space="preserve">a </w:t>
      </w:r>
      <w:r w:rsidR="00730CFF">
        <w:t>“</w:t>
      </w:r>
      <w:r w:rsidR="005735D1" w:rsidRPr="005735D1">
        <w:t>gap analysis</w:t>
      </w:r>
      <w:r w:rsidR="00730CFF">
        <w:t>”</w:t>
      </w:r>
      <w:r w:rsidR="005735D1" w:rsidRPr="005735D1">
        <w:t xml:space="preserve"> document to the Office of the Federal Safety Commissioner</w:t>
      </w:r>
      <w:r w:rsidR="00CC2826">
        <w:t xml:space="preserve"> (OFSC)</w:t>
      </w:r>
      <w:r w:rsidR="005735D1" w:rsidRPr="005735D1">
        <w:t xml:space="preserve"> </w:t>
      </w:r>
      <w:r w:rsidR="00730CFF">
        <w:t xml:space="preserve">which is a self-assessment of </w:t>
      </w:r>
      <w:r w:rsidR="005735D1" w:rsidRPr="005735D1">
        <w:t xml:space="preserve">where in their </w:t>
      </w:r>
      <w:proofErr w:type="spellStart"/>
      <w:r w:rsidR="005735D1" w:rsidRPr="005735D1">
        <w:t>WHSMS</w:t>
      </w:r>
      <w:proofErr w:type="spellEnd"/>
      <w:r w:rsidR="005735D1" w:rsidRPr="005735D1">
        <w:t xml:space="preserve"> they address the criteria </w:t>
      </w:r>
      <w:r w:rsidR="00730CFF">
        <w:t xml:space="preserve">to be </w:t>
      </w:r>
      <w:r w:rsidR="005735D1" w:rsidRPr="005735D1">
        <w:t>evaluated during the accreditation process</w:t>
      </w:r>
      <w:r w:rsidR="00097823">
        <w:rPr>
          <w:rStyle w:val="FootnoteReference"/>
        </w:rPr>
        <w:footnoteReference w:id="1"/>
      </w:r>
      <w:r w:rsidR="005735D1" w:rsidRPr="005735D1">
        <w:t xml:space="preserve">. </w:t>
      </w:r>
    </w:p>
    <w:p w:rsidR="00097823" w:rsidRDefault="00097823" w:rsidP="005735D1"/>
    <w:p w:rsidR="002221F0" w:rsidRDefault="00730CFF" w:rsidP="005735D1">
      <w:r>
        <w:t>A</w:t>
      </w:r>
      <w:r w:rsidR="005735D1" w:rsidRPr="005735D1">
        <w:t xml:space="preserve"> two</w:t>
      </w:r>
      <w:r w:rsidR="00432428">
        <w:t> </w:t>
      </w:r>
      <w:r w:rsidR="005735D1" w:rsidRPr="005735D1">
        <w:t xml:space="preserve">day on-site audit </w:t>
      </w:r>
      <w:r>
        <w:t xml:space="preserve">is </w:t>
      </w:r>
      <w:r w:rsidR="005735D1" w:rsidRPr="005735D1">
        <w:t>conducted by a Federal Safety Officer (</w:t>
      </w:r>
      <w:proofErr w:type="spellStart"/>
      <w:r w:rsidR="005735D1" w:rsidRPr="005735D1">
        <w:t>FSO</w:t>
      </w:r>
      <w:proofErr w:type="spellEnd"/>
      <w:r w:rsidR="005735D1" w:rsidRPr="005735D1">
        <w:t>)</w:t>
      </w:r>
      <w:r w:rsidR="00B123C9">
        <w:t xml:space="preserve"> at a mutually</w:t>
      </w:r>
      <w:r w:rsidR="007866EF">
        <w:t xml:space="preserve"> </w:t>
      </w:r>
      <w:r w:rsidR="00B123C9">
        <w:t>agreed date and site</w:t>
      </w:r>
      <w:r w:rsidR="005735D1" w:rsidRPr="005735D1">
        <w:t xml:space="preserve">. </w:t>
      </w:r>
      <w:proofErr w:type="spellStart"/>
      <w:r w:rsidR="00E8398A">
        <w:t>FSOs</w:t>
      </w:r>
      <w:proofErr w:type="spellEnd"/>
      <w:r w:rsidR="00E8398A">
        <w:t xml:space="preserve"> </w:t>
      </w:r>
      <w:r w:rsidR="005735D1" w:rsidRPr="005735D1">
        <w:t xml:space="preserve">assess the </w:t>
      </w:r>
      <w:r>
        <w:t xml:space="preserve">documentation </w:t>
      </w:r>
      <w:r w:rsidR="00E8398A">
        <w:t xml:space="preserve">identified in the gap analysis </w:t>
      </w:r>
      <w:r>
        <w:t xml:space="preserve">and its </w:t>
      </w:r>
      <w:r w:rsidR="005735D1" w:rsidRPr="005735D1">
        <w:t>implementation on site</w:t>
      </w:r>
      <w:r w:rsidR="00E8398A">
        <w:t>. T</w:t>
      </w:r>
      <w:r w:rsidR="005735D1" w:rsidRPr="005735D1">
        <w:t xml:space="preserve">he </w:t>
      </w:r>
      <w:proofErr w:type="spellStart"/>
      <w:r w:rsidR="005735D1" w:rsidRPr="005735D1">
        <w:t>FSO</w:t>
      </w:r>
      <w:proofErr w:type="spellEnd"/>
      <w:r w:rsidR="005735D1" w:rsidRPr="005735D1">
        <w:t xml:space="preserve"> </w:t>
      </w:r>
      <w:r w:rsidR="00E8398A">
        <w:t xml:space="preserve">also </w:t>
      </w:r>
      <w:r w:rsidR="005735D1" w:rsidRPr="005735D1">
        <w:t xml:space="preserve">examines two </w:t>
      </w:r>
      <w:r w:rsidR="000C69B4">
        <w:t xml:space="preserve">pre-agreed, </w:t>
      </w:r>
      <w:r w:rsidR="00E8398A">
        <w:t>“</w:t>
      </w:r>
      <w:proofErr w:type="gramStart"/>
      <w:r w:rsidR="005735D1" w:rsidRPr="005735D1">
        <w:t>high</w:t>
      </w:r>
      <w:proofErr w:type="gramEnd"/>
      <w:r w:rsidR="00B123C9">
        <w:t xml:space="preserve"> </w:t>
      </w:r>
      <w:r w:rsidR="005735D1" w:rsidRPr="005735D1">
        <w:t>risk hazards</w:t>
      </w:r>
      <w:r w:rsidR="00E8398A">
        <w:t>”</w:t>
      </w:r>
      <w:r w:rsidR="005735D1" w:rsidRPr="005735D1">
        <w:t xml:space="preserve"> </w:t>
      </w:r>
      <w:r w:rsidR="008E0F4C">
        <w:t>relevant to the work on</w:t>
      </w:r>
      <w:r w:rsidR="00B123C9">
        <w:t xml:space="preserve"> site t</w:t>
      </w:r>
      <w:r w:rsidR="005735D1" w:rsidRPr="005735D1">
        <w:t xml:space="preserve">o evaluate how effectively the company has managed them. </w:t>
      </w:r>
    </w:p>
    <w:p w:rsidR="005735D1" w:rsidRPr="005735D1" w:rsidRDefault="00730CFF" w:rsidP="005735D1">
      <w:r>
        <w:lastRenderedPageBreak/>
        <w:t xml:space="preserve">Most companies require one or </w:t>
      </w:r>
      <w:r w:rsidR="00B123C9">
        <w:t xml:space="preserve">two </w:t>
      </w:r>
      <w:r>
        <w:t>subsequent audits to “close out” any shortcoming</w:t>
      </w:r>
      <w:r w:rsidR="002221F0">
        <w:t>s</w:t>
      </w:r>
      <w:r>
        <w:t xml:space="preserve"> identified. </w:t>
      </w:r>
      <w:r w:rsidR="00B123C9">
        <w:t xml:space="preserve">Feedback and audits continue until a company achieves accreditation. </w:t>
      </w:r>
    </w:p>
    <w:p w:rsidR="005735D1" w:rsidRPr="005735D1" w:rsidRDefault="005735D1" w:rsidP="005735D1"/>
    <w:p w:rsidR="007866EF" w:rsidRDefault="002221F0" w:rsidP="005735D1">
      <w:r>
        <w:t>A</w:t>
      </w:r>
      <w:r w:rsidR="005735D1" w:rsidRPr="005735D1">
        <w:t xml:space="preserve"> company is </w:t>
      </w:r>
      <w:r w:rsidR="007866EF">
        <w:t xml:space="preserve">normally </w:t>
      </w:r>
      <w:r w:rsidR="005735D1" w:rsidRPr="005735D1">
        <w:t xml:space="preserve">accredited for three years. </w:t>
      </w:r>
      <w:r w:rsidR="007866EF">
        <w:t>During that time, “maintenance audits” are undertaken (</w:t>
      </w:r>
      <w:r>
        <w:t>on</w:t>
      </w:r>
      <w:r w:rsidR="007866EF">
        <w:t xml:space="preserve"> a mutually agreed </w:t>
      </w:r>
      <w:r>
        <w:t xml:space="preserve">date and </w:t>
      </w:r>
      <w:r w:rsidR="007866EF">
        <w:t xml:space="preserve">site) </w:t>
      </w:r>
      <w:r w:rsidR="00E20C80">
        <w:t xml:space="preserve">to verify the company’s </w:t>
      </w:r>
      <w:r w:rsidR="007866EF">
        <w:t xml:space="preserve">continued commitment to </w:t>
      </w:r>
      <w:r w:rsidR="00E20C80">
        <w:t>Scheme requirements.</w:t>
      </w:r>
      <w:r w:rsidR="007866EF">
        <w:t xml:space="preserve"> At present, one or two maintenance audits </w:t>
      </w:r>
      <w:r>
        <w:t xml:space="preserve">per company </w:t>
      </w:r>
      <w:r w:rsidR="00287E9C">
        <w:t xml:space="preserve">are undertaken </w:t>
      </w:r>
      <w:r w:rsidR="007866EF">
        <w:t xml:space="preserve">during each three year accreditation period (see Table </w:t>
      </w:r>
      <w:r w:rsidR="00A776C5">
        <w:t>3)</w:t>
      </w:r>
      <w:r w:rsidR="007866EF">
        <w:t xml:space="preserve">. </w:t>
      </w:r>
    </w:p>
    <w:p w:rsidR="007866EF" w:rsidRDefault="007866EF" w:rsidP="005735D1"/>
    <w:p w:rsidR="00DF1204" w:rsidRPr="006D6D0E" w:rsidRDefault="00DF1204" w:rsidP="005735D1">
      <w:r>
        <w:t xml:space="preserve">Additional audits are undertaken during accreditation periods for companies that have compliance action underway </w:t>
      </w:r>
      <w:r w:rsidRPr="006D6D0E">
        <w:t>(</w:t>
      </w:r>
      <w:r w:rsidR="00A776C5" w:rsidRPr="006D6D0E">
        <w:t>for example, as</w:t>
      </w:r>
      <w:r w:rsidRPr="006D6D0E">
        <w:t xml:space="preserve"> a result of </w:t>
      </w:r>
      <w:r w:rsidR="00264B89" w:rsidRPr="006D6D0E">
        <w:t>trends in areas of non-compliance, inability to satisfactorily address non-conformances</w:t>
      </w:r>
      <w:r w:rsidR="005A6269">
        <w:t xml:space="preserve"> </w:t>
      </w:r>
      <w:proofErr w:type="spellStart"/>
      <w:r w:rsidR="005A6269">
        <w:t>etc</w:t>
      </w:r>
      <w:proofErr w:type="spellEnd"/>
      <w:r w:rsidRPr="006D6D0E">
        <w:t>)</w:t>
      </w:r>
      <w:r w:rsidR="00264B89" w:rsidRPr="006D6D0E">
        <w:t xml:space="preserve">. </w:t>
      </w:r>
    </w:p>
    <w:p w:rsidR="00DF1204" w:rsidRPr="006D6D0E" w:rsidRDefault="00DF1204" w:rsidP="005735D1"/>
    <w:p w:rsidR="00470C47" w:rsidRPr="006D6D0E" w:rsidRDefault="00E20C80" w:rsidP="005735D1">
      <w:r w:rsidRPr="006D6D0E">
        <w:t>A</w:t>
      </w:r>
      <w:r w:rsidR="005735D1" w:rsidRPr="006D6D0E">
        <w:t xml:space="preserve">ccredited companies </w:t>
      </w:r>
      <w:r w:rsidR="00DF1204" w:rsidRPr="006D6D0E">
        <w:t xml:space="preserve">have six monthly incident and safety performance reporting obligations, and must </w:t>
      </w:r>
      <w:r w:rsidR="005735D1" w:rsidRPr="006D6D0E">
        <w:t xml:space="preserve">provide </w:t>
      </w:r>
      <w:r w:rsidR="00DF1204" w:rsidRPr="006D6D0E">
        <w:t>other notifications of significant occurrences (</w:t>
      </w:r>
      <w:r w:rsidR="006D6D0E">
        <w:t xml:space="preserve">for example, </w:t>
      </w:r>
      <w:r w:rsidR="00DF1204" w:rsidRPr="006D6D0E">
        <w:t xml:space="preserve">fatalities). </w:t>
      </w:r>
    </w:p>
    <w:p w:rsidR="00DF1204" w:rsidRDefault="00DF1204" w:rsidP="005735D1"/>
    <w:p w:rsidR="005735D1" w:rsidRPr="005735D1" w:rsidRDefault="00DF1204" w:rsidP="005735D1">
      <w:r>
        <w:t>After three years, t</w:t>
      </w:r>
      <w:r w:rsidR="005735D1" w:rsidRPr="005735D1">
        <w:t xml:space="preserve">he reaccreditation process is largely identical to the initial accreditation process, </w:t>
      </w:r>
      <w:r>
        <w:t>with similar gap analysis paperwork, but with</w:t>
      </w:r>
      <w:r w:rsidR="005735D1" w:rsidRPr="005735D1">
        <w:t xml:space="preserve"> the possibility of a single day on-site audit for companies that have demonstrated a solid safety record during the</w:t>
      </w:r>
      <w:r w:rsidR="00287E9C">
        <w:t xml:space="preserve"> period of the</w:t>
      </w:r>
      <w:r w:rsidR="005735D1" w:rsidRPr="005735D1">
        <w:t xml:space="preserve">ir accreditation. </w:t>
      </w:r>
    </w:p>
    <w:p w:rsidR="005735D1" w:rsidRDefault="005735D1" w:rsidP="005735D1"/>
    <w:p w:rsidR="00EB689D" w:rsidRDefault="00F543E9" w:rsidP="00E66426">
      <w:pPr>
        <w:pStyle w:val="Heading2"/>
      </w:pPr>
      <w:bookmarkStart w:id="12" w:name="_Toc378322597"/>
      <w:r>
        <w:t>Safety in the Industry</w:t>
      </w:r>
      <w:bookmarkEnd w:id="12"/>
    </w:p>
    <w:p w:rsidR="00EB689D" w:rsidRPr="006A280B" w:rsidRDefault="00EB689D" w:rsidP="00E66426"/>
    <w:p w:rsidR="00D768CE" w:rsidRPr="0053526A" w:rsidRDefault="00D768CE" w:rsidP="00E66426">
      <w:pPr>
        <w:rPr>
          <w:u w:val="single"/>
        </w:rPr>
      </w:pPr>
      <w:r w:rsidRPr="0053526A">
        <w:rPr>
          <w:u w:val="single"/>
        </w:rPr>
        <w:t>Industry snapshot</w:t>
      </w:r>
    </w:p>
    <w:p w:rsidR="00D768CE" w:rsidRPr="00D768CE" w:rsidRDefault="00D768CE" w:rsidP="00E66426"/>
    <w:p w:rsidR="00086110" w:rsidRDefault="00077A66" w:rsidP="00E66426">
      <w:r w:rsidRPr="00077A66">
        <w:t>In 2010-11, the Australian building and construction industry employed 1.03 million people, representing 9.1 per cent of the Australian workforce.</w:t>
      </w:r>
    </w:p>
    <w:p w:rsidR="00077A66" w:rsidRPr="006A280B" w:rsidRDefault="00077A66" w:rsidP="00E66426"/>
    <w:p w:rsidR="00086110" w:rsidRPr="006A280B" w:rsidRDefault="00086110" w:rsidP="00E66426">
      <w:r w:rsidRPr="006A280B">
        <w:t xml:space="preserve">It is estimated that more than 30 per cent of building and construction industry turnover may be undertaken by Scheme accredited companies. </w:t>
      </w:r>
    </w:p>
    <w:p w:rsidR="00346711" w:rsidRPr="006A280B" w:rsidRDefault="00346711" w:rsidP="00E66426"/>
    <w:p w:rsidR="006464E1" w:rsidRPr="006464E1" w:rsidRDefault="006464E1" w:rsidP="006464E1">
      <w:r w:rsidRPr="006464E1">
        <w:t xml:space="preserve">In 2000-01—just prior to the Cole Royal </w:t>
      </w:r>
      <w:r w:rsidR="007B20CA">
        <w:t xml:space="preserve">Commission </w:t>
      </w:r>
      <w:r w:rsidRPr="006464E1">
        <w:t>recommendation to establish the Scheme—the industry recorded a serious claims frequency rate (serious claims per million hours worked) of 15.1; the second worst of all industries. By 2009-10 this figure had dropped 36 per cent to 9.6, representing the third biggest decrease across all industries.</w:t>
      </w:r>
    </w:p>
    <w:p w:rsidR="002A43FA" w:rsidRDefault="002A43FA" w:rsidP="00E66426"/>
    <w:p w:rsidR="00D768CE" w:rsidRPr="00D768CE" w:rsidRDefault="00D768CE" w:rsidP="00E66426">
      <w:r w:rsidRPr="00B01404">
        <w:rPr>
          <w:noProof/>
          <w:highlight w:val="yellow"/>
        </w:rPr>
        <w:lastRenderedPageBreak/>
        <w:drawing>
          <wp:inline distT="0" distB="0" distL="0" distR="0" wp14:anchorId="288B45FF" wp14:editId="02090A2D">
            <wp:extent cx="6467475" cy="3267075"/>
            <wp:effectExtent l="0" t="0" r="9525" b="9525"/>
            <wp:docPr id="20" name="Chart 20" descr="Y Axis: Serious claims per million hours worked&#10;X Axis: Financial years, starting 2000-1 and ending with preliminary 2010-11 data.&#10;&#10;Series and figures, starting with 2000-1 on the left and ending with 2010-11p on the right:&#10;&#10;Manufacturing: 30 920, 27 030, 26 750, 25 540, 23 145, 21 060, 19 425&#10;Construction: 13 575, 13 215, 13 525, 14 265, 14 505, 13 260, 12 985&#10;Transport &amp; storage: 11 405, 10 970, 10 990, 11 225, 10 890, 10 380, 9 525&#10;Agriculture, forestry &amp; fishing: 5 840, 4 670, 4 570, 4 310, 4 340, 3 995, 3 675&#10;&#10;" title="Table 1 - Frequency rate (serious claims per million hours worked)"/>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768CE" w:rsidRPr="00D768CE" w:rsidRDefault="00D768CE" w:rsidP="00E66426">
      <w:r w:rsidRPr="00D768CE">
        <w:rPr>
          <w:vertAlign w:val="superscript"/>
        </w:rPr>
        <w:footnoteReference w:id="2"/>
      </w:r>
    </w:p>
    <w:p w:rsidR="00D768CE" w:rsidRPr="001F6558" w:rsidRDefault="00D768CE" w:rsidP="00E66426">
      <w:pPr>
        <w:rPr>
          <w:highlight w:val="yellow"/>
        </w:rPr>
      </w:pPr>
      <w:r w:rsidRPr="00D768CE">
        <w:t xml:space="preserve">The fatality rate (deaths per 100 000 workers) for the building and construction industry in 2003 was 5.84; the </w:t>
      </w:r>
      <w:r w:rsidR="00340794">
        <w:t>fourth</w:t>
      </w:r>
      <w:r w:rsidRPr="00D768CE">
        <w:t xml:space="preserve"> worst of all industries</w:t>
      </w:r>
      <w:r w:rsidR="004310CB">
        <w:t xml:space="preserve"> (including mining, not shown on the graph below)</w:t>
      </w:r>
      <w:r w:rsidRPr="00D768CE">
        <w:t xml:space="preserve">. By 2012 that figure had dropped 49 per cent to 3.0. While construction still remains the </w:t>
      </w:r>
      <w:r w:rsidR="00340794">
        <w:t>fourth</w:t>
      </w:r>
      <w:r w:rsidR="00436AF0">
        <w:t xml:space="preserve"> </w:t>
      </w:r>
      <w:r w:rsidRPr="00D768CE">
        <w:t xml:space="preserve">worst industry (data from Safe Work Australia for the three year period 2009 to 2011 shows that deaths in the construction industry from work-related injuries occurred at nearly twice the national fatalities rate), this 49 per cent decrease in fatality rate was the sixth biggest </w:t>
      </w:r>
      <w:r w:rsidR="001E1956">
        <w:t xml:space="preserve">decrease </w:t>
      </w:r>
      <w:r w:rsidRPr="00D768CE">
        <w:t>recorded across all industries.</w:t>
      </w:r>
      <w:r w:rsidRPr="001F6558">
        <w:rPr>
          <w:highlight w:val="yellow"/>
        </w:rPr>
        <w:t xml:space="preserve">   </w:t>
      </w:r>
    </w:p>
    <w:p w:rsidR="00D768CE" w:rsidRPr="001F6558" w:rsidRDefault="00D768CE" w:rsidP="00E66426">
      <w:pPr>
        <w:rPr>
          <w:highlight w:val="yellow"/>
        </w:rPr>
      </w:pPr>
    </w:p>
    <w:p w:rsidR="00D768CE" w:rsidRPr="00D768CE" w:rsidRDefault="00D768CE" w:rsidP="00E66426">
      <w:r w:rsidRPr="00D768CE">
        <w:rPr>
          <w:noProof/>
        </w:rPr>
        <w:drawing>
          <wp:inline distT="0" distB="0" distL="0" distR="0" wp14:anchorId="2FD81F37" wp14:editId="113243AC">
            <wp:extent cx="6534150" cy="3095625"/>
            <wp:effectExtent l="0" t="0" r="19050" b="9525"/>
            <wp:docPr id="31" name="Chart 31" descr="Y Axis: deaths per 100 000 workers&#10;X Axis: calander years starting 2003 and ending 2012&#10;&#10;Series data begining with with 2003 on the left and ending with 2012 on the right:&#10;&#10;Transport, postal &amp; warehousing: 14.64, 13.77, 10.99, 11.82, 14.96, 12.24, 10.68, 7.63, 8.06, 11.54&#10;Agriculture, forestry &amp; fishing:15.85, 21.28, 17.17, 13.11, 14.74, 17.85, 16.47, 14.02, 18.05, 15.91&#10;Construction; 5.84, 4.50, 3.98, 5.25, 5.36, 4.11, 4.02, 4.33, 4.07, 3.00&#10;Manufacturing: 1.82, 2.19, 2.13, 2.74, 2.31, 2.74, 2.17, 2.11, 2.28, 1.87&#10;&#10;" title="Table 2 - Fatality rate (deaths per 100 000 workers) by industry of employe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768CE" w:rsidRPr="00D768CE" w:rsidRDefault="00D768CE" w:rsidP="00E66426">
      <w:r w:rsidRPr="00D768CE">
        <w:rPr>
          <w:vertAlign w:val="superscript"/>
        </w:rPr>
        <w:footnoteReference w:id="3"/>
      </w:r>
    </w:p>
    <w:p w:rsidR="00432428" w:rsidRDefault="00432428" w:rsidP="00E66426"/>
    <w:p w:rsidR="00432428" w:rsidRDefault="00D768CE" w:rsidP="00E66426">
      <w:r w:rsidRPr="00D768CE">
        <w:t xml:space="preserve">Despite these improvements, building and construction remains a dangerous industry. </w:t>
      </w:r>
    </w:p>
    <w:p w:rsidR="00D768CE" w:rsidRPr="00D768CE" w:rsidRDefault="00D768CE" w:rsidP="00E66426">
      <w:r w:rsidRPr="00D768CE">
        <w:lastRenderedPageBreak/>
        <w:t>In 2012 the top five mechanisms leading to fatalities in Australia</w:t>
      </w:r>
      <w:r w:rsidR="00B01404">
        <w:t>n workplaces</w:t>
      </w:r>
      <w:r w:rsidRPr="00D768CE">
        <w:t xml:space="preserve"> were vehicle incidents (39%), being hit by moving objects (12%), falls from height (11%), being hit by falling objects (9%) and being trapped between stationary and moving objects (5%)</w:t>
      </w:r>
      <w:r w:rsidRPr="00D768CE">
        <w:rPr>
          <w:rStyle w:val="FootnoteReference"/>
        </w:rPr>
        <w:footnoteReference w:id="4"/>
      </w:r>
      <w:r w:rsidRPr="00D768CE">
        <w:t>; all of which represent everyday risks on building and construction sites.</w:t>
      </w:r>
    </w:p>
    <w:p w:rsidR="00D768CE" w:rsidRPr="00D768CE" w:rsidRDefault="00D768CE" w:rsidP="00E66426"/>
    <w:p w:rsidR="00F42269" w:rsidRPr="00E66426" w:rsidRDefault="00F42269" w:rsidP="00F42269">
      <w:pPr>
        <w:pStyle w:val="Heading2"/>
      </w:pPr>
      <w:bookmarkStart w:id="13" w:name="_Toc378322596"/>
      <w:bookmarkStart w:id="14" w:name="_Toc377032030"/>
      <w:bookmarkStart w:id="15" w:name="_Toc377032209"/>
      <w:bookmarkStart w:id="16" w:name="_Toc377040205"/>
      <w:bookmarkStart w:id="17" w:name="_Toc377040502"/>
      <w:bookmarkStart w:id="18" w:name="_Toc378322598"/>
      <w:r>
        <w:t>A</w:t>
      </w:r>
      <w:r w:rsidRPr="00E66426">
        <w:t>pplication of the Scheme</w:t>
      </w:r>
      <w:bookmarkEnd w:id="13"/>
    </w:p>
    <w:p w:rsidR="00F42269" w:rsidRPr="00896E05" w:rsidRDefault="00F42269" w:rsidP="00F42269"/>
    <w:p w:rsidR="00F42269" w:rsidRPr="006A280B" w:rsidRDefault="00F42269" w:rsidP="00F42269">
      <w:r w:rsidRPr="006A280B">
        <w:t xml:space="preserve">The Scheme applies to projects funded directly or indirectly by the </w:t>
      </w:r>
      <w:r>
        <w:t xml:space="preserve">Commonwealth </w:t>
      </w:r>
      <w:r w:rsidRPr="006A280B">
        <w:t>Government, subject to the following current thresholds:</w:t>
      </w:r>
    </w:p>
    <w:p w:rsidR="00F42269" w:rsidRPr="006A280B" w:rsidRDefault="00F42269" w:rsidP="00F42269"/>
    <w:p w:rsidR="00F42269" w:rsidRPr="00E66426" w:rsidRDefault="00F42269" w:rsidP="00F42269">
      <w:pPr>
        <w:pStyle w:val="Heading3"/>
      </w:pPr>
      <w:bookmarkStart w:id="19" w:name="_Toc377032027"/>
      <w:r w:rsidRPr="00E66426">
        <w:t>Directly funded building work</w:t>
      </w:r>
      <w:bookmarkEnd w:id="19"/>
    </w:p>
    <w:p w:rsidR="00F42269" w:rsidRPr="006A280B" w:rsidRDefault="00F42269" w:rsidP="00F42269"/>
    <w:p w:rsidR="00F42269" w:rsidRPr="006A280B" w:rsidRDefault="00F42269" w:rsidP="00F42269">
      <w:r w:rsidRPr="006A280B">
        <w:t>Projects are considered to be directly funded where a Government agency is the client. This includes pre-commitment leases and similar arrangements. Typical examples of directly funded projects are the Department of Defence constructing a new military facility or an agency arranging for the construction of a new office or a fit out of an existing building.</w:t>
      </w:r>
    </w:p>
    <w:p w:rsidR="00F42269" w:rsidRPr="006A280B" w:rsidRDefault="00F42269" w:rsidP="00F42269"/>
    <w:p w:rsidR="00F42269" w:rsidRPr="009E51EF" w:rsidRDefault="00F42269" w:rsidP="00F42269">
      <w:pPr>
        <w:pStyle w:val="ListParagraph"/>
        <w:numPr>
          <w:ilvl w:val="0"/>
          <w:numId w:val="4"/>
        </w:numPr>
      </w:pPr>
      <w:r w:rsidRPr="009E51EF">
        <w:t>The Scheme must be applied to all directly funded head contracts for building work with a value of $3 million and above (including GST).</w:t>
      </w:r>
    </w:p>
    <w:p w:rsidR="00F42269" w:rsidRPr="006A280B" w:rsidRDefault="00F42269" w:rsidP="00F42269"/>
    <w:p w:rsidR="00F42269" w:rsidRPr="006A280B" w:rsidRDefault="00F42269" w:rsidP="00F42269">
      <w:pPr>
        <w:pStyle w:val="Heading3"/>
      </w:pPr>
      <w:bookmarkStart w:id="20" w:name="_Toc377032028"/>
      <w:r w:rsidRPr="006A280B">
        <w:t>Indirectly funded building work</w:t>
      </w:r>
      <w:bookmarkEnd w:id="20"/>
    </w:p>
    <w:p w:rsidR="00F42269" w:rsidRPr="006A280B" w:rsidRDefault="00F42269" w:rsidP="00F42269"/>
    <w:p w:rsidR="00F42269" w:rsidRPr="006A280B" w:rsidRDefault="00F42269" w:rsidP="00F42269">
      <w:r w:rsidRPr="006A280B">
        <w:t>Projects are considered indirectly funded where the Government contributes funding t</w:t>
      </w:r>
      <w:r>
        <w:t xml:space="preserve">hrough </w:t>
      </w:r>
      <w:r w:rsidRPr="006A280B">
        <w:t>a third party, such as a state government</w:t>
      </w:r>
      <w:r>
        <w:t xml:space="preserve">. </w:t>
      </w:r>
      <w:r w:rsidRPr="006A280B">
        <w:t>Some typical examples of indirectly funded building work are where the Government provides funding for a state government to construct a road, or where the Government provides funding to a university to construct a research facility.</w:t>
      </w:r>
    </w:p>
    <w:p w:rsidR="00F42269" w:rsidRDefault="00F42269"/>
    <w:p w:rsidR="00F42269" w:rsidRDefault="00F42269" w:rsidP="00F42269">
      <w:r>
        <w:t xml:space="preserve">The </w:t>
      </w:r>
      <w:r w:rsidRPr="006A280B">
        <w:t>Scheme</w:t>
      </w:r>
      <w:r>
        <w:t xml:space="preserve"> applies </w:t>
      </w:r>
      <w:r w:rsidRPr="006A280B">
        <w:t>where</w:t>
      </w:r>
      <w:r>
        <w:t xml:space="preserve"> the Government contribution to the project is: </w:t>
      </w:r>
    </w:p>
    <w:p w:rsidR="00F42269" w:rsidRDefault="00F42269" w:rsidP="00F42269"/>
    <w:p w:rsidR="00F42269" w:rsidRPr="006A280B" w:rsidRDefault="00F42269" w:rsidP="00F42269">
      <w:pPr>
        <w:pStyle w:val="ListParagraph"/>
        <w:numPr>
          <w:ilvl w:val="0"/>
          <w:numId w:val="4"/>
        </w:numPr>
      </w:pPr>
      <w:r w:rsidRPr="006A280B">
        <w:t xml:space="preserve">at least $5 million and represents at least 50 per cent of the total project value; or </w:t>
      </w:r>
    </w:p>
    <w:p w:rsidR="00F42269" w:rsidRDefault="00F42269" w:rsidP="00F42269">
      <w:pPr>
        <w:pStyle w:val="ListParagraph"/>
        <w:numPr>
          <w:ilvl w:val="0"/>
          <w:numId w:val="4"/>
        </w:numPr>
      </w:pPr>
      <w:r w:rsidRPr="006A280B">
        <w:t>$10 million, irrespe</w:t>
      </w:r>
      <w:r>
        <w:t xml:space="preserve">ctive of the overall proportion and </w:t>
      </w:r>
    </w:p>
    <w:p w:rsidR="004F55DA" w:rsidRDefault="004F55DA" w:rsidP="00B22E8A">
      <w:pPr>
        <w:pStyle w:val="ListParagraph"/>
      </w:pPr>
    </w:p>
    <w:p w:rsidR="00F42269" w:rsidRPr="009E51EF" w:rsidRDefault="00F42269" w:rsidP="00F42269">
      <w:proofErr w:type="gramStart"/>
      <w:r w:rsidRPr="009E51EF">
        <w:t>the</w:t>
      </w:r>
      <w:proofErr w:type="gramEnd"/>
      <w:r w:rsidRPr="009E51EF">
        <w:t xml:space="preserve"> value of the head contract for building work is $3 million and above.</w:t>
      </w:r>
    </w:p>
    <w:p w:rsidR="00F42269" w:rsidRDefault="00F42269" w:rsidP="00575CD7">
      <w:pPr>
        <w:pStyle w:val="Heading2"/>
        <w:rPr>
          <w:b w:val="0"/>
          <w:u w:val="single"/>
        </w:rPr>
      </w:pPr>
    </w:p>
    <w:p w:rsidR="00D768CE" w:rsidRPr="00575CD7" w:rsidRDefault="00D768CE" w:rsidP="00575CD7">
      <w:pPr>
        <w:pStyle w:val="Heading2"/>
        <w:rPr>
          <w:b w:val="0"/>
          <w:u w:val="single"/>
        </w:rPr>
      </w:pPr>
      <w:r w:rsidRPr="00575CD7">
        <w:rPr>
          <w:b w:val="0"/>
          <w:u w:val="single"/>
        </w:rPr>
        <w:t xml:space="preserve">Scheme </w:t>
      </w:r>
      <w:r w:rsidR="00575CD7" w:rsidRPr="00575CD7">
        <w:rPr>
          <w:b w:val="0"/>
          <w:u w:val="single"/>
        </w:rPr>
        <w:t>coverage</w:t>
      </w:r>
      <w:bookmarkEnd w:id="14"/>
      <w:bookmarkEnd w:id="15"/>
      <w:bookmarkEnd w:id="16"/>
      <w:bookmarkEnd w:id="17"/>
      <w:bookmarkEnd w:id="18"/>
    </w:p>
    <w:p w:rsidR="00D768CE" w:rsidRPr="00D768CE" w:rsidRDefault="00D768CE" w:rsidP="00E66426"/>
    <w:p w:rsidR="00D768CE" w:rsidRPr="00D768CE" w:rsidRDefault="00D768CE" w:rsidP="00E66426">
      <w:r w:rsidRPr="00D768CE">
        <w:t xml:space="preserve">As at </w:t>
      </w:r>
      <w:r w:rsidR="00366489">
        <w:t>31</w:t>
      </w:r>
      <w:r w:rsidRPr="00D768CE">
        <w:t xml:space="preserve"> December 2013 there </w:t>
      </w:r>
      <w:r w:rsidR="00366489">
        <w:t xml:space="preserve">were </w:t>
      </w:r>
      <w:r w:rsidR="008F6779">
        <w:t>305</w:t>
      </w:r>
      <w:r w:rsidRPr="00D768CE">
        <w:t xml:space="preserve"> accredited companies with another </w:t>
      </w:r>
      <w:r w:rsidRPr="002437EC">
        <w:t>152</w:t>
      </w:r>
      <w:r w:rsidRPr="00D768CE">
        <w:t xml:space="preserve"> applications under consideration. </w:t>
      </w:r>
    </w:p>
    <w:p w:rsidR="00D768CE" w:rsidRPr="00D768CE" w:rsidRDefault="00D768CE" w:rsidP="00E66426"/>
    <w:p w:rsidR="00D768CE" w:rsidRDefault="00D768CE" w:rsidP="00E66426">
      <w:r w:rsidRPr="00D768CE">
        <w:t>While the ability to tender for Scheme projects is a key motivator in applying for accreditation, 40 per cent of companies that have gained accreditation have not undertaken a Scheme project.</w:t>
      </w:r>
    </w:p>
    <w:p w:rsidR="00A87128" w:rsidRDefault="00A87128" w:rsidP="00E66426"/>
    <w:p w:rsidR="00AC21F4" w:rsidRPr="00D768CE" w:rsidRDefault="00AC0E52" w:rsidP="00AC21F4">
      <w:r>
        <w:t>S</w:t>
      </w:r>
      <w:r w:rsidR="00AC21F4" w:rsidRPr="00D768CE">
        <w:t xml:space="preserve">ince the inception of the Scheme, </w:t>
      </w:r>
      <w:r>
        <w:t xml:space="preserve">there have been </w:t>
      </w:r>
      <w:r w:rsidR="00AC21F4">
        <w:t xml:space="preserve">more than </w:t>
      </w:r>
      <w:r w:rsidR="00AC21F4" w:rsidRPr="00D768CE">
        <w:t>10</w:t>
      </w:r>
      <w:r w:rsidR="00AC21F4">
        <w:t>00</w:t>
      </w:r>
      <w:r w:rsidR="00AC21F4" w:rsidRPr="00D768CE">
        <w:t xml:space="preserve"> </w:t>
      </w:r>
      <w:r>
        <w:t xml:space="preserve">Scheme </w:t>
      </w:r>
      <w:r w:rsidR="00AC21F4" w:rsidRPr="00D768CE">
        <w:t xml:space="preserve">projects worth </w:t>
      </w:r>
      <w:r w:rsidR="00AC21F4">
        <w:t xml:space="preserve">almost </w:t>
      </w:r>
      <w:r w:rsidR="00AC21F4" w:rsidRPr="00D768CE">
        <w:t>$5</w:t>
      </w:r>
      <w:r w:rsidR="00AC21F4">
        <w:t>3</w:t>
      </w:r>
      <w:r w:rsidR="00DB6787">
        <w:t xml:space="preserve"> </w:t>
      </w:r>
      <w:r w:rsidR="00AC21F4" w:rsidRPr="00D768CE">
        <w:t>billion</w:t>
      </w:r>
      <w:r w:rsidR="001F42A5">
        <w:t xml:space="preserve">. Of these, </w:t>
      </w:r>
      <w:r w:rsidR="00AC21F4" w:rsidRPr="00D768CE">
        <w:t xml:space="preserve">324 </w:t>
      </w:r>
      <w:r w:rsidR="001F42A5">
        <w:t xml:space="preserve">projects are </w:t>
      </w:r>
      <w:r w:rsidR="00AC21F4" w:rsidRPr="00D768CE">
        <w:t>currently active</w:t>
      </w:r>
      <w:r w:rsidR="001F42A5">
        <w:t xml:space="preserve"> and t</w:t>
      </w:r>
      <w:r w:rsidR="00AC21F4" w:rsidRPr="00D768CE">
        <w:t>here are a further 342 potential Scheme projects at the tender or concept stage worth an additional $49</w:t>
      </w:r>
      <w:r w:rsidR="00DB6787">
        <w:t xml:space="preserve"> </w:t>
      </w:r>
      <w:r w:rsidR="00AC21F4" w:rsidRPr="00D768CE">
        <w:t>billion.</w:t>
      </w:r>
    </w:p>
    <w:p w:rsidR="00D768CE" w:rsidRDefault="00D768CE" w:rsidP="00E66426">
      <w:pPr>
        <w:pStyle w:val="Heading3"/>
      </w:pPr>
    </w:p>
    <w:p w:rsidR="000A7F29" w:rsidRDefault="000A7F29">
      <w:pPr>
        <w:rPr>
          <w:u w:val="single"/>
        </w:rPr>
      </w:pPr>
      <w:bookmarkStart w:id="21" w:name="_Toc377032032"/>
      <w:r>
        <w:br w:type="page"/>
      </w:r>
    </w:p>
    <w:p w:rsidR="00D768CE" w:rsidRDefault="00575CD7" w:rsidP="00E66426">
      <w:pPr>
        <w:pStyle w:val="Heading3"/>
      </w:pPr>
      <w:r w:rsidRPr="00575CD7">
        <w:lastRenderedPageBreak/>
        <w:t xml:space="preserve">Scheme </w:t>
      </w:r>
      <w:r w:rsidR="00D768CE" w:rsidRPr="00575CD7">
        <w:t>Performance</w:t>
      </w:r>
      <w:bookmarkEnd w:id="21"/>
    </w:p>
    <w:p w:rsidR="00D71CA6" w:rsidRDefault="00D71CA6" w:rsidP="00D71CA6"/>
    <w:p w:rsidR="002221F0" w:rsidRDefault="002221F0" w:rsidP="000A7F29">
      <w:r>
        <w:t>While a number of indicators suggest accredited companies have higher safety outcomes and improve their safety performance following accreditation, it is not possible to isolate the contribution of the Scheme from other variables. For example, accredited companies may achieve higher standards as a result of their size, pre-existing commitment to safety or other factors that are additional to the contribution of the Scheme accreditation process.</w:t>
      </w:r>
    </w:p>
    <w:p w:rsidR="002221F0" w:rsidRDefault="002221F0" w:rsidP="00D71CA6"/>
    <w:p w:rsidR="006852C5" w:rsidRDefault="006852C5" w:rsidP="00D71CA6">
      <w:r>
        <w:t xml:space="preserve">Comparison of OFSC data with broader industry data is also problematic due to inconsistent statistical and definitional approaches. For instance, Australian Bureau of Statistics </w:t>
      </w:r>
      <w:r w:rsidR="00892847">
        <w:t xml:space="preserve">(ABS) </w:t>
      </w:r>
      <w:r>
        <w:t xml:space="preserve">data on fatalities and injuries for the building and construction industry captures employees, </w:t>
      </w:r>
      <w:r w:rsidR="00287E9C">
        <w:t xml:space="preserve">whereas the </w:t>
      </w:r>
      <w:r>
        <w:t xml:space="preserve">OFSC </w:t>
      </w:r>
      <w:r w:rsidR="00287E9C">
        <w:t xml:space="preserve">captures data on employees and </w:t>
      </w:r>
      <w:r>
        <w:t>subcontractors. Similarly, incidents are recorded for the broader industry based on a compensation claim being lodged whereas OFSC data is reported at the time of an incident occurring, regardless of any subsequent compensation claim. Industry data measures a serious claim as being an incident that results in an absence from work of one week or more, whereas the OFSC capture incidents that result in an absence from work or regular duties of one day or more.</w:t>
      </w:r>
    </w:p>
    <w:p w:rsidR="006852C5" w:rsidRDefault="006852C5" w:rsidP="00D71CA6"/>
    <w:p w:rsidR="00D71CA6" w:rsidRPr="00D768CE" w:rsidRDefault="00D60E08" w:rsidP="00D71CA6">
      <w:r>
        <w:t xml:space="preserve">Data </w:t>
      </w:r>
      <w:r w:rsidR="00B6172E">
        <w:t xml:space="preserve">that </w:t>
      </w:r>
      <w:r>
        <w:t>is available suggests that a</w:t>
      </w:r>
      <w:r w:rsidR="001F42A5">
        <w:t>ccredited companies report improved injury rates and a reduction in compensation premiums.</w:t>
      </w:r>
      <w:r>
        <w:t xml:space="preserve"> By the time companies have b</w:t>
      </w:r>
      <w:r w:rsidR="00D71CA6" w:rsidRPr="00D768CE">
        <w:t xml:space="preserve">een accredited for </w:t>
      </w:r>
      <w:r>
        <w:t>six</w:t>
      </w:r>
      <w:r w:rsidR="00D71CA6" w:rsidRPr="00D768CE">
        <w:t xml:space="preserve"> years</w:t>
      </w:r>
      <w:r>
        <w:t xml:space="preserve"> (applying for their second re-accreditation)</w:t>
      </w:r>
      <w:r w:rsidR="00D71CA6" w:rsidRPr="00D768CE">
        <w:t>:</w:t>
      </w:r>
    </w:p>
    <w:p w:rsidR="00D71CA6" w:rsidRPr="00D768CE" w:rsidRDefault="00D71CA6" w:rsidP="00D71CA6"/>
    <w:p w:rsidR="00D71CA6" w:rsidRPr="00D768CE" w:rsidRDefault="00432428" w:rsidP="00D71CA6">
      <w:pPr>
        <w:pStyle w:val="ListParagraph"/>
        <w:numPr>
          <w:ilvl w:val="0"/>
          <w:numId w:val="3"/>
        </w:numPr>
      </w:pPr>
      <w:proofErr w:type="gramStart"/>
      <w:r>
        <w:t>o</w:t>
      </w:r>
      <w:r w:rsidR="00D71CA6" w:rsidRPr="00D768CE">
        <w:t>ver</w:t>
      </w:r>
      <w:proofErr w:type="gramEnd"/>
      <w:r w:rsidR="00D71CA6" w:rsidRPr="00D768CE">
        <w:t xml:space="preserve"> 70 per cent recorded improvements to their Lost Time Injury Frequency Rate (</w:t>
      </w:r>
      <w:proofErr w:type="spellStart"/>
      <w:r w:rsidR="00D71CA6" w:rsidRPr="00D768CE">
        <w:t>LTIFR</w:t>
      </w:r>
      <w:proofErr w:type="spellEnd"/>
      <w:r w:rsidR="00D71CA6" w:rsidRPr="00D768CE">
        <w:t>). Of those companies that recorded an improvement, their rates decreased by an average of 69 per cent.</w:t>
      </w:r>
    </w:p>
    <w:p w:rsidR="00D71CA6" w:rsidRPr="00D768CE" w:rsidRDefault="00D71CA6" w:rsidP="00D71CA6"/>
    <w:p w:rsidR="00D71CA6" w:rsidRPr="00D768CE" w:rsidRDefault="00432428" w:rsidP="00D71CA6">
      <w:pPr>
        <w:pStyle w:val="ListParagraph"/>
        <w:numPr>
          <w:ilvl w:val="0"/>
          <w:numId w:val="3"/>
        </w:numPr>
      </w:pPr>
      <w:proofErr w:type="gramStart"/>
      <w:r>
        <w:t>s</w:t>
      </w:r>
      <w:r w:rsidR="00D71CA6" w:rsidRPr="00D768CE">
        <w:t>ixty</w:t>
      </w:r>
      <w:proofErr w:type="gramEnd"/>
      <w:r w:rsidR="00D71CA6" w:rsidRPr="00D768CE">
        <w:t xml:space="preserve"> per cent demonstrated improvements to their Worker’s Compensation Premium Rates. Of those companies that recorded an improvement, their rates decreased by an average of 44 per cent.</w:t>
      </w:r>
    </w:p>
    <w:p w:rsidR="00D71CA6" w:rsidRPr="006A280B" w:rsidRDefault="00D71CA6" w:rsidP="00D71CA6"/>
    <w:p w:rsidR="00A87128" w:rsidRPr="00D768CE" w:rsidRDefault="00A87128" w:rsidP="00A87128">
      <w:r w:rsidRPr="00D768CE">
        <w:t>Accredited c</w:t>
      </w:r>
      <w:r w:rsidR="00C845CB">
        <w:t>ompanies</w:t>
      </w:r>
      <w:r w:rsidRPr="00D768CE">
        <w:t xml:space="preserve"> recorded Worker’s Compensation Premium Rates 20 per cent lower than the industry average in the July to December 2012 period.</w:t>
      </w:r>
    </w:p>
    <w:p w:rsidR="00A87128" w:rsidRDefault="00A87128" w:rsidP="00E66426"/>
    <w:p w:rsidR="00A01AC8" w:rsidRDefault="00A01AC8" w:rsidP="00A01AC8">
      <w:r>
        <w:t xml:space="preserve">During the July to December 2012 reporting period, 63 per cent and 58 per cent of accredited companies undertaking building work reported </w:t>
      </w:r>
      <w:proofErr w:type="spellStart"/>
      <w:r>
        <w:t>LTIFRs</w:t>
      </w:r>
      <w:proofErr w:type="spellEnd"/>
      <w:r>
        <w:t xml:space="preserve"> of </w:t>
      </w:r>
      <w:r w:rsidR="003A6267">
        <w:t>zero</w:t>
      </w:r>
      <w:r>
        <w:t xml:space="preserve"> for Scheme and non-Scheme projects respectively.</w:t>
      </w:r>
    </w:p>
    <w:p w:rsidR="00A01AC8" w:rsidRDefault="00A01AC8" w:rsidP="00E66426"/>
    <w:p w:rsidR="001F42A5" w:rsidRDefault="001F42A5">
      <w:pPr>
        <w:rPr>
          <w:b/>
          <w:sz w:val="24"/>
          <w:szCs w:val="24"/>
        </w:rPr>
      </w:pPr>
      <w:bookmarkStart w:id="22" w:name="_Toc377032034"/>
      <w:bookmarkStart w:id="23" w:name="_Toc378322599"/>
      <w:r>
        <w:br w:type="page"/>
      </w:r>
    </w:p>
    <w:p w:rsidR="00EC6952" w:rsidRPr="00EC6952" w:rsidRDefault="006E1135" w:rsidP="00E66426">
      <w:pPr>
        <w:pStyle w:val="Heading1"/>
      </w:pPr>
      <w:r w:rsidRPr="006E1135">
        <w:lastRenderedPageBreak/>
        <w:t>Issues for comment</w:t>
      </w:r>
      <w:bookmarkEnd w:id="22"/>
      <w:bookmarkEnd w:id="23"/>
    </w:p>
    <w:p w:rsidR="00EC6952" w:rsidRPr="006E1135" w:rsidRDefault="00EC6952" w:rsidP="00E66426"/>
    <w:p w:rsidR="00113479" w:rsidRDefault="00113479" w:rsidP="0047623F">
      <w:pPr>
        <w:pStyle w:val="Heading2"/>
      </w:pPr>
      <w:bookmarkStart w:id="24" w:name="_Toc377032035"/>
      <w:bookmarkStart w:id="25" w:name="_Toc378322600"/>
      <w:r>
        <w:t>Summary</w:t>
      </w:r>
    </w:p>
    <w:p w:rsidR="00113479" w:rsidRDefault="00113479" w:rsidP="0047623F">
      <w:pPr>
        <w:pStyle w:val="Heading2"/>
      </w:pPr>
    </w:p>
    <w:p w:rsidR="00113479" w:rsidRPr="00264B89" w:rsidRDefault="00E77341" w:rsidP="0047623F">
      <w:pPr>
        <w:pStyle w:val="Heading2"/>
        <w:rPr>
          <w:b w:val="0"/>
        </w:rPr>
      </w:pPr>
      <w:r w:rsidRPr="00264B89">
        <w:rPr>
          <w:b w:val="0"/>
        </w:rPr>
        <w:t xml:space="preserve">Reducing red tape and compliance costs can be addressed in three </w:t>
      </w:r>
      <w:r w:rsidR="00113479" w:rsidRPr="00264B89">
        <w:rPr>
          <w:b w:val="0"/>
        </w:rPr>
        <w:t xml:space="preserve">main </w:t>
      </w:r>
      <w:r w:rsidRPr="00264B89">
        <w:rPr>
          <w:b w:val="0"/>
        </w:rPr>
        <w:t>ways. Firstly, the coverage of the Scheme can be reduced</w:t>
      </w:r>
      <w:r w:rsidR="00287E9C">
        <w:rPr>
          <w:b w:val="0"/>
        </w:rPr>
        <w:t xml:space="preserve">. </w:t>
      </w:r>
      <w:r w:rsidRPr="00264B89">
        <w:rPr>
          <w:b w:val="0"/>
        </w:rPr>
        <w:t xml:space="preserve"> Secondly, </w:t>
      </w:r>
      <w:r w:rsidR="00A97BC0" w:rsidRPr="00264B89">
        <w:rPr>
          <w:b w:val="0"/>
        </w:rPr>
        <w:t xml:space="preserve">some current </w:t>
      </w:r>
      <w:r w:rsidRPr="00264B89">
        <w:rPr>
          <w:b w:val="0"/>
        </w:rPr>
        <w:t>paperwork and compliance</w:t>
      </w:r>
      <w:r w:rsidR="00A97BC0" w:rsidRPr="00264B89">
        <w:rPr>
          <w:b w:val="0"/>
        </w:rPr>
        <w:t xml:space="preserve"> </w:t>
      </w:r>
      <w:r w:rsidRPr="00264B89">
        <w:rPr>
          <w:b w:val="0"/>
        </w:rPr>
        <w:t xml:space="preserve">requirements </w:t>
      </w:r>
      <w:r w:rsidR="00136986" w:rsidRPr="00264B89">
        <w:rPr>
          <w:b w:val="0"/>
        </w:rPr>
        <w:t>could</w:t>
      </w:r>
      <w:r w:rsidR="00A97BC0" w:rsidRPr="00264B89">
        <w:rPr>
          <w:b w:val="0"/>
        </w:rPr>
        <w:t xml:space="preserve"> be removed or streamlined</w:t>
      </w:r>
      <w:r w:rsidRPr="00264B89">
        <w:rPr>
          <w:b w:val="0"/>
        </w:rPr>
        <w:t xml:space="preserve">, which could be done in conjunction with </w:t>
      </w:r>
      <w:r w:rsidR="00A97BC0" w:rsidRPr="00264B89">
        <w:rPr>
          <w:b w:val="0"/>
        </w:rPr>
        <w:t xml:space="preserve">a </w:t>
      </w:r>
      <w:r w:rsidR="00113479" w:rsidRPr="00264B89">
        <w:rPr>
          <w:b w:val="0"/>
        </w:rPr>
        <w:t xml:space="preserve">more </w:t>
      </w:r>
      <w:r w:rsidRPr="00264B89">
        <w:rPr>
          <w:b w:val="0"/>
        </w:rPr>
        <w:t>targeted, risk</w:t>
      </w:r>
      <w:r w:rsidR="00E500BD">
        <w:rPr>
          <w:b w:val="0"/>
        </w:rPr>
        <w:t>-</w:t>
      </w:r>
      <w:r w:rsidRPr="00264B89">
        <w:rPr>
          <w:b w:val="0"/>
        </w:rPr>
        <w:t xml:space="preserve">based approach to compliance </w:t>
      </w:r>
      <w:r w:rsidR="00A97BC0" w:rsidRPr="00264B89">
        <w:rPr>
          <w:b w:val="0"/>
        </w:rPr>
        <w:t>monitoring</w:t>
      </w:r>
      <w:r w:rsidRPr="00264B89">
        <w:rPr>
          <w:b w:val="0"/>
        </w:rPr>
        <w:t xml:space="preserve">. Thirdly, actual and perceived barriers to achieving accreditation could be </w:t>
      </w:r>
      <w:r w:rsidR="00113479" w:rsidRPr="00264B89">
        <w:rPr>
          <w:b w:val="0"/>
        </w:rPr>
        <w:t>reduced</w:t>
      </w:r>
      <w:r w:rsidR="00A97BC0" w:rsidRPr="00264B89">
        <w:rPr>
          <w:b w:val="0"/>
        </w:rPr>
        <w:t xml:space="preserve"> by ensuring the Scheme is more accessible and “scalable” for any building company (</w:t>
      </w:r>
      <w:r w:rsidR="004B7067">
        <w:rPr>
          <w:b w:val="0"/>
        </w:rPr>
        <w:t xml:space="preserve">for example, </w:t>
      </w:r>
      <w:r w:rsidR="00A97BC0" w:rsidRPr="00264B89">
        <w:rPr>
          <w:b w:val="0"/>
        </w:rPr>
        <w:t>regardless of size).</w:t>
      </w:r>
      <w:r w:rsidR="00113479" w:rsidRPr="00264B89">
        <w:rPr>
          <w:b w:val="0"/>
        </w:rPr>
        <w:t xml:space="preserve"> </w:t>
      </w:r>
      <w:r w:rsidR="00136986" w:rsidRPr="00264B89">
        <w:rPr>
          <w:b w:val="0"/>
        </w:rPr>
        <w:t xml:space="preserve"> </w:t>
      </w:r>
    </w:p>
    <w:p w:rsidR="00E77341" w:rsidRDefault="00E77341" w:rsidP="0047623F">
      <w:pPr>
        <w:pStyle w:val="Heading2"/>
      </w:pPr>
    </w:p>
    <w:p w:rsidR="0047623F" w:rsidRDefault="009C433E" w:rsidP="0047623F">
      <w:pPr>
        <w:pStyle w:val="Heading2"/>
      </w:pPr>
      <w:r>
        <w:t xml:space="preserve">What projects are covered by </w:t>
      </w:r>
      <w:r w:rsidR="00CD346B" w:rsidRPr="00EC6952">
        <w:t>the Scheme</w:t>
      </w:r>
      <w:bookmarkEnd w:id="24"/>
      <w:bookmarkEnd w:id="25"/>
    </w:p>
    <w:p w:rsidR="002E1A77" w:rsidRPr="002E1A77" w:rsidRDefault="002E1A77" w:rsidP="002E1A77"/>
    <w:p w:rsidR="009A5A3E" w:rsidRDefault="00F228B2" w:rsidP="00E66426">
      <w:r>
        <w:t>Two factors determine the extent to which the Scheme cover</w:t>
      </w:r>
      <w:r w:rsidR="00136986">
        <w:t>s</w:t>
      </w:r>
      <w:r w:rsidR="00C73734">
        <w:t xml:space="preserve"> head contractors </w:t>
      </w:r>
      <w:r>
        <w:t xml:space="preserve">in the building and construction industry: </w:t>
      </w:r>
      <w:r w:rsidR="00BE4D21">
        <w:t>funding</w:t>
      </w:r>
      <w:r w:rsidR="00F264FE">
        <w:t xml:space="preserve"> thresholds and the definition of building work.</w:t>
      </w:r>
      <w:r w:rsidR="00470C47">
        <w:t xml:space="preserve"> </w:t>
      </w:r>
    </w:p>
    <w:p w:rsidR="00CD7736" w:rsidRDefault="00CD7736" w:rsidP="00E66426"/>
    <w:p w:rsidR="00C73734" w:rsidRDefault="00F228B2" w:rsidP="00E66426">
      <w:r>
        <w:t>Some stakeholders have raised the possibility of a third factor: exemptions to some or all of the requirements of the Scheme</w:t>
      </w:r>
      <w:r w:rsidR="00C73734">
        <w:t xml:space="preserve"> for individual funding agencies or program</w:t>
      </w:r>
      <w:r w:rsidR="00264B89">
        <w:t>me</w:t>
      </w:r>
      <w:r w:rsidR="00C73734">
        <w:t>s</w:t>
      </w:r>
      <w:r>
        <w:t xml:space="preserve">. </w:t>
      </w:r>
    </w:p>
    <w:p w:rsidR="00C73734" w:rsidRDefault="00C73734" w:rsidP="00E66426"/>
    <w:p w:rsidR="00F264FE" w:rsidRPr="006A280B" w:rsidRDefault="00BE4D21" w:rsidP="00E66426">
      <w:pPr>
        <w:pStyle w:val="Heading3"/>
      </w:pPr>
      <w:bookmarkStart w:id="26" w:name="_Toc377032036"/>
      <w:r>
        <w:t>F</w:t>
      </w:r>
      <w:r w:rsidR="00F264FE" w:rsidRPr="006A280B">
        <w:t>unding thresholds</w:t>
      </w:r>
      <w:bookmarkEnd w:id="26"/>
    </w:p>
    <w:p w:rsidR="00F264FE" w:rsidRPr="006A280B" w:rsidRDefault="00F264FE" w:rsidP="00E66426"/>
    <w:p w:rsidR="00C73734" w:rsidRDefault="00F264FE" w:rsidP="00E66426">
      <w:r w:rsidRPr="006A280B">
        <w:t xml:space="preserve">The current thresholds applying to the Scheme were first introduced in </w:t>
      </w:r>
      <w:r>
        <w:t xml:space="preserve">2007, when the thresholds </w:t>
      </w:r>
      <w:r w:rsidR="008720D4">
        <w:t xml:space="preserve">for direct funding </w:t>
      </w:r>
      <w:r>
        <w:t>were lowered from their original level of $6 million</w:t>
      </w:r>
      <w:r w:rsidR="008720D4">
        <w:t xml:space="preserve"> and thresholds were introduced for indirect funding. </w:t>
      </w:r>
    </w:p>
    <w:p w:rsidR="00C73734" w:rsidRDefault="00C73734" w:rsidP="00E66426"/>
    <w:p w:rsidR="002E0D6E" w:rsidRDefault="00287E9C" w:rsidP="00E66426">
      <w:r>
        <w:t>Some</w:t>
      </w:r>
      <w:r w:rsidR="00F264FE" w:rsidRPr="006A280B">
        <w:t xml:space="preserve"> funding agencies</w:t>
      </w:r>
      <w:r w:rsidR="002E0D6E">
        <w:t>, industry associations</w:t>
      </w:r>
      <w:r w:rsidR="00F264FE" w:rsidRPr="006A280B">
        <w:t xml:space="preserve"> and companies have </w:t>
      </w:r>
      <w:r w:rsidR="004F55DA">
        <w:t>suggested</w:t>
      </w:r>
      <w:r w:rsidR="00F264FE" w:rsidRPr="006A280B">
        <w:t xml:space="preserve"> </w:t>
      </w:r>
      <w:r>
        <w:t xml:space="preserve">raising </w:t>
      </w:r>
      <w:r w:rsidR="00F264FE" w:rsidRPr="006A280B">
        <w:t xml:space="preserve">the thresholds </w:t>
      </w:r>
      <w:r w:rsidR="00BE4D21">
        <w:t>for both directly and indirectly funded work</w:t>
      </w:r>
      <w:r w:rsidR="00ED20AC">
        <w:t xml:space="preserve"> </w:t>
      </w:r>
      <w:r>
        <w:t>as they believe</w:t>
      </w:r>
      <w:r w:rsidR="00136986">
        <w:t xml:space="preserve"> that accreditation is a significant barrier </w:t>
      </w:r>
      <w:r>
        <w:t xml:space="preserve">to obtaining Commonwealth funded building work. They have suggested accreditation </w:t>
      </w:r>
      <w:r w:rsidR="00136986">
        <w:t xml:space="preserve">should not be required for </w:t>
      </w:r>
      <w:r w:rsidR="00C73734">
        <w:t>smaller building companies</w:t>
      </w:r>
      <w:r w:rsidR="00136986">
        <w:t xml:space="preserve">, lower value projects, or projects in regional or remote areas where the </w:t>
      </w:r>
      <w:r w:rsidR="0020427E">
        <w:t xml:space="preserve">higher </w:t>
      </w:r>
      <w:r w:rsidR="00136986">
        <w:t xml:space="preserve">costs mean even small projects are captured by the thresholds. </w:t>
      </w:r>
      <w:r>
        <w:t>Conversely, some stakeholders have expressed the view that the funding thresholds do not require change.</w:t>
      </w:r>
      <w:r w:rsidR="00ED20AC">
        <w:t xml:space="preserve"> </w:t>
      </w:r>
    </w:p>
    <w:p w:rsidR="00F264FE" w:rsidRPr="006A280B" w:rsidRDefault="002E0D6E" w:rsidP="00E66426">
      <w:r>
        <w:t xml:space="preserve">There are three options for funding thresholds: lower or </w:t>
      </w:r>
      <w:r w:rsidR="009C433E">
        <w:t>remove</w:t>
      </w:r>
      <w:r>
        <w:t xml:space="preserve"> them, leave them at current levels</w:t>
      </w:r>
      <w:r w:rsidR="005C482E">
        <w:t>,</w:t>
      </w:r>
      <w:r>
        <w:t xml:space="preserve"> </w:t>
      </w:r>
      <w:r w:rsidR="005C482E">
        <w:t xml:space="preserve">or </w:t>
      </w:r>
      <w:r>
        <w:t xml:space="preserve">raise them. </w:t>
      </w:r>
      <w:r w:rsidR="00BE4D21">
        <w:t xml:space="preserve"> </w:t>
      </w:r>
    </w:p>
    <w:p w:rsidR="00F264FE" w:rsidRPr="006A280B" w:rsidRDefault="00F264FE" w:rsidP="00E66426"/>
    <w:p w:rsidR="002E0D6E" w:rsidRPr="00CC2322" w:rsidRDefault="002E0D6E" w:rsidP="00E66426">
      <w:pPr>
        <w:pStyle w:val="Heading3"/>
        <w:rPr>
          <w:i/>
          <w:u w:val="none"/>
        </w:rPr>
      </w:pPr>
      <w:bookmarkStart w:id="27" w:name="_Toc377032037"/>
      <w:r w:rsidRPr="00CC2322">
        <w:rPr>
          <w:i/>
          <w:u w:val="none"/>
        </w:rPr>
        <w:t>Lower</w:t>
      </w:r>
      <w:r w:rsidR="00B61C2C" w:rsidRPr="00CC2322">
        <w:rPr>
          <w:i/>
          <w:u w:val="none"/>
        </w:rPr>
        <w:t xml:space="preserve"> </w:t>
      </w:r>
      <w:r w:rsidR="00B05257" w:rsidRPr="00CC2322">
        <w:rPr>
          <w:i/>
          <w:u w:val="none"/>
        </w:rPr>
        <w:t xml:space="preserve">or remove </w:t>
      </w:r>
      <w:r w:rsidRPr="00CC2322">
        <w:rPr>
          <w:i/>
          <w:u w:val="none"/>
        </w:rPr>
        <w:t>the thresholds</w:t>
      </w:r>
      <w:bookmarkEnd w:id="27"/>
      <w:r w:rsidR="00136986">
        <w:rPr>
          <w:i/>
          <w:u w:val="none"/>
        </w:rPr>
        <w:t xml:space="preserve"> (</w:t>
      </w:r>
      <w:r w:rsidR="00F353D8">
        <w:rPr>
          <w:i/>
          <w:u w:val="none"/>
        </w:rPr>
        <w:t xml:space="preserve">that is, </w:t>
      </w:r>
      <w:r w:rsidR="00136986">
        <w:rPr>
          <w:i/>
          <w:u w:val="none"/>
        </w:rPr>
        <w:t>increase coverage)</w:t>
      </w:r>
    </w:p>
    <w:p w:rsidR="002E0D6E" w:rsidRDefault="002E0D6E" w:rsidP="00E66426"/>
    <w:p w:rsidR="00ED20AC" w:rsidRDefault="002E0D6E" w:rsidP="00ED20AC">
      <w:r w:rsidRPr="002E0D6E">
        <w:t xml:space="preserve">Some </w:t>
      </w:r>
      <w:r w:rsidR="00136986">
        <w:t>stakeholders have suggested that</w:t>
      </w:r>
      <w:r>
        <w:t xml:space="preserve"> the t</w:t>
      </w:r>
      <w:r w:rsidR="009C433E">
        <w:t>hresholds should be lowered or removed</w:t>
      </w:r>
      <w:r>
        <w:t xml:space="preserve"> altogether for Commonwealth</w:t>
      </w:r>
      <w:r w:rsidR="00D23570">
        <w:t xml:space="preserve"> Government</w:t>
      </w:r>
      <w:r>
        <w:t xml:space="preserve"> funded building work. This would ensure uniform requirement</w:t>
      </w:r>
      <w:r w:rsidR="00B05257">
        <w:t>s</w:t>
      </w:r>
      <w:r>
        <w:t xml:space="preserve"> for all </w:t>
      </w:r>
      <w:r w:rsidR="00B05257">
        <w:t>C</w:t>
      </w:r>
      <w:r>
        <w:t xml:space="preserve">ommonwealth </w:t>
      </w:r>
      <w:r w:rsidR="00D23570">
        <w:t xml:space="preserve">Government </w:t>
      </w:r>
      <w:r>
        <w:t xml:space="preserve">funded </w:t>
      </w:r>
      <w:r w:rsidR="00B05257">
        <w:t xml:space="preserve">building </w:t>
      </w:r>
      <w:r>
        <w:t>work and expand the coverage of the Scheme to more projects and potentially more companies.</w:t>
      </w:r>
      <w:r w:rsidR="00ED20AC">
        <w:t xml:space="preserve"> Given rising material and labour costs there has already been an effective lowering of the threshold values and smaller projects are being captured. </w:t>
      </w:r>
    </w:p>
    <w:p w:rsidR="00B05257" w:rsidRDefault="00B05257" w:rsidP="00E66426"/>
    <w:p w:rsidR="00EF0F3E" w:rsidRDefault="00CD7736" w:rsidP="00EF0F3E">
      <w:pPr>
        <w:rPr>
          <w:sz w:val="24"/>
          <w:szCs w:val="24"/>
        </w:rPr>
      </w:pPr>
      <w:r>
        <w:t>Th</w:t>
      </w:r>
      <w:r w:rsidR="004E3362">
        <w:t>is would be likely to increase the requirement for accreditation to more head contractors, however th</w:t>
      </w:r>
      <w:r>
        <w:t xml:space="preserve">e impact of such a change is not </w:t>
      </w:r>
      <w:r w:rsidR="004E3362">
        <w:t xml:space="preserve">quantifiable </w:t>
      </w:r>
      <w:r>
        <w:t xml:space="preserve">as </w:t>
      </w:r>
      <w:r w:rsidR="00EC6DAC" w:rsidRPr="00046306">
        <w:t xml:space="preserve">the number of </w:t>
      </w:r>
      <w:r w:rsidR="00D23570">
        <w:t>Commonwealth Government</w:t>
      </w:r>
      <w:r w:rsidR="00EC6DAC" w:rsidRPr="00046306">
        <w:t xml:space="preserve"> funded construction contracts </w:t>
      </w:r>
      <w:r w:rsidR="00492AF1">
        <w:t xml:space="preserve">below current thresholds </w:t>
      </w:r>
      <w:r w:rsidR="009C433E">
        <w:t xml:space="preserve">is </w:t>
      </w:r>
      <w:r w:rsidR="009A5A3E">
        <w:t xml:space="preserve">currently not collected </w:t>
      </w:r>
      <w:r w:rsidR="004E3362">
        <w:t>on a whole of Government basis.</w:t>
      </w:r>
    </w:p>
    <w:p w:rsidR="00E12C81" w:rsidRDefault="00E12C81" w:rsidP="00E66426"/>
    <w:p w:rsidR="00ED20AC" w:rsidRDefault="00ED20AC">
      <w:pPr>
        <w:rPr>
          <w:i/>
        </w:rPr>
      </w:pPr>
      <w:bookmarkStart w:id="28" w:name="_Toc377032038"/>
      <w:r>
        <w:rPr>
          <w:i/>
        </w:rPr>
        <w:br w:type="page"/>
      </w:r>
    </w:p>
    <w:p w:rsidR="002E0D6E" w:rsidRPr="00CC2322" w:rsidRDefault="002E0D6E" w:rsidP="00E66426">
      <w:pPr>
        <w:pStyle w:val="Heading3"/>
        <w:rPr>
          <w:i/>
          <w:u w:val="none"/>
        </w:rPr>
      </w:pPr>
      <w:r w:rsidRPr="00CC2322">
        <w:rPr>
          <w:i/>
          <w:u w:val="none"/>
        </w:rPr>
        <w:lastRenderedPageBreak/>
        <w:t>Leave the thresholds at current levels</w:t>
      </w:r>
      <w:bookmarkEnd w:id="28"/>
    </w:p>
    <w:p w:rsidR="002E0D6E" w:rsidRDefault="002E0D6E" w:rsidP="00E66426"/>
    <w:p w:rsidR="00B61C2C" w:rsidRDefault="004E3362" w:rsidP="00E66426">
      <w:r>
        <w:t>O</w:t>
      </w:r>
      <w:r w:rsidR="002E0D6E">
        <w:t>ver 1000 projects have been captured by the Scheme</w:t>
      </w:r>
      <w:r>
        <w:t xml:space="preserve"> to date (b</w:t>
      </w:r>
      <w:r w:rsidRPr="002E0D6E">
        <w:t>ased on</w:t>
      </w:r>
      <w:r>
        <w:t xml:space="preserve"> previous and current threshold levels)</w:t>
      </w:r>
      <w:r w:rsidR="002E0D6E">
        <w:t>.</w:t>
      </w:r>
      <w:r w:rsidR="00B61C2C" w:rsidRPr="00AD2A0B">
        <w:t xml:space="preserve"> Current thresholds</w:t>
      </w:r>
      <w:r w:rsidR="00B61C2C">
        <w:t xml:space="preserve"> are a well-established requirement</w:t>
      </w:r>
      <w:r w:rsidR="002E0D6E">
        <w:t xml:space="preserve"> </w:t>
      </w:r>
      <w:r w:rsidR="00B61C2C">
        <w:t xml:space="preserve">and </w:t>
      </w:r>
      <w:r w:rsidR="009C433E">
        <w:t>some stakeholders have expressed the view they do n</w:t>
      </w:r>
      <w:r w:rsidR="00B61C2C">
        <w:t xml:space="preserve">ot require any changes. </w:t>
      </w:r>
    </w:p>
    <w:p w:rsidR="00ED20AC" w:rsidRPr="00E66426" w:rsidRDefault="00ED20AC" w:rsidP="00E66426"/>
    <w:p w:rsidR="00F264FE" w:rsidRPr="00CC2322" w:rsidRDefault="00B61C2C" w:rsidP="00E66426">
      <w:pPr>
        <w:pStyle w:val="Heading3"/>
        <w:rPr>
          <w:i/>
          <w:u w:val="none"/>
        </w:rPr>
      </w:pPr>
      <w:bookmarkStart w:id="29" w:name="_Toc377032039"/>
      <w:r w:rsidRPr="00CC2322">
        <w:rPr>
          <w:i/>
          <w:u w:val="none"/>
        </w:rPr>
        <w:t>Raise the thresholds</w:t>
      </w:r>
      <w:bookmarkEnd w:id="29"/>
    </w:p>
    <w:p w:rsidR="00F264FE" w:rsidRPr="006A280B" w:rsidRDefault="00F264FE" w:rsidP="00E66426"/>
    <w:p w:rsidR="00B61C2C" w:rsidRDefault="00B61C2C" w:rsidP="00E66426">
      <w:r>
        <w:t xml:space="preserve">Two options exist for raising thresholds – either raise the head contract value </w:t>
      </w:r>
      <w:r w:rsidR="00492AF1">
        <w:t xml:space="preserve">in real terms to a higher level </w:t>
      </w:r>
      <w:r>
        <w:t xml:space="preserve">(examples of the impact of this are provided below) or raise the threshold </w:t>
      </w:r>
      <w:r w:rsidR="00492AF1">
        <w:t xml:space="preserve">levels only to reflect price movements since they were originally established (using </w:t>
      </w:r>
      <w:r>
        <w:t xml:space="preserve">consumer price </w:t>
      </w:r>
      <w:r w:rsidR="0053526A">
        <w:t>or construction based indices</w:t>
      </w:r>
      <w:r w:rsidR="00492AF1">
        <w:t>).</w:t>
      </w:r>
      <w:r>
        <w:t xml:space="preserve"> </w:t>
      </w:r>
    </w:p>
    <w:p w:rsidR="00B61C2C" w:rsidRDefault="00B61C2C" w:rsidP="00E66426"/>
    <w:p w:rsidR="005A183B" w:rsidRDefault="00B61C2C" w:rsidP="00E66426">
      <w:r>
        <w:t xml:space="preserve">As </w:t>
      </w:r>
      <w:r w:rsidR="00693F5E">
        <w:t>an example</w:t>
      </w:r>
      <w:r>
        <w:t>,</w:t>
      </w:r>
      <w:r w:rsidR="00693F5E">
        <w:t xml:space="preserve"> r</w:t>
      </w:r>
      <w:r w:rsidR="00F264FE" w:rsidRPr="005A183B">
        <w:t>aising the threshold to $5</w:t>
      </w:r>
      <w:r w:rsidR="005A183B">
        <w:t xml:space="preserve"> million for </w:t>
      </w:r>
      <w:r w:rsidR="005A183B" w:rsidRPr="00693F5E">
        <w:t>directly funded contracts:</w:t>
      </w:r>
      <w:r w:rsidR="00F264FE" w:rsidRPr="005A183B">
        <w:t xml:space="preserve"> </w:t>
      </w:r>
    </w:p>
    <w:p w:rsidR="00C845CB" w:rsidRDefault="00C845CB" w:rsidP="00C845CB">
      <w:pPr>
        <w:pStyle w:val="ListParagraph"/>
      </w:pPr>
    </w:p>
    <w:p w:rsidR="00432428" w:rsidRPr="005A183B" w:rsidRDefault="00432428" w:rsidP="00432428">
      <w:pPr>
        <w:pStyle w:val="ListParagraph"/>
        <w:numPr>
          <w:ilvl w:val="0"/>
          <w:numId w:val="19"/>
        </w:numPr>
      </w:pPr>
      <w:r w:rsidRPr="005A183B">
        <w:t xml:space="preserve">Would have exempted </w:t>
      </w:r>
      <w:r>
        <w:t>55</w:t>
      </w:r>
      <w:r w:rsidRPr="005A183B">
        <w:t xml:space="preserve"> awarded contracts </w:t>
      </w:r>
      <w:r w:rsidR="009C433E">
        <w:t xml:space="preserve">(out of a total </w:t>
      </w:r>
      <w:r w:rsidR="009C433E" w:rsidRPr="00AC4012">
        <w:t xml:space="preserve">of </w:t>
      </w:r>
      <w:r w:rsidR="00AC4012" w:rsidRPr="00AC4012">
        <w:t>187</w:t>
      </w:r>
      <w:r w:rsidR="00AC4012">
        <w:t xml:space="preserve"> </w:t>
      </w:r>
      <w:r w:rsidR="00C845CB">
        <w:t xml:space="preserve">awarded </w:t>
      </w:r>
      <w:r w:rsidR="009C433E">
        <w:t xml:space="preserve">contracts) </w:t>
      </w:r>
      <w:r>
        <w:t xml:space="preserve">with a total value of </w:t>
      </w:r>
      <w:r w:rsidRPr="005A183B">
        <w:t>$</w:t>
      </w:r>
      <w:r>
        <w:t>215</w:t>
      </w:r>
      <w:r w:rsidRPr="005A183B">
        <w:t xml:space="preserve"> million </w:t>
      </w:r>
      <w:r>
        <w:t>over the previous three calendar years</w:t>
      </w:r>
      <w:r w:rsidRPr="005A183B">
        <w:t xml:space="preserve"> (</w:t>
      </w:r>
      <w:r>
        <w:t>11</w:t>
      </w:r>
      <w:r w:rsidRPr="005A183B">
        <w:t xml:space="preserve"> per cent of all directly funded projects). Of these, </w:t>
      </w:r>
      <w:r>
        <w:t>51</w:t>
      </w:r>
      <w:r w:rsidRPr="005A183B">
        <w:t xml:space="preserve"> per cent were Commercial, </w:t>
      </w:r>
      <w:r>
        <w:t>27</w:t>
      </w:r>
      <w:r w:rsidRPr="005A183B">
        <w:t xml:space="preserve"> per cent Residential, and </w:t>
      </w:r>
      <w:r>
        <w:t>22</w:t>
      </w:r>
      <w:r w:rsidRPr="005A183B">
        <w:t xml:space="preserve"> per cent Civil. </w:t>
      </w:r>
    </w:p>
    <w:p w:rsidR="00432428" w:rsidRPr="005A183B" w:rsidRDefault="00432428" w:rsidP="00432428">
      <w:pPr>
        <w:pStyle w:val="ListParagraph"/>
        <w:numPr>
          <w:ilvl w:val="0"/>
          <w:numId w:val="19"/>
        </w:numPr>
      </w:pPr>
      <w:r>
        <w:t>Of the contracts that would have been exempted, 29</w:t>
      </w:r>
      <w:r w:rsidRPr="005A183B">
        <w:t xml:space="preserve"> per cent were with Defence Housing Australia, </w:t>
      </w:r>
      <w:r>
        <w:t>25</w:t>
      </w:r>
      <w:r w:rsidRPr="005A183B">
        <w:t xml:space="preserve"> per cent were wi</w:t>
      </w:r>
      <w:r>
        <w:t>th the Department of Defence, 5 </w:t>
      </w:r>
      <w:r w:rsidRPr="005A183B">
        <w:t xml:space="preserve">per cent </w:t>
      </w:r>
      <w:r>
        <w:t xml:space="preserve">were </w:t>
      </w:r>
      <w:r w:rsidRPr="005A183B">
        <w:t xml:space="preserve">with </w:t>
      </w:r>
      <w:proofErr w:type="spellStart"/>
      <w:r w:rsidRPr="005A183B">
        <w:t>Airservices</w:t>
      </w:r>
      <w:proofErr w:type="spellEnd"/>
      <w:r w:rsidRPr="005A183B">
        <w:t xml:space="preserve"> Australia, and a further </w:t>
      </w:r>
      <w:r>
        <w:t>18</w:t>
      </w:r>
      <w:r w:rsidRPr="005A183B">
        <w:t xml:space="preserve"> agencies ma</w:t>
      </w:r>
      <w:r>
        <w:t>ke</w:t>
      </w:r>
      <w:r w:rsidRPr="005A183B">
        <w:t xml:space="preserve"> up the remainder.</w:t>
      </w:r>
    </w:p>
    <w:p w:rsidR="00432428" w:rsidRPr="005A183B" w:rsidRDefault="00432428" w:rsidP="00432428">
      <w:pPr>
        <w:pStyle w:val="ListParagraph"/>
        <w:numPr>
          <w:ilvl w:val="0"/>
          <w:numId w:val="19"/>
        </w:numPr>
      </w:pPr>
      <w:r>
        <w:t>Five</w:t>
      </w:r>
      <w:r w:rsidRPr="005A183B">
        <w:t xml:space="preserve"> companies have </w:t>
      </w:r>
      <w:r>
        <w:t xml:space="preserve">only undertaken Scheme contracts under $5 million dollars and in the event that the threshold was higher, </w:t>
      </w:r>
      <w:r w:rsidR="004E3362">
        <w:t>may</w:t>
      </w:r>
      <w:r>
        <w:t xml:space="preserve"> not have applied for accreditation. </w:t>
      </w:r>
    </w:p>
    <w:p w:rsidR="00432428" w:rsidRPr="006A280B" w:rsidRDefault="00432428" w:rsidP="00432428"/>
    <w:p w:rsidR="00432428" w:rsidRPr="005A183B" w:rsidRDefault="00432428" w:rsidP="00432428">
      <w:r w:rsidRPr="005A183B">
        <w:t>Raising the threshold to $10 million</w:t>
      </w:r>
      <w:r>
        <w:t xml:space="preserve"> for </w:t>
      </w:r>
      <w:r w:rsidRPr="00693F5E">
        <w:t>both directly and indirectly funded contracts:</w:t>
      </w:r>
    </w:p>
    <w:p w:rsidR="00432428" w:rsidRPr="006A280B" w:rsidRDefault="00432428" w:rsidP="00432428"/>
    <w:p w:rsidR="00432428" w:rsidRPr="00FE7E3F" w:rsidRDefault="00432428" w:rsidP="00432428">
      <w:pPr>
        <w:pStyle w:val="ListParagraph"/>
        <w:numPr>
          <w:ilvl w:val="0"/>
          <w:numId w:val="19"/>
        </w:numPr>
      </w:pPr>
      <w:r w:rsidRPr="00FE7E3F">
        <w:t xml:space="preserve">Would have exempted </w:t>
      </w:r>
      <w:r>
        <w:t>201</w:t>
      </w:r>
      <w:r w:rsidRPr="00FE7E3F">
        <w:t xml:space="preserve"> awarded contracts with a total value of $1.</w:t>
      </w:r>
      <w:r>
        <w:t>1</w:t>
      </w:r>
      <w:r w:rsidRPr="00FE7E3F">
        <w:t xml:space="preserve"> billion </w:t>
      </w:r>
      <w:r>
        <w:t xml:space="preserve">over the three previous calendar years </w:t>
      </w:r>
      <w:r w:rsidRPr="00FE7E3F">
        <w:t>(</w:t>
      </w:r>
      <w:r>
        <w:t>19</w:t>
      </w:r>
      <w:r w:rsidRPr="00FE7E3F">
        <w:t xml:space="preserve"> per cent of all awarded contracts). Of these, </w:t>
      </w:r>
      <w:r>
        <w:t>53</w:t>
      </w:r>
      <w:r w:rsidRPr="00FE7E3F">
        <w:t xml:space="preserve"> per cent were direct contracts, with the remaining </w:t>
      </w:r>
      <w:r>
        <w:t>47</w:t>
      </w:r>
      <w:r w:rsidRPr="00FE7E3F">
        <w:t xml:space="preserve"> per cent indirect. Further</w:t>
      </w:r>
      <w:r>
        <w:t>, 60</w:t>
      </w:r>
      <w:r w:rsidRPr="00FE7E3F">
        <w:t xml:space="preserve"> per cent of contracts under $10 million were Commercial, </w:t>
      </w:r>
      <w:r>
        <w:t>27</w:t>
      </w:r>
      <w:r w:rsidRPr="00FE7E3F">
        <w:t xml:space="preserve"> per cent Civil, and </w:t>
      </w:r>
      <w:r>
        <w:t>13</w:t>
      </w:r>
      <w:r w:rsidRPr="00FE7E3F">
        <w:t xml:space="preserve"> per cent Residential. </w:t>
      </w:r>
    </w:p>
    <w:p w:rsidR="00432428" w:rsidRPr="005A183B" w:rsidRDefault="00432428" w:rsidP="00432428">
      <w:pPr>
        <w:pStyle w:val="ListParagraph"/>
        <w:numPr>
          <w:ilvl w:val="0"/>
          <w:numId w:val="19"/>
        </w:numPr>
      </w:pPr>
      <w:r>
        <w:t>Of the contracts that would have been exempted, 14</w:t>
      </w:r>
      <w:r w:rsidRPr="005A183B">
        <w:t xml:space="preserve"> per cent were with Defence Housing Australia, </w:t>
      </w:r>
      <w:r>
        <w:t>14</w:t>
      </w:r>
      <w:r w:rsidRPr="005A183B">
        <w:t xml:space="preserve"> per cent with the Department of Defence, </w:t>
      </w:r>
      <w:r>
        <w:t>12.5</w:t>
      </w:r>
      <w:r w:rsidRPr="005A183B">
        <w:t xml:space="preserve"> per cent with the Department of Education Employment and Workplace Relations</w:t>
      </w:r>
      <w:r>
        <w:t>, 12</w:t>
      </w:r>
      <w:r w:rsidRPr="005A183B">
        <w:t xml:space="preserve"> per cent with the</w:t>
      </w:r>
      <w:r>
        <w:t xml:space="preserve"> Department of Health</w:t>
      </w:r>
      <w:r w:rsidRPr="005A183B">
        <w:t xml:space="preserve">, </w:t>
      </w:r>
      <w:r>
        <w:t xml:space="preserve">11 per cent with the Department of Infrastructure, </w:t>
      </w:r>
      <w:r w:rsidRPr="005A183B">
        <w:t xml:space="preserve">with </w:t>
      </w:r>
      <w:r w:rsidR="001E1956">
        <w:t xml:space="preserve">a further </w:t>
      </w:r>
      <w:r>
        <w:t>38</w:t>
      </w:r>
      <w:r w:rsidRPr="005A183B">
        <w:t xml:space="preserve"> agencies accounting for the remainder.</w:t>
      </w:r>
    </w:p>
    <w:p w:rsidR="00432428" w:rsidRPr="005A183B" w:rsidRDefault="001F42A5" w:rsidP="00432428">
      <w:pPr>
        <w:pStyle w:val="ListParagraph"/>
        <w:numPr>
          <w:ilvl w:val="0"/>
          <w:numId w:val="19"/>
        </w:numPr>
      </w:pPr>
      <w:r>
        <w:t xml:space="preserve">A total of 24 </w:t>
      </w:r>
      <w:r w:rsidR="00432428" w:rsidRPr="005A183B">
        <w:t xml:space="preserve">companies have </w:t>
      </w:r>
      <w:r w:rsidR="00432428">
        <w:t xml:space="preserve">only undertaken </w:t>
      </w:r>
      <w:r w:rsidR="00432428" w:rsidRPr="005A183B">
        <w:t>Sch</w:t>
      </w:r>
      <w:r>
        <w:t xml:space="preserve">eme contracts valued at less than </w:t>
      </w:r>
      <w:r w:rsidR="00432428" w:rsidRPr="005A183B">
        <w:t>$10 million</w:t>
      </w:r>
      <w:r>
        <w:t>. It may be assumed that in the absence of a financial imperative to be accredited to undertake Scheme work, these companies may not have sought accreditation, thereby reducing the Scheme’s coverage across the industry.</w:t>
      </w:r>
    </w:p>
    <w:p w:rsidR="00432428" w:rsidRDefault="00432428" w:rsidP="00E66426"/>
    <w:p w:rsidR="00F264FE" w:rsidRPr="00CC2322" w:rsidRDefault="00F264FE" w:rsidP="00E66426">
      <w:pPr>
        <w:pStyle w:val="Heading3"/>
        <w:rPr>
          <w:i/>
          <w:u w:val="none"/>
        </w:rPr>
      </w:pPr>
      <w:bookmarkStart w:id="30" w:name="_Toc377032040"/>
      <w:r w:rsidRPr="00CC2322">
        <w:rPr>
          <w:i/>
          <w:u w:val="none"/>
        </w:rPr>
        <w:t>Increasing the thresholds by Indexation</w:t>
      </w:r>
      <w:bookmarkEnd w:id="30"/>
    </w:p>
    <w:p w:rsidR="001117F2" w:rsidRDefault="001117F2" w:rsidP="001117F2"/>
    <w:p w:rsidR="001117F2" w:rsidRPr="001117F2" w:rsidRDefault="00DB0949" w:rsidP="001117F2">
      <w:r>
        <w:t xml:space="preserve">While there is no single index that covers all areas of construction relevant to the Scheme, there are a </w:t>
      </w:r>
      <w:r w:rsidR="001117F2">
        <w:t xml:space="preserve">number of indices </w:t>
      </w:r>
      <w:r>
        <w:t>t</w:t>
      </w:r>
      <w:r w:rsidR="001117F2">
        <w:t xml:space="preserve">hat </w:t>
      </w:r>
      <w:r>
        <w:t xml:space="preserve">can </w:t>
      </w:r>
      <w:r w:rsidR="001117F2">
        <w:t xml:space="preserve">provide an indication of </w:t>
      </w:r>
      <w:r w:rsidR="0070778E">
        <w:t xml:space="preserve">the change in </w:t>
      </w:r>
      <w:r w:rsidR="001117F2">
        <w:t>cost</w:t>
      </w:r>
      <w:r w:rsidR="0070778E">
        <w:t>s</w:t>
      </w:r>
      <w:r w:rsidR="001117F2">
        <w:t xml:space="preserve"> over time</w:t>
      </w:r>
      <w:r>
        <w:t xml:space="preserve"> in the construction sector</w:t>
      </w:r>
      <w:r w:rsidR="001117F2">
        <w:t xml:space="preserve">. One such index is the Building Construction Index which covers residential </w:t>
      </w:r>
      <w:r>
        <w:t xml:space="preserve">and non-residential (commercial) </w:t>
      </w:r>
      <w:r w:rsidR="001117F2">
        <w:t xml:space="preserve">construction. In the </w:t>
      </w:r>
      <w:r>
        <w:t xml:space="preserve">period </w:t>
      </w:r>
      <w:r w:rsidR="001117F2">
        <w:t>from 2006 to 2013 this index show</w:t>
      </w:r>
      <w:r w:rsidR="001037DB">
        <w:t>ed</w:t>
      </w:r>
      <w:r w:rsidR="001117F2">
        <w:t xml:space="preserve"> </w:t>
      </w:r>
      <w:r w:rsidR="0070778E">
        <w:t xml:space="preserve">an </w:t>
      </w:r>
      <w:r w:rsidR="001117F2">
        <w:t xml:space="preserve">increase in the order of 20 per cent. Another </w:t>
      </w:r>
      <w:r>
        <w:t>relevant in</w:t>
      </w:r>
      <w:r w:rsidR="001117F2">
        <w:t xml:space="preserve">dex is the Roads and Bridges </w:t>
      </w:r>
      <w:r w:rsidR="0070778E">
        <w:t>I</w:t>
      </w:r>
      <w:r w:rsidR="001117F2">
        <w:t>ndex which show</w:t>
      </w:r>
      <w:r w:rsidR="001037DB">
        <w:t>ed</w:t>
      </w:r>
      <w:r w:rsidR="001117F2">
        <w:t xml:space="preserve"> </w:t>
      </w:r>
      <w:r w:rsidR="0070778E">
        <w:t xml:space="preserve">an </w:t>
      </w:r>
      <w:r w:rsidR="001117F2">
        <w:t xml:space="preserve">increase in the order of 35 per cent for the same period. </w:t>
      </w:r>
    </w:p>
    <w:p w:rsidR="00F264FE" w:rsidRPr="006A280B" w:rsidRDefault="00F264FE" w:rsidP="00E66426"/>
    <w:p w:rsidR="000A7F29" w:rsidRDefault="000A7F29">
      <w:r>
        <w:br w:type="page"/>
      </w:r>
    </w:p>
    <w:p w:rsidR="00741750" w:rsidRDefault="001117F2" w:rsidP="00E66426">
      <w:r>
        <w:lastRenderedPageBreak/>
        <w:t>While not directly relevant to construction</w:t>
      </w:r>
      <w:r w:rsidR="00DB0949">
        <w:t>,</w:t>
      </w:r>
      <w:r>
        <w:t xml:space="preserve"> the Consumer Price Index </w:t>
      </w:r>
      <w:r w:rsidR="00DB0949">
        <w:t xml:space="preserve">(CPI) </w:t>
      </w:r>
      <w:r>
        <w:t xml:space="preserve">over the same period showed an increase of almost 22 per cent. </w:t>
      </w:r>
      <w:r w:rsidR="00F264FE" w:rsidRPr="006A280B">
        <w:t xml:space="preserve">Raising the funding thresholds to keep pace with changes in </w:t>
      </w:r>
      <w:r w:rsidR="00DB0949">
        <w:t xml:space="preserve">either the Building and Construction Index or the </w:t>
      </w:r>
      <w:r w:rsidR="00F264FE" w:rsidRPr="006A280B">
        <w:t>CPI</w:t>
      </w:r>
      <w:r w:rsidR="00DB0949">
        <w:t xml:space="preserve"> would result in thresholds</w:t>
      </w:r>
      <w:r w:rsidR="00741750">
        <w:t xml:space="preserve"> as follows:</w:t>
      </w:r>
    </w:p>
    <w:p w:rsidR="00741750" w:rsidRDefault="00741750" w:rsidP="00E66426"/>
    <w:p w:rsidR="00741750" w:rsidRDefault="00741750" w:rsidP="001037DB">
      <w:pPr>
        <w:ind w:firstLine="720"/>
      </w:pPr>
      <w:r>
        <w:t xml:space="preserve">Direct threshold </w:t>
      </w:r>
      <w:r>
        <w:tab/>
      </w:r>
      <w:r>
        <w:tab/>
        <w:t>$3.6 million</w:t>
      </w:r>
      <w:r>
        <w:tab/>
        <w:t>$4 million (rounded for ease of use)</w:t>
      </w:r>
    </w:p>
    <w:p w:rsidR="00741750" w:rsidRDefault="00741750" w:rsidP="001037DB">
      <w:pPr>
        <w:ind w:firstLine="720"/>
      </w:pPr>
      <w:r>
        <w:t>Indirect threshold (Lower)</w:t>
      </w:r>
      <w:r>
        <w:tab/>
        <w:t>$6.1 million</w:t>
      </w:r>
      <w:r>
        <w:tab/>
        <w:t>$6 million (rounded for ease of use)</w:t>
      </w:r>
    </w:p>
    <w:p w:rsidR="00532E59" w:rsidRDefault="00741750" w:rsidP="001037DB">
      <w:pPr>
        <w:ind w:firstLine="720"/>
      </w:pPr>
      <w:r>
        <w:t>Indirect threshold (Upper)</w:t>
      </w:r>
      <w:r>
        <w:tab/>
        <w:t>$12.1 million</w:t>
      </w:r>
      <w:r>
        <w:tab/>
        <w:t>$12 million (rounded for ease of use)</w:t>
      </w:r>
    </w:p>
    <w:p w:rsidR="00532E59" w:rsidRDefault="00532E59" w:rsidP="00E66426"/>
    <w:p w:rsidR="00D74395" w:rsidRDefault="00D74395" w:rsidP="00E66426">
      <w:r>
        <w:t xml:space="preserve">This may be an alternative to fixing the thresholds at a constant value where the value of the work continues to rise and therefore changes </w:t>
      </w:r>
      <w:r w:rsidR="00D23570">
        <w:t xml:space="preserve">the </w:t>
      </w:r>
      <w:r>
        <w:t xml:space="preserve">nature of work </w:t>
      </w:r>
      <w:r w:rsidR="00D23570">
        <w:t xml:space="preserve">that </w:t>
      </w:r>
      <w:r>
        <w:t>is covered by the thresholds.</w:t>
      </w:r>
    </w:p>
    <w:p w:rsidR="00D74395" w:rsidRDefault="00D74395" w:rsidP="00E66426">
      <w:pPr>
        <w:rPr>
          <w:highlight w:val="yellow"/>
        </w:rPr>
      </w:pPr>
    </w:p>
    <w:p w:rsidR="00532E59" w:rsidRDefault="00A556F2" w:rsidP="00E66426">
      <w:r>
        <w:t>Had th</w:t>
      </w:r>
      <w:r w:rsidR="00492AF1">
        <w:t xml:space="preserve">ere been </w:t>
      </w:r>
      <w:r w:rsidR="009E386B">
        <w:t xml:space="preserve">annual </w:t>
      </w:r>
      <w:r w:rsidR="00492AF1">
        <w:t>price adjustment of the thresholds</w:t>
      </w:r>
      <w:r w:rsidR="009E386B">
        <w:t xml:space="preserve"> </w:t>
      </w:r>
      <w:r>
        <w:t>since the inception of the Scheme, 31 directly funded Scheme projects would not have been captured over the past seven years.</w:t>
      </w:r>
    </w:p>
    <w:p w:rsidR="009A1501" w:rsidRDefault="009A1501" w:rsidP="00E66426"/>
    <w:p w:rsidR="00532E59" w:rsidRDefault="00D74395" w:rsidP="00E66426">
      <w:pPr>
        <w:pStyle w:val="Heading3"/>
      </w:pPr>
      <w:bookmarkStart w:id="31" w:name="_Toc377032041"/>
      <w:r>
        <w:t>D</w:t>
      </w:r>
      <w:r w:rsidR="00532E59">
        <w:t>efinition of Building Work</w:t>
      </w:r>
      <w:bookmarkEnd w:id="31"/>
    </w:p>
    <w:p w:rsidR="00532E59" w:rsidRDefault="00532E59" w:rsidP="00E66426"/>
    <w:p w:rsidR="004E3362" w:rsidRDefault="00532E59" w:rsidP="00E66426">
      <w:r w:rsidRPr="00532E59">
        <w:t>T</w:t>
      </w:r>
      <w:r>
        <w:t xml:space="preserve">he current definition of building work </w:t>
      </w:r>
      <w:r w:rsidR="005A6269">
        <w:t>is</w:t>
      </w:r>
      <w:r>
        <w:t xml:space="preserve"> established under</w:t>
      </w:r>
      <w:r w:rsidR="00B05257">
        <w:t xml:space="preserve"> the </w:t>
      </w:r>
      <w:proofErr w:type="spellStart"/>
      <w:r w:rsidR="00077A66">
        <w:t>FWBI</w:t>
      </w:r>
      <w:proofErr w:type="spellEnd"/>
      <w:r w:rsidR="00077A66">
        <w:t xml:space="preserve"> </w:t>
      </w:r>
      <w:r w:rsidR="00B05257">
        <w:t xml:space="preserve">Act. </w:t>
      </w:r>
      <w:r w:rsidR="006E5291">
        <w:t>The definition is</w:t>
      </w:r>
      <w:r>
        <w:t xml:space="preserve"> broad, and captures a wide range of construction related works</w:t>
      </w:r>
      <w:r w:rsidR="004E3362">
        <w:t>.</w:t>
      </w:r>
    </w:p>
    <w:p w:rsidR="004E3362" w:rsidRDefault="004E3362" w:rsidP="00E66426"/>
    <w:p w:rsidR="00532E59" w:rsidRDefault="00633E51" w:rsidP="00E66426">
      <w:r w:rsidRPr="00026AF0">
        <w:rPr>
          <w:i/>
        </w:rPr>
        <w:t>The Building and Construction Industry (Improving Productivity) Bill 2013</w:t>
      </w:r>
      <w:r>
        <w:t xml:space="preserve"> currently before the Parliament, seeks to </w:t>
      </w:r>
      <w:r w:rsidR="0024312F">
        <w:t xml:space="preserve">further </w:t>
      </w:r>
      <w:r>
        <w:t>extend the definition of ‘building work’. The new definition would</w:t>
      </w:r>
      <w:r w:rsidR="00842896">
        <w:t xml:space="preserve"> capture, for example, any </w:t>
      </w:r>
      <w:r w:rsidR="004E3362">
        <w:t xml:space="preserve">head contracts </w:t>
      </w:r>
      <w:r w:rsidR="00842896">
        <w:t>above the thresholds for</w:t>
      </w:r>
      <w:r>
        <w:t xml:space="preserve"> prefabrication</w:t>
      </w:r>
      <w:r w:rsidR="00842896">
        <w:t xml:space="preserve"> work</w:t>
      </w:r>
      <w:r>
        <w:t xml:space="preserve"> (off site and on site), the transport or supply of goods for building work</w:t>
      </w:r>
      <w:r w:rsidR="00791C89">
        <w:t xml:space="preserve"> </w:t>
      </w:r>
      <w:r>
        <w:t xml:space="preserve">and </w:t>
      </w:r>
      <w:r w:rsidR="007B6EB7">
        <w:t xml:space="preserve">building work that is performed on land used for </w:t>
      </w:r>
      <w:r w:rsidR="00842896">
        <w:t>the</w:t>
      </w:r>
      <w:r w:rsidR="003A0C7A">
        <w:t xml:space="preserve"> </w:t>
      </w:r>
      <w:r>
        <w:t>mining of oil, gas or minerals</w:t>
      </w:r>
      <w:r w:rsidR="00E20C80">
        <w:t>.</w:t>
      </w:r>
      <w:r>
        <w:t xml:space="preserve"> </w:t>
      </w:r>
    </w:p>
    <w:p w:rsidR="00E77E0F" w:rsidRDefault="00E77E0F" w:rsidP="00E66426"/>
    <w:p w:rsidR="00E77E0F" w:rsidRDefault="00E77E0F" w:rsidP="00E77E0F">
      <w:r>
        <w:t xml:space="preserve">A small number of stakeholders </w:t>
      </w:r>
      <w:r w:rsidRPr="00A01AC8">
        <w:t>have raised issues with the difficulties they face with meeting the Scheme criteria</w:t>
      </w:r>
      <w:r>
        <w:t>, noting that the nature of the work they do is difficult to describe as building work</w:t>
      </w:r>
      <w:r w:rsidRPr="00A01AC8">
        <w:t>.</w:t>
      </w:r>
      <w:r>
        <w:t xml:space="preserve"> For example, while the Scheme applies to the construction of solar power infrastructure, should it also apply to the installer of solar panels on domestic roofs? And where the Scheme applies to the construction of detention centres, should it also apply to the erection of security fences and installation of security cameras </w:t>
      </w:r>
      <w:proofErr w:type="gramStart"/>
      <w:r>
        <w:t>around</w:t>
      </w:r>
      <w:proofErr w:type="gramEnd"/>
      <w:r>
        <w:t xml:space="preserve"> the facility?</w:t>
      </w:r>
    </w:p>
    <w:p w:rsidR="00E77E0F" w:rsidRDefault="00E77E0F" w:rsidP="00E66426"/>
    <w:p w:rsidR="00E77E0F" w:rsidRDefault="00E77E0F" w:rsidP="00E77E0F">
      <w:r>
        <w:t xml:space="preserve">Elements of the </w:t>
      </w:r>
      <w:proofErr w:type="spellStart"/>
      <w:r>
        <w:t>FWBI</w:t>
      </w:r>
      <w:proofErr w:type="spellEnd"/>
      <w:r>
        <w:t xml:space="preserve"> Act (including the definition of building work) can be changed by introducing an amendment under the Scheme Regulations. As an example, the introduction of funding thresholds in the Scheme Regulations effectively limits the definition of building work to less than that described in the </w:t>
      </w:r>
      <w:proofErr w:type="spellStart"/>
      <w:r>
        <w:t>FWBI</w:t>
      </w:r>
      <w:proofErr w:type="spellEnd"/>
      <w:r>
        <w:t xml:space="preserve"> Act. The definition in the </w:t>
      </w:r>
      <w:proofErr w:type="spellStart"/>
      <w:r>
        <w:t>FWBI</w:t>
      </w:r>
      <w:proofErr w:type="spellEnd"/>
      <w:r>
        <w:t xml:space="preserve"> Act can be limited (but not expanded) through the Scheme Regulations to exclude certain types of building work (for example, the current financial thresholds).</w:t>
      </w:r>
    </w:p>
    <w:p w:rsidR="00E77E0F" w:rsidRDefault="00E77E0F" w:rsidP="00E66426"/>
    <w:p w:rsidR="00885CE4" w:rsidRPr="00885CE4" w:rsidRDefault="00885CE4" w:rsidP="00E66426">
      <w:pPr>
        <w:rPr>
          <w:i/>
        </w:rPr>
      </w:pPr>
      <w:r w:rsidRPr="00885CE4">
        <w:rPr>
          <w:i/>
        </w:rPr>
        <w:t>Res</w:t>
      </w:r>
      <w:r>
        <w:rPr>
          <w:i/>
        </w:rPr>
        <w:t>i</w:t>
      </w:r>
      <w:r w:rsidRPr="00885CE4">
        <w:rPr>
          <w:i/>
        </w:rPr>
        <w:t>dential</w:t>
      </w:r>
    </w:p>
    <w:p w:rsidR="00885CE4" w:rsidRDefault="00885CE4" w:rsidP="00E66426"/>
    <w:p w:rsidR="00E93517" w:rsidRDefault="00842896" w:rsidP="00E66426">
      <w:r>
        <w:t>S</w:t>
      </w:r>
      <w:r w:rsidR="00885CE4">
        <w:t xml:space="preserve">ome stakeholders have suggested that there should be </w:t>
      </w:r>
      <w:r w:rsidR="003B1E20">
        <w:t>exemptions from the Scheme for particular sectors of work</w:t>
      </w:r>
      <w:r w:rsidR="00885CE4">
        <w:t xml:space="preserve">, </w:t>
      </w:r>
      <w:r w:rsidR="00BA1B5D">
        <w:t>such as</w:t>
      </w:r>
      <w:r w:rsidR="00885CE4">
        <w:t xml:space="preserve"> residential. These </w:t>
      </w:r>
      <w:r w:rsidR="00E77E0F">
        <w:t>concerns</w:t>
      </w:r>
      <w:r w:rsidR="00885CE4">
        <w:t xml:space="preserve"> </w:t>
      </w:r>
      <w:r w:rsidR="00E93517">
        <w:t xml:space="preserve">sometimes relate to financial considerations – for example, </w:t>
      </w:r>
      <w:r w:rsidR="00885CE4">
        <w:t xml:space="preserve">a </w:t>
      </w:r>
      <w:r w:rsidR="00E77E0F">
        <w:t xml:space="preserve">view that this </w:t>
      </w:r>
      <w:r w:rsidR="00885CE4">
        <w:t>increase</w:t>
      </w:r>
      <w:r w:rsidR="00E77E0F">
        <w:t xml:space="preserve">s </w:t>
      </w:r>
      <w:r w:rsidR="00885CE4">
        <w:t xml:space="preserve">costs and </w:t>
      </w:r>
      <w:r w:rsidR="00E93517">
        <w:t>reduce</w:t>
      </w:r>
      <w:r w:rsidR="00E77E0F">
        <w:t xml:space="preserve">s the </w:t>
      </w:r>
      <w:r w:rsidR="00E93517">
        <w:t xml:space="preserve">pool of suppliers </w:t>
      </w:r>
      <w:r w:rsidR="00885CE4">
        <w:t xml:space="preserve">for </w:t>
      </w:r>
      <w:r w:rsidR="00E93517">
        <w:t xml:space="preserve">certain </w:t>
      </w:r>
      <w:r w:rsidR="00885CE4">
        <w:t>government agencies</w:t>
      </w:r>
      <w:r w:rsidR="00E93517">
        <w:t xml:space="preserve"> funding residential projects. Another </w:t>
      </w:r>
      <w:r w:rsidR="00E77E0F">
        <w:t>issue</w:t>
      </w:r>
      <w:r w:rsidR="00882BF6">
        <w:t xml:space="preserve"> </w:t>
      </w:r>
      <w:r w:rsidR="00E93517">
        <w:t>is that current arrangements may make it difficult for Indigenous companies to participate as head contractors in government funded residential building program</w:t>
      </w:r>
      <w:r w:rsidR="00C80E30">
        <w:t>me</w:t>
      </w:r>
      <w:r w:rsidR="00E93517">
        <w:t xml:space="preserve">s in some regional and remote areas. </w:t>
      </w:r>
      <w:r>
        <w:t>A further argument has been made that the higher costs in regional and remote areas mean that projects are being captured that would be below the thresholds in metropolitan areas.</w:t>
      </w:r>
    </w:p>
    <w:p w:rsidR="00E93517" w:rsidRDefault="00E93517" w:rsidP="00E66426"/>
    <w:p w:rsidR="00A55498" w:rsidRDefault="00A55498" w:rsidP="00E66426">
      <w:r>
        <w:lastRenderedPageBreak/>
        <w:t>In terms of safety performance, t</w:t>
      </w:r>
      <w:r w:rsidR="00E93517">
        <w:t xml:space="preserve">here </w:t>
      </w:r>
      <w:r>
        <w:t xml:space="preserve">appears to be </w:t>
      </w:r>
      <w:r w:rsidR="00E93517">
        <w:t xml:space="preserve">no strong evidence to suggest that the residential sector </w:t>
      </w:r>
      <w:r>
        <w:t xml:space="preserve">warrants exclusion, however this needs to be balanced against competing financial and policy objectives. </w:t>
      </w:r>
    </w:p>
    <w:p w:rsidR="00A55498" w:rsidRDefault="00A55498" w:rsidP="00E66426"/>
    <w:p w:rsidR="00E93517" w:rsidRDefault="00E93517" w:rsidP="00E66426">
      <w:r>
        <w:t>One approach would be to further ensure that the Scheme requirements are scalable and readily achievable for all building industry participants so that accreditation is not a</w:t>
      </w:r>
      <w:r w:rsidR="00882BF6">
        <w:t xml:space="preserve"> </w:t>
      </w:r>
      <w:r>
        <w:t>barrier. An alternative approach would be to amend the definition of building work</w:t>
      </w:r>
      <w:r w:rsidR="00842896">
        <w:t xml:space="preserve"> through the </w:t>
      </w:r>
      <w:r w:rsidR="00196FA9">
        <w:t xml:space="preserve">Scheme </w:t>
      </w:r>
      <w:r w:rsidR="00842896">
        <w:t>Regulations</w:t>
      </w:r>
      <w:r>
        <w:t xml:space="preserve"> (only as it applies to the Scheme). For instance, the definition in the Act means that </w:t>
      </w:r>
      <w:r w:rsidR="00BA1B5D">
        <w:t xml:space="preserve">the </w:t>
      </w:r>
      <w:r>
        <w:t xml:space="preserve">Scheme currently applies to projects of 5 or more residential dwellings – that could be amended to increase the threshold number of dwellings, or </w:t>
      </w:r>
      <w:r w:rsidR="00BA1B5D">
        <w:t xml:space="preserve">it could </w:t>
      </w:r>
      <w:r>
        <w:t xml:space="preserve">exclude residential work altogether. </w:t>
      </w:r>
    </w:p>
    <w:p w:rsidR="00A55498" w:rsidRDefault="00A55498" w:rsidP="00E66426"/>
    <w:p w:rsidR="00F264FE" w:rsidRPr="006A280B" w:rsidRDefault="00D74395" w:rsidP="00E66426">
      <w:r w:rsidRPr="006A280B">
        <w:rPr>
          <w:noProof/>
        </w:rPr>
        <mc:AlternateContent>
          <mc:Choice Requires="wps">
            <w:drawing>
              <wp:inline distT="0" distB="0" distL="0" distR="0" wp14:anchorId="3FCEEDB7" wp14:editId="00825EF3">
                <wp:extent cx="5850890" cy="1771650"/>
                <wp:effectExtent l="38100" t="38100" r="111760" b="11430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771650"/>
                        </a:xfrm>
                        <a:prstGeom prst="rect">
                          <a:avLst/>
                        </a:prstGeom>
                        <a:solidFill>
                          <a:sysClr val="window" lastClr="FFFFFF">
                            <a:lumMod val="85000"/>
                          </a:sys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CB711B" w:rsidRDefault="004660D6" w:rsidP="00CB711B">
                            <w:pPr>
                              <w:rPr>
                                <w:b/>
                                <w:u w:val="single"/>
                              </w:rPr>
                            </w:pPr>
                            <w:r w:rsidRPr="00CB711B">
                              <w:rPr>
                                <w:b/>
                                <w:u w:val="single"/>
                              </w:rPr>
                              <w:t xml:space="preserve">Questions - Scheme Coverage </w:t>
                            </w:r>
                          </w:p>
                          <w:p w:rsidR="004660D6" w:rsidRPr="00CB711B" w:rsidRDefault="004660D6" w:rsidP="00CB711B"/>
                          <w:p w:rsidR="004660D6" w:rsidRPr="00CB711B" w:rsidRDefault="004660D6" w:rsidP="00CB711B">
                            <w:r w:rsidRPr="00CB711B">
                              <w:rPr>
                                <w:b/>
                              </w:rPr>
                              <w:t>Question</w:t>
                            </w:r>
                            <w:r>
                              <w:rPr>
                                <w:b/>
                              </w:rPr>
                              <w:t xml:space="preserve"> 1</w:t>
                            </w:r>
                            <w:r w:rsidRPr="00CB711B">
                              <w:t xml:space="preserve">: Should the thresholds for directly and indirectly funded projects be </w:t>
                            </w:r>
                            <w:r>
                              <w:t xml:space="preserve">lowered, removed, </w:t>
                            </w:r>
                            <w:r w:rsidRPr="00CB711B">
                              <w:t xml:space="preserve">increased, </w:t>
                            </w:r>
                            <w:r>
                              <w:t>or remain unchanged</w:t>
                            </w:r>
                            <w:r w:rsidRPr="00CB711B">
                              <w:t xml:space="preserve">? </w:t>
                            </w:r>
                            <w:proofErr w:type="gramStart"/>
                            <w:r w:rsidRPr="00B40D18">
                              <w:t>To what levels?</w:t>
                            </w:r>
                            <w:proofErr w:type="gramEnd"/>
                          </w:p>
                          <w:p w:rsidR="004660D6" w:rsidRPr="00CB711B" w:rsidRDefault="004660D6" w:rsidP="00CB711B"/>
                          <w:p w:rsidR="004660D6" w:rsidRDefault="004660D6" w:rsidP="00CB711B">
                            <w:r w:rsidRPr="00CB711B">
                              <w:rPr>
                                <w:b/>
                              </w:rPr>
                              <w:t>Question</w:t>
                            </w:r>
                            <w:r>
                              <w:rPr>
                                <w:b/>
                              </w:rPr>
                              <w:t xml:space="preserve"> 2</w:t>
                            </w:r>
                            <w:r w:rsidRPr="00CB711B">
                              <w:t>: Should the definition of building work be changed? If yes, how should</w:t>
                            </w:r>
                            <w:r>
                              <w:t xml:space="preserve"> b</w:t>
                            </w:r>
                            <w:r w:rsidRPr="00CB711B">
                              <w:t xml:space="preserve">uilding work </w:t>
                            </w:r>
                            <w:proofErr w:type="gramStart"/>
                            <w:r w:rsidRPr="00CB711B">
                              <w:t>be</w:t>
                            </w:r>
                            <w:proofErr w:type="gramEnd"/>
                            <w:r w:rsidRPr="00CB711B">
                              <w:t xml:space="preserve"> defined</w:t>
                            </w:r>
                            <w:r>
                              <w:t>?</w:t>
                            </w:r>
                          </w:p>
                          <w:p w:rsidR="004660D6" w:rsidRDefault="004660D6" w:rsidP="00CB711B"/>
                          <w:p w:rsidR="004660D6" w:rsidRPr="00CB711B" w:rsidRDefault="004660D6" w:rsidP="00CB711B">
                            <w:r w:rsidRPr="00D931E5">
                              <w:rPr>
                                <w:b/>
                              </w:rPr>
                              <w:t>Question 3</w:t>
                            </w:r>
                            <w:r>
                              <w:t>: Should</w:t>
                            </w:r>
                            <w:r w:rsidRPr="00CB711B">
                              <w:t xml:space="preserve"> exemptions to the Scheme apply to particular agencies or sectors of work</w:t>
                            </w:r>
                            <w:r>
                              <w:t xml:space="preserve"> (for example, residential)</w:t>
                            </w:r>
                            <w:r w:rsidRPr="00CB711B">
                              <w:t xml:space="preserve">? </w:t>
                            </w:r>
                          </w:p>
                          <w:p w:rsidR="004660D6" w:rsidRPr="00CB711B" w:rsidRDefault="004660D6" w:rsidP="00CB711B"/>
                        </w:txbxContent>
                      </wps:txbx>
                      <wps:bodyPr rot="0" vert="horz" wrap="square" lIns="91440" tIns="45720" rIns="91440" bIns="45720" anchor="ctr" anchorCtr="0">
                        <a:noAutofit/>
                      </wps:bodyPr>
                    </wps:wsp>
                  </a:graphicData>
                </a:graphic>
              </wp:inline>
            </w:drawing>
          </mc:Choice>
          <mc:Fallback>
            <w:pict>
              <v:shapetype id="_x0000_t202" coordsize="21600,21600" o:spt="202" path="m,l,21600r21600,l21600,xe">
                <v:stroke joinstyle="miter"/>
                <v:path gradientshapeok="t" o:connecttype="rect"/>
              </v:shapetype>
              <v:shape id="Text Box 21" o:spid="_x0000_s1026" type="#_x0000_t202" style="width:460.7pt;height:1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" fillcolor="#d9d9d9">
                <v:shadow on="t" color="black" opacity="26214f" origin="-.5,-.5" offset=".74836mm,.74836mm"/>
                <v:textbox>
                  <w:txbxContent>
                    <w:p w:rsidR="004660D6" w:rsidRPr="00CB711B" w:rsidRDefault="004660D6" w:rsidP="00CB711B">
                      <w:pPr>
                        <w:rPr>
                          <w:b/>
                          <w:u w:val="single"/>
                        </w:rPr>
                      </w:pPr>
                      <w:r w:rsidRPr="00CB711B">
                        <w:rPr>
                          <w:b/>
                          <w:u w:val="single"/>
                        </w:rPr>
                        <w:t xml:space="preserve">Questions - Scheme Coverage </w:t>
                      </w:r>
                    </w:p>
                    <w:p w:rsidR="004660D6" w:rsidRPr="00CB711B" w:rsidRDefault="004660D6" w:rsidP="00CB711B"/>
                    <w:p w:rsidR="004660D6" w:rsidRPr="00CB711B" w:rsidRDefault="004660D6" w:rsidP="00CB711B">
                      <w:r w:rsidRPr="00CB711B">
                        <w:rPr>
                          <w:b/>
                        </w:rPr>
                        <w:t>Question</w:t>
                      </w:r>
                      <w:r>
                        <w:rPr>
                          <w:b/>
                        </w:rPr>
                        <w:t xml:space="preserve"> 1</w:t>
                      </w:r>
                      <w:r w:rsidRPr="00CB711B">
                        <w:t xml:space="preserve">: Should the thresholds for directly and indirectly funded projects be </w:t>
                      </w:r>
                      <w:r>
                        <w:t xml:space="preserve">lowered, removed, </w:t>
                      </w:r>
                      <w:r w:rsidRPr="00CB711B">
                        <w:t xml:space="preserve">increased, </w:t>
                      </w:r>
                      <w:r>
                        <w:t>or remain unchanged</w:t>
                      </w:r>
                      <w:r w:rsidRPr="00CB711B">
                        <w:t xml:space="preserve">? </w:t>
                      </w:r>
                      <w:r w:rsidRPr="00B40D18">
                        <w:t>To what levels?</w:t>
                      </w:r>
                    </w:p>
                    <w:p w:rsidR="004660D6" w:rsidRPr="00CB711B" w:rsidRDefault="004660D6" w:rsidP="00CB711B"/>
                    <w:p w:rsidR="004660D6" w:rsidRDefault="004660D6" w:rsidP="00CB711B">
                      <w:r w:rsidRPr="00CB711B">
                        <w:rPr>
                          <w:b/>
                        </w:rPr>
                        <w:t>Question</w:t>
                      </w:r>
                      <w:r>
                        <w:rPr>
                          <w:b/>
                        </w:rPr>
                        <w:t xml:space="preserve"> 2</w:t>
                      </w:r>
                      <w:r w:rsidRPr="00CB711B">
                        <w:t>: Should the definition of building work be changed? If yes, how should</w:t>
                      </w:r>
                      <w:r>
                        <w:t xml:space="preserve"> b</w:t>
                      </w:r>
                      <w:r w:rsidRPr="00CB711B">
                        <w:t>uilding work be defined</w:t>
                      </w:r>
                      <w:r>
                        <w:t>?</w:t>
                      </w:r>
                    </w:p>
                    <w:p w:rsidR="004660D6" w:rsidRDefault="004660D6" w:rsidP="00CB711B"/>
                    <w:p w:rsidR="004660D6" w:rsidRPr="00CB711B" w:rsidRDefault="004660D6" w:rsidP="00CB711B">
                      <w:r w:rsidRPr="00D931E5">
                        <w:rPr>
                          <w:b/>
                        </w:rPr>
                        <w:t>Question 3</w:t>
                      </w:r>
                      <w:r>
                        <w:t>: Should</w:t>
                      </w:r>
                      <w:r w:rsidRPr="00CB711B">
                        <w:t xml:space="preserve"> exemptions to the Scheme apply to particular agencies or sectors of work</w:t>
                      </w:r>
                      <w:r>
                        <w:t xml:space="preserve"> (for example, residential)</w:t>
                      </w:r>
                      <w:r w:rsidRPr="00CB711B">
                        <w:t xml:space="preserve">? </w:t>
                      </w:r>
                    </w:p>
                    <w:p w:rsidR="004660D6" w:rsidRPr="00CB711B" w:rsidRDefault="004660D6" w:rsidP="00CB711B"/>
                  </w:txbxContent>
                </v:textbox>
                <w10:anchorlock/>
              </v:shape>
            </w:pict>
          </mc:Fallback>
        </mc:AlternateContent>
      </w:r>
    </w:p>
    <w:p w:rsidR="00F264FE" w:rsidRDefault="00F264FE" w:rsidP="00E66426"/>
    <w:p w:rsidR="00CC583A" w:rsidRPr="00EC6952" w:rsidRDefault="00CC583A" w:rsidP="00E66426">
      <w:pPr>
        <w:pStyle w:val="Heading2"/>
      </w:pPr>
      <w:bookmarkStart w:id="32" w:name="_Toc377032042"/>
      <w:bookmarkStart w:id="33" w:name="_Toc378322601"/>
      <w:r w:rsidRPr="00EC6952">
        <w:t>Accessibility of the Scheme</w:t>
      </w:r>
      <w:bookmarkEnd w:id="32"/>
      <w:bookmarkEnd w:id="33"/>
    </w:p>
    <w:p w:rsidR="00CC583A" w:rsidRDefault="00CC583A" w:rsidP="00E66426"/>
    <w:p w:rsidR="007B5FC9" w:rsidRDefault="00842896" w:rsidP="00E66426">
      <w:r>
        <w:t>T</w:t>
      </w:r>
      <w:r w:rsidR="00B47B63">
        <w:t xml:space="preserve">he level of resourcing and WHS expertise of companies </w:t>
      </w:r>
      <w:r>
        <w:t xml:space="preserve">seeking accreditation </w:t>
      </w:r>
      <w:r w:rsidR="00B47B63">
        <w:t xml:space="preserve">varies dramatically according to size, experience, </w:t>
      </w:r>
      <w:r>
        <w:t xml:space="preserve">management culture, </w:t>
      </w:r>
      <w:r w:rsidR="00B47B63">
        <w:t xml:space="preserve">location, sector of operation and other factors. </w:t>
      </w:r>
      <w:r>
        <w:t xml:space="preserve">Coverage of the Scheme ranges from </w:t>
      </w:r>
      <w:proofErr w:type="gramStart"/>
      <w:r>
        <w:t>small</w:t>
      </w:r>
      <w:r w:rsidR="007B5FC9">
        <w:t>,</w:t>
      </w:r>
      <w:proofErr w:type="gramEnd"/>
      <w:r w:rsidR="007B5FC9">
        <w:t xml:space="preserve"> locally focussed</w:t>
      </w:r>
      <w:r>
        <w:t xml:space="preserve"> “husband and wife” companies to </w:t>
      </w:r>
      <w:r w:rsidR="007B5FC9">
        <w:t xml:space="preserve">nearly all </w:t>
      </w:r>
      <w:r>
        <w:t xml:space="preserve">of the </w:t>
      </w:r>
      <w:r w:rsidR="007B5FC9">
        <w:t xml:space="preserve">major national and </w:t>
      </w:r>
      <w:r w:rsidR="00196FA9">
        <w:t xml:space="preserve">a number of </w:t>
      </w:r>
      <w:r w:rsidR="007B5FC9">
        <w:t xml:space="preserve">international construction firms. Accordingly, the complexity and resources associated with safety systems varies significantly. A key challenge is to ensure the Scheme requirements are applied consistently but in </w:t>
      </w:r>
      <w:r w:rsidR="00892847">
        <w:t xml:space="preserve">a </w:t>
      </w:r>
      <w:r w:rsidR="007B5FC9">
        <w:t>way that does not create unnecessary barriers to companies considering accreditation.</w:t>
      </w:r>
    </w:p>
    <w:p w:rsidR="007B5FC9" w:rsidRDefault="007B5FC9" w:rsidP="00E66426"/>
    <w:p w:rsidR="00B47B63" w:rsidRDefault="001A260B" w:rsidP="00E66426">
      <w:r>
        <w:t>Feedback is sought about</w:t>
      </w:r>
      <w:r w:rsidR="00B47B63">
        <w:t xml:space="preserve"> how to ease the burden for those seeking accreditation for the first time, and </w:t>
      </w:r>
      <w:r w:rsidR="0052448E">
        <w:t xml:space="preserve">whether </w:t>
      </w:r>
      <w:r w:rsidR="00B47B63">
        <w:t xml:space="preserve">there </w:t>
      </w:r>
      <w:r w:rsidR="00022800">
        <w:t xml:space="preserve">are </w:t>
      </w:r>
      <w:r w:rsidR="00B47B63">
        <w:t xml:space="preserve">any </w:t>
      </w:r>
      <w:r w:rsidR="00B52F2B">
        <w:t>barriers to commencing and completing the accreditation process that can be modified or removed.</w:t>
      </w:r>
      <w:r w:rsidR="007B5FC9">
        <w:t xml:space="preserve"> </w:t>
      </w:r>
    </w:p>
    <w:p w:rsidR="00B52F2B" w:rsidRDefault="00B52F2B" w:rsidP="00E66426"/>
    <w:p w:rsidR="00B6051E" w:rsidRDefault="00B6051E" w:rsidP="00E66426">
      <w:pPr>
        <w:pStyle w:val="Heading3"/>
      </w:pPr>
      <w:bookmarkStart w:id="34" w:name="_Toc377032043"/>
      <w:r w:rsidRPr="00B6051E">
        <w:t>Time taken to achieve accreditation</w:t>
      </w:r>
      <w:bookmarkEnd w:id="34"/>
    </w:p>
    <w:p w:rsidR="00B6051E" w:rsidRDefault="00B6051E" w:rsidP="00E66426"/>
    <w:p w:rsidR="00B6051E" w:rsidRDefault="00B6051E" w:rsidP="00E66426">
      <w:r w:rsidRPr="006A280B">
        <w:t>The time taken to achieve accreditation varies significantly across companies. There are two elements that contribute to the time taken from application to accreditation:</w:t>
      </w:r>
    </w:p>
    <w:p w:rsidR="00E66426" w:rsidRPr="006A280B" w:rsidRDefault="00E66426" w:rsidP="00E66426"/>
    <w:p w:rsidR="00B6051E" w:rsidRPr="006A280B" w:rsidRDefault="00B6051E" w:rsidP="00E66426">
      <w:pPr>
        <w:pStyle w:val="ListParagraph"/>
        <w:numPr>
          <w:ilvl w:val="0"/>
          <w:numId w:val="5"/>
        </w:numPr>
      </w:pPr>
      <w:r w:rsidRPr="006A280B">
        <w:t>OFSC administrati</w:t>
      </w:r>
      <w:r w:rsidR="00C845CB">
        <w:t>ve</w:t>
      </w:r>
      <w:r w:rsidRPr="006A280B">
        <w:t xml:space="preserve"> processes</w:t>
      </w:r>
      <w:r>
        <w:t>;</w:t>
      </w:r>
      <w:r w:rsidRPr="006A280B">
        <w:t xml:space="preserve"> and</w:t>
      </w:r>
    </w:p>
    <w:p w:rsidR="00B6051E" w:rsidRPr="006A280B" w:rsidRDefault="00693F5E" w:rsidP="00E66426">
      <w:pPr>
        <w:pStyle w:val="ListParagraph"/>
        <w:numPr>
          <w:ilvl w:val="0"/>
          <w:numId w:val="5"/>
        </w:numPr>
      </w:pPr>
      <w:proofErr w:type="gramStart"/>
      <w:r>
        <w:t>c</w:t>
      </w:r>
      <w:r w:rsidR="00B6051E" w:rsidRPr="006A280B">
        <w:t>ompany</w:t>
      </w:r>
      <w:proofErr w:type="gramEnd"/>
      <w:r w:rsidR="00B6051E" w:rsidRPr="006A280B">
        <w:t xml:space="preserve"> processes</w:t>
      </w:r>
      <w:r>
        <w:t>,</w:t>
      </w:r>
      <w:r w:rsidR="00B6051E" w:rsidRPr="006A280B">
        <w:t xml:space="preserve"> including audit timing and time taken to address non-conformances identified at audit.</w:t>
      </w:r>
    </w:p>
    <w:p w:rsidR="00B6051E" w:rsidRDefault="00B6051E" w:rsidP="00E66426"/>
    <w:p w:rsidR="004B0FB3" w:rsidRDefault="00041EC6" w:rsidP="004B0FB3">
      <w:r>
        <w:t>P</w:t>
      </w:r>
      <w:r w:rsidR="004B0FB3">
        <w:t xml:space="preserve">rior to January 2013, companies </w:t>
      </w:r>
      <w:r>
        <w:t>took</w:t>
      </w:r>
      <w:r w:rsidR="004B0FB3">
        <w:t xml:space="preserve">, on average, approximately 8 months to achieve accreditation for the first time. </w:t>
      </w:r>
      <w:r w:rsidR="004B0FB3" w:rsidRPr="006A280B">
        <w:t>Streamlined application processes were introduced in January 2013</w:t>
      </w:r>
      <w:r w:rsidR="004B0FB3">
        <w:t xml:space="preserve">. These processes included removing the requirement for companies to provide significant </w:t>
      </w:r>
      <w:r>
        <w:t xml:space="preserve">volumes </w:t>
      </w:r>
      <w:r w:rsidR="004B0FB3">
        <w:t>of documentary evidence and replacing it with a simplified gap analysis</w:t>
      </w:r>
      <w:r>
        <w:t>, a form of self</w:t>
      </w:r>
      <w:r w:rsidR="00196FA9">
        <w:t>-</w:t>
      </w:r>
      <w:r>
        <w:t>assessment whereby companies</w:t>
      </w:r>
      <w:r w:rsidR="004B0FB3">
        <w:t xml:space="preserve"> identify relevant procedures and documentation</w:t>
      </w:r>
      <w:r>
        <w:t xml:space="preserve"> that will be provided as evidence at the audit</w:t>
      </w:r>
      <w:r w:rsidR="004B0FB3">
        <w:t xml:space="preserve">. </w:t>
      </w:r>
    </w:p>
    <w:p w:rsidR="004B0FB3" w:rsidRDefault="004B0FB3" w:rsidP="004B0FB3">
      <w:r>
        <w:lastRenderedPageBreak/>
        <w:t>A</w:t>
      </w:r>
      <w:r w:rsidRPr="006A280B">
        <w:t xml:space="preserve">pplications received </w:t>
      </w:r>
      <w:r w:rsidR="00F9578E">
        <w:t xml:space="preserve">under the streamlined arrangements </w:t>
      </w:r>
      <w:r w:rsidRPr="006A280B">
        <w:t xml:space="preserve">that have achieved accreditation have done so in a significantly reduced time frame – four months on average. </w:t>
      </w:r>
      <w:r>
        <w:t xml:space="preserve">This time is </w:t>
      </w:r>
      <w:r w:rsidR="00F9578E">
        <w:t xml:space="preserve">further reduced to two and a half months </w:t>
      </w:r>
      <w:r>
        <w:t>when calculations are based on the time taken from first audit to accreditation</w:t>
      </w:r>
      <w:r w:rsidR="00041EC6">
        <w:t xml:space="preserve"> (the company generally determines when a</w:t>
      </w:r>
      <w:r w:rsidR="00196FA9">
        <w:t>nd</w:t>
      </w:r>
      <w:r w:rsidR="00041EC6">
        <w:t xml:space="preserve"> where the audit will take place)</w:t>
      </w:r>
      <w:r w:rsidR="00F9578E">
        <w:t>.</w:t>
      </w:r>
      <w:r w:rsidR="00041EC6">
        <w:t xml:space="preserve"> </w:t>
      </w:r>
      <w:r w:rsidR="00F9578E">
        <w:t xml:space="preserve"> </w:t>
      </w:r>
    </w:p>
    <w:p w:rsidR="004B0FB3" w:rsidRDefault="004B0FB3" w:rsidP="004B0FB3"/>
    <w:p w:rsidR="00B6051E" w:rsidRDefault="00BC7C9D" w:rsidP="00E66426">
      <w:r>
        <w:t xml:space="preserve">Views are sought as to </w:t>
      </w:r>
      <w:r w:rsidR="00B6051E">
        <w:t xml:space="preserve">other measures </w:t>
      </w:r>
      <w:r w:rsidR="00FD6AE0">
        <w:t xml:space="preserve">that </w:t>
      </w:r>
      <w:r w:rsidR="004B0FB3">
        <w:t>may</w:t>
      </w:r>
      <w:r w:rsidR="00B6051E">
        <w:t xml:space="preserve"> be implemented to further reduce the time taken to gain accreditation.</w:t>
      </w:r>
    </w:p>
    <w:p w:rsidR="00B6051E" w:rsidRDefault="00B6051E" w:rsidP="00E66426"/>
    <w:p w:rsidR="00D768CE" w:rsidRDefault="00D768CE" w:rsidP="00E66426">
      <w:pPr>
        <w:pStyle w:val="Heading3"/>
      </w:pPr>
      <w:bookmarkStart w:id="35" w:name="_Toc377032044"/>
      <w:r w:rsidRPr="00D768CE">
        <w:t>The accreditation process</w:t>
      </w:r>
      <w:bookmarkEnd w:id="35"/>
    </w:p>
    <w:p w:rsidR="00D768CE" w:rsidRDefault="00D768CE" w:rsidP="00E66426"/>
    <w:p w:rsidR="00D768CE" w:rsidRDefault="00D768CE" w:rsidP="00E66426">
      <w:r w:rsidRPr="006A280B">
        <w:t>Under the current model for accreditation, a company must submit an application for accreditation, undergo an on</w:t>
      </w:r>
      <w:r>
        <w:t>-</w:t>
      </w:r>
      <w:r w:rsidRPr="006A280B">
        <w:t xml:space="preserve">site audit or audits to assess compliance against the Scheme criteria, and reach a point where no major corrective actions remain open in order for the FSC to grant accreditation. </w:t>
      </w:r>
    </w:p>
    <w:p w:rsidR="0095704C" w:rsidRDefault="0095704C" w:rsidP="00E66426"/>
    <w:p w:rsidR="0095704C" w:rsidRDefault="0095704C" w:rsidP="00E66426">
      <w:r>
        <w:t xml:space="preserve">During the accreditation process, </w:t>
      </w:r>
      <w:r w:rsidR="004221C1">
        <w:t xml:space="preserve">all companies </w:t>
      </w:r>
      <w:r>
        <w:t xml:space="preserve">are required to demonstrate compliance against </w:t>
      </w:r>
      <w:proofErr w:type="spellStart"/>
      <w:r w:rsidR="004221C1">
        <w:t>WHSMS</w:t>
      </w:r>
      <w:proofErr w:type="spellEnd"/>
      <w:r w:rsidR="004221C1">
        <w:t xml:space="preserve"> criteria, Scheme specific criteria that address the development and improvement of safety culture and two hazards specific to the works underway on the project site. </w:t>
      </w:r>
    </w:p>
    <w:p w:rsidR="00D768CE" w:rsidRPr="006A280B" w:rsidRDefault="00D768CE" w:rsidP="00E66426"/>
    <w:p w:rsidR="00D768CE" w:rsidRPr="006A280B" w:rsidRDefault="00D768CE" w:rsidP="00E66426">
      <w:r w:rsidRPr="006A280B">
        <w:t xml:space="preserve">There is no limit or cap on the number of audits companies may take to achieve accreditation. It takes an average of </w:t>
      </w:r>
      <w:r w:rsidR="0058761E">
        <w:t xml:space="preserve">2.3 </w:t>
      </w:r>
      <w:r w:rsidRPr="006A280B">
        <w:t xml:space="preserve">audits to achieve accreditation for the first time. Where a company continues to make progress and demonstrates commitment to achieving accreditation, audits continue to be conducted until the company has closed or downgraded the identified </w:t>
      </w:r>
      <w:r w:rsidR="00D23570">
        <w:t xml:space="preserve">corrective actions </w:t>
      </w:r>
      <w:r w:rsidRPr="006A280B">
        <w:t xml:space="preserve">and are in a position to be recommended to the FSC for accreditation. </w:t>
      </w:r>
    </w:p>
    <w:p w:rsidR="00D768CE" w:rsidRPr="006A280B" w:rsidRDefault="00D768CE" w:rsidP="00E66426"/>
    <w:p w:rsidR="009E386B" w:rsidRPr="00575CD7" w:rsidRDefault="009E386B" w:rsidP="009E386B">
      <w:pPr>
        <w:pStyle w:val="Heading3"/>
      </w:pPr>
      <w:bookmarkStart w:id="36" w:name="_Toc377032049"/>
      <w:r w:rsidRPr="00575CD7">
        <w:t>Compliance costs</w:t>
      </w:r>
      <w:bookmarkEnd w:id="36"/>
    </w:p>
    <w:p w:rsidR="009E386B" w:rsidRPr="006A280B" w:rsidRDefault="009E386B" w:rsidP="009E386B"/>
    <w:p w:rsidR="009E386B" w:rsidRPr="006A280B" w:rsidRDefault="00041EC6" w:rsidP="009E386B">
      <w:r>
        <w:t xml:space="preserve">Virtually all companies need to modify some elements of their safety systems and practices in order to achieve accreditation and this entails costs </w:t>
      </w:r>
      <w:r w:rsidR="00E77E0F">
        <w:t xml:space="preserve">to meet the standards currently set by the OFSC. </w:t>
      </w:r>
      <w:r>
        <w:t xml:space="preserve"> </w:t>
      </w:r>
      <w:r w:rsidR="00FD6AE0">
        <w:t xml:space="preserve">Some stakeholders have reported </w:t>
      </w:r>
      <w:r w:rsidR="009E386B" w:rsidRPr="006A280B">
        <w:t xml:space="preserve">that it is an expensive exercise to achieve accreditation and some funding agencies </w:t>
      </w:r>
      <w:r w:rsidR="00FD6AE0">
        <w:t xml:space="preserve">say </w:t>
      </w:r>
      <w:r w:rsidR="009E386B" w:rsidRPr="006A280B">
        <w:t>that using an accredited company for a Scheme project increases the cost of that project.</w:t>
      </w:r>
      <w:r>
        <w:t xml:space="preserve">  </w:t>
      </w:r>
    </w:p>
    <w:p w:rsidR="009E386B" w:rsidRPr="006A280B" w:rsidRDefault="009E386B" w:rsidP="009E386B"/>
    <w:p w:rsidR="009E386B" w:rsidRPr="006A280B" w:rsidRDefault="009E386B" w:rsidP="009E386B">
      <w:r w:rsidRPr="006A280B">
        <w:t>There are no direct cost</w:t>
      </w:r>
      <w:r>
        <w:t xml:space="preserve">s charged by the OFSC to become accredited under </w:t>
      </w:r>
      <w:r w:rsidRPr="006A280B">
        <w:t>the Scheme</w:t>
      </w:r>
      <w:r>
        <w:t xml:space="preserve">. </w:t>
      </w:r>
      <w:r w:rsidR="00FD6AE0" w:rsidRPr="006A280B">
        <w:t xml:space="preserve">Applicants are not charged a fee to lodge an application and there is no charge for on-site auditing undertaken by </w:t>
      </w:r>
      <w:proofErr w:type="spellStart"/>
      <w:r w:rsidR="00FD6AE0">
        <w:t>F</w:t>
      </w:r>
      <w:r w:rsidR="00FD6AE0" w:rsidRPr="006A280B">
        <w:t>SOs</w:t>
      </w:r>
      <w:proofErr w:type="spellEnd"/>
      <w:r w:rsidR="00FD6AE0" w:rsidRPr="006A280B">
        <w:t>.</w:t>
      </w:r>
      <w:r w:rsidR="00FD6AE0">
        <w:t xml:space="preserve"> </w:t>
      </w:r>
    </w:p>
    <w:p w:rsidR="009E386B" w:rsidRPr="006A280B" w:rsidRDefault="009E386B" w:rsidP="009E386B"/>
    <w:p w:rsidR="009E386B" w:rsidRDefault="00FD6AE0" w:rsidP="009E386B">
      <w:r>
        <w:t xml:space="preserve">Applicants are likely to incur costs in the application process and in meeting the criteria for accreditation. </w:t>
      </w:r>
      <w:r w:rsidR="009E386B" w:rsidRPr="006A280B">
        <w:t>For example, a prerequisite of applying for accreditation is to have a</w:t>
      </w:r>
      <w:r w:rsidR="009E386B">
        <w:t xml:space="preserve"> WHS</w:t>
      </w:r>
      <w:r w:rsidR="009E386B" w:rsidRPr="006A280B">
        <w:t xml:space="preserve"> management system certified to AS</w:t>
      </w:r>
      <w:r w:rsidR="009E386B">
        <w:t>/</w:t>
      </w:r>
      <w:proofErr w:type="spellStart"/>
      <w:r w:rsidR="009E386B">
        <w:t>NZS</w:t>
      </w:r>
      <w:proofErr w:type="spellEnd"/>
      <w:r w:rsidR="009E386B">
        <w:t xml:space="preserve"> </w:t>
      </w:r>
      <w:r w:rsidR="009E386B" w:rsidRPr="006A280B">
        <w:t>4801:2001</w:t>
      </w:r>
      <w:r w:rsidR="00B56C55">
        <w:t xml:space="preserve"> </w:t>
      </w:r>
      <w:r w:rsidR="009E386B" w:rsidRPr="006A280B">
        <w:t>or the equivalent internat</w:t>
      </w:r>
      <w:r w:rsidR="009E386B">
        <w:t xml:space="preserve">ional standard </w:t>
      </w:r>
      <w:proofErr w:type="spellStart"/>
      <w:r w:rsidR="009E386B">
        <w:t>OHSAS</w:t>
      </w:r>
      <w:proofErr w:type="spellEnd"/>
      <w:r w:rsidR="009E386B">
        <w:t xml:space="preserve"> 18001:2007. </w:t>
      </w:r>
    </w:p>
    <w:p w:rsidR="00FD6AE0" w:rsidRPr="006A280B" w:rsidRDefault="00FD6AE0" w:rsidP="009E386B"/>
    <w:p w:rsidR="009E386B" w:rsidRPr="006A280B" w:rsidRDefault="009E386B" w:rsidP="009E386B">
      <w:r w:rsidRPr="006A280B">
        <w:t xml:space="preserve">Some companies engage consultants or specialist </w:t>
      </w:r>
      <w:r>
        <w:t>W</w:t>
      </w:r>
      <w:r w:rsidRPr="006A280B">
        <w:t>HS staff to assist in implementing their internal safety systems</w:t>
      </w:r>
      <w:r w:rsidR="009A4FB3">
        <w:t>, including meet</w:t>
      </w:r>
      <w:r w:rsidR="00196FA9">
        <w:t>ing</w:t>
      </w:r>
      <w:r w:rsidR="009A4FB3">
        <w:t xml:space="preserve"> Scheme criteria</w:t>
      </w:r>
      <w:r w:rsidRPr="006A280B">
        <w:t>.</w:t>
      </w:r>
      <w:r w:rsidR="001A260B">
        <w:t xml:space="preserve"> Conversely, many smaller accredited companies have achieved accreditation relatively quickly and easily. The costs of achieving and maintaining accreditation therefore appear to vary widely from company to company, and depend on a range of factors including the </w:t>
      </w:r>
      <w:r w:rsidR="009A4FB3">
        <w:t>size of the organisation</w:t>
      </w:r>
      <w:r w:rsidR="00431318">
        <w:t xml:space="preserve">, </w:t>
      </w:r>
      <w:r w:rsidR="009A4FB3">
        <w:t xml:space="preserve">the </w:t>
      </w:r>
      <w:r w:rsidR="001A260B">
        <w:t xml:space="preserve">safety culture and </w:t>
      </w:r>
      <w:r w:rsidR="00431318">
        <w:t xml:space="preserve">the quality of existing </w:t>
      </w:r>
      <w:r w:rsidR="001A260B">
        <w:t xml:space="preserve">systems.   </w:t>
      </w:r>
    </w:p>
    <w:p w:rsidR="009E386B" w:rsidRPr="006A280B" w:rsidRDefault="009E386B" w:rsidP="009E386B"/>
    <w:p w:rsidR="009E386B" w:rsidRDefault="00FD6AE0" w:rsidP="009E386B">
      <w:r>
        <w:t>Some organisations have attributed the cost of state and territ</w:t>
      </w:r>
      <w:r w:rsidR="009C433E">
        <w:t xml:space="preserve">ory legislative requirements as a </w:t>
      </w:r>
      <w:r>
        <w:t xml:space="preserve">cost </w:t>
      </w:r>
      <w:r w:rsidR="003F3E82">
        <w:t xml:space="preserve">of </w:t>
      </w:r>
      <w:r>
        <w:t xml:space="preserve">the Scheme. Those costs would be incurred regardless of seeking accreditation.  </w:t>
      </w:r>
    </w:p>
    <w:p w:rsidR="006464E1" w:rsidRPr="006A280B" w:rsidRDefault="006464E1" w:rsidP="009E386B"/>
    <w:p w:rsidR="009E386B" w:rsidRDefault="009A4FB3" w:rsidP="009E386B">
      <w:r>
        <w:lastRenderedPageBreak/>
        <w:t xml:space="preserve">Feedback is encouraged about the nature and </w:t>
      </w:r>
      <w:r w:rsidR="009E386B">
        <w:t xml:space="preserve">value of costs </w:t>
      </w:r>
      <w:r>
        <w:t xml:space="preserve">directly attributable to obtaining and retaining accreditation under </w:t>
      </w:r>
      <w:r w:rsidR="009E386B">
        <w:t>the Scheme</w:t>
      </w:r>
      <w:r>
        <w:t>, and ideas about how to minimise those costs while not reducing safety standards.</w:t>
      </w:r>
    </w:p>
    <w:p w:rsidR="009E386B" w:rsidRDefault="009E386B" w:rsidP="009E386B"/>
    <w:p w:rsidR="001A260B" w:rsidRDefault="001A260B" w:rsidP="009E386B">
      <w:r>
        <w:t>T</w:t>
      </w:r>
      <w:r w:rsidR="009E386B" w:rsidRPr="006A280B">
        <w:t xml:space="preserve">here is a range of material that suggests that good </w:t>
      </w:r>
      <w:r w:rsidR="009E386B">
        <w:t>W</w:t>
      </w:r>
      <w:r w:rsidR="009E386B" w:rsidRPr="006A280B">
        <w:t xml:space="preserve">HS is good for productivity. </w:t>
      </w:r>
      <w:r w:rsidR="009E386B" w:rsidRPr="00672816">
        <w:t xml:space="preserve">Many </w:t>
      </w:r>
      <w:r w:rsidR="006464E1" w:rsidRPr="00672816">
        <w:t xml:space="preserve">accredited </w:t>
      </w:r>
      <w:r w:rsidR="009E386B" w:rsidRPr="00672816">
        <w:t>companies report an improved bottom-line because of the cost savings</w:t>
      </w:r>
      <w:r w:rsidR="009E386B" w:rsidRPr="006A280B">
        <w:t xml:space="preserve"> achieved by fewer safety incidents and reduced compensation payments. </w:t>
      </w:r>
      <w:r w:rsidR="006464E1">
        <w:t>O</w:t>
      </w:r>
      <w:r w:rsidR="009E386B" w:rsidRPr="006A280B">
        <w:t xml:space="preserve">ther benefits </w:t>
      </w:r>
      <w:r w:rsidR="006464E1">
        <w:t xml:space="preserve">also reported include </w:t>
      </w:r>
      <w:r w:rsidR="009E386B" w:rsidRPr="006A280B">
        <w:t>higher staff morale and increased efficiency.</w:t>
      </w:r>
      <w:r>
        <w:t xml:space="preserve"> </w:t>
      </w:r>
    </w:p>
    <w:p w:rsidR="001A260B" w:rsidRDefault="001A260B" w:rsidP="009E386B"/>
    <w:p w:rsidR="009E386B" w:rsidRPr="006A280B" w:rsidRDefault="001A260B" w:rsidP="009E386B">
      <w:r>
        <w:t xml:space="preserve">Some stakeholders emphasise that red tape impacts need to be balanced against </w:t>
      </w:r>
      <w:r w:rsidR="009A4FB3">
        <w:t xml:space="preserve">the major productivity benefits to be gained by </w:t>
      </w:r>
      <w:r>
        <w:t>further improving safety performance</w:t>
      </w:r>
      <w:r w:rsidR="009A4FB3">
        <w:t xml:space="preserve"> across the industry. </w:t>
      </w:r>
    </w:p>
    <w:p w:rsidR="00BA09F9" w:rsidRDefault="00BA09F9" w:rsidP="009E386B">
      <w:pPr>
        <w:pStyle w:val="Heading3"/>
      </w:pPr>
      <w:bookmarkStart w:id="37" w:name="_Toc377032050"/>
    </w:p>
    <w:p w:rsidR="009E386B" w:rsidRPr="006A280B" w:rsidRDefault="009E386B" w:rsidP="009E386B">
      <w:pPr>
        <w:pStyle w:val="Heading3"/>
      </w:pPr>
      <w:r w:rsidRPr="006A280B">
        <w:t>AS/</w:t>
      </w:r>
      <w:proofErr w:type="spellStart"/>
      <w:r w:rsidRPr="006A280B">
        <w:t>NZ</w:t>
      </w:r>
      <w:r>
        <w:t>S</w:t>
      </w:r>
      <w:proofErr w:type="spellEnd"/>
      <w:r w:rsidRPr="006A280B">
        <w:t xml:space="preserve"> 4801</w:t>
      </w:r>
      <w:r w:rsidR="00B56C55">
        <w:t xml:space="preserve">:2001 </w:t>
      </w:r>
      <w:r w:rsidRPr="006A280B">
        <w:t>requirement</w:t>
      </w:r>
      <w:bookmarkEnd w:id="37"/>
    </w:p>
    <w:p w:rsidR="009E386B" w:rsidRPr="006A280B" w:rsidRDefault="009E386B" w:rsidP="009E386B"/>
    <w:p w:rsidR="009E386B" w:rsidRPr="006A280B" w:rsidRDefault="009E386B" w:rsidP="009E386B">
      <w:r w:rsidRPr="006A280B">
        <w:t xml:space="preserve">The Scheme Regulations require that a company’s </w:t>
      </w:r>
      <w:proofErr w:type="spellStart"/>
      <w:r w:rsidRPr="006A280B">
        <w:t>WHSMS</w:t>
      </w:r>
      <w:proofErr w:type="spellEnd"/>
      <w:r w:rsidRPr="006A280B">
        <w:t xml:space="preserve"> has been certified to AS/</w:t>
      </w:r>
      <w:proofErr w:type="spellStart"/>
      <w:r w:rsidRPr="006A280B">
        <w:t>NZS</w:t>
      </w:r>
      <w:proofErr w:type="spellEnd"/>
      <w:r w:rsidRPr="006A280B">
        <w:t xml:space="preserve"> 4801:2001 before the FSC can decide an application for accreditation. The OFSC requires evidence of this certification as part of the initial application process. This certification was initially required to ensure that any company applying for accreditation had, as a minimum, an existing </w:t>
      </w:r>
      <w:proofErr w:type="spellStart"/>
      <w:r w:rsidRPr="006A280B">
        <w:t>WHSMS</w:t>
      </w:r>
      <w:proofErr w:type="spellEnd"/>
      <w:r w:rsidRPr="006A280B">
        <w:t>.</w:t>
      </w:r>
      <w:r w:rsidR="00F9578E">
        <w:t xml:space="preserve"> The </w:t>
      </w:r>
      <w:proofErr w:type="spellStart"/>
      <w:r w:rsidR="00F9578E">
        <w:t>WHSMS</w:t>
      </w:r>
      <w:proofErr w:type="spellEnd"/>
      <w:r w:rsidR="00F9578E">
        <w:t xml:space="preserve"> criteria applicable under the Scheme were initially based on the </w:t>
      </w:r>
      <w:r w:rsidR="004D70FC">
        <w:t xml:space="preserve">criteria </w:t>
      </w:r>
      <w:r w:rsidR="00F9578E">
        <w:t>for an AS/</w:t>
      </w:r>
      <w:proofErr w:type="spellStart"/>
      <w:r w:rsidR="00F9578E">
        <w:t>NZS</w:t>
      </w:r>
      <w:proofErr w:type="spellEnd"/>
      <w:r w:rsidR="00F9578E">
        <w:t xml:space="preserve"> 4801:2001 certification.</w:t>
      </w:r>
    </w:p>
    <w:p w:rsidR="009E386B" w:rsidRPr="006A280B" w:rsidRDefault="009E386B" w:rsidP="009E386B"/>
    <w:p w:rsidR="009E386B" w:rsidRPr="006A280B" w:rsidRDefault="009E386B" w:rsidP="009E386B">
      <w:r w:rsidRPr="006A280B">
        <w:t xml:space="preserve">The cost to a company to achieve certification under </w:t>
      </w:r>
      <w:r>
        <w:t>AS/</w:t>
      </w:r>
      <w:proofErr w:type="spellStart"/>
      <w:r>
        <w:t>NZS</w:t>
      </w:r>
      <w:proofErr w:type="spellEnd"/>
      <w:r>
        <w:t xml:space="preserve"> </w:t>
      </w:r>
      <w:r w:rsidRPr="006A280B">
        <w:t>4801</w:t>
      </w:r>
      <w:r w:rsidR="003F67CF">
        <w:t>:2001</w:t>
      </w:r>
      <w:r w:rsidRPr="006A280B">
        <w:t xml:space="preserve"> is dependent upon a number of factors including the extent to which a </w:t>
      </w:r>
      <w:proofErr w:type="spellStart"/>
      <w:r w:rsidRPr="006A280B">
        <w:t>WHSMS</w:t>
      </w:r>
      <w:proofErr w:type="spellEnd"/>
      <w:r w:rsidRPr="006A280B">
        <w:t xml:space="preserve"> is already in place within the company, the size of the company, the complexity of the business, the number of permanent and temporary locations the company operates </w:t>
      </w:r>
      <w:r w:rsidR="001E1956">
        <w:t>i</w:t>
      </w:r>
      <w:r w:rsidRPr="006A280B">
        <w:t xml:space="preserve">n and the number of audit days required to achieve the certification. </w:t>
      </w:r>
    </w:p>
    <w:p w:rsidR="009E386B" w:rsidRPr="006A280B" w:rsidRDefault="009E386B" w:rsidP="009E386B"/>
    <w:p w:rsidR="009E386B" w:rsidRPr="006A280B" w:rsidRDefault="009E386B" w:rsidP="009E386B">
      <w:r w:rsidRPr="006A280B">
        <w:t xml:space="preserve">Prices as advised by an accredited third party certification body would suggest that certification for WHS </w:t>
      </w:r>
      <w:r w:rsidR="00041EC6">
        <w:t>ranges from</w:t>
      </w:r>
      <w:r w:rsidRPr="006A280B">
        <w:t xml:space="preserve"> </w:t>
      </w:r>
      <w:r>
        <w:t>approximately</w:t>
      </w:r>
      <w:r w:rsidRPr="006A280B">
        <w:t xml:space="preserve"> $8,000 for the smallest of businesses up</w:t>
      </w:r>
      <w:r>
        <w:t xml:space="preserve"> to </w:t>
      </w:r>
      <w:r w:rsidRPr="006A280B">
        <w:t xml:space="preserve">$80,000 or more. </w:t>
      </w:r>
      <w:r w:rsidR="00041EC6">
        <w:t xml:space="preserve">Businesses that engage </w:t>
      </w:r>
      <w:r w:rsidRPr="006A280B">
        <w:t>consultants to deliver certification to a business</w:t>
      </w:r>
      <w:r w:rsidR="00041EC6">
        <w:t xml:space="preserve"> could spend </w:t>
      </w:r>
      <w:r w:rsidRPr="006A280B">
        <w:t xml:space="preserve">between $10,000 for a small </w:t>
      </w:r>
      <w:r w:rsidR="003F3E82">
        <w:t>three to four</w:t>
      </w:r>
      <w:r w:rsidRPr="006A280B">
        <w:t xml:space="preserve"> </w:t>
      </w:r>
      <w:r>
        <w:t xml:space="preserve">person </w:t>
      </w:r>
      <w:r w:rsidRPr="006A280B">
        <w:t xml:space="preserve">business </w:t>
      </w:r>
      <w:r w:rsidR="00041EC6">
        <w:t xml:space="preserve">up </w:t>
      </w:r>
      <w:r w:rsidRPr="006A280B">
        <w:t xml:space="preserve">to $200,000 or more for a large organisation. </w:t>
      </w:r>
      <w:r w:rsidR="00041EC6">
        <w:t>S</w:t>
      </w:r>
      <w:r w:rsidRPr="006A280B">
        <w:t xml:space="preserve">urveillance audits and recertification audits </w:t>
      </w:r>
      <w:r w:rsidR="00342F14">
        <w:t xml:space="preserve">are </w:t>
      </w:r>
      <w:r>
        <w:t xml:space="preserve">required </w:t>
      </w:r>
      <w:r w:rsidRPr="006A280B">
        <w:t>over a three year period</w:t>
      </w:r>
      <w:r w:rsidR="00683EDC">
        <w:t xml:space="preserve"> to maintain certification</w:t>
      </w:r>
      <w:r w:rsidRPr="006A280B">
        <w:t>.</w:t>
      </w:r>
    </w:p>
    <w:p w:rsidR="009E386B" w:rsidRDefault="009E386B" w:rsidP="009E386B">
      <w:pPr>
        <w:rPr>
          <w:rFonts w:eastAsiaTheme="minorHAnsi"/>
          <w:lang w:eastAsia="en-US"/>
        </w:rPr>
      </w:pPr>
    </w:p>
    <w:p w:rsidR="009E386B" w:rsidRDefault="009E386B" w:rsidP="009E386B">
      <w:pPr>
        <w:rPr>
          <w:rFonts w:eastAsiaTheme="minorHAnsi"/>
          <w:lang w:eastAsia="en-US"/>
        </w:rPr>
      </w:pPr>
      <w:r>
        <w:rPr>
          <w:rFonts w:eastAsiaTheme="minorHAnsi"/>
          <w:lang w:eastAsia="en-US"/>
        </w:rPr>
        <w:t>An option is to remove the requirement of AS</w:t>
      </w:r>
      <w:r w:rsidR="006464E1">
        <w:rPr>
          <w:rFonts w:eastAsiaTheme="minorHAnsi"/>
          <w:lang w:eastAsia="en-US"/>
        </w:rPr>
        <w:t>/</w:t>
      </w:r>
      <w:proofErr w:type="spellStart"/>
      <w:r w:rsidR="006464E1">
        <w:rPr>
          <w:rFonts w:eastAsiaTheme="minorHAnsi"/>
          <w:lang w:eastAsia="en-US"/>
        </w:rPr>
        <w:t>NZS</w:t>
      </w:r>
      <w:proofErr w:type="spellEnd"/>
      <w:r>
        <w:rPr>
          <w:rFonts w:eastAsiaTheme="minorHAnsi"/>
          <w:lang w:eastAsia="en-US"/>
        </w:rPr>
        <w:t xml:space="preserve"> 4801</w:t>
      </w:r>
      <w:r w:rsidR="00B56C55">
        <w:rPr>
          <w:rFonts w:eastAsiaTheme="minorHAnsi"/>
          <w:lang w:eastAsia="en-US"/>
        </w:rPr>
        <w:t>:2001</w:t>
      </w:r>
      <w:r>
        <w:rPr>
          <w:rFonts w:eastAsiaTheme="minorHAnsi"/>
          <w:lang w:eastAsia="en-US"/>
        </w:rPr>
        <w:t xml:space="preserve"> certification as a pre-requisite to applying for accreditation</w:t>
      </w:r>
      <w:r w:rsidR="005F4FB6">
        <w:rPr>
          <w:rFonts w:eastAsiaTheme="minorHAnsi"/>
          <w:lang w:eastAsia="en-US"/>
        </w:rPr>
        <w:t xml:space="preserve"> as Scheme requirements </w:t>
      </w:r>
      <w:r w:rsidR="00683EDC">
        <w:rPr>
          <w:rFonts w:eastAsiaTheme="minorHAnsi"/>
          <w:lang w:eastAsia="en-US"/>
        </w:rPr>
        <w:t>currently subsume AS/</w:t>
      </w:r>
      <w:proofErr w:type="spellStart"/>
      <w:r w:rsidR="00683EDC">
        <w:rPr>
          <w:rFonts w:eastAsiaTheme="minorHAnsi"/>
          <w:lang w:eastAsia="en-US"/>
        </w:rPr>
        <w:t>NZS</w:t>
      </w:r>
      <w:proofErr w:type="spellEnd"/>
      <w:r w:rsidR="00683EDC">
        <w:rPr>
          <w:rFonts w:eastAsiaTheme="minorHAnsi"/>
          <w:lang w:eastAsia="en-US"/>
        </w:rPr>
        <w:t xml:space="preserve"> 4801:2001 requirements. </w:t>
      </w:r>
      <w:r>
        <w:rPr>
          <w:rFonts w:eastAsiaTheme="minorHAnsi"/>
          <w:lang w:eastAsia="en-US"/>
        </w:rPr>
        <w:t xml:space="preserve"> </w:t>
      </w:r>
    </w:p>
    <w:p w:rsidR="009E386B" w:rsidRDefault="009E386B" w:rsidP="009E386B">
      <w:pPr>
        <w:rPr>
          <w:rFonts w:eastAsiaTheme="minorHAnsi"/>
          <w:lang w:eastAsia="en-US"/>
        </w:rPr>
      </w:pPr>
    </w:p>
    <w:p w:rsidR="009E386B" w:rsidRDefault="009E386B" w:rsidP="009E386B">
      <w:pPr>
        <w:rPr>
          <w:rFonts w:eastAsiaTheme="minorHAnsi"/>
          <w:lang w:eastAsia="en-US"/>
        </w:rPr>
      </w:pPr>
      <w:r w:rsidRPr="008D49E0">
        <w:rPr>
          <w:rFonts w:eastAsiaTheme="minorHAnsi"/>
          <w:lang w:eastAsia="en-US"/>
        </w:rPr>
        <w:t xml:space="preserve">The </w:t>
      </w:r>
      <w:r w:rsidR="00683EDC">
        <w:rPr>
          <w:rFonts w:eastAsiaTheme="minorHAnsi"/>
          <w:lang w:eastAsia="en-US"/>
        </w:rPr>
        <w:t>impact</w:t>
      </w:r>
      <w:r w:rsidRPr="008D49E0">
        <w:rPr>
          <w:rFonts w:eastAsiaTheme="minorHAnsi"/>
          <w:lang w:eastAsia="en-US"/>
        </w:rPr>
        <w:t xml:space="preserve"> of removing this requirement </w:t>
      </w:r>
      <w:r w:rsidR="00683EDC">
        <w:rPr>
          <w:rFonts w:eastAsiaTheme="minorHAnsi"/>
          <w:lang w:eastAsia="en-US"/>
        </w:rPr>
        <w:t xml:space="preserve">with </w:t>
      </w:r>
      <w:r w:rsidR="005F4FB6">
        <w:rPr>
          <w:rFonts w:eastAsiaTheme="minorHAnsi"/>
          <w:lang w:eastAsia="en-US"/>
        </w:rPr>
        <w:t xml:space="preserve">recognition of Scheme </w:t>
      </w:r>
      <w:r w:rsidR="00683EDC">
        <w:rPr>
          <w:rFonts w:eastAsiaTheme="minorHAnsi"/>
          <w:lang w:eastAsia="en-US"/>
        </w:rPr>
        <w:t xml:space="preserve">accreditation </w:t>
      </w:r>
      <w:r w:rsidR="005F4FB6">
        <w:rPr>
          <w:rFonts w:eastAsiaTheme="minorHAnsi"/>
          <w:lang w:eastAsia="en-US"/>
        </w:rPr>
        <w:t xml:space="preserve">by </w:t>
      </w:r>
      <w:r w:rsidRPr="008D49E0">
        <w:rPr>
          <w:rFonts w:eastAsiaTheme="minorHAnsi"/>
          <w:lang w:eastAsia="en-US"/>
        </w:rPr>
        <w:t>other jurisdictions is discussed later in the paper.</w:t>
      </w:r>
    </w:p>
    <w:p w:rsidR="006C2422" w:rsidRPr="006A280B" w:rsidRDefault="006C2422" w:rsidP="009E386B">
      <w:pPr>
        <w:rPr>
          <w:rFonts w:eastAsiaTheme="minorHAnsi"/>
          <w:lang w:eastAsia="en-US"/>
        </w:rPr>
      </w:pPr>
    </w:p>
    <w:p w:rsidR="009E386B" w:rsidRPr="00575CD7" w:rsidRDefault="009E386B" w:rsidP="009E386B">
      <w:pPr>
        <w:pStyle w:val="Heading3"/>
      </w:pPr>
      <w:bookmarkStart w:id="38" w:name="_Toc377032051"/>
      <w:r w:rsidRPr="00575CD7">
        <w:t>Smaller companies and the Scheme</w:t>
      </w:r>
      <w:bookmarkEnd w:id="38"/>
    </w:p>
    <w:p w:rsidR="009E386B" w:rsidRPr="007467FD" w:rsidRDefault="009E386B" w:rsidP="009E386B">
      <w:pPr>
        <w:rPr>
          <w:highlight w:val="cyan"/>
        </w:rPr>
      </w:pPr>
    </w:p>
    <w:p w:rsidR="00EF0F3E" w:rsidRPr="006D6D0E" w:rsidRDefault="00EF0F3E" w:rsidP="00EF0F3E">
      <w:r w:rsidRPr="006D6D0E">
        <w:t xml:space="preserve">The Scheme applies to Commonwealth funded projects subject to the thresholds outlined previously. Of the 249 accredited companies that submitted a biannual report in the January to June 2013 period, </w:t>
      </w:r>
      <w:r w:rsidR="00D82C12" w:rsidRPr="006D6D0E">
        <w:t>41 (</w:t>
      </w:r>
      <w:r w:rsidRPr="006D6D0E">
        <w:t>approximately 15 per cent</w:t>
      </w:r>
      <w:r w:rsidR="00D82C12" w:rsidRPr="006D6D0E">
        <w:t>)</w:t>
      </w:r>
      <w:r w:rsidRPr="006D6D0E">
        <w:t xml:space="preserve"> are small companies</w:t>
      </w:r>
      <w:r w:rsidR="005F4FB6" w:rsidRPr="006D6D0E">
        <w:t xml:space="preserve"> based on the </w:t>
      </w:r>
      <w:r w:rsidR="00D82C12" w:rsidRPr="006D6D0E">
        <w:t>definition used by the ABS</w:t>
      </w:r>
      <w:r w:rsidR="005F4FB6" w:rsidRPr="006D6D0E">
        <w:t xml:space="preserve"> (</w:t>
      </w:r>
      <w:r w:rsidR="003F67CF" w:rsidRPr="006D6D0E">
        <w:t>0-19 employees</w:t>
      </w:r>
      <w:r w:rsidR="005F4FB6" w:rsidRPr="006D6D0E">
        <w:t>)</w:t>
      </w:r>
      <w:r w:rsidR="003F67CF" w:rsidRPr="006D6D0E">
        <w:t>.</w:t>
      </w:r>
      <w:r w:rsidR="00D82C12" w:rsidRPr="006D6D0E">
        <w:t xml:space="preserve"> </w:t>
      </w:r>
    </w:p>
    <w:p w:rsidR="009E386B" w:rsidRPr="006D6D0E" w:rsidRDefault="009E386B" w:rsidP="009E386B"/>
    <w:p w:rsidR="009E386B" w:rsidRPr="007467FD" w:rsidRDefault="009E386B" w:rsidP="009E386B">
      <w:r w:rsidRPr="006D6D0E">
        <w:t>Many smaller compan</w:t>
      </w:r>
      <w:r w:rsidR="00672816" w:rsidRPr="006D6D0E">
        <w:t>ie</w:t>
      </w:r>
      <w:r w:rsidRPr="006D6D0E">
        <w:t xml:space="preserve">s, notably residential builders, have raised concerns that the </w:t>
      </w:r>
      <w:r w:rsidRPr="007467FD">
        <w:t>requirements of the Scheme</w:t>
      </w:r>
      <w:r w:rsidR="00243891">
        <w:t xml:space="preserve">, </w:t>
      </w:r>
      <w:r w:rsidRPr="007467FD">
        <w:t>particularly at audit</w:t>
      </w:r>
      <w:r w:rsidR="00243891">
        <w:t xml:space="preserve">, </w:t>
      </w:r>
      <w:r w:rsidRPr="007467FD">
        <w:t>are too complex, too costly and in a number of cases off</w:t>
      </w:r>
      <w:r w:rsidR="00A07C28">
        <w:t>-</w:t>
      </w:r>
      <w:r w:rsidRPr="007467FD">
        <w:t>putting enough to discourage them from applying for accreditation. Some small businesses engage consultants or enter into arrangements with external p</w:t>
      </w:r>
      <w:r>
        <w:t>roviders for WHS services as th</w:t>
      </w:r>
      <w:r w:rsidRPr="007467FD">
        <w:t>e</w:t>
      </w:r>
      <w:r>
        <w:t>y</w:t>
      </w:r>
      <w:r w:rsidRPr="007467FD">
        <w:t xml:space="preserve"> do not have the appropriate internal resources. </w:t>
      </w:r>
    </w:p>
    <w:p w:rsidR="009E386B" w:rsidRPr="007467FD" w:rsidRDefault="009E386B" w:rsidP="009E386B"/>
    <w:p w:rsidR="004B7067" w:rsidRDefault="004B7067"/>
    <w:p w:rsidR="009E386B" w:rsidRPr="007467FD" w:rsidRDefault="009E386B" w:rsidP="009E386B">
      <w:r w:rsidRPr="007467FD">
        <w:lastRenderedPageBreak/>
        <w:t xml:space="preserve">Conversely, </w:t>
      </w:r>
      <w:r w:rsidR="00B875DB">
        <w:t>some</w:t>
      </w:r>
      <w:r w:rsidRPr="007467FD">
        <w:t xml:space="preserve"> companies have reported that their smaller size has not inhibited their accreditation process and has</w:t>
      </w:r>
      <w:r>
        <w:t xml:space="preserve"> in fact </w:t>
      </w:r>
      <w:r w:rsidRPr="007467FD">
        <w:t xml:space="preserve">helped in the process. For instance, they advise that reduced lines of communication and consultation within the company, flatter structures for review and approval processes and simpler emergency procedures are beneficial in addressing the audit criteria in a way that suits their own business. </w:t>
      </w:r>
    </w:p>
    <w:p w:rsidR="009E386B" w:rsidRPr="007467FD" w:rsidRDefault="009E386B" w:rsidP="009E386B"/>
    <w:p w:rsidR="004D70FC" w:rsidRDefault="004D70FC" w:rsidP="00CF0C00">
      <w:r>
        <w:t>T</w:t>
      </w:r>
      <w:r w:rsidRPr="007467FD">
        <w:t xml:space="preserve">he </w:t>
      </w:r>
      <w:hyperlink r:id="rId22" w:history="1">
        <w:r w:rsidRPr="00097823">
          <w:rPr>
            <w:rStyle w:val="Hyperlink"/>
          </w:rPr>
          <w:t>Audit Criteria Evidence Guide</w:t>
        </w:r>
      </w:hyperlink>
      <w:r w:rsidRPr="007467FD">
        <w:t xml:space="preserve"> provides sector</w:t>
      </w:r>
      <w:r w:rsidR="005F548A">
        <w:t>-</w:t>
      </w:r>
      <w:r w:rsidRPr="007467FD">
        <w:t>specific information for the residential building sector</w:t>
      </w:r>
      <w:r>
        <w:t xml:space="preserve"> that recognises differences that exist </w:t>
      </w:r>
      <w:r w:rsidR="00B875DB">
        <w:t xml:space="preserve">compared to other </w:t>
      </w:r>
      <w:r>
        <w:t>sector</w:t>
      </w:r>
      <w:r w:rsidR="00B875DB">
        <w:t>s</w:t>
      </w:r>
      <w:proofErr w:type="gramStart"/>
      <w:r w:rsidR="00B875DB">
        <w:t>.</w:t>
      </w:r>
      <w:r>
        <w:t>.</w:t>
      </w:r>
      <w:proofErr w:type="gramEnd"/>
      <w:r>
        <w:t xml:space="preserve"> As examples, the criteria require site</w:t>
      </w:r>
      <w:r w:rsidR="00016D82">
        <w:t>-</w:t>
      </w:r>
      <w:r>
        <w:t>specific WHS management plans to be developed for projects. In the context of housing projects with multiple dwellings, this requirement is applied for the overall project, rather than for each individual house (site) within the project. Similarly, requirements for adequate emergency and first aid equipment on</w:t>
      </w:r>
      <w:r w:rsidR="00016D82">
        <w:t xml:space="preserve"> </w:t>
      </w:r>
      <w:r>
        <w:t xml:space="preserve">site do not necessarily have to be done on each individual house site and can apply at the overall project level.  </w:t>
      </w:r>
    </w:p>
    <w:p w:rsidR="004D70FC" w:rsidRDefault="004D70FC" w:rsidP="00CF0C00"/>
    <w:p w:rsidR="00CF0C00" w:rsidRDefault="00B875DB" w:rsidP="00CF0C00">
      <w:r>
        <w:t>I</w:t>
      </w:r>
      <w:r w:rsidR="004D70FC">
        <w:t>t is clear that more can be done to assist small companies meet requirements</w:t>
      </w:r>
      <w:r>
        <w:t xml:space="preserve"> without compromising the safety standards or integrity of the Scheme and f</w:t>
      </w:r>
      <w:r w:rsidR="004D70FC">
        <w:t xml:space="preserve">eedback is sought on ways to achieve this. </w:t>
      </w:r>
    </w:p>
    <w:p w:rsidR="009E386B" w:rsidRDefault="009E386B" w:rsidP="009E386B"/>
    <w:p w:rsidR="009E386B" w:rsidRDefault="009E386B" w:rsidP="009E386B">
      <w:pPr>
        <w:rPr>
          <w:u w:val="single"/>
        </w:rPr>
      </w:pPr>
      <w:r w:rsidRPr="008163D9">
        <w:rPr>
          <w:u w:val="single"/>
        </w:rPr>
        <w:t>Withdrawals from the accreditation application process</w:t>
      </w:r>
    </w:p>
    <w:p w:rsidR="009E386B" w:rsidRDefault="009E386B" w:rsidP="009E386B">
      <w:pPr>
        <w:rPr>
          <w:u w:val="single"/>
        </w:rPr>
      </w:pPr>
    </w:p>
    <w:p w:rsidR="00B50C9C" w:rsidRDefault="00C2052F" w:rsidP="008163D9">
      <w:r>
        <w:t xml:space="preserve">A total of </w:t>
      </w:r>
      <w:r w:rsidRPr="00E4667C">
        <w:t>129</w:t>
      </w:r>
      <w:r>
        <w:t xml:space="preserve"> </w:t>
      </w:r>
      <w:r w:rsidR="00B50C9C" w:rsidRPr="008163D9">
        <w:t xml:space="preserve">companies </w:t>
      </w:r>
      <w:r w:rsidR="008A0A57">
        <w:t>that</w:t>
      </w:r>
      <w:r w:rsidR="00D82C12">
        <w:t xml:space="preserve"> submitted an application for accreditation have subsequently </w:t>
      </w:r>
      <w:r w:rsidR="00B50C9C" w:rsidRPr="008163D9">
        <w:t>withdraw</w:t>
      </w:r>
      <w:r w:rsidR="00D82C12">
        <w:t>n</w:t>
      </w:r>
      <w:r w:rsidR="00B50C9C" w:rsidRPr="008163D9">
        <w:t xml:space="preserve"> the</w:t>
      </w:r>
      <w:r w:rsidR="008163D9" w:rsidRPr="008163D9">
        <w:t xml:space="preserve"> application</w:t>
      </w:r>
      <w:r w:rsidR="00D82C12">
        <w:t xml:space="preserve">. </w:t>
      </w:r>
      <w:r>
        <w:t xml:space="preserve">A total </w:t>
      </w:r>
      <w:r w:rsidRPr="00E4667C">
        <w:t>of 38</w:t>
      </w:r>
      <w:r>
        <w:t xml:space="preserve"> </w:t>
      </w:r>
      <w:r w:rsidR="00077A66">
        <w:t xml:space="preserve">companies did </w:t>
      </w:r>
      <w:r w:rsidR="008163D9" w:rsidRPr="008163D9">
        <w:t>not proceed with reaccreditation at the expiry of their first period of accreditation. Enquiries made by the OFSC as to why a company has withdrawn ha</w:t>
      </w:r>
      <w:r w:rsidR="00077A66">
        <w:t>ve</w:t>
      </w:r>
      <w:r w:rsidR="008163D9" w:rsidRPr="008163D9">
        <w:t xml:space="preserve"> revealed a range of reasons, including </w:t>
      </w:r>
      <w:r w:rsidR="00A07C28">
        <w:t xml:space="preserve">having </w:t>
      </w:r>
      <w:r w:rsidR="008163D9" w:rsidRPr="008163D9">
        <w:t xml:space="preserve">an immature </w:t>
      </w:r>
      <w:proofErr w:type="spellStart"/>
      <w:r w:rsidR="008163D9" w:rsidRPr="008163D9">
        <w:t>W</w:t>
      </w:r>
      <w:r w:rsidR="00B50C9C" w:rsidRPr="008163D9">
        <w:t>HSMS</w:t>
      </w:r>
      <w:proofErr w:type="spellEnd"/>
      <w:r w:rsidR="008163D9" w:rsidRPr="008163D9">
        <w:t>, n</w:t>
      </w:r>
      <w:r w:rsidR="00B50C9C" w:rsidRPr="008163D9">
        <w:t xml:space="preserve">ot </w:t>
      </w:r>
      <w:r w:rsidR="00A07C28">
        <w:t xml:space="preserve">being </w:t>
      </w:r>
      <w:r w:rsidR="00B50C9C" w:rsidRPr="008163D9">
        <w:t>a builder for the purpose</w:t>
      </w:r>
      <w:r w:rsidR="00C075A6">
        <w:t>s</w:t>
      </w:r>
      <w:r w:rsidR="00B50C9C" w:rsidRPr="008163D9">
        <w:t xml:space="preserve"> of the Scheme</w:t>
      </w:r>
      <w:r w:rsidR="008163D9" w:rsidRPr="008163D9">
        <w:t xml:space="preserve">, </w:t>
      </w:r>
      <w:r w:rsidR="00A07C28">
        <w:t xml:space="preserve">the </w:t>
      </w:r>
      <w:r w:rsidR="008163D9" w:rsidRPr="008163D9">
        <w:t>c</w:t>
      </w:r>
      <w:r w:rsidR="00B50C9C" w:rsidRPr="008163D9">
        <w:t>ompany</w:t>
      </w:r>
      <w:r w:rsidR="00A07C28">
        <w:t xml:space="preserve"> being</w:t>
      </w:r>
      <w:r w:rsidR="00B50C9C" w:rsidRPr="008163D9">
        <w:t xml:space="preserve"> in duress/dissolved</w:t>
      </w:r>
      <w:r w:rsidR="008163D9" w:rsidRPr="008163D9">
        <w:t xml:space="preserve">, </w:t>
      </w:r>
      <w:r w:rsidR="00A07C28">
        <w:t xml:space="preserve">a </w:t>
      </w:r>
      <w:r w:rsidR="008163D9" w:rsidRPr="008163D9">
        <w:t>company restructure, no</w:t>
      </w:r>
      <w:r w:rsidR="00A07C28">
        <w:t>t having</w:t>
      </w:r>
      <w:r w:rsidR="00B50C9C" w:rsidRPr="008163D9">
        <w:t xml:space="preserve"> </w:t>
      </w:r>
      <w:r w:rsidR="006C2422">
        <w:t>AS/</w:t>
      </w:r>
      <w:proofErr w:type="spellStart"/>
      <w:r w:rsidR="006C2422">
        <w:t>NZS</w:t>
      </w:r>
      <w:proofErr w:type="spellEnd"/>
      <w:r w:rsidR="00B50C9C" w:rsidRPr="008163D9">
        <w:t xml:space="preserve"> 4801</w:t>
      </w:r>
      <w:r w:rsidR="003D39AC">
        <w:t>:2001</w:t>
      </w:r>
      <w:r w:rsidR="008163D9">
        <w:t xml:space="preserve"> </w:t>
      </w:r>
      <w:r w:rsidR="008163D9" w:rsidRPr="008163D9">
        <w:t>and n</w:t>
      </w:r>
      <w:r w:rsidR="00B50C9C" w:rsidRPr="008163D9">
        <w:t>o longer</w:t>
      </w:r>
      <w:r w:rsidR="00A07C28">
        <w:t xml:space="preserve"> being</w:t>
      </w:r>
      <w:r w:rsidR="00B50C9C">
        <w:t xml:space="preserve"> involved in </w:t>
      </w:r>
      <w:r w:rsidR="001E1956">
        <w:t xml:space="preserve">a Commonwealth Government </w:t>
      </w:r>
      <w:r w:rsidR="00B50C9C">
        <w:t>tender process</w:t>
      </w:r>
      <w:r w:rsidR="008163D9">
        <w:t xml:space="preserve">. </w:t>
      </w:r>
    </w:p>
    <w:p w:rsidR="008163D9" w:rsidRDefault="008163D9" w:rsidP="008163D9">
      <w:pPr>
        <w:pStyle w:val="ListNumber"/>
        <w:spacing w:before="0" w:after="0"/>
        <w:outlineLvl w:val="9"/>
        <w:rPr>
          <w:rFonts w:ascii="Arial" w:hAnsi="Arial" w:cs="Arial"/>
          <w:bCs w:val="0"/>
          <w:lang w:eastAsia="en-AU"/>
        </w:rPr>
      </w:pPr>
    </w:p>
    <w:p w:rsidR="00B50C9C" w:rsidRDefault="008163D9" w:rsidP="008163D9">
      <w:pPr>
        <w:pStyle w:val="ListNumber"/>
        <w:spacing w:before="0" w:after="0"/>
        <w:outlineLvl w:val="9"/>
        <w:rPr>
          <w:rFonts w:ascii="Arial" w:hAnsi="Arial" w:cs="Arial"/>
        </w:rPr>
      </w:pPr>
      <w:r w:rsidRPr="00C075A6">
        <w:rPr>
          <w:rFonts w:ascii="Arial" w:hAnsi="Arial" w:cs="Arial"/>
        </w:rPr>
        <w:t xml:space="preserve">Some smaller companies indicated that they </w:t>
      </w:r>
      <w:r w:rsidR="00B875DB">
        <w:rPr>
          <w:rFonts w:ascii="Arial" w:hAnsi="Arial" w:cs="Arial"/>
        </w:rPr>
        <w:t xml:space="preserve">would have </w:t>
      </w:r>
      <w:r w:rsidR="00B50C9C" w:rsidRPr="00C075A6">
        <w:rPr>
          <w:rFonts w:ascii="Arial" w:hAnsi="Arial" w:cs="Arial"/>
        </w:rPr>
        <w:t>struggled with the administrative burden</w:t>
      </w:r>
      <w:r w:rsidR="002B4DE5">
        <w:rPr>
          <w:rFonts w:ascii="Arial" w:hAnsi="Arial" w:cs="Arial"/>
        </w:rPr>
        <w:t xml:space="preserve"> of obtaining and maintaining accreditation. Some suggested for example that they would </w:t>
      </w:r>
      <w:r w:rsidR="00B875DB">
        <w:rPr>
          <w:rFonts w:ascii="Arial" w:hAnsi="Arial" w:cs="Arial"/>
        </w:rPr>
        <w:t>need to engage</w:t>
      </w:r>
      <w:r w:rsidR="008A0A57">
        <w:rPr>
          <w:rFonts w:ascii="Arial" w:hAnsi="Arial" w:cs="Arial"/>
        </w:rPr>
        <w:t xml:space="preserve"> a full-</w:t>
      </w:r>
      <w:r w:rsidR="00B50C9C" w:rsidRPr="00C075A6">
        <w:rPr>
          <w:rFonts w:ascii="Arial" w:hAnsi="Arial" w:cs="Arial"/>
        </w:rPr>
        <w:t xml:space="preserve">time </w:t>
      </w:r>
      <w:r w:rsidR="00B40D18" w:rsidRPr="00C075A6">
        <w:rPr>
          <w:rFonts w:ascii="Arial" w:hAnsi="Arial" w:cs="Arial"/>
        </w:rPr>
        <w:t>safety m</w:t>
      </w:r>
      <w:r w:rsidR="00B50C9C" w:rsidRPr="00C075A6">
        <w:rPr>
          <w:rFonts w:ascii="Arial" w:hAnsi="Arial" w:cs="Arial"/>
        </w:rPr>
        <w:t>anager</w:t>
      </w:r>
      <w:r w:rsidR="00683EDC">
        <w:rPr>
          <w:rFonts w:ascii="Arial" w:hAnsi="Arial" w:cs="Arial"/>
        </w:rPr>
        <w:t xml:space="preserve">. This is </w:t>
      </w:r>
      <w:r w:rsidR="00B875DB">
        <w:rPr>
          <w:rFonts w:ascii="Arial" w:hAnsi="Arial" w:cs="Arial"/>
        </w:rPr>
        <w:t>not a Scheme requirement but raises issues about how communication as well as actual processes can be improved. S</w:t>
      </w:r>
      <w:r w:rsidR="003F3E82" w:rsidRPr="00C075A6">
        <w:rPr>
          <w:rFonts w:ascii="Arial" w:hAnsi="Arial" w:cs="Arial"/>
        </w:rPr>
        <w:t>ome</w:t>
      </w:r>
      <w:r w:rsidRPr="00C075A6">
        <w:rPr>
          <w:rFonts w:ascii="Arial" w:hAnsi="Arial" w:cs="Arial"/>
        </w:rPr>
        <w:t xml:space="preserve"> </w:t>
      </w:r>
      <w:r w:rsidR="00B875DB">
        <w:rPr>
          <w:rFonts w:ascii="Arial" w:hAnsi="Arial" w:cs="Arial"/>
        </w:rPr>
        <w:t xml:space="preserve">smaller </w:t>
      </w:r>
      <w:r w:rsidRPr="00C075A6">
        <w:rPr>
          <w:rFonts w:ascii="Arial" w:hAnsi="Arial" w:cs="Arial"/>
        </w:rPr>
        <w:t>companies</w:t>
      </w:r>
      <w:r w:rsidR="00B50C9C" w:rsidRPr="00C075A6">
        <w:rPr>
          <w:rFonts w:ascii="Arial" w:hAnsi="Arial" w:cs="Arial"/>
        </w:rPr>
        <w:t xml:space="preserve"> </w:t>
      </w:r>
      <w:r w:rsidR="00B875DB">
        <w:rPr>
          <w:rFonts w:ascii="Arial" w:hAnsi="Arial" w:cs="Arial"/>
        </w:rPr>
        <w:t xml:space="preserve">also </w:t>
      </w:r>
      <w:r w:rsidR="00B50C9C" w:rsidRPr="00C075A6">
        <w:rPr>
          <w:rFonts w:ascii="Arial" w:hAnsi="Arial" w:cs="Arial"/>
        </w:rPr>
        <w:t xml:space="preserve">question the relevance of the Scheme criteria to residential construction. </w:t>
      </w:r>
    </w:p>
    <w:p w:rsidR="006D6D0E" w:rsidRPr="00C075A6" w:rsidRDefault="006D6D0E" w:rsidP="008163D9">
      <w:pPr>
        <w:pStyle w:val="ListNumber"/>
        <w:spacing w:before="0" w:after="0"/>
        <w:outlineLvl w:val="9"/>
        <w:rPr>
          <w:rFonts w:ascii="Arial" w:hAnsi="Arial" w:cs="Arial"/>
        </w:rPr>
      </w:pPr>
    </w:p>
    <w:p w:rsidR="009E386B" w:rsidRDefault="009E386B" w:rsidP="00E66426">
      <w:r w:rsidRPr="006A280B">
        <w:rPr>
          <w:noProof/>
        </w:rPr>
        <mc:AlternateContent>
          <mc:Choice Requires="wps">
            <w:drawing>
              <wp:inline distT="0" distB="0" distL="0" distR="0" wp14:anchorId="6235C303" wp14:editId="4387419A">
                <wp:extent cx="5850890" cy="3209925"/>
                <wp:effectExtent l="38100" t="38100" r="111760" b="1238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3209925"/>
                        </a:xfrm>
                        <a:prstGeom prst="rect">
                          <a:avLst/>
                        </a:prstGeom>
                        <a:solidFill>
                          <a:sysClr val="window" lastClr="FFFFFF">
                            <a:lumMod val="85000"/>
                          </a:sys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106DF0" w:rsidRDefault="004660D6" w:rsidP="009E386B">
                            <w:pPr>
                              <w:rPr>
                                <w:b/>
                                <w:u w:val="single"/>
                              </w:rPr>
                            </w:pPr>
                            <w:r w:rsidRPr="00106DF0">
                              <w:rPr>
                                <w:b/>
                                <w:u w:val="single"/>
                              </w:rPr>
                              <w:t xml:space="preserve">Questions - Accessibility of the Scheme </w:t>
                            </w:r>
                          </w:p>
                          <w:p w:rsidR="004660D6" w:rsidRPr="00106DF0" w:rsidRDefault="004660D6" w:rsidP="009E386B"/>
                          <w:p w:rsidR="004660D6" w:rsidRPr="00106DF0" w:rsidRDefault="004660D6" w:rsidP="009E386B">
                            <w:r w:rsidRPr="003C236A">
                              <w:rPr>
                                <w:b/>
                              </w:rPr>
                              <w:t xml:space="preserve">Question </w:t>
                            </w:r>
                            <w:r>
                              <w:rPr>
                                <w:b/>
                              </w:rPr>
                              <w:t>4</w:t>
                            </w:r>
                            <w:r w:rsidRPr="00106DF0">
                              <w:t>: What measures can be implemented to reduce the time taken to gain accreditation?</w:t>
                            </w:r>
                          </w:p>
                          <w:p w:rsidR="004660D6" w:rsidRPr="00106DF0" w:rsidRDefault="004660D6" w:rsidP="009E386B"/>
                          <w:p w:rsidR="004660D6" w:rsidRDefault="004660D6" w:rsidP="009E386B">
                            <w:r w:rsidRPr="003C236A">
                              <w:rPr>
                                <w:b/>
                              </w:rPr>
                              <w:t xml:space="preserve">Question </w:t>
                            </w:r>
                            <w:r>
                              <w:rPr>
                                <w:b/>
                              </w:rPr>
                              <w:t>5</w:t>
                            </w:r>
                            <w:r w:rsidRPr="00106DF0">
                              <w:t xml:space="preserve">: </w:t>
                            </w:r>
                            <w:r>
                              <w:t xml:space="preserve">How can the accreditation process and communication of the process </w:t>
                            </w:r>
                            <w:proofErr w:type="gramStart"/>
                            <w:r>
                              <w:t>be</w:t>
                            </w:r>
                            <w:proofErr w:type="gramEnd"/>
                            <w:r>
                              <w:t xml:space="preserve"> improved to assist first time applicants? </w:t>
                            </w:r>
                          </w:p>
                          <w:p w:rsidR="004660D6" w:rsidRDefault="004660D6" w:rsidP="009E386B"/>
                          <w:p w:rsidR="004660D6" w:rsidRDefault="004660D6" w:rsidP="00F9578E">
                            <w:r w:rsidRPr="00630F0C">
                              <w:rPr>
                                <w:b/>
                              </w:rPr>
                              <w:t>Question 6</w:t>
                            </w:r>
                            <w:r>
                              <w:t>: What are the net additional costs and benefits (e.g. beyond legislative requirements) of achieving and retaining accreditation under the Scheme? How can costs be minimised while not reducing safety standards.</w:t>
                            </w:r>
                          </w:p>
                          <w:p w:rsidR="004660D6" w:rsidRPr="00106DF0" w:rsidRDefault="004660D6" w:rsidP="009E386B"/>
                          <w:p w:rsidR="004660D6" w:rsidRPr="00106DF0" w:rsidRDefault="004660D6" w:rsidP="009E386B">
                            <w:r w:rsidRPr="003C236A">
                              <w:rPr>
                                <w:b/>
                              </w:rPr>
                              <w:t xml:space="preserve">Question </w:t>
                            </w:r>
                            <w:r>
                              <w:rPr>
                                <w:b/>
                              </w:rPr>
                              <w:t>7:</w:t>
                            </w:r>
                            <w:r w:rsidRPr="00106DF0">
                              <w:t xml:space="preserve"> Should AS/</w:t>
                            </w:r>
                            <w:proofErr w:type="spellStart"/>
                            <w:r w:rsidRPr="00106DF0">
                              <w:t>NZS</w:t>
                            </w:r>
                            <w:proofErr w:type="spellEnd"/>
                            <w:r w:rsidRPr="00106DF0">
                              <w:t xml:space="preserve"> 4801:2001 certification be removed as a pre-requisite to applying for Scheme accreditation? </w:t>
                            </w:r>
                          </w:p>
                          <w:p w:rsidR="004660D6" w:rsidRPr="00106DF0" w:rsidRDefault="004660D6" w:rsidP="009E386B"/>
                          <w:p w:rsidR="004660D6" w:rsidRPr="00106DF0" w:rsidRDefault="004660D6" w:rsidP="009E386B">
                            <w:r w:rsidRPr="003C236A">
                              <w:rPr>
                                <w:b/>
                              </w:rPr>
                              <w:t xml:space="preserve">Question </w:t>
                            </w:r>
                            <w:r>
                              <w:rPr>
                                <w:b/>
                              </w:rPr>
                              <w:t>8</w:t>
                            </w:r>
                            <w:r w:rsidRPr="00106DF0">
                              <w:t>: What changes can be made to current requirements to make applying to the Scheme and achieving accreditation easier for small</w:t>
                            </w:r>
                            <w:r>
                              <w:t>er</w:t>
                            </w:r>
                            <w:r w:rsidRPr="00106DF0">
                              <w:t xml:space="preserve"> companies?</w:t>
                            </w:r>
                          </w:p>
                        </w:txbxContent>
                      </wps:txbx>
                      <wps:bodyPr rot="0" vert="horz" wrap="square" lIns="91440" tIns="45720" rIns="91440" bIns="45720" anchor="ctr" anchorCtr="0">
                        <a:noAutofit/>
                      </wps:bodyPr>
                    </wps:wsp>
                  </a:graphicData>
                </a:graphic>
              </wp:inline>
            </w:drawing>
          </mc:Choice>
          <mc:Fallback>
            <w:pict>
              <v:shape id="Text Box 3" o:spid="_x0000_s1027" type="#_x0000_t202" style="width:460.7pt;height:25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" fillcolor="#d9d9d9">
                <v:shadow on="t" color="black" opacity="26214f" origin="-.5,-.5" offset=".74836mm,.74836mm"/>
                <v:textbox>
                  <w:txbxContent>
                    <w:p w:rsidR="004660D6" w:rsidRPr="00106DF0" w:rsidRDefault="004660D6" w:rsidP="009E386B">
                      <w:pPr>
                        <w:rPr>
                          <w:b/>
                          <w:u w:val="single"/>
                        </w:rPr>
                      </w:pPr>
                      <w:r w:rsidRPr="00106DF0">
                        <w:rPr>
                          <w:b/>
                          <w:u w:val="single"/>
                        </w:rPr>
                        <w:t xml:space="preserve">Questions - Accessibility of the Scheme </w:t>
                      </w:r>
                    </w:p>
                    <w:p w:rsidR="004660D6" w:rsidRPr="00106DF0" w:rsidRDefault="004660D6" w:rsidP="009E386B"/>
                    <w:p w:rsidR="004660D6" w:rsidRPr="00106DF0" w:rsidRDefault="004660D6" w:rsidP="009E386B">
                      <w:r w:rsidRPr="003C236A">
                        <w:rPr>
                          <w:b/>
                        </w:rPr>
                        <w:t xml:space="preserve">Question </w:t>
                      </w:r>
                      <w:r>
                        <w:rPr>
                          <w:b/>
                        </w:rPr>
                        <w:t>4</w:t>
                      </w:r>
                      <w:r w:rsidRPr="00106DF0">
                        <w:t>: What measures can be implemented to reduce the time taken to gain accreditation?</w:t>
                      </w:r>
                    </w:p>
                    <w:p w:rsidR="004660D6" w:rsidRPr="00106DF0" w:rsidRDefault="004660D6" w:rsidP="009E386B"/>
                    <w:p w:rsidR="004660D6" w:rsidRDefault="004660D6" w:rsidP="009E386B">
                      <w:r w:rsidRPr="003C236A">
                        <w:rPr>
                          <w:b/>
                        </w:rPr>
                        <w:t xml:space="preserve">Question </w:t>
                      </w:r>
                      <w:r>
                        <w:rPr>
                          <w:b/>
                        </w:rPr>
                        <w:t>5</w:t>
                      </w:r>
                      <w:r w:rsidRPr="00106DF0">
                        <w:t xml:space="preserve">: </w:t>
                      </w:r>
                      <w:r>
                        <w:t xml:space="preserve">How can the accreditation process and communication of the process be improved to assist first time applicants? </w:t>
                      </w:r>
                    </w:p>
                    <w:p w:rsidR="004660D6" w:rsidRDefault="004660D6" w:rsidP="009E386B"/>
                    <w:p w:rsidR="004660D6" w:rsidRDefault="004660D6" w:rsidP="00F9578E">
                      <w:r w:rsidRPr="00630F0C">
                        <w:rPr>
                          <w:b/>
                        </w:rPr>
                        <w:t>Question 6</w:t>
                      </w:r>
                      <w:r>
                        <w:t>: What are the net additional costs and benefits (e.g. beyond legislative requirements) of achieving and retaining accreditation under the Scheme? How can costs be minimised while not reducing safety standards.</w:t>
                      </w:r>
                    </w:p>
                    <w:p w:rsidR="004660D6" w:rsidRPr="00106DF0" w:rsidRDefault="004660D6" w:rsidP="009E386B"/>
                    <w:p w:rsidR="004660D6" w:rsidRPr="00106DF0" w:rsidRDefault="004660D6" w:rsidP="009E386B">
                      <w:r w:rsidRPr="003C236A">
                        <w:rPr>
                          <w:b/>
                        </w:rPr>
                        <w:t xml:space="preserve">Question </w:t>
                      </w:r>
                      <w:r>
                        <w:rPr>
                          <w:b/>
                        </w:rPr>
                        <w:t>7:</w:t>
                      </w:r>
                      <w:r w:rsidRPr="00106DF0">
                        <w:t xml:space="preserve"> Should AS/NZS 4801:2001 certification be removed as a pre-requisite to applying for Scheme accreditation? </w:t>
                      </w:r>
                    </w:p>
                    <w:p w:rsidR="004660D6" w:rsidRPr="00106DF0" w:rsidRDefault="004660D6" w:rsidP="009E386B"/>
                    <w:p w:rsidR="004660D6" w:rsidRPr="00106DF0" w:rsidRDefault="004660D6" w:rsidP="009E386B">
                      <w:r w:rsidRPr="003C236A">
                        <w:rPr>
                          <w:b/>
                        </w:rPr>
                        <w:t xml:space="preserve">Question </w:t>
                      </w:r>
                      <w:r>
                        <w:rPr>
                          <w:b/>
                        </w:rPr>
                        <w:t>8</w:t>
                      </w:r>
                      <w:r w:rsidRPr="00106DF0">
                        <w:t>: What changes can be made to current requirements to make applying to the Scheme and achieving accreditation easier for small</w:t>
                      </w:r>
                      <w:r>
                        <w:t>er</w:t>
                      </w:r>
                      <w:r w:rsidRPr="00106DF0">
                        <w:t xml:space="preserve"> companies?</w:t>
                      </w:r>
                    </w:p>
                  </w:txbxContent>
                </v:textbox>
                <w10:anchorlock/>
              </v:shape>
            </w:pict>
          </mc:Fallback>
        </mc:AlternateContent>
      </w:r>
    </w:p>
    <w:p w:rsidR="00B6051E" w:rsidRPr="00B6051E" w:rsidRDefault="00B6051E" w:rsidP="00E66426">
      <w:pPr>
        <w:pStyle w:val="Heading2"/>
      </w:pPr>
      <w:bookmarkStart w:id="39" w:name="_Toc377032045"/>
      <w:bookmarkStart w:id="40" w:name="_Toc378322602"/>
      <w:r w:rsidRPr="00B6051E">
        <w:lastRenderedPageBreak/>
        <w:t>Clarity of Scheme requirements</w:t>
      </w:r>
      <w:bookmarkEnd w:id="39"/>
      <w:bookmarkEnd w:id="40"/>
    </w:p>
    <w:p w:rsidR="00B6051E" w:rsidRDefault="00B6051E" w:rsidP="00E66426"/>
    <w:p w:rsidR="00B6051E" w:rsidRPr="00CD42B7" w:rsidRDefault="00B6051E" w:rsidP="00E66426">
      <w:pPr>
        <w:pStyle w:val="Heading3"/>
      </w:pPr>
      <w:bookmarkStart w:id="41" w:name="_Toc377032046"/>
      <w:r w:rsidRPr="00CD42B7">
        <w:t xml:space="preserve">Audit criteria </w:t>
      </w:r>
      <w:r w:rsidR="00C817F7" w:rsidRPr="00CD42B7">
        <w:t>and Guidance</w:t>
      </w:r>
      <w:bookmarkEnd w:id="41"/>
    </w:p>
    <w:p w:rsidR="00B6051E" w:rsidRPr="006A280B" w:rsidRDefault="00B6051E" w:rsidP="00E66426"/>
    <w:p w:rsidR="00C817F7" w:rsidRDefault="00B6051E" w:rsidP="00E66426">
      <w:r w:rsidRPr="006A280B">
        <w:t xml:space="preserve">The </w:t>
      </w:r>
      <w:hyperlink r:id="rId23" w:history="1">
        <w:r w:rsidRPr="007578E0">
          <w:rPr>
            <w:rStyle w:val="Hyperlink"/>
          </w:rPr>
          <w:t>audit criteria</w:t>
        </w:r>
      </w:hyperlink>
      <w:r w:rsidRPr="006A280B">
        <w:t xml:space="preserve"> have undergone a number of revisions since the Scheme was first introduced. </w:t>
      </w:r>
      <w:r w:rsidR="00C817F7">
        <w:t xml:space="preserve">A </w:t>
      </w:r>
      <w:hyperlink r:id="rId24" w:history="1">
        <w:r w:rsidR="00C817F7" w:rsidRPr="007578E0">
          <w:rPr>
            <w:rStyle w:val="Hyperlink"/>
          </w:rPr>
          <w:t>guidance document</w:t>
        </w:r>
      </w:hyperlink>
      <w:r w:rsidR="00C817F7">
        <w:t xml:space="preserve"> was also produced in</w:t>
      </w:r>
      <w:r w:rsidR="0058761E">
        <w:t xml:space="preserve"> July 2011</w:t>
      </w:r>
      <w:r w:rsidR="00C817F7">
        <w:t xml:space="preserve"> to assist companies in understanding the types of information </w:t>
      </w:r>
      <w:r w:rsidR="0058761E">
        <w:t>able</w:t>
      </w:r>
      <w:r w:rsidR="00C817F7">
        <w:t xml:space="preserve"> to be presented at audit that might demonstrate compliance against each audit criterion.</w:t>
      </w:r>
      <w:r w:rsidR="00F27C14">
        <w:t xml:space="preserve"> However, f</w:t>
      </w:r>
      <w:r w:rsidR="00C817F7">
        <w:t>urther work can be done to improve the clarity of the criteria requirements</w:t>
      </w:r>
      <w:r w:rsidR="0058761E">
        <w:t>.</w:t>
      </w:r>
    </w:p>
    <w:p w:rsidR="00C817F7" w:rsidRDefault="00C817F7" w:rsidP="00E66426"/>
    <w:p w:rsidR="00B6051E" w:rsidRDefault="00C817F7" w:rsidP="00E66426">
      <w:r>
        <w:t xml:space="preserve">Providing clearer information on the intent and scope of each criterion, </w:t>
      </w:r>
      <w:r w:rsidR="00CA01A2">
        <w:t>using</w:t>
      </w:r>
      <w:r>
        <w:t xml:space="preserve"> </w:t>
      </w:r>
      <w:r w:rsidR="00CA01A2">
        <w:t>“</w:t>
      </w:r>
      <w:r>
        <w:t>plain English</w:t>
      </w:r>
      <w:r w:rsidR="00CA01A2">
        <w:t>”</w:t>
      </w:r>
      <w:r>
        <w:t>, would assist companies in both the application and on</w:t>
      </w:r>
      <w:r w:rsidR="00C37543">
        <w:t>-</w:t>
      </w:r>
      <w:r>
        <w:t>site audit components of the accreditation process. This may lead to less time required to prepare an application, and less time and number of audits required to achieve accreditation.</w:t>
      </w:r>
      <w:r w:rsidR="00D768CE">
        <w:t xml:space="preserve"> The audit criteria are discussed later in this paper.</w:t>
      </w:r>
    </w:p>
    <w:p w:rsidR="00C817F7" w:rsidRDefault="00C817F7" w:rsidP="00E66426"/>
    <w:p w:rsidR="00C817F7" w:rsidRPr="00CD42B7" w:rsidRDefault="00C817F7" w:rsidP="00E66426">
      <w:pPr>
        <w:pStyle w:val="Heading3"/>
      </w:pPr>
      <w:bookmarkStart w:id="42" w:name="_Toc377032047"/>
      <w:r w:rsidRPr="00CD42B7">
        <w:t>Information on the process</w:t>
      </w:r>
      <w:bookmarkEnd w:id="42"/>
    </w:p>
    <w:p w:rsidR="00B6051E" w:rsidRDefault="00B6051E" w:rsidP="00E66426"/>
    <w:p w:rsidR="00C817F7" w:rsidRDefault="00436AF0" w:rsidP="00E66426">
      <w:r>
        <w:t>While</w:t>
      </w:r>
      <w:r w:rsidR="00C817F7" w:rsidRPr="00C817F7">
        <w:t xml:space="preserve"> </w:t>
      </w:r>
      <w:r w:rsidR="00C817F7">
        <w:t>fact sheets are available on the FSC website about various aspects of the Scheme, and information is communicated to applicants through correspondence during the accreditation process, there are several common questions consistently asked by potential applicants and those going through the process.</w:t>
      </w:r>
    </w:p>
    <w:p w:rsidR="00C817F7" w:rsidRDefault="00C817F7" w:rsidP="00E66426"/>
    <w:p w:rsidR="00C817F7" w:rsidRDefault="00C817F7" w:rsidP="00E66426">
      <w:r>
        <w:t>Providing detailed information on what to expect during the accreditation process, what the typical next steps and timeframes are at each st</w:t>
      </w:r>
      <w:r w:rsidR="003D39AC">
        <w:t>age</w:t>
      </w:r>
      <w:r>
        <w:t xml:space="preserve"> of the process and when a company needs to contact the </w:t>
      </w:r>
      <w:r w:rsidR="00A07C28">
        <w:t xml:space="preserve">OFSC </w:t>
      </w:r>
      <w:r>
        <w:t xml:space="preserve">throughout the process may also </w:t>
      </w:r>
      <w:r w:rsidR="00CD42B7">
        <w:t>improve timeframes and outcomes for companies by better preparing them for the accreditation process.</w:t>
      </w:r>
    </w:p>
    <w:p w:rsidR="003B5F18" w:rsidRDefault="003B5F18" w:rsidP="00E66426"/>
    <w:p w:rsidR="003B5F18" w:rsidRDefault="003B5F18" w:rsidP="00E66426">
      <w:r>
        <w:t>In the early years of the Scheme, information sessions on the Scheme and its requirements</w:t>
      </w:r>
      <w:r w:rsidR="006B455A">
        <w:t xml:space="preserve"> </w:t>
      </w:r>
      <w:r>
        <w:t xml:space="preserve">were held around the country on a regular basis and provided the opportunity for companies to have their questions raised and concerns addressed. </w:t>
      </w:r>
      <w:r w:rsidR="006C2422">
        <w:t>R</w:t>
      </w:r>
      <w:r>
        <w:t xml:space="preserve">esources no longer permit the conduct of information sessions in the same way, </w:t>
      </w:r>
      <w:r w:rsidR="006C2422">
        <w:t>and it is timely to fully explore other options for communicating Scheme requirements. These options may include greater use of technology such as interactive webinars, online information sessions, teleconferencing or sessions conducted on a cost re</w:t>
      </w:r>
      <w:r>
        <w:t xml:space="preserve">covery basis. </w:t>
      </w:r>
      <w:r w:rsidR="00CA01A2">
        <w:t>A more risk</w:t>
      </w:r>
      <w:r w:rsidR="00E500BD">
        <w:t>-</w:t>
      </w:r>
      <w:r w:rsidR="00CA01A2">
        <w:t>based approach to compliance monitoring as discussed below may also entail greater attention to communication</w:t>
      </w:r>
      <w:r w:rsidR="00C32B79">
        <w:t>.</w:t>
      </w:r>
    </w:p>
    <w:p w:rsidR="00CD42B7" w:rsidRDefault="00CD42B7" w:rsidP="00E66426"/>
    <w:p w:rsidR="00CD42B7" w:rsidRPr="00CD42B7" w:rsidRDefault="00CD42B7" w:rsidP="00E66426">
      <w:pPr>
        <w:pStyle w:val="Heading3"/>
      </w:pPr>
      <w:bookmarkStart w:id="43" w:name="_Toc377032048"/>
      <w:r w:rsidRPr="00CD42B7">
        <w:t>Support/mentoring</w:t>
      </w:r>
      <w:bookmarkEnd w:id="43"/>
    </w:p>
    <w:p w:rsidR="00CD42B7" w:rsidRPr="00CD42B7" w:rsidRDefault="00CD42B7" w:rsidP="00E66426"/>
    <w:p w:rsidR="00CD42B7" w:rsidRDefault="003B5F18" w:rsidP="00E66426">
      <w:r w:rsidRPr="003B5F18">
        <w:t>In addition to the support offered by the OFSC, a</w:t>
      </w:r>
      <w:r w:rsidR="00CD42B7" w:rsidRPr="003B5F18">
        <w:t xml:space="preserve"> mentoring </w:t>
      </w:r>
      <w:r w:rsidR="0092212B">
        <w:t>programme</w:t>
      </w:r>
      <w:r w:rsidR="00CD42B7" w:rsidRPr="003B5F18">
        <w:t xml:space="preserve"> is currently available to </w:t>
      </w:r>
      <w:r w:rsidR="00CD42B7">
        <w:t xml:space="preserve">applicants whereby they can be paired with an accredited company </w:t>
      </w:r>
      <w:r w:rsidR="006C2422">
        <w:t xml:space="preserve">that </w:t>
      </w:r>
      <w:r w:rsidR="00CD42B7">
        <w:t xml:space="preserve">can provide insight into the accreditation process and their experience in gaining accreditation. The uptake on this </w:t>
      </w:r>
      <w:r w:rsidR="0092212B">
        <w:t>programme</w:t>
      </w:r>
      <w:r w:rsidR="00CD42B7">
        <w:t xml:space="preserve"> is limited, and the understanding of the scope of the </w:t>
      </w:r>
      <w:r w:rsidR="0092212B">
        <w:t>programme</w:t>
      </w:r>
      <w:r w:rsidR="00CD42B7">
        <w:t xml:space="preserve"> is poor (</w:t>
      </w:r>
      <w:r w:rsidR="006C2422">
        <w:t xml:space="preserve">that is, </w:t>
      </w:r>
      <w:r w:rsidR="00CD42B7">
        <w:t xml:space="preserve">the </w:t>
      </w:r>
      <w:r w:rsidR="0092212B">
        <w:t>programme</w:t>
      </w:r>
      <w:r w:rsidR="00CD42B7">
        <w:t xml:space="preserve"> is not designed for the accredited company to give system advice, but advice on </w:t>
      </w:r>
      <w:r w:rsidR="006C2422">
        <w:t xml:space="preserve">its </w:t>
      </w:r>
      <w:r w:rsidR="00CD42B7">
        <w:t>experience of going through the accreditation proce</w:t>
      </w:r>
      <w:r w:rsidR="006C2422">
        <w:t xml:space="preserve">ss and tips on what worked for it </w:t>
      </w:r>
      <w:r w:rsidR="00CD42B7">
        <w:t>in preparing for the application and audit stages).</w:t>
      </w:r>
    </w:p>
    <w:p w:rsidR="00CD42B7" w:rsidRDefault="00CD42B7" w:rsidP="00E66426"/>
    <w:p w:rsidR="00CD42B7" w:rsidRDefault="00CD42B7" w:rsidP="00E66426">
      <w:r>
        <w:t xml:space="preserve">Noting the issues associated with the mentoring initiative, </w:t>
      </w:r>
      <w:r w:rsidR="00431318">
        <w:t xml:space="preserve">consideration </w:t>
      </w:r>
      <w:r>
        <w:t xml:space="preserve">should be </w:t>
      </w:r>
      <w:r w:rsidR="00431318">
        <w:t xml:space="preserve">given to </w:t>
      </w:r>
      <w:r>
        <w:t xml:space="preserve">how to improve the </w:t>
      </w:r>
      <w:r w:rsidR="0092212B">
        <w:t>programme</w:t>
      </w:r>
      <w:r>
        <w:t>, and what other support measures would benefit companies seeking accreditation.</w:t>
      </w:r>
      <w:r w:rsidR="00E412BF">
        <w:t xml:space="preserve"> </w:t>
      </w:r>
    </w:p>
    <w:p w:rsidR="004D786A" w:rsidRDefault="004D786A">
      <w:pPr>
        <w:rPr>
          <w:u w:val="single"/>
        </w:rPr>
      </w:pPr>
    </w:p>
    <w:p w:rsidR="000A7F29" w:rsidRDefault="000A7F29">
      <w:pPr>
        <w:rPr>
          <w:u w:val="single"/>
        </w:rPr>
      </w:pPr>
      <w:r>
        <w:rPr>
          <w:u w:val="single"/>
        </w:rPr>
        <w:br w:type="page"/>
      </w:r>
    </w:p>
    <w:p w:rsidR="0047623F" w:rsidRPr="00DB4CB5" w:rsidRDefault="0047623F" w:rsidP="00E66426">
      <w:pPr>
        <w:rPr>
          <w:u w:val="single"/>
        </w:rPr>
      </w:pPr>
      <w:r w:rsidRPr="00DB4CB5">
        <w:rPr>
          <w:u w:val="single"/>
        </w:rPr>
        <w:lastRenderedPageBreak/>
        <w:t>Interactions with subcontractors</w:t>
      </w:r>
    </w:p>
    <w:p w:rsidR="004D786A" w:rsidRDefault="004D786A" w:rsidP="0047623F"/>
    <w:p w:rsidR="00F27C14" w:rsidRDefault="00F27C14" w:rsidP="0047623F">
      <w:r>
        <w:t xml:space="preserve">The Scheme focusses on a whole of project approach to safety and imposes requirements on principal contractors in relation to communication, consultation and management of subcontractor WHS. </w:t>
      </w:r>
    </w:p>
    <w:p w:rsidR="00F27C14" w:rsidRDefault="00F27C14" w:rsidP="0047623F"/>
    <w:p w:rsidR="0047623F" w:rsidRDefault="0047623F" w:rsidP="0047623F">
      <w:r>
        <w:t xml:space="preserve">Accreditation is not a requirement for subcontractors and they are specifically excluded by the Scheme Regulations. However, </w:t>
      </w:r>
      <w:r w:rsidR="00C32B79">
        <w:t>a key element of the Scheme is improved safety through stakeholder management</w:t>
      </w:r>
      <w:r w:rsidR="00630F0C">
        <w:t xml:space="preserve">. </w:t>
      </w:r>
      <w:r w:rsidR="00C32B79">
        <w:t>Accordingly, a number</w:t>
      </w:r>
      <w:r>
        <w:t xml:space="preserve"> of the criteria </w:t>
      </w:r>
      <w:r w:rsidR="00BA1B5D">
        <w:t xml:space="preserve">which </w:t>
      </w:r>
      <w:r>
        <w:t>appl</w:t>
      </w:r>
      <w:r w:rsidR="00BA1B5D">
        <w:t xml:space="preserve">y </w:t>
      </w:r>
      <w:r>
        <w:t>to accredited compan</w:t>
      </w:r>
      <w:r w:rsidR="00C27B6A">
        <w:t xml:space="preserve">ies </w:t>
      </w:r>
      <w:r w:rsidR="00BA1B5D">
        <w:t xml:space="preserve">create requirements relating to their interaction </w:t>
      </w:r>
      <w:r w:rsidR="00431318">
        <w:t xml:space="preserve">with subcontractors. This flow on effect to subcontractors has resulted in feedback from subcontractors </w:t>
      </w:r>
      <w:r w:rsidR="00BA1B5D">
        <w:t xml:space="preserve">about confusion or inconsistency in the expectations and requirements of </w:t>
      </w:r>
      <w:r w:rsidR="002B181E">
        <w:t xml:space="preserve">different </w:t>
      </w:r>
      <w:r w:rsidR="00BA1B5D">
        <w:t>accredited contractors that they work with.</w:t>
      </w:r>
      <w:r w:rsidR="00431318">
        <w:t xml:space="preserve"> </w:t>
      </w:r>
      <w:r w:rsidR="00AA4BD1">
        <w:t xml:space="preserve">Some stakeholders have indicated that </w:t>
      </w:r>
      <w:r w:rsidR="00C32B79">
        <w:t xml:space="preserve">consideration should be given to ways to reduce the costs for </w:t>
      </w:r>
      <w:r w:rsidR="00AA4BD1">
        <w:t>subcontractor</w:t>
      </w:r>
      <w:r w:rsidR="00C32B79">
        <w:t>s working to accredited head contractors on Scheme projects.</w:t>
      </w:r>
    </w:p>
    <w:p w:rsidR="00EC4D2F" w:rsidRDefault="00EC4D2F" w:rsidP="0047623F"/>
    <w:p w:rsidR="00806E45" w:rsidRDefault="009E51EF" w:rsidP="00E66426">
      <w:r w:rsidRPr="006A280B">
        <w:rPr>
          <w:noProof/>
        </w:rPr>
        <mc:AlternateContent>
          <mc:Choice Requires="wps">
            <w:drawing>
              <wp:inline distT="0" distB="0" distL="0" distR="0" wp14:anchorId="36EC7FEC" wp14:editId="29F44572">
                <wp:extent cx="5850890" cy="1428750"/>
                <wp:effectExtent l="38100" t="38100" r="111760" b="11430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428750"/>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106DF0" w:rsidRDefault="004660D6" w:rsidP="009E51EF">
                            <w:bookmarkStart w:id="44" w:name="_Toc375564296"/>
                            <w:r w:rsidRPr="00106DF0">
                              <w:rPr>
                                <w:b/>
                                <w:u w:val="single"/>
                              </w:rPr>
                              <w:t xml:space="preserve">Questions </w:t>
                            </w:r>
                            <w:r>
                              <w:rPr>
                                <w:b/>
                                <w:u w:val="single"/>
                              </w:rPr>
                              <w:t>–</w:t>
                            </w:r>
                            <w:r w:rsidRPr="00106DF0">
                              <w:rPr>
                                <w:b/>
                                <w:u w:val="single"/>
                              </w:rPr>
                              <w:t xml:space="preserve"> </w:t>
                            </w:r>
                            <w:r>
                              <w:rPr>
                                <w:b/>
                                <w:u w:val="single"/>
                              </w:rPr>
                              <w:t>Clarity of Scheme requirements</w:t>
                            </w:r>
                          </w:p>
                          <w:p w:rsidR="004660D6" w:rsidRPr="00106DF0" w:rsidRDefault="004660D6" w:rsidP="009E51EF"/>
                          <w:p w:rsidR="004660D6" w:rsidRDefault="004660D6" w:rsidP="009E51EF">
                            <w:r w:rsidRPr="003C236A">
                              <w:rPr>
                                <w:b/>
                              </w:rPr>
                              <w:t xml:space="preserve">Question </w:t>
                            </w:r>
                            <w:r>
                              <w:rPr>
                                <w:b/>
                              </w:rPr>
                              <w:t>9</w:t>
                            </w:r>
                            <w:r w:rsidRPr="00106DF0">
                              <w:t xml:space="preserve">: </w:t>
                            </w:r>
                            <w:r>
                              <w:t>What changes and support measures can be introduced to clarify criteria and Scheme requirements and assist companies in the accreditation process</w:t>
                            </w:r>
                            <w:r w:rsidRPr="00106DF0">
                              <w:t>?</w:t>
                            </w:r>
                            <w:r>
                              <w:t xml:space="preserve"> </w:t>
                            </w:r>
                            <w:bookmarkStart w:id="45" w:name="_Toc375564297"/>
                            <w:bookmarkEnd w:id="44"/>
                            <w:bookmarkEnd w:id="45"/>
                          </w:p>
                          <w:p w:rsidR="004660D6" w:rsidRDefault="004660D6" w:rsidP="009E51EF"/>
                          <w:p w:rsidR="004660D6" w:rsidRPr="00106DF0" w:rsidRDefault="004660D6" w:rsidP="009E51EF">
                            <w:r w:rsidRPr="00DB4CB5">
                              <w:rPr>
                                <w:b/>
                              </w:rPr>
                              <w:t xml:space="preserve">Question </w:t>
                            </w:r>
                            <w:r>
                              <w:rPr>
                                <w:b/>
                              </w:rPr>
                              <w:t>10</w:t>
                            </w:r>
                            <w:r>
                              <w:t xml:space="preserve">: In what ways can the interaction between principal contractors and subcontractors be </w:t>
                            </w:r>
                            <w:r w:rsidRPr="00CA339C">
                              <w:t>improved to increase clarity of requirements and reduce compliance costs?</w:t>
                            </w:r>
                          </w:p>
                        </w:txbxContent>
                      </wps:txbx>
                      <wps:bodyPr rot="0" vert="horz" wrap="square" lIns="91440" tIns="45720" rIns="91440" bIns="45720" anchor="ctr" anchorCtr="0">
                        <a:noAutofit/>
                      </wps:bodyPr>
                    </wps:wsp>
                  </a:graphicData>
                </a:graphic>
              </wp:inline>
            </w:drawing>
          </mc:Choice>
          <mc:Fallback>
            <w:pict>
              <v:shape id="Text Box 23" o:spid="_x0000_s1028" type="#_x0000_t202" style="width:460.7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" fillcolor="#d8d8d8 [2732]">
                <v:shadow on="t" color="black" opacity="26214f" origin="-.5,-.5" offset=".74836mm,.74836mm"/>
                <v:textbox>
                  <w:txbxContent>
                    <w:p w:rsidR="004660D6" w:rsidRPr="00106DF0" w:rsidRDefault="004660D6" w:rsidP="009E51EF">
                      <w:bookmarkStart w:id="45" w:name="_Toc375564296"/>
                      <w:r w:rsidRPr="00106DF0">
                        <w:rPr>
                          <w:b/>
                          <w:u w:val="single"/>
                        </w:rPr>
                        <w:t xml:space="preserve">Questions </w:t>
                      </w:r>
                      <w:r>
                        <w:rPr>
                          <w:b/>
                          <w:u w:val="single"/>
                        </w:rPr>
                        <w:t>–</w:t>
                      </w:r>
                      <w:r w:rsidRPr="00106DF0">
                        <w:rPr>
                          <w:b/>
                          <w:u w:val="single"/>
                        </w:rPr>
                        <w:t xml:space="preserve"> </w:t>
                      </w:r>
                      <w:r>
                        <w:rPr>
                          <w:b/>
                          <w:u w:val="single"/>
                        </w:rPr>
                        <w:t>Clarity of Scheme requirements</w:t>
                      </w:r>
                    </w:p>
                    <w:p w:rsidR="004660D6" w:rsidRPr="00106DF0" w:rsidRDefault="004660D6" w:rsidP="009E51EF"/>
                    <w:p w:rsidR="004660D6" w:rsidRDefault="004660D6" w:rsidP="009E51EF">
                      <w:r w:rsidRPr="003C236A">
                        <w:rPr>
                          <w:b/>
                        </w:rPr>
                        <w:t xml:space="preserve">Question </w:t>
                      </w:r>
                      <w:r>
                        <w:rPr>
                          <w:b/>
                        </w:rPr>
                        <w:t>9</w:t>
                      </w:r>
                      <w:r w:rsidRPr="00106DF0">
                        <w:t xml:space="preserve">: </w:t>
                      </w:r>
                      <w:r>
                        <w:t>What changes and support measures can be introduced to clarify criteria and Scheme requirements and assist companies in the accreditation process</w:t>
                      </w:r>
                      <w:r w:rsidRPr="00106DF0">
                        <w:t>?</w:t>
                      </w:r>
                      <w:r>
                        <w:t xml:space="preserve"> </w:t>
                      </w:r>
                      <w:bookmarkStart w:id="46" w:name="_Toc375564297"/>
                      <w:bookmarkEnd w:id="45"/>
                      <w:bookmarkEnd w:id="46"/>
                    </w:p>
                    <w:p w:rsidR="004660D6" w:rsidRDefault="004660D6" w:rsidP="009E51EF"/>
                    <w:p w:rsidR="004660D6" w:rsidRPr="00106DF0" w:rsidRDefault="004660D6" w:rsidP="009E51EF">
                      <w:r w:rsidRPr="00DB4CB5">
                        <w:rPr>
                          <w:b/>
                        </w:rPr>
                        <w:t xml:space="preserve">Question </w:t>
                      </w:r>
                      <w:r>
                        <w:rPr>
                          <w:b/>
                        </w:rPr>
                        <w:t>10</w:t>
                      </w:r>
                      <w:r>
                        <w:t xml:space="preserve">: In what ways can the interaction between principal contractors and subcontractors be </w:t>
                      </w:r>
                      <w:r w:rsidRPr="00CA339C">
                        <w:t>improved to increase clarity of requirements and reduce compliance costs?</w:t>
                      </w:r>
                    </w:p>
                  </w:txbxContent>
                </v:textbox>
                <w10:anchorlock/>
              </v:shape>
            </w:pict>
          </mc:Fallback>
        </mc:AlternateContent>
      </w:r>
    </w:p>
    <w:p w:rsidR="00AC4012" w:rsidRDefault="00AC4012">
      <w:pPr>
        <w:rPr>
          <w:b/>
        </w:rPr>
      </w:pPr>
      <w:bookmarkStart w:id="46" w:name="_Toc377032052"/>
      <w:bookmarkStart w:id="47" w:name="_Toc378322603"/>
    </w:p>
    <w:p w:rsidR="000D1992" w:rsidRDefault="003F603D" w:rsidP="00E66426">
      <w:pPr>
        <w:pStyle w:val="Heading2"/>
      </w:pPr>
      <w:r w:rsidRPr="00EC6952">
        <w:t xml:space="preserve">Ongoing </w:t>
      </w:r>
      <w:r w:rsidR="003D39AC">
        <w:t>a</w:t>
      </w:r>
      <w:r w:rsidRPr="00EC6952">
        <w:t xml:space="preserve">ccreditation </w:t>
      </w:r>
      <w:r w:rsidR="003D39AC">
        <w:t>c</w:t>
      </w:r>
      <w:r w:rsidR="001B1149" w:rsidRPr="00EC6952">
        <w:t>ompliance r</w:t>
      </w:r>
      <w:r w:rsidR="000D1992" w:rsidRPr="00EC6952">
        <w:t>equirements</w:t>
      </w:r>
      <w:bookmarkEnd w:id="46"/>
      <w:bookmarkEnd w:id="47"/>
    </w:p>
    <w:p w:rsidR="00EC6952" w:rsidRDefault="00EC6952" w:rsidP="00E66426"/>
    <w:p w:rsidR="00BA238C" w:rsidRDefault="00EC6952" w:rsidP="00E66426">
      <w:r w:rsidRPr="00EC6952">
        <w:t>Once accredited</w:t>
      </w:r>
      <w:r>
        <w:t xml:space="preserve">, companies are subject to several ongoing compliance requirements, including </w:t>
      </w:r>
      <w:r w:rsidR="008619C9">
        <w:t xml:space="preserve">periodic maintenance audits, WHS data reporting and </w:t>
      </w:r>
      <w:r>
        <w:t>seeking reaccreditation prior to expiry</w:t>
      </w:r>
      <w:r w:rsidR="008619C9">
        <w:t xml:space="preserve">. </w:t>
      </w:r>
      <w:r w:rsidR="00BF7A9A">
        <w:t xml:space="preserve">The following </w:t>
      </w:r>
      <w:r w:rsidR="0044719C">
        <w:t>graph</w:t>
      </w:r>
      <w:r w:rsidR="00BF7A9A">
        <w:t xml:space="preserve"> </w:t>
      </w:r>
      <w:r w:rsidR="00C32B79">
        <w:t>shows</w:t>
      </w:r>
      <w:r w:rsidR="00BF7A9A">
        <w:t xml:space="preserve"> the number and </w:t>
      </w:r>
      <w:r w:rsidR="00C32B79">
        <w:t>type</w:t>
      </w:r>
      <w:r w:rsidR="00BF7A9A">
        <w:t xml:space="preserve"> of audits undertaken by the OFSC</w:t>
      </w:r>
      <w:r w:rsidR="0044719C">
        <w:t xml:space="preserve"> since 2006-07</w:t>
      </w:r>
      <w:r w:rsidR="00BF7A9A">
        <w:t xml:space="preserve">. </w:t>
      </w:r>
    </w:p>
    <w:p w:rsidR="000A7F29" w:rsidRDefault="000A7F29" w:rsidP="00E66426"/>
    <w:p w:rsidR="00BA238C" w:rsidRDefault="00BA238C" w:rsidP="00E66426"/>
    <w:p w:rsidR="00BA238C" w:rsidRDefault="00BA238C"/>
    <w:p w:rsidR="00C15AB8" w:rsidRDefault="00C15AB8"/>
    <w:p w:rsidR="00C15AB8" w:rsidRDefault="00C15AB8"/>
    <w:p w:rsidR="00C15AB8" w:rsidRDefault="00C15AB8">
      <w:r w:rsidRPr="00366672">
        <w:rPr>
          <w:noProof/>
          <w:highlight w:val="yellow"/>
        </w:rPr>
        <w:lastRenderedPageBreak/>
        <mc:AlternateContent>
          <mc:Choice Requires="wps">
            <w:drawing>
              <wp:anchor distT="0" distB="0" distL="114300" distR="114300" simplePos="0" relativeHeight="251697152" behindDoc="0" locked="0" layoutInCell="1" allowOverlap="1" wp14:anchorId="74037AAE" wp14:editId="44866351">
                <wp:simplePos x="0" y="0"/>
                <wp:positionH relativeFrom="margin">
                  <wp:posOffset>604520</wp:posOffset>
                </wp:positionH>
                <wp:positionV relativeFrom="margin">
                  <wp:posOffset>3442969</wp:posOffset>
                </wp:positionV>
                <wp:extent cx="4549140" cy="4095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409575"/>
                        </a:xfrm>
                        <a:prstGeom prst="rect">
                          <a:avLst/>
                        </a:prstGeom>
                        <a:noFill/>
                        <a:ln w="9525">
                          <a:noFill/>
                          <a:miter lim="800000"/>
                          <a:headEnd/>
                          <a:tailEnd/>
                        </a:ln>
                      </wps:spPr>
                      <wps:txbx>
                        <w:txbxContent>
                          <w:p w:rsidR="004660D6" w:rsidRPr="00925D77" w:rsidRDefault="004660D6" w:rsidP="00925D77">
                            <w:pPr>
                              <w:rPr>
                                <w:rFonts w:asciiTheme="minorHAnsi" w:hAnsiTheme="minorHAnsi" w:cstheme="minorHAnsi"/>
                                <w:sz w:val="18"/>
                                <w:szCs w:val="18"/>
                              </w:rPr>
                            </w:pPr>
                            <w:r w:rsidRPr="00925D77">
                              <w:rPr>
                                <w:rFonts w:asciiTheme="minorHAnsi" w:hAnsiTheme="minorHAnsi" w:cstheme="minorHAnsi"/>
                                <w:sz w:val="18"/>
                                <w:szCs w:val="18"/>
                              </w:rPr>
                              <w:t>Maintenance: regular audits scheduled during the accreditation period</w:t>
                            </w:r>
                          </w:p>
                          <w:p w:rsidR="004660D6" w:rsidRPr="00925D77" w:rsidRDefault="004660D6">
                            <w:pPr>
                              <w:rPr>
                                <w:rFonts w:asciiTheme="minorHAnsi" w:hAnsiTheme="minorHAnsi" w:cstheme="minorHAnsi"/>
                                <w:sz w:val="18"/>
                                <w:szCs w:val="18"/>
                              </w:rPr>
                            </w:pPr>
                            <w:r w:rsidRPr="00925D77">
                              <w:rPr>
                                <w:rFonts w:asciiTheme="minorHAnsi" w:hAnsiTheme="minorHAnsi" w:cstheme="minorHAnsi"/>
                                <w:sz w:val="18"/>
                                <w:szCs w:val="18"/>
                              </w:rPr>
                              <w:t>Compliance: audits undertaken where</w:t>
                            </w:r>
                            <w:r>
                              <w:rPr>
                                <w:rFonts w:asciiTheme="minorHAnsi" w:hAnsiTheme="minorHAnsi" w:cstheme="minorHAnsi"/>
                                <w:sz w:val="18"/>
                                <w:szCs w:val="18"/>
                              </w:rPr>
                              <w:t xml:space="preserve"> a company has s</w:t>
                            </w:r>
                            <w:r w:rsidRPr="00925D77">
                              <w:rPr>
                                <w:rFonts w:asciiTheme="minorHAnsi" w:hAnsiTheme="minorHAnsi" w:cstheme="minorHAnsi"/>
                                <w:sz w:val="18"/>
                                <w:szCs w:val="18"/>
                              </w:rPr>
                              <w:t xml:space="preserve">pecific </w:t>
                            </w:r>
                            <w:r>
                              <w:rPr>
                                <w:rFonts w:asciiTheme="minorHAnsi" w:hAnsiTheme="minorHAnsi" w:cstheme="minorHAnsi"/>
                                <w:sz w:val="18"/>
                                <w:szCs w:val="18"/>
                              </w:rPr>
                              <w:t>outstanding non-conformances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 o:spid="_x0000_s1029" type="#_x0000_t202" style="position:absolute;margin-left:47.6pt;margin-top:271.1pt;width:358.2pt;height:32.25pt;z-index:25169715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" filled="f" stroked="f">
                <v:textbox>
                  <w:txbxContent>
                    <w:p w:rsidR="004660D6" w:rsidRPr="00925D77" w:rsidRDefault="004660D6" w:rsidP="00925D77">
                      <w:pPr>
                        <w:rPr>
                          <w:rFonts w:asciiTheme="minorHAnsi" w:hAnsiTheme="minorHAnsi" w:cstheme="minorHAnsi"/>
                          <w:sz w:val="18"/>
                          <w:szCs w:val="18"/>
                        </w:rPr>
                      </w:pPr>
                      <w:r w:rsidRPr="00925D77">
                        <w:rPr>
                          <w:rFonts w:asciiTheme="minorHAnsi" w:hAnsiTheme="minorHAnsi" w:cstheme="minorHAnsi"/>
                          <w:sz w:val="18"/>
                          <w:szCs w:val="18"/>
                        </w:rPr>
                        <w:t>Maintenance: regular audits scheduled during the accreditation period</w:t>
                      </w:r>
                    </w:p>
                    <w:p w:rsidR="004660D6" w:rsidRPr="00925D77" w:rsidRDefault="004660D6">
                      <w:pPr>
                        <w:rPr>
                          <w:rFonts w:asciiTheme="minorHAnsi" w:hAnsiTheme="minorHAnsi" w:cstheme="minorHAnsi"/>
                          <w:sz w:val="18"/>
                          <w:szCs w:val="18"/>
                        </w:rPr>
                      </w:pPr>
                      <w:r w:rsidRPr="00925D77">
                        <w:rPr>
                          <w:rFonts w:asciiTheme="minorHAnsi" w:hAnsiTheme="minorHAnsi" w:cstheme="minorHAnsi"/>
                          <w:sz w:val="18"/>
                          <w:szCs w:val="18"/>
                        </w:rPr>
                        <w:t>Compliance: audits undertaken where</w:t>
                      </w:r>
                      <w:r>
                        <w:rPr>
                          <w:rFonts w:asciiTheme="minorHAnsi" w:hAnsiTheme="minorHAnsi" w:cstheme="minorHAnsi"/>
                          <w:sz w:val="18"/>
                          <w:szCs w:val="18"/>
                        </w:rPr>
                        <w:t xml:space="preserve"> a company has s</w:t>
                      </w:r>
                      <w:r w:rsidRPr="00925D77">
                        <w:rPr>
                          <w:rFonts w:asciiTheme="minorHAnsi" w:hAnsiTheme="minorHAnsi" w:cstheme="minorHAnsi"/>
                          <w:sz w:val="18"/>
                          <w:szCs w:val="18"/>
                        </w:rPr>
                        <w:t xml:space="preserve">pecific </w:t>
                      </w:r>
                      <w:r>
                        <w:rPr>
                          <w:rFonts w:asciiTheme="minorHAnsi" w:hAnsiTheme="minorHAnsi" w:cstheme="minorHAnsi"/>
                          <w:sz w:val="18"/>
                          <w:szCs w:val="18"/>
                        </w:rPr>
                        <w:t>outstanding non-conformances</w:t>
                      </w:r>
                    </w:p>
                  </w:txbxContent>
                </v:textbox>
                <w10:wrap anchorx="margin" anchory="margin"/>
              </v:shape>
            </w:pict>
          </mc:Fallback>
        </mc:AlternateContent>
      </w:r>
      <w:r>
        <w:rPr>
          <w:noProof/>
        </w:rPr>
        <w:drawing>
          <wp:inline distT="0" distB="0" distL="0" distR="0" wp14:anchorId="2FE80557" wp14:editId="6A4A4691">
            <wp:extent cx="6096000" cy="3848100"/>
            <wp:effectExtent l="0" t="0" r="19050" b="19050"/>
            <wp:docPr id="6" name="Chart 6" descr="Y Axis: Number of fatalities&#10;X Axis: Financial year starting 2006/07 and ending with preliminary 2013-14 year to date figu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238C" w:rsidRDefault="00BA238C"/>
    <w:p w:rsidR="004E6631" w:rsidRDefault="00C32B79" w:rsidP="00E66426">
      <w:r>
        <w:t xml:space="preserve">Under the </w:t>
      </w:r>
      <w:proofErr w:type="spellStart"/>
      <w:r>
        <w:t>FWBI</w:t>
      </w:r>
      <w:proofErr w:type="spellEnd"/>
      <w:r>
        <w:t xml:space="preserve"> Act and the Scheme Regulations, audits must be undertaken for initial accreditation and re-accreditation every three years</w:t>
      </w:r>
      <w:r w:rsidR="002B4DE5">
        <w:t>. W</w:t>
      </w:r>
      <w:r w:rsidR="004E6631">
        <w:t>hether the reaccreditation audits should be mandated, particularly for companies with a good safety record, is a key issue for discussion</w:t>
      </w:r>
      <w:r>
        <w:t xml:space="preserve">. Audits are also undertaken </w:t>
      </w:r>
      <w:r w:rsidR="004E6631">
        <w:t>to follow up on specific concerns, such as where a company receives accreditation</w:t>
      </w:r>
      <w:r w:rsidR="00630F0C">
        <w:t xml:space="preserve"> with conditions attached</w:t>
      </w:r>
      <w:r w:rsidR="004E6631">
        <w:t xml:space="preserve">. Finally, routine “maintenance” audits, while not mandated under the </w:t>
      </w:r>
      <w:r w:rsidR="00630F0C">
        <w:t xml:space="preserve">Scheme </w:t>
      </w:r>
      <w:r w:rsidR="004E6631">
        <w:t>Regulations, are undertaken as a primary compliance measure during the three year accreditation period. These are undertaken as resources permit, but have declined over time in line with the increase in resources required for the mandated audits.</w:t>
      </w:r>
      <w:r w:rsidR="00CC49DA">
        <w:t xml:space="preserve"> </w:t>
      </w:r>
      <w:r w:rsidR="004E6631">
        <w:t xml:space="preserve">  </w:t>
      </w:r>
    </w:p>
    <w:p w:rsidR="00BA238C" w:rsidRDefault="00BA238C" w:rsidP="00E66426"/>
    <w:p w:rsidR="00BA238C" w:rsidRDefault="00BA238C" w:rsidP="00BA238C">
      <w:r>
        <w:t>These ongoing requirements utilise both time and resources</w:t>
      </w:r>
      <w:r w:rsidR="000339FA">
        <w:t xml:space="preserve"> for companies and the OFSC. C</w:t>
      </w:r>
      <w:r>
        <w:t>onsideration should be given to whether the current regime is appropriate and effective, and whether changes to the requirements can be made that reduce ongoing red-tape burdens on accredited companies without compromising safety standards on site. In particular, feedback is sought about whether a more targeted, risk-based approach to compliance would be preferable, and if so, options to implement such an arrangement.</w:t>
      </w:r>
    </w:p>
    <w:p w:rsidR="00BA238C" w:rsidRDefault="00BA238C" w:rsidP="00E66426"/>
    <w:p w:rsidR="00BA238C" w:rsidRDefault="00BA238C" w:rsidP="000A7F29">
      <w:bookmarkStart w:id="48" w:name="_Toc377032053"/>
      <w:r>
        <w:t>Three key areas are discussed below in the context of possible modifications to existing processes to utilise evidence of a company’s good performance as compliance with Scheme requirements: the reaccreditation process, voluntary compliance and reporting requirements.</w:t>
      </w:r>
    </w:p>
    <w:p w:rsidR="00BA238C" w:rsidRPr="00BA238C" w:rsidRDefault="00BA238C" w:rsidP="00BA238C"/>
    <w:p w:rsidR="000D1992" w:rsidRPr="000D1992" w:rsidRDefault="003E7B24" w:rsidP="00E66426">
      <w:pPr>
        <w:pStyle w:val="Heading3"/>
      </w:pPr>
      <w:r>
        <w:t>The reaccreditation process</w:t>
      </w:r>
      <w:bookmarkEnd w:id="48"/>
    </w:p>
    <w:p w:rsidR="000D1992" w:rsidRDefault="000D1992" w:rsidP="00E66426"/>
    <w:p w:rsidR="003E7B24" w:rsidRPr="006A280B" w:rsidRDefault="003E7B24" w:rsidP="00E66426">
      <w:r w:rsidRPr="006A280B">
        <w:t>Under current legislation, accreditation can only be awarded for a period up to three years. At the end of this period a company must submit a new application and the FSC must have regard to this and an on-site audit in making a determination on a subsequent period of accreditation.</w:t>
      </w:r>
    </w:p>
    <w:p w:rsidR="000D1992" w:rsidRDefault="000D1992" w:rsidP="00E66426"/>
    <w:p w:rsidR="000A7F29" w:rsidRDefault="000A7F29">
      <w:r>
        <w:br w:type="page"/>
      </w:r>
    </w:p>
    <w:p w:rsidR="000D1992" w:rsidRDefault="00BC7C9D" w:rsidP="00E66426">
      <w:r>
        <w:lastRenderedPageBreak/>
        <w:t>A</w:t>
      </w:r>
      <w:r w:rsidR="00080ED3">
        <w:t xml:space="preserve"> company’s good performance </w:t>
      </w:r>
      <w:r>
        <w:t xml:space="preserve">during the accreditation period will result in </w:t>
      </w:r>
      <w:r w:rsidR="00080ED3">
        <w:t>reduce</w:t>
      </w:r>
      <w:r w:rsidR="00DA7C45">
        <w:t>d</w:t>
      </w:r>
      <w:r w:rsidR="00080ED3">
        <w:t xml:space="preserve"> audit requirements </w:t>
      </w:r>
      <w:r w:rsidR="00DA7C45">
        <w:t>at reaccreditation</w:t>
      </w:r>
      <w:r w:rsidR="004E6631">
        <w:t xml:space="preserve"> (</w:t>
      </w:r>
      <w:r w:rsidR="00630F0C">
        <w:t xml:space="preserve">for example, </w:t>
      </w:r>
      <w:r w:rsidR="004E6631">
        <w:t>a single day audit)</w:t>
      </w:r>
      <w:r w:rsidR="00DA7C45">
        <w:t xml:space="preserve">. However, </w:t>
      </w:r>
      <w:r w:rsidR="00B977C8">
        <w:t>a</w:t>
      </w:r>
      <w:r w:rsidR="003E7B24" w:rsidRPr="006A280B">
        <w:t xml:space="preserve"> company must still have no identified major non-conformances to achieve reaccreditation </w:t>
      </w:r>
      <w:r w:rsidR="008619C9">
        <w:t xml:space="preserve">and </w:t>
      </w:r>
      <w:r w:rsidR="003E7B24" w:rsidRPr="006A280B">
        <w:t xml:space="preserve">multiple audits may still occur </w:t>
      </w:r>
      <w:r w:rsidR="008619C9">
        <w:t xml:space="preserve">to allow the company to achieve </w:t>
      </w:r>
      <w:r w:rsidR="003E7B24" w:rsidRPr="006A280B">
        <w:t>reaccreditation.</w:t>
      </w:r>
      <w:r w:rsidR="00081B4C">
        <w:t xml:space="preserve"> OFSC data demonstrates that companies undergoing reaccreditation for the first or second time </w:t>
      </w:r>
      <w:r w:rsidR="00DA7C45">
        <w:t xml:space="preserve">typically require </w:t>
      </w:r>
      <w:r w:rsidR="004E6631">
        <w:t xml:space="preserve">two or more </w:t>
      </w:r>
      <w:r w:rsidR="00DA7C45">
        <w:t>audits within a relatively tight timeframe.</w:t>
      </w:r>
    </w:p>
    <w:p w:rsidR="003E7B24" w:rsidRDefault="003E7B24" w:rsidP="00E66426"/>
    <w:p w:rsidR="003E7B24" w:rsidRDefault="003E7B24" w:rsidP="00E66426">
      <w:r w:rsidRPr="006A280B">
        <w:t xml:space="preserve">Anecdotal evidence suggests that some companies focus significant resources on achieving accreditation and reaccreditation </w:t>
      </w:r>
      <w:r w:rsidR="008619C9">
        <w:t xml:space="preserve">but </w:t>
      </w:r>
      <w:r w:rsidRPr="006A280B">
        <w:t xml:space="preserve">that </w:t>
      </w:r>
      <w:r w:rsidR="008619C9">
        <w:t xml:space="preserve">the same attention to maintaining that standard is not applied </w:t>
      </w:r>
      <w:r w:rsidRPr="006A280B">
        <w:t xml:space="preserve">during the accreditation period. </w:t>
      </w:r>
      <w:r w:rsidR="003160D6">
        <w:t>The</w:t>
      </w:r>
      <w:r w:rsidR="004543AE">
        <w:t>re is also anecdotal evidence</w:t>
      </w:r>
      <w:r w:rsidR="003160D6">
        <w:t xml:space="preserve"> that some </w:t>
      </w:r>
      <w:r w:rsidRPr="006A280B">
        <w:t xml:space="preserve">companies maintain two systems – one for Scheme work and one for non-Scheme work (this </w:t>
      </w:r>
      <w:r>
        <w:t>c</w:t>
      </w:r>
      <w:r w:rsidRPr="006A280B">
        <w:t xml:space="preserve">ould explain the variation in </w:t>
      </w:r>
      <w:r>
        <w:t xml:space="preserve">injury </w:t>
      </w:r>
      <w:r w:rsidRPr="006A280B">
        <w:t xml:space="preserve">statistics across Scheme and non-Scheme work for the same accredited company); systems “placed on the shelf” pending reaccreditation; </w:t>
      </w:r>
      <w:r w:rsidR="003160D6">
        <w:t xml:space="preserve">and </w:t>
      </w:r>
      <w:r w:rsidRPr="006A280B">
        <w:t>two construction arms within a single company – one for Scheme work and one for non-Scheme work.</w:t>
      </w:r>
    </w:p>
    <w:p w:rsidR="00DA7C45" w:rsidRPr="006A280B" w:rsidRDefault="00DA7C45" w:rsidP="00E66426"/>
    <w:p w:rsidR="003E7B24" w:rsidRDefault="003E7B24" w:rsidP="00E66426">
      <w:r>
        <w:t xml:space="preserve">The current concentration of resources on reaccreditation seems to be </w:t>
      </w:r>
      <w:r w:rsidR="003160D6">
        <w:t>to</w:t>
      </w:r>
      <w:r w:rsidR="00E66426">
        <w:t xml:space="preserve"> </w:t>
      </w:r>
      <w:r>
        <w:t>the detriment of more regular ongoing checks</w:t>
      </w:r>
      <w:r w:rsidR="003160D6">
        <w:t xml:space="preserve"> by both the company and the OFSC</w:t>
      </w:r>
      <w:r>
        <w:t>.</w:t>
      </w:r>
    </w:p>
    <w:p w:rsidR="003E7B24" w:rsidRDefault="003E7B24" w:rsidP="00E66426"/>
    <w:p w:rsidR="00080ED3" w:rsidRDefault="003E7B24" w:rsidP="000535F0">
      <w:r w:rsidRPr="006A280B">
        <w:t xml:space="preserve">An alternative model for the reaccreditation process </w:t>
      </w:r>
      <w:r w:rsidR="008619C9">
        <w:t xml:space="preserve">is one </w:t>
      </w:r>
      <w:r w:rsidR="00080ED3">
        <w:t xml:space="preserve">that rewards a company’s good performance over the life of its accreditation by removing the need for an </w:t>
      </w:r>
      <w:r w:rsidR="000535F0">
        <w:t xml:space="preserve">application and </w:t>
      </w:r>
      <w:r w:rsidRPr="006A280B">
        <w:t>remove</w:t>
      </w:r>
      <w:r>
        <w:t>s</w:t>
      </w:r>
      <w:r w:rsidRPr="006A280B">
        <w:t xml:space="preserve"> the concept of </w:t>
      </w:r>
      <w:r w:rsidR="003160D6">
        <w:t xml:space="preserve">conducting </w:t>
      </w:r>
      <w:r w:rsidRPr="006A280B">
        <w:t>a ‘reaccreditation’ audit or audits</w:t>
      </w:r>
      <w:r w:rsidR="000535F0">
        <w:t xml:space="preserve">. </w:t>
      </w:r>
    </w:p>
    <w:p w:rsidR="000339FA" w:rsidRDefault="000339FA" w:rsidP="000535F0"/>
    <w:p w:rsidR="000535F0" w:rsidRPr="006A280B" w:rsidRDefault="000535F0" w:rsidP="000535F0">
      <w:r>
        <w:t xml:space="preserve">Instead, the FSC could have regard to audits undertaken by the company during its period of accreditation. This would require a schedule of audits over the three years, determined by a risk assessment of the company’s performance and the results of these audits would factor into the reaccreditation process. Where a company has a history of good performance, the opportunity would exist for a smaller number of audits over the accreditation period and a simplified reaccreditation process. </w:t>
      </w:r>
      <w:r w:rsidR="00B977C8">
        <w:t xml:space="preserve">For these companies, the </w:t>
      </w:r>
      <w:r w:rsidR="0044719C">
        <w:t xml:space="preserve">overall </w:t>
      </w:r>
      <w:r w:rsidR="00B977C8">
        <w:t>audit burden could be significantly reduced over each three year period of accreditation. An increase in the accreditation period from three to five years would further assist with reduced administration by increasing the time between accreditation audits.</w:t>
      </w:r>
    </w:p>
    <w:p w:rsidR="003E7B24" w:rsidRPr="006A280B" w:rsidRDefault="003E7B24" w:rsidP="00E66426"/>
    <w:p w:rsidR="003E7B24" w:rsidRPr="006A280B" w:rsidRDefault="000535F0" w:rsidP="00E66426">
      <w:r>
        <w:t xml:space="preserve">This approach provides a </w:t>
      </w:r>
      <w:r w:rsidR="00F27C14">
        <w:t>better</w:t>
      </w:r>
      <w:r>
        <w:t xml:space="preserve"> picture of a company’s performance over the life of its accreditation and may </w:t>
      </w:r>
      <w:r w:rsidR="003E7B24" w:rsidRPr="006A280B">
        <w:t xml:space="preserve">address </w:t>
      </w:r>
      <w:proofErr w:type="gramStart"/>
      <w:r w:rsidR="003E7B24" w:rsidRPr="006A280B">
        <w:t>concerns</w:t>
      </w:r>
      <w:proofErr w:type="gramEnd"/>
      <w:r w:rsidR="003E7B24" w:rsidRPr="006A280B">
        <w:t xml:space="preserve"> that companies do not maintain the high standards required to achieve accreditation during the accreditation period. </w:t>
      </w:r>
    </w:p>
    <w:p w:rsidR="00672816" w:rsidRDefault="00672816" w:rsidP="00E66426"/>
    <w:p w:rsidR="003E7B24" w:rsidRDefault="003E7B24" w:rsidP="00E66426">
      <w:r w:rsidRPr="006A280B">
        <w:t xml:space="preserve">The only exception to this process would be companies who reach the end of their accreditation period and have conditions </w:t>
      </w:r>
      <w:r w:rsidR="00DA7C45">
        <w:t xml:space="preserve">attached to their accreditation </w:t>
      </w:r>
      <w:r w:rsidRPr="006A280B">
        <w:t>or compliance</w:t>
      </w:r>
      <w:r w:rsidR="00DA7C45">
        <w:t xml:space="preserve"> action underway</w:t>
      </w:r>
      <w:r w:rsidRPr="006A280B">
        <w:t xml:space="preserve">. These companies would be </w:t>
      </w:r>
      <w:r w:rsidR="00DA7C45">
        <w:t xml:space="preserve">considered </w:t>
      </w:r>
      <w:r w:rsidRPr="006A280B">
        <w:t xml:space="preserve">on a case by case basis with </w:t>
      </w:r>
      <w:r w:rsidR="00DA7C45">
        <w:t xml:space="preserve">additional audit requirements likely. </w:t>
      </w:r>
      <w:r w:rsidRPr="006A280B">
        <w:t>This would mean a greater emphasis and utilisation of resources in ongoing performance management, and a risk</w:t>
      </w:r>
      <w:r>
        <w:t>-</w:t>
      </w:r>
      <w:r w:rsidRPr="006A280B">
        <w:t xml:space="preserve">based approach to auditing that reflects the fact that all companies are different and require </w:t>
      </w:r>
      <w:r w:rsidR="003160D6">
        <w:t>varying</w:t>
      </w:r>
      <w:r w:rsidR="001037DB">
        <w:t xml:space="preserve"> </w:t>
      </w:r>
      <w:r w:rsidRPr="006A280B">
        <w:t xml:space="preserve">levels of support and monitoring </w:t>
      </w:r>
      <w:r>
        <w:t>to</w:t>
      </w:r>
      <w:r w:rsidRPr="006A280B">
        <w:t xml:space="preserve"> maintain the requirements of accreditation.</w:t>
      </w:r>
    </w:p>
    <w:p w:rsidR="00130C32" w:rsidRDefault="00130C32" w:rsidP="00E66426"/>
    <w:p w:rsidR="003E7B24" w:rsidRPr="00147E73" w:rsidRDefault="00842DD9" w:rsidP="006277D3">
      <w:pPr>
        <w:pStyle w:val="Heading3"/>
      </w:pPr>
      <w:bookmarkStart w:id="49" w:name="_Toc377032055"/>
      <w:r>
        <w:t>Increasing voluntary compliance with Scheme requirements</w:t>
      </w:r>
      <w:bookmarkEnd w:id="49"/>
    </w:p>
    <w:p w:rsidR="008163D9" w:rsidRDefault="008163D9" w:rsidP="00E66426"/>
    <w:p w:rsidR="00147E73" w:rsidRDefault="00842DD9" w:rsidP="00E66426">
      <w:r>
        <w:t>In moving to a more risk</w:t>
      </w:r>
      <w:r w:rsidR="0090726D">
        <w:t>-</w:t>
      </w:r>
      <w:r>
        <w:t>based approach to reaccreditation and ongoing accreditation, and in the context of budgetary constraints, ways to foster increased voluntary compliance need to be identified.</w:t>
      </w:r>
    </w:p>
    <w:p w:rsidR="00900801" w:rsidRDefault="00900801" w:rsidP="00E66426"/>
    <w:p w:rsidR="000A7F29" w:rsidRDefault="000A7F29">
      <w:pPr>
        <w:rPr>
          <w:i/>
        </w:rPr>
      </w:pPr>
      <w:bookmarkStart w:id="50" w:name="_Toc377032057"/>
      <w:r>
        <w:rPr>
          <w:i/>
        </w:rPr>
        <w:br w:type="page"/>
      </w:r>
    </w:p>
    <w:p w:rsidR="00842DD9" w:rsidRPr="00283352" w:rsidRDefault="00842DD9" w:rsidP="006277D3">
      <w:pPr>
        <w:pStyle w:val="Heading3"/>
        <w:rPr>
          <w:i/>
          <w:u w:val="none"/>
        </w:rPr>
      </w:pPr>
      <w:r w:rsidRPr="00283352">
        <w:rPr>
          <w:i/>
          <w:u w:val="none"/>
        </w:rPr>
        <w:lastRenderedPageBreak/>
        <w:t xml:space="preserve">Adding an element of </w:t>
      </w:r>
      <w:r w:rsidR="00C42180">
        <w:rPr>
          <w:i/>
          <w:u w:val="none"/>
        </w:rPr>
        <w:t>the unknown</w:t>
      </w:r>
      <w:r w:rsidRPr="00283352">
        <w:rPr>
          <w:i/>
          <w:u w:val="none"/>
        </w:rPr>
        <w:t xml:space="preserve"> to audits</w:t>
      </w:r>
      <w:bookmarkEnd w:id="50"/>
    </w:p>
    <w:p w:rsidR="00842DD9" w:rsidRDefault="00842DD9" w:rsidP="00E66426"/>
    <w:p w:rsidR="00C075A6" w:rsidRDefault="00842DD9" w:rsidP="00E66426">
      <w:r>
        <w:t xml:space="preserve">All audits are currently organised </w:t>
      </w:r>
      <w:r w:rsidR="00283352">
        <w:t xml:space="preserve">several weeks in advance, </w:t>
      </w:r>
      <w:r>
        <w:t xml:space="preserve">projects </w:t>
      </w:r>
      <w:r w:rsidR="00283352">
        <w:t xml:space="preserve">sites are </w:t>
      </w:r>
      <w:r>
        <w:t xml:space="preserve">selected early and </w:t>
      </w:r>
      <w:r w:rsidR="00283352">
        <w:t xml:space="preserve">the </w:t>
      </w:r>
      <w:r>
        <w:t xml:space="preserve">criteria </w:t>
      </w:r>
      <w:r w:rsidR="00283352">
        <w:t xml:space="preserve">to be audited are </w:t>
      </w:r>
      <w:r>
        <w:t xml:space="preserve">sent well in advance of </w:t>
      </w:r>
      <w:r w:rsidR="00283352">
        <w:t xml:space="preserve">the </w:t>
      </w:r>
      <w:r>
        <w:t>audit</w:t>
      </w:r>
      <w:r w:rsidR="00283352">
        <w:t xml:space="preserve"> date</w:t>
      </w:r>
      <w:r>
        <w:t xml:space="preserve">. This enables the project site to be ‘cleaned’, which doesn’t necessarily present a true picture of the way the company </w:t>
      </w:r>
      <w:r w:rsidR="008A3B39">
        <w:t xml:space="preserve">may be </w:t>
      </w:r>
      <w:r>
        <w:t>operating and maintaining the standards required by the Scheme.</w:t>
      </w:r>
      <w:r w:rsidR="0090726D">
        <w:t xml:space="preserve"> </w:t>
      </w:r>
    </w:p>
    <w:p w:rsidR="00C075A6" w:rsidRDefault="00C075A6" w:rsidP="00E66426"/>
    <w:p w:rsidR="00842DD9" w:rsidRDefault="00842DD9" w:rsidP="00E66426">
      <w:r>
        <w:t xml:space="preserve">An element of </w:t>
      </w:r>
      <w:r w:rsidR="003D39AC">
        <w:t xml:space="preserve">the unknown </w:t>
      </w:r>
      <w:r>
        <w:t xml:space="preserve">could therefore be added </w:t>
      </w:r>
      <w:r w:rsidR="00C42180">
        <w:t xml:space="preserve">to post accreditation audits </w:t>
      </w:r>
      <w:r>
        <w:t xml:space="preserve">by reducing the notice period, not notifying criteria or moving to </w:t>
      </w:r>
      <w:r w:rsidR="00B9714C">
        <w:t>a spot or surprise audit process.</w:t>
      </w:r>
    </w:p>
    <w:p w:rsidR="00AE28A8" w:rsidRDefault="00AE28A8" w:rsidP="00E66426"/>
    <w:p w:rsidR="00AE28A8" w:rsidRDefault="00AE28A8" w:rsidP="00B22E8A">
      <w:pPr>
        <w:pStyle w:val="Heading3"/>
        <w:rPr>
          <w:i/>
        </w:rPr>
      </w:pPr>
      <w:r w:rsidRPr="00B22E8A">
        <w:rPr>
          <w:i/>
          <w:u w:val="none"/>
        </w:rPr>
        <w:t>Increasing the ramifications f</w:t>
      </w:r>
      <w:r>
        <w:rPr>
          <w:i/>
          <w:u w:val="none"/>
        </w:rPr>
        <w:t>or</w:t>
      </w:r>
      <w:r w:rsidRPr="00B22E8A">
        <w:rPr>
          <w:i/>
          <w:u w:val="none"/>
        </w:rPr>
        <w:t xml:space="preserve"> poor performance</w:t>
      </w:r>
    </w:p>
    <w:p w:rsidR="00AE28A8" w:rsidRDefault="00AE28A8"/>
    <w:p w:rsidR="00C42180" w:rsidRPr="00AE28A8" w:rsidRDefault="00AE28A8">
      <w:r>
        <w:t xml:space="preserve">A more risk-based approach, that lessened the monitoring of “low risk” companies, could be supported by an increase in the consequences should those companies not maintain the standards required under the Scheme.  </w:t>
      </w:r>
    </w:p>
    <w:p w:rsidR="003F603D" w:rsidRDefault="003F603D" w:rsidP="00E66426"/>
    <w:p w:rsidR="00C42180" w:rsidRPr="00283352" w:rsidRDefault="00C42180" w:rsidP="00C42180">
      <w:pPr>
        <w:pStyle w:val="Heading3"/>
        <w:rPr>
          <w:i/>
          <w:u w:val="none"/>
        </w:rPr>
      </w:pPr>
      <w:r w:rsidRPr="00283352">
        <w:rPr>
          <w:i/>
          <w:u w:val="none"/>
        </w:rPr>
        <w:t>Annual fee and charging for audits</w:t>
      </w:r>
    </w:p>
    <w:p w:rsidR="00C42180" w:rsidRDefault="00C42180" w:rsidP="00C42180"/>
    <w:p w:rsidR="00BA53BA" w:rsidRDefault="00BA53BA" w:rsidP="00C42180">
      <w:r>
        <w:t xml:space="preserve">Other </w:t>
      </w:r>
      <w:r w:rsidR="00C42180">
        <w:t xml:space="preserve">mechanisms </w:t>
      </w:r>
      <w:r>
        <w:t xml:space="preserve">for increasing voluntary compliance </w:t>
      </w:r>
      <w:r w:rsidR="00C42180">
        <w:t xml:space="preserve">may be the introduction of an annual fee associated with maintaining accreditation and charging for audits. </w:t>
      </w:r>
    </w:p>
    <w:p w:rsidR="00BA53BA" w:rsidRDefault="00BA53BA" w:rsidP="00C42180"/>
    <w:p w:rsidR="00C42180" w:rsidRPr="00BA53BA" w:rsidRDefault="00C42180" w:rsidP="00C42180">
      <w:pPr>
        <w:rPr>
          <w:rFonts w:eastAsiaTheme="minorHAnsi"/>
          <w:lang w:eastAsia="en-US"/>
        </w:rPr>
      </w:pPr>
      <w:r w:rsidRPr="006A280B">
        <w:rPr>
          <w:rFonts w:eastAsiaTheme="minorHAnsi"/>
          <w:lang w:eastAsia="en-US"/>
        </w:rPr>
        <w:t xml:space="preserve">Section 35(3) of the </w:t>
      </w:r>
      <w:proofErr w:type="spellStart"/>
      <w:r>
        <w:rPr>
          <w:rFonts w:eastAsiaTheme="minorHAnsi"/>
          <w:lang w:eastAsia="en-US"/>
        </w:rPr>
        <w:t>FWBI</w:t>
      </w:r>
      <w:proofErr w:type="spellEnd"/>
      <w:r>
        <w:rPr>
          <w:rFonts w:eastAsiaTheme="minorHAnsi"/>
          <w:lang w:eastAsia="en-US"/>
        </w:rPr>
        <w:t xml:space="preserve"> Act </w:t>
      </w:r>
      <w:r w:rsidRPr="006A280B">
        <w:rPr>
          <w:rFonts w:eastAsiaTheme="minorHAnsi"/>
          <w:lang w:eastAsia="en-US"/>
        </w:rPr>
        <w:t>allows for the Scheme Regulations to prescribe fees for applications made under the Scheme.</w:t>
      </w:r>
      <w:r w:rsidR="00BA53BA">
        <w:rPr>
          <w:rFonts w:eastAsiaTheme="minorHAnsi"/>
          <w:lang w:eastAsia="en-US"/>
        </w:rPr>
        <w:t xml:space="preserve"> </w:t>
      </w:r>
      <w:r>
        <w:rPr>
          <w:rFonts w:eastAsiaTheme="minorHAnsi"/>
          <w:lang w:eastAsia="en-US"/>
        </w:rPr>
        <w:t xml:space="preserve">An annual fee for maintaining accreditation </w:t>
      </w:r>
      <w:r>
        <w:t>may</w:t>
      </w:r>
      <w:r>
        <w:rPr>
          <w:rFonts w:eastAsiaTheme="minorHAnsi"/>
          <w:lang w:eastAsia="en-US"/>
        </w:rPr>
        <w:t xml:space="preserve"> </w:t>
      </w:r>
      <w:r>
        <w:t>foster greater value to be placed on maintaining the required standards as it would be a direct cost associated with maintaining accreditation.</w:t>
      </w:r>
      <w:r w:rsidRPr="00726DD0">
        <w:t xml:space="preserve"> </w:t>
      </w:r>
      <w:r>
        <w:t>This could be a flat rate or tiered to the size of the company.</w:t>
      </w:r>
      <w:r w:rsidR="00D815A2">
        <w:t xml:space="preserve"> It may act as a deterrent to companies that rely on multiple audits to achieve accreditation rather than proactively resolving any deficiencies themselves.</w:t>
      </w:r>
    </w:p>
    <w:p w:rsidR="00BA53BA" w:rsidRDefault="00BA53BA" w:rsidP="00C42180"/>
    <w:p w:rsidR="005A6269" w:rsidRDefault="00C42180" w:rsidP="00C42180">
      <w:pPr>
        <w:rPr>
          <w:rFonts w:eastAsiaTheme="minorHAnsi"/>
          <w:lang w:eastAsia="en-US"/>
        </w:rPr>
      </w:pPr>
      <w:r>
        <w:t xml:space="preserve">Charging for audits </w:t>
      </w:r>
      <w:r w:rsidR="005A6269">
        <w:t xml:space="preserve">may detract from the current collaborative approach, and may </w:t>
      </w:r>
      <w:r w:rsidRPr="006A280B">
        <w:rPr>
          <w:rFonts w:eastAsiaTheme="minorHAnsi"/>
          <w:lang w:eastAsia="en-US"/>
        </w:rPr>
        <w:t xml:space="preserve">lead to </w:t>
      </w:r>
      <w:r w:rsidR="005A6269">
        <w:rPr>
          <w:rFonts w:eastAsiaTheme="minorHAnsi"/>
          <w:lang w:eastAsia="en-US"/>
        </w:rPr>
        <w:t xml:space="preserve">increased debate and tension where a company requires multiple audits to achieve the standards. </w:t>
      </w:r>
      <w:r w:rsidR="00D815A2">
        <w:rPr>
          <w:rFonts w:eastAsiaTheme="minorHAnsi"/>
          <w:lang w:eastAsia="en-US"/>
        </w:rPr>
        <w:t>Consideration would need to be given to whether different rates were applied to different companies (e</w:t>
      </w:r>
      <w:r w:rsidR="00882BF6">
        <w:rPr>
          <w:rFonts w:eastAsiaTheme="minorHAnsi"/>
          <w:lang w:eastAsia="en-US"/>
        </w:rPr>
        <w:t>.</w:t>
      </w:r>
      <w:r w:rsidR="00D815A2">
        <w:rPr>
          <w:rFonts w:eastAsiaTheme="minorHAnsi"/>
          <w:lang w:eastAsia="en-US"/>
        </w:rPr>
        <w:t>g</w:t>
      </w:r>
      <w:r w:rsidR="00882BF6">
        <w:rPr>
          <w:rFonts w:eastAsiaTheme="minorHAnsi"/>
          <w:lang w:eastAsia="en-US"/>
        </w:rPr>
        <w:t>.</w:t>
      </w:r>
      <w:r w:rsidR="00D815A2">
        <w:rPr>
          <w:rFonts w:eastAsiaTheme="minorHAnsi"/>
          <w:lang w:eastAsia="en-US"/>
        </w:rPr>
        <w:t xml:space="preserve"> on the basis of their size), whether it was based on actual cost recovery (which may be inequitable for businesses outside metropolitan areas) and other factors. </w:t>
      </w:r>
    </w:p>
    <w:p w:rsidR="00882BF6" w:rsidRDefault="00882BF6" w:rsidP="00C42180">
      <w:pPr>
        <w:rPr>
          <w:rFonts w:eastAsiaTheme="minorHAnsi"/>
          <w:lang w:eastAsia="en-US"/>
        </w:rPr>
      </w:pPr>
    </w:p>
    <w:p w:rsidR="00B5553F" w:rsidRPr="00B5553F" w:rsidRDefault="00B5553F" w:rsidP="006277D3">
      <w:pPr>
        <w:pStyle w:val="Heading3"/>
      </w:pPr>
      <w:bookmarkStart w:id="51" w:name="_Toc377032058"/>
      <w:r w:rsidRPr="00B5553F">
        <w:t>Reporting Requirements</w:t>
      </w:r>
      <w:bookmarkEnd w:id="51"/>
    </w:p>
    <w:p w:rsidR="00B5553F" w:rsidRDefault="00B5553F" w:rsidP="00E66426"/>
    <w:p w:rsidR="00130C32" w:rsidRDefault="00130C32" w:rsidP="00E66426">
      <w:r>
        <w:t>A move to a risk-based approach would entail the collection of performance information to generate a risk profile. There may also be opportunity to better utilise data currently collected and to ensure consistency with data provided to other jurisdictions.</w:t>
      </w:r>
    </w:p>
    <w:p w:rsidR="00130C32" w:rsidRDefault="00130C32" w:rsidP="00E66426"/>
    <w:p w:rsidR="00130C32" w:rsidRDefault="00130C32" w:rsidP="00130C32">
      <w:r>
        <w:t>It is useful to consider whether the current OFSC reporting requirements target the right information at the right times, and whether the outcomes from this information are beneficial for companies.</w:t>
      </w:r>
    </w:p>
    <w:p w:rsidR="00130C32" w:rsidRDefault="00130C32" w:rsidP="00E66426"/>
    <w:p w:rsidR="00B5553F" w:rsidRPr="003618FC" w:rsidRDefault="00B5553F" w:rsidP="00E66426">
      <w:r w:rsidRPr="003618FC">
        <w:t xml:space="preserve">The OFSC requires accredited </w:t>
      </w:r>
      <w:r w:rsidR="006060F0">
        <w:t>companies</w:t>
      </w:r>
      <w:r w:rsidRPr="003618FC">
        <w:t xml:space="preserve"> to submit </w:t>
      </w:r>
      <w:r w:rsidR="00575CD7">
        <w:t>four</w:t>
      </w:r>
      <w:r w:rsidRPr="003618FC">
        <w:t xml:space="preserve"> types of reports throughout the period of their accreditation:</w:t>
      </w:r>
    </w:p>
    <w:p w:rsidR="00B5553F" w:rsidRPr="003618FC" w:rsidRDefault="00B5553F" w:rsidP="00E66426"/>
    <w:p w:rsidR="00B5553F" w:rsidRDefault="00B5553F" w:rsidP="00F25A85">
      <w:pPr>
        <w:pStyle w:val="ListParagraph"/>
        <w:numPr>
          <w:ilvl w:val="0"/>
          <w:numId w:val="27"/>
        </w:numPr>
      </w:pPr>
      <w:r w:rsidRPr="003618FC">
        <w:t>Contract Declaration</w:t>
      </w:r>
      <w:r w:rsidR="00575CD7">
        <w:t xml:space="preserve"> (as required)</w:t>
      </w:r>
      <w:r w:rsidRPr="003618FC">
        <w:t xml:space="preserve">: To </w:t>
      </w:r>
      <w:r w:rsidR="00575CD7">
        <w:t>notify t</w:t>
      </w:r>
      <w:r w:rsidRPr="003618FC">
        <w:t>he OFSC of Scheme projects</w:t>
      </w:r>
      <w:r w:rsidR="00575CD7">
        <w:t xml:space="preserve">. </w:t>
      </w:r>
    </w:p>
    <w:p w:rsidR="00B5553F" w:rsidRPr="003618FC" w:rsidRDefault="00B5553F" w:rsidP="00E66426"/>
    <w:p w:rsidR="00B5553F" w:rsidRPr="003618FC" w:rsidRDefault="00106DF0" w:rsidP="00F25A85">
      <w:pPr>
        <w:pStyle w:val="ListParagraph"/>
        <w:numPr>
          <w:ilvl w:val="0"/>
          <w:numId w:val="27"/>
        </w:numPr>
      </w:pPr>
      <w:r>
        <w:t>Incident reports</w:t>
      </w:r>
      <w:r w:rsidR="00575CD7">
        <w:t xml:space="preserve"> (as required)</w:t>
      </w:r>
      <w:r>
        <w:t xml:space="preserve">: </w:t>
      </w:r>
      <w:r w:rsidR="00B5553F" w:rsidRPr="003618FC">
        <w:t xml:space="preserve">For </w:t>
      </w:r>
      <w:proofErr w:type="spellStart"/>
      <w:r w:rsidR="00B5553F" w:rsidRPr="003618FC">
        <w:t>LTIs</w:t>
      </w:r>
      <w:proofErr w:type="spellEnd"/>
      <w:r w:rsidR="00B5553F" w:rsidRPr="003618FC">
        <w:t xml:space="preserve">, </w:t>
      </w:r>
      <w:proofErr w:type="spellStart"/>
      <w:r w:rsidR="00B5553F" w:rsidRPr="003618FC">
        <w:t>MTIs</w:t>
      </w:r>
      <w:proofErr w:type="spellEnd"/>
      <w:r w:rsidR="00B5553F" w:rsidRPr="003618FC">
        <w:t xml:space="preserve">, Fatalities and Dangerous Occurrences on Scheme projects, </w:t>
      </w:r>
      <w:proofErr w:type="spellStart"/>
      <w:r w:rsidR="00B5553F" w:rsidRPr="003618FC">
        <w:t>LTIs</w:t>
      </w:r>
      <w:proofErr w:type="spellEnd"/>
      <w:r w:rsidR="00B5553F" w:rsidRPr="003618FC">
        <w:t xml:space="preserve"> on non</w:t>
      </w:r>
      <w:r w:rsidR="00B5553F">
        <w:t>-</w:t>
      </w:r>
      <w:r w:rsidR="00B5553F" w:rsidRPr="003618FC">
        <w:t>Scheme projects</w:t>
      </w:r>
      <w:r w:rsidR="00B5553F">
        <w:t xml:space="preserve"> over $3 million</w:t>
      </w:r>
      <w:r w:rsidR="004876C7">
        <w:t>, and fatalities on any projects regardless of contract value.</w:t>
      </w:r>
    </w:p>
    <w:p w:rsidR="00B5553F" w:rsidRPr="003618FC" w:rsidRDefault="00B5553F" w:rsidP="00E66426"/>
    <w:p w:rsidR="00B5553F" w:rsidRPr="003618FC" w:rsidRDefault="00106DF0" w:rsidP="00F25A85">
      <w:pPr>
        <w:pStyle w:val="ListParagraph"/>
        <w:numPr>
          <w:ilvl w:val="0"/>
          <w:numId w:val="27"/>
        </w:numPr>
      </w:pPr>
      <w:r>
        <w:lastRenderedPageBreak/>
        <w:t>Scheme Project Report</w:t>
      </w:r>
      <w:r w:rsidR="00F25A85">
        <w:t xml:space="preserve"> (every six months)</w:t>
      </w:r>
      <w:r>
        <w:t xml:space="preserve">: </w:t>
      </w:r>
      <w:r w:rsidR="00B5553F" w:rsidRPr="003618FC">
        <w:t xml:space="preserve">Accredited contractors are required to provide reports on the safety performance of each of the Scheme projects they have undertaken during the </w:t>
      </w:r>
      <w:r w:rsidR="00B5553F">
        <w:t xml:space="preserve">reporting </w:t>
      </w:r>
      <w:r w:rsidR="00B5553F" w:rsidRPr="003618FC">
        <w:t xml:space="preserve">period. At the conclusion of the project, an ‘end of project’ Scheme project report, covering the entire project’s performance, is </w:t>
      </w:r>
      <w:r w:rsidR="00B5553F">
        <w:t xml:space="preserve">required to be </w:t>
      </w:r>
      <w:r w:rsidR="00B5553F" w:rsidRPr="003618FC">
        <w:t>submitted</w:t>
      </w:r>
      <w:r w:rsidR="00B5553F">
        <w:t xml:space="preserve"> by the accredited company</w:t>
      </w:r>
      <w:r w:rsidR="00B5553F" w:rsidRPr="003618FC">
        <w:t>.</w:t>
      </w:r>
    </w:p>
    <w:p w:rsidR="00B5553F" w:rsidRDefault="00B5553F" w:rsidP="00E66426"/>
    <w:p w:rsidR="00B5553F" w:rsidRPr="003618FC" w:rsidRDefault="00106DF0" w:rsidP="00F25A85">
      <w:pPr>
        <w:pStyle w:val="ListParagraph"/>
        <w:numPr>
          <w:ilvl w:val="0"/>
          <w:numId w:val="27"/>
        </w:numPr>
      </w:pPr>
      <w:r>
        <w:t>Biannual Reports</w:t>
      </w:r>
      <w:r w:rsidR="00F25A85">
        <w:t xml:space="preserve"> (every six months)</w:t>
      </w:r>
      <w:r>
        <w:t xml:space="preserve">: </w:t>
      </w:r>
      <w:r w:rsidR="00B5553F" w:rsidRPr="003618FC">
        <w:t xml:space="preserve">Accredited contractors submit summaries of their safety performance </w:t>
      </w:r>
      <w:r w:rsidR="00B5553F">
        <w:t xml:space="preserve">company-wide </w:t>
      </w:r>
      <w:r w:rsidR="00B5553F" w:rsidRPr="003618FC">
        <w:t>on both Scheme and non</w:t>
      </w:r>
      <w:r w:rsidR="00B5553F">
        <w:noBreakHyphen/>
        <w:t>S</w:t>
      </w:r>
      <w:r w:rsidR="00B5553F" w:rsidRPr="003618FC">
        <w:t>cheme projects during the period.</w:t>
      </w:r>
    </w:p>
    <w:p w:rsidR="00B5553F" w:rsidRPr="003618FC" w:rsidRDefault="00B5553F" w:rsidP="00E66426"/>
    <w:p w:rsidR="00B5553F" w:rsidRDefault="00B5553F" w:rsidP="00E66426">
      <w:r w:rsidRPr="003618FC">
        <w:t>During the most recent biannual reporting period (July to December 2012</w:t>
      </w:r>
      <w:r w:rsidR="00FF0A50">
        <w:t xml:space="preserve">, available on </w:t>
      </w:r>
      <w:r w:rsidR="0066374B">
        <w:t>www.</w:t>
      </w:r>
      <w:r w:rsidR="00FF0A50">
        <w:t>fsc.gov.au</w:t>
      </w:r>
      <w:r w:rsidRPr="003618FC">
        <w:t>) 816 incident reports were submitted (35</w:t>
      </w:r>
      <w:r w:rsidR="000A15F6">
        <w:t>2</w:t>
      </w:r>
      <w:r w:rsidRPr="003618FC">
        <w:t xml:space="preserve"> </w:t>
      </w:r>
      <w:proofErr w:type="gramStart"/>
      <w:r w:rsidRPr="003618FC">
        <w:t>non</w:t>
      </w:r>
      <w:r>
        <w:t>-</w:t>
      </w:r>
      <w:r w:rsidRPr="003618FC">
        <w:t>Scheme</w:t>
      </w:r>
      <w:proofErr w:type="gramEnd"/>
      <w:r w:rsidRPr="003618FC">
        <w:t xml:space="preserve"> and 464 Scheme). This was an average of 3.3 incident reports per accreditation. The incident report form focuses on the circumstances surrounding the incident (risks involved, mechanism, breakdown agency </w:t>
      </w:r>
      <w:proofErr w:type="spellStart"/>
      <w:r w:rsidRPr="003618FC">
        <w:t>etc</w:t>
      </w:r>
      <w:proofErr w:type="spellEnd"/>
      <w:r w:rsidRPr="003618FC">
        <w:t>).</w:t>
      </w:r>
    </w:p>
    <w:p w:rsidR="00B5553F" w:rsidRPr="003618FC" w:rsidRDefault="00B5553F" w:rsidP="00E66426"/>
    <w:p w:rsidR="00B5553F" w:rsidRDefault="00B5553F" w:rsidP="00E66426">
      <w:r w:rsidRPr="003618FC">
        <w:t xml:space="preserve">Every six months the OFSC </w:t>
      </w:r>
      <w:r>
        <w:t>uses th</w:t>
      </w:r>
      <w:r w:rsidR="000A15F6">
        <w:t>e</w:t>
      </w:r>
      <w:r>
        <w:t xml:space="preserve"> information </w:t>
      </w:r>
      <w:r w:rsidR="000A15F6">
        <w:t xml:space="preserve">provided by companies in the four reports above </w:t>
      </w:r>
      <w:r>
        <w:t xml:space="preserve">to produce a biannual data analysis report (available on </w:t>
      </w:r>
      <w:r w:rsidR="0066374B">
        <w:t>www.</w:t>
      </w:r>
      <w:r>
        <w:t xml:space="preserve">fsc.gov.au), and </w:t>
      </w:r>
      <w:r w:rsidR="00DD395D">
        <w:t xml:space="preserve">to </w:t>
      </w:r>
      <w:r>
        <w:t xml:space="preserve">update the performance comparison tool, allowing companies to benchmark their performance against all other accredited companies. Safety initiatives highlighted by companies in their biannual reports also form the basis for case studies and news articles published on </w:t>
      </w:r>
      <w:hyperlink r:id="rId26" w:history="1">
        <w:r w:rsidR="006B455A" w:rsidRPr="00AC4D71">
          <w:rPr>
            <w:rStyle w:val="Hyperlink"/>
          </w:rPr>
          <w:t>www.fsc.gov.au</w:t>
        </w:r>
      </w:hyperlink>
      <w:r>
        <w:t>.</w:t>
      </w:r>
    </w:p>
    <w:p w:rsidR="006B455A" w:rsidRDefault="006B455A" w:rsidP="00E66426"/>
    <w:p w:rsidR="00B5553F" w:rsidRDefault="00B5553F" w:rsidP="00E66426">
      <w:r w:rsidRPr="003618FC">
        <w:t xml:space="preserve">In keeping with the Scheme </w:t>
      </w:r>
      <w:r w:rsidR="008A3B39">
        <w:t>criteria</w:t>
      </w:r>
      <w:r w:rsidRPr="003618FC">
        <w:t xml:space="preserve"> </w:t>
      </w:r>
      <w:r w:rsidR="008A3B39" w:rsidRPr="008A3B39">
        <w:rPr>
          <w:i/>
        </w:rPr>
        <w:t>D</w:t>
      </w:r>
      <w:r w:rsidRPr="008A3B39">
        <w:rPr>
          <w:i/>
        </w:rPr>
        <w:t>e</w:t>
      </w:r>
      <w:r w:rsidRPr="003618FC">
        <w:rPr>
          <w:i/>
        </w:rPr>
        <w:t>monstrated effective subcontractor OHS management</w:t>
      </w:r>
      <w:r>
        <w:t>, the OFSC collects data on the</w:t>
      </w:r>
      <w:r w:rsidRPr="003618FC">
        <w:t xml:space="preserve"> hours worked for both employees and subcontractors, and requires subcontractor incidents be reported by the accredited head contractor. This makes comparisons with Safe Work Australia data problematic</w:t>
      </w:r>
      <w:r w:rsidR="00B977C8">
        <w:t xml:space="preserve"> </w:t>
      </w:r>
      <w:r w:rsidR="00AC4012">
        <w:t xml:space="preserve">as Safe Work Australia’s serious claims figures measure injuries that result in a worker’s compensation claim, excluding many self-employed subcontractors. OFSC incident data also includes </w:t>
      </w:r>
      <w:proofErr w:type="spellStart"/>
      <w:r w:rsidR="00AC4012">
        <w:t>MTIs</w:t>
      </w:r>
      <w:proofErr w:type="spellEnd"/>
      <w:r w:rsidR="00AC4012">
        <w:t xml:space="preserve"> and </w:t>
      </w:r>
      <w:proofErr w:type="spellStart"/>
      <w:r w:rsidR="00AC4012">
        <w:t>LTIs</w:t>
      </w:r>
      <w:proofErr w:type="spellEnd"/>
      <w:r w:rsidR="00AC4012">
        <w:t xml:space="preserve"> that aren’t the subject of a compensation claim, and thus not captured by Safe Work Australia.</w:t>
      </w:r>
    </w:p>
    <w:p w:rsidR="009D7FD5" w:rsidRDefault="009D7FD5" w:rsidP="00C42180"/>
    <w:p w:rsidR="00C42180" w:rsidRDefault="00C42180" w:rsidP="00C42180">
      <w:r>
        <w:t xml:space="preserve">In addition to the biannual data analysis report, which summarises </w:t>
      </w:r>
      <w:proofErr w:type="spellStart"/>
      <w:r>
        <w:t>LTI</w:t>
      </w:r>
      <w:proofErr w:type="spellEnd"/>
      <w:r>
        <w:t xml:space="preserve">, MTI and fatality data and analyses the circumstances behind incidents reported to the OFSC, the information collected from accredited contractors is also used to generate a performance comparison tool available on </w:t>
      </w:r>
      <w:r w:rsidR="0066374B">
        <w:t>www.</w:t>
      </w:r>
      <w:r>
        <w:t>fsc.gov.au. The tool allows accredited companies and potential applicants to compare their performance data with those recorded by other accredited contractors, placing them on a percentile.</w:t>
      </w:r>
    </w:p>
    <w:p w:rsidR="00842DD9" w:rsidRDefault="00842DD9" w:rsidP="00E66426"/>
    <w:p w:rsidR="00D224DC" w:rsidRDefault="00D224DC" w:rsidP="00E66426">
      <w:r>
        <w:t xml:space="preserve">Feedback is </w:t>
      </w:r>
      <w:r w:rsidR="00CA339C">
        <w:t xml:space="preserve">also </w:t>
      </w:r>
      <w:r>
        <w:t>sought on ways in which the data collected by the OFSC can be better aligned with reporting requirements for other purposes.</w:t>
      </w:r>
    </w:p>
    <w:p w:rsidR="00CD3EA7" w:rsidRDefault="00CD3EA7" w:rsidP="00E66426"/>
    <w:p w:rsidR="00B5553F" w:rsidRDefault="00B5553F" w:rsidP="00E66426"/>
    <w:p w:rsidR="00F13811" w:rsidRDefault="00F60394" w:rsidP="00E66426">
      <w:r w:rsidRPr="006A280B">
        <w:rPr>
          <w:noProof/>
        </w:rPr>
        <w:lastRenderedPageBreak/>
        <mc:AlternateContent>
          <mc:Choice Requires="wps">
            <w:drawing>
              <wp:inline distT="0" distB="0" distL="0" distR="0" wp14:anchorId="045FB8E6" wp14:editId="6745110A">
                <wp:extent cx="5850890" cy="3895725"/>
                <wp:effectExtent l="38100" t="38100" r="111760" b="12382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3895725"/>
                        </a:xfrm>
                        <a:prstGeom prst="rect">
                          <a:avLst/>
                        </a:prstGeom>
                        <a:solidFill>
                          <a:sysClr val="window" lastClr="FFFFFF">
                            <a:lumMod val="85000"/>
                          </a:sys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106DF0" w:rsidRDefault="004660D6" w:rsidP="00106DF0">
                            <w:pPr>
                              <w:rPr>
                                <w:b/>
                                <w:u w:val="single"/>
                              </w:rPr>
                            </w:pPr>
                            <w:bookmarkStart w:id="52" w:name="_Toc375564288"/>
                            <w:r w:rsidRPr="00106DF0">
                              <w:rPr>
                                <w:b/>
                                <w:u w:val="single"/>
                              </w:rPr>
                              <w:t xml:space="preserve">Questions - Ongoing Accreditation Compliance requirements </w:t>
                            </w:r>
                          </w:p>
                          <w:p w:rsidR="004660D6" w:rsidRPr="00106DF0" w:rsidRDefault="004660D6" w:rsidP="00106DF0"/>
                          <w:p w:rsidR="004660D6" w:rsidRPr="00106DF0" w:rsidRDefault="004660D6" w:rsidP="00106DF0">
                            <w:r w:rsidRPr="003C236A">
                              <w:rPr>
                                <w:b/>
                              </w:rPr>
                              <w:t xml:space="preserve">Question </w:t>
                            </w:r>
                            <w:r>
                              <w:rPr>
                                <w:b/>
                              </w:rPr>
                              <w:t>11</w:t>
                            </w:r>
                            <w:r w:rsidRPr="00106DF0">
                              <w:t>: Is the current accreditation period of up to three years appropriate?</w:t>
                            </w:r>
                            <w:bookmarkEnd w:id="52"/>
                            <w:r w:rsidRPr="00106DF0">
                              <w:t xml:space="preserve"> If not what should it be?</w:t>
                            </w:r>
                          </w:p>
                          <w:p w:rsidR="004660D6" w:rsidRPr="00106DF0" w:rsidRDefault="004660D6" w:rsidP="00106DF0"/>
                          <w:p w:rsidR="004660D6" w:rsidRPr="00106DF0" w:rsidRDefault="004660D6" w:rsidP="00106DF0">
                            <w:bookmarkStart w:id="53" w:name="_Toc375564289"/>
                            <w:r w:rsidRPr="003C236A">
                              <w:rPr>
                                <w:b/>
                              </w:rPr>
                              <w:t>Question 1</w:t>
                            </w:r>
                            <w:r>
                              <w:rPr>
                                <w:b/>
                              </w:rPr>
                              <w:t>2</w:t>
                            </w:r>
                            <w:r w:rsidRPr="00106DF0">
                              <w:t xml:space="preserve">: Should reaccreditation be treated differently to accreditation? </w:t>
                            </w:r>
                            <w:proofErr w:type="gramStart"/>
                            <w:r w:rsidRPr="00106DF0">
                              <w:t>In what ways?</w:t>
                            </w:r>
                            <w:bookmarkEnd w:id="53"/>
                            <w:proofErr w:type="gramEnd"/>
                          </w:p>
                          <w:p w:rsidR="004660D6" w:rsidRPr="00106DF0" w:rsidRDefault="004660D6" w:rsidP="00106DF0"/>
                          <w:p w:rsidR="004660D6" w:rsidRDefault="004660D6" w:rsidP="00106DF0">
                            <w:bookmarkStart w:id="54" w:name="_Toc375564290"/>
                            <w:r w:rsidRPr="003C236A">
                              <w:rPr>
                                <w:b/>
                              </w:rPr>
                              <w:t>Question 1</w:t>
                            </w:r>
                            <w:r>
                              <w:rPr>
                                <w:b/>
                              </w:rPr>
                              <w:t>3</w:t>
                            </w:r>
                            <w:r w:rsidRPr="00106DF0">
                              <w:t xml:space="preserve">: How </w:t>
                            </w:r>
                            <w:r>
                              <w:t>would</w:t>
                            </w:r>
                            <w:r w:rsidRPr="00106DF0">
                              <w:t xml:space="preserve"> we </w:t>
                            </w:r>
                            <w:r>
                              <w:t xml:space="preserve">better </w:t>
                            </w:r>
                            <w:r w:rsidRPr="00106DF0">
                              <w:t xml:space="preserve">ensure that companies maintain the standard achieved at accreditation </w:t>
                            </w:r>
                            <w:r>
                              <w:t xml:space="preserve">into the future and </w:t>
                            </w:r>
                            <w:r w:rsidRPr="00106DF0">
                              <w:t>across all projects?</w:t>
                            </w:r>
                            <w:bookmarkEnd w:id="54"/>
                            <w:r>
                              <w:t xml:space="preserve"> </w:t>
                            </w:r>
                            <w:r w:rsidRPr="00F25A85">
                              <w:t xml:space="preserve">How can an element of </w:t>
                            </w:r>
                            <w:r>
                              <w:t xml:space="preserve">the unknown be </w:t>
                            </w:r>
                            <w:r w:rsidRPr="00F25A85">
                              <w:t>added to audits?</w:t>
                            </w:r>
                          </w:p>
                          <w:p w:rsidR="004660D6" w:rsidRDefault="004660D6" w:rsidP="00106DF0"/>
                          <w:p w:rsidR="004660D6" w:rsidRPr="00106DF0" w:rsidRDefault="004660D6" w:rsidP="00106DF0">
                            <w:r w:rsidRPr="00B977C8">
                              <w:rPr>
                                <w:b/>
                              </w:rPr>
                              <w:t>Question 1</w:t>
                            </w:r>
                            <w:r>
                              <w:rPr>
                                <w:b/>
                              </w:rPr>
                              <w:t>4</w:t>
                            </w:r>
                            <w:r>
                              <w:t>: What factors can be taken into account in undertaking a risk assessment of a company’s performance during its accreditation? What would be the key risk indicators?</w:t>
                            </w:r>
                          </w:p>
                          <w:p w:rsidR="004660D6" w:rsidRPr="00106DF0" w:rsidRDefault="004660D6" w:rsidP="00106DF0"/>
                          <w:p w:rsidR="004660D6" w:rsidRPr="00106DF0" w:rsidRDefault="004660D6" w:rsidP="00106DF0">
                            <w:r w:rsidRPr="003C236A">
                              <w:rPr>
                                <w:b/>
                              </w:rPr>
                              <w:t>Question 1</w:t>
                            </w:r>
                            <w:r>
                              <w:rPr>
                                <w:b/>
                              </w:rPr>
                              <w:t>5</w:t>
                            </w:r>
                            <w:r w:rsidRPr="00106DF0">
                              <w:t xml:space="preserve">: </w:t>
                            </w:r>
                            <w:r>
                              <w:t>Should there be</w:t>
                            </w:r>
                            <w:r w:rsidRPr="00106DF0">
                              <w:t xml:space="preserve"> an annual fee for maintaining accreditation once accredited? Would this fee foster greater voluntary compliance? </w:t>
                            </w:r>
                          </w:p>
                          <w:p w:rsidR="004660D6" w:rsidRPr="00106DF0" w:rsidRDefault="004660D6" w:rsidP="00106DF0"/>
                          <w:p w:rsidR="004660D6" w:rsidRDefault="004660D6" w:rsidP="00E66426">
                            <w:r w:rsidRPr="003C236A">
                              <w:rPr>
                                <w:b/>
                              </w:rPr>
                              <w:t>Question 1</w:t>
                            </w:r>
                            <w:r>
                              <w:rPr>
                                <w:b/>
                              </w:rPr>
                              <w:t>6</w:t>
                            </w:r>
                            <w:r w:rsidRPr="00106DF0">
                              <w:t xml:space="preserve">: </w:t>
                            </w:r>
                            <w:r>
                              <w:t>Is the WHS data collected by the OFSC and the data analysis produced appropriate and beneficial</w:t>
                            </w:r>
                            <w:r w:rsidRPr="00106DF0">
                              <w:t>?</w:t>
                            </w:r>
                            <w:r>
                              <w:t xml:space="preserve"> How could collection and analysis be improved?</w:t>
                            </w:r>
                          </w:p>
                          <w:p w:rsidR="004660D6" w:rsidRDefault="004660D6" w:rsidP="00E66426"/>
                          <w:p w:rsidR="004660D6" w:rsidRPr="00F60394" w:rsidRDefault="004660D6" w:rsidP="00E66426">
                            <w:r w:rsidRPr="000E7E7E">
                              <w:rPr>
                                <w:b/>
                              </w:rPr>
                              <w:t>Question 17</w:t>
                            </w:r>
                            <w:r>
                              <w:t xml:space="preserve">: How could the information disseminated to industry </w:t>
                            </w:r>
                            <w:proofErr w:type="gramStart"/>
                            <w:r>
                              <w:t>be</w:t>
                            </w:r>
                            <w:proofErr w:type="gramEnd"/>
                            <w:r>
                              <w:t xml:space="preserve"> improved to better educate for best practice and benchmarking to provide self-help opportunities for companies?</w:t>
                            </w:r>
                          </w:p>
                        </w:txbxContent>
                      </wps:txbx>
                      <wps:bodyPr rot="0" vert="horz" wrap="square" lIns="91440" tIns="45720" rIns="91440" bIns="45720" anchor="ctr" anchorCtr="0">
                        <a:noAutofit/>
                      </wps:bodyPr>
                    </wps:wsp>
                  </a:graphicData>
                </a:graphic>
              </wp:inline>
            </w:drawing>
          </mc:Choice>
          <mc:Fallback>
            <w:pict>
              <v:shape id="Text Box 26" o:spid="_x0000_s1030" type="#_x0000_t202" style="width:460.7pt;height:3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" fillcolor="#d9d9d9">
                <v:shadow on="t" color="black" opacity="26214f" origin="-.5,-.5" offset=".74836mm,.74836mm"/>
                <v:textbox>
                  <w:txbxContent>
                    <w:p w:rsidR="004660D6" w:rsidRPr="00106DF0" w:rsidRDefault="004660D6" w:rsidP="00106DF0">
                      <w:pPr>
                        <w:rPr>
                          <w:b/>
                          <w:u w:val="single"/>
                        </w:rPr>
                      </w:pPr>
                      <w:bookmarkStart w:id="56" w:name="_Toc375564288"/>
                      <w:r w:rsidRPr="00106DF0">
                        <w:rPr>
                          <w:b/>
                          <w:u w:val="single"/>
                        </w:rPr>
                        <w:t xml:space="preserve">Questions - Ongoing Accreditation Compliance requirements </w:t>
                      </w:r>
                    </w:p>
                    <w:p w:rsidR="004660D6" w:rsidRPr="00106DF0" w:rsidRDefault="004660D6" w:rsidP="00106DF0"/>
                    <w:p w:rsidR="004660D6" w:rsidRPr="00106DF0" w:rsidRDefault="004660D6" w:rsidP="00106DF0">
                      <w:r w:rsidRPr="003C236A">
                        <w:rPr>
                          <w:b/>
                        </w:rPr>
                        <w:t xml:space="preserve">Question </w:t>
                      </w:r>
                      <w:r>
                        <w:rPr>
                          <w:b/>
                        </w:rPr>
                        <w:t>11</w:t>
                      </w:r>
                      <w:r w:rsidRPr="00106DF0">
                        <w:t>: Is the current accreditation period of up to three years appropriate?</w:t>
                      </w:r>
                      <w:bookmarkEnd w:id="56"/>
                      <w:r w:rsidRPr="00106DF0">
                        <w:t xml:space="preserve"> If not what should it be?</w:t>
                      </w:r>
                    </w:p>
                    <w:p w:rsidR="004660D6" w:rsidRPr="00106DF0" w:rsidRDefault="004660D6" w:rsidP="00106DF0"/>
                    <w:p w:rsidR="004660D6" w:rsidRPr="00106DF0" w:rsidRDefault="004660D6" w:rsidP="00106DF0">
                      <w:bookmarkStart w:id="57" w:name="_Toc375564289"/>
                      <w:r w:rsidRPr="003C236A">
                        <w:rPr>
                          <w:b/>
                        </w:rPr>
                        <w:t>Question 1</w:t>
                      </w:r>
                      <w:r>
                        <w:rPr>
                          <w:b/>
                        </w:rPr>
                        <w:t>2</w:t>
                      </w:r>
                      <w:r w:rsidRPr="00106DF0">
                        <w:t>: Should reaccreditation be treated differently to accreditation? In what ways?</w:t>
                      </w:r>
                      <w:bookmarkEnd w:id="57"/>
                    </w:p>
                    <w:p w:rsidR="004660D6" w:rsidRPr="00106DF0" w:rsidRDefault="004660D6" w:rsidP="00106DF0"/>
                    <w:p w:rsidR="004660D6" w:rsidRDefault="004660D6" w:rsidP="00106DF0">
                      <w:bookmarkStart w:id="58" w:name="_Toc375564290"/>
                      <w:r w:rsidRPr="003C236A">
                        <w:rPr>
                          <w:b/>
                        </w:rPr>
                        <w:t>Question 1</w:t>
                      </w:r>
                      <w:r>
                        <w:rPr>
                          <w:b/>
                        </w:rPr>
                        <w:t>3</w:t>
                      </w:r>
                      <w:r w:rsidRPr="00106DF0">
                        <w:t xml:space="preserve">: How </w:t>
                      </w:r>
                      <w:r>
                        <w:t>would</w:t>
                      </w:r>
                      <w:r w:rsidRPr="00106DF0">
                        <w:t xml:space="preserve"> we </w:t>
                      </w:r>
                      <w:r>
                        <w:t xml:space="preserve">better </w:t>
                      </w:r>
                      <w:r w:rsidRPr="00106DF0">
                        <w:t xml:space="preserve">ensure that companies maintain the standard achieved at accreditation </w:t>
                      </w:r>
                      <w:r>
                        <w:t xml:space="preserve">into the future and </w:t>
                      </w:r>
                      <w:r w:rsidRPr="00106DF0">
                        <w:t>across all projects?</w:t>
                      </w:r>
                      <w:bookmarkEnd w:id="58"/>
                      <w:r>
                        <w:t xml:space="preserve"> </w:t>
                      </w:r>
                      <w:r w:rsidRPr="00F25A85">
                        <w:t xml:space="preserve">How can an element of </w:t>
                      </w:r>
                      <w:r>
                        <w:t xml:space="preserve">the unknown be </w:t>
                      </w:r>
                      <w:r w:rsidRPr="00F25A85">
                        <w:t>added to audits?</w:t>
                      </w:r>
                    </w:p>
                    <w:p w:rsidR="004660D6" w:rsidRDefault="004660D6" w:rsidP="00106DF0"/>
                    <w:p w:rsidR="004660D6" w:rsidRPr="00106DF0" w:rsidRDefault="004660D6" w:rsidP="00106DF0">
                      <w:r w:rsidRPr="00B977C8">
                        <w:rPr>
                          <w:b/>
                        </w:rPr>
                        <w:t>Question 1</w:t>
                      </w:r>
                      <w:r>
                        <w:rPr>
                          <w:b/>
                        </w:rPr>
                        <w:t>4</w:t>
                      </w:r>
                      <w:r>
                        <w:t>: What factors can be taken into account in undertaking a risk assessment of a company’s performance during its accreditation? What would be the key risk indicators?</w:t>
                      </w:r>
                    </w:p>
                    <w:p w:rsidR="004660D6" w:rsidRPr="00106DF0" w:rsidRDefault="004660D6" w:rsidP="00106DF0"/>
                    <w:p w:rsidR="004660D6" w:rsidRPr="00106DF0" w:rsidRDefault="004660D6" w:rsidP="00106DF0">
                      <w:r w:rsidRPr="003C236A">
                        <w:rPr>
                          <w:b/>
                        </w:rPr>
                        <w:t>Question 1</w:t>
                      </w:r>
                      <w:r>
                        <w:rPr>
                          <w:b/>
                        </w:rPr>
                        <w:t>5</w:t>
                      </w:r>
                      <w:r w:rsidRPr="00106DF0">
                        <w:t xml:space="preserve">: </w:t>
                      </w:r>
                      <w:r>
                        <w:t>Should there be</w:t>
                      </w:r>
                      <w:r w:rsidRPr="00106DF0">
                        <w:t xml:space="preserve"> an annual fee for maintaining accreditation once accredited? Would this fee foster greater voluntary compliance? </w:t>
                      </w:r>
                    </w:p>
                    <w:p w:rsidR="004660D6" w:rsidRPr="00106DF0" w:rsidRDefault="004660D6" w:rsidP="00106DF0"/>
                    <w:p w:rsidR="004660D6" w:rsidRDefault="004660D6" w:rsidP="00E66426">
                      <w:r w:rsidRPr="003C236A">
                        <w:rPr>
                          <w:b/>
                        </w:rPr>
                        <w:t>Question 1</w:t>
                      </w:r>
                      <w:r>
                        <w:rPr>
                          <w:b/>
                        </w:rPr>
                        <w:t>6</w:t>
                      </w:r>
                      <w:r w:rsidRPr="00106DF0">
                        <w:t xml:space="preserve">: </w:t>
                      </w:r>
                      <w:r>
                        <w:t>Is the WHS data collected by the OFSC and the data analysis produced appropriate and beneficial</w:t>
                      </w:r>
                      <w:r w:rsidRPr="00106DF0">
                        <w:t>?</w:t>
                      </w:r>
                      <w:r>
                        <w:t xml:space="preserve"> How could collection and analysis be improved?</w:t>
                      </w:r>
                    </w:p>
                    <w:p w:rsidR="004660D6" w:rsidRDefault="004660D6" w:rsidP="00E66426"/>
                    <w:p w:rsidR="004660D6" w:rsidRPr="00F60394" w:rsidRDefault="004660D6" w:rsidP="00E66426">
                      <w:r w:rsidRPr="000E7E7E">
                        <w:rPr>
                          <w:b/>
                        </w:rPr>
                        <w:t>Question 17</w:t>
                      </w:r>
                      <w:r>
                        <w:t>: How could the information disseminated to industry be improved to better educate for best practice and benchmarking to provide self-help opportunities for companies?</w:t>
                      </w:r>
                    </w:p>
                  </w:txbxContent>
                </v:textbox>
                <w10:anchorlock/>
              </v:shape>
            </w:pict>
          </mc:Fallback>
        </mc:AlternateContent>
      </w:r>
    </w:p>
    <w:p w:rsidR="00645914" w:rsidRDefault="00645914" w:rsidP="00E66426"/>
    <w:p w:rsidR="00F60394" w:rsidRDefault="001B1149" w:rsidP="006277D3">
      <w:pPr>
        <w:pStyle w:val="Heading2"/>
      </w:pPr>
      <w:bookmarkStart w:id="55" w:name="_Toc377032059"/>
      <w:bookmarkStart w:id="56" w:name="_Toc378322604"/>
      <w:r w:rsidRPr="00EC6952">
        <w:t xml:space="preserve">OFSC and </w:t>
      </w:r>
      <w:proofErr w:type="spellStart"/>
      <w:r w:rsidRPr="00EC6952">
        <w:t>FSO</w:t>
      </w:r>
      <w:proofErr w:type="spellEnd"/>
      <w:r w:rsidRPr="00EC6952">
        <w:t xml:space="preserve"> performance</w:t>
      </w:r>
      <w:bookmarkEnd w:id="55"/>
      <w:bookmarkEnd w:id="56"/>
    </w:p>
    <w:p w:rsidR="005817E5" w:rsidRDefault="005817E5" w:rsidP="00026AF0"/>
    <w:p w:rsidR="005817E5" w:rsidRDefault="00D224DC" w:rsidP="005817E5">
      <w:r>
        <w:t>S</w:t>
      </w:r>
      <w:r w:rsidR="005817E5">
        <w:t xml:space="preserve">takeholders </w:t>
      </w:r>
      <w:r>
        <w:t xml:space="preserve">have expressed concern about the </w:t>
      </w:r>
      <w:r w:rsidR="005817E5">
        <w:t xml:space="preserve">consistency of </w:t>
      </w:r>
      <w:r>
        <w:t xml:space="preserve">the </w:t>
      </w:r>
      <w:r w:rsidR="005817E5">
        <w:t xml:space="preserve">application of the audit criteria requirements and </w:t>
      </w:r>
      <w:r>
        <w:t xml:space="preserve">the </w:t>
      </w:r>
      <w:r w:rsidR="005817E5">
        <w:t>approach to audits</w:t>
      </w:r>
      <w:r>
        <w:t xml:space="preserve">. </w:t>
      </w:r>
      <w:r w:rsidR="00F9440C">
        <w:t xml:space="preserve">Feedback is sought on options to increase the quality and consistency of </w:t>
      </w:r>
      <w:proofErr w:type="spellStart"/>
      <w:r w:rsidR="00F9440C">
        <w:t>FSO</w:t>
      </w:r>
      <w:proofErr w:type="spellEnd"/>
      <w:r w:rsidR="00F9440C">
        <w:t xml:space="preserve"> audits, and any improved communication arrangements. Current arrangements are described below.</w:t>
      </w:r>
    </w:p>
    <w:p w:rsidR="006B455A" w:rsidRDefault="006B455A" w:rsidP="005817E5">
      <w:pPr>
        <w:pStyle w:val="Heading3"/>
      </w:pPr>
    </w:p>
    <w:p w:rsidR="005817E5" w:rsidRDefault="005817E5" w:rsidP="005817E5">
      <w:pPr>
        <w:pStyle w:val="Heading3"/>
      </w:pPr>
      <w:proofErr w:type="spellStart"/>
      <w:r>
        <w:t>FSO</w:t>
      </w:r>
      <w:proofErr w:type="spellEnd"/>
      <w:r>
        <w:t xml:space="preserve"> consistency</w:t>
      </w:r>
    </w:p>
    <w:p w:rsidR="005817E5" w:rsidRDefault="005817E5" w:rsidP="005817E5">
      <w:pPr>
        <w:rPr>
          <w:rFonts w:eastAsiaTheme="minorHAnsi"/>
        </w:rPr>
      </w:pPr>
    </w:p>
    <w:p w:rsidR="00CC08BA" w:rsidRDefault="00CC08BA" w:rsidP="00CC08BA">
      <w:r>
        <w:t xml:space="preserve">A number of mechanisms </w:t>
      </w:r>
      <w:r w:rsidR="00D224DC">
        <w:t>are in place designed</w:t>
      </w:r>
      <w:r>
        <w:t xml:space="preserve"> to </w:t>
      </w:r>
      <w:r w:rsidR="00D224DC">
        <w:t xml:space="preserve">ensure </w:t>
      </w:r>
      <w:r w:rsidR="00F9440C">
        <w:t xml:space="preserve">quality and </w:t>
      </w:r>
      <w:r>
        <w:t xml:space="preserve">consistency </w:t>
      </w:r>
      <w:r w:rsidRPr="006A280B">
        <w:t xml:space="preserve">of the audit </w:t>
      </w:r>
      <w:r>
        <w:t>programme</w:t>
      </w:r>
      <w:r w:rsidRPr="006A280B">
        <w:t xml:space="preserve">: </w:t>
      </w:r>
    </w:p>
    <w:p w:rsidR="00D224DC" w:rsidRPr="006A280B" w:rsidRDefault="00D224DC" w:rsidP="00CC08BA"/>
    <w:p w:rsidR="00CC08BA" w:rsidRDefault="00CC08BA" w:rsidP="00CC08BA">
      <w:pPr>
        <w:pStyle w:val="ListParagraph"/>
        <w:numPr>
          <w:ilvl w:val="0"/>
          <w:numId w:val="4"/>
        </w:numPr>
      </w:pPr>
      <w:r w:rsidRPr="006A280B">
        <w:t xml:space="preserve">New </w:t>
      </w:r>
      <w:proofErr w:type="spellStart"/>
      <w:r w:rsidRPr="006A280B">
        <w:t>FSOs</w:t>
      </w:r>
      <w:proofErr w:type="spellEnd"/>
      <w:r w:rsidRPr="006A280B">
        <w:t xml:space="preserve"> are required to undergo induction training covering all criteria and auditing requirements as well as code of conduct requirements.</w:t>
      </w:r>
    </w:p>
    <w:p w:rsidR="00CC08BA" w:rsidRPr="006A280B" w:rsidRDefault="00CC08BA" w:rsidP="00CC08BA">
      <w:pPr>
        <w:pStyle w:val="ListParagraph"/>
        <w:numPr>
          <w:ilvl w:val="0"/>
          <w:numId w:val="4"/>
        </w:numPr>
      </w:pPr>
      <w:r w:rsidRPr="006A280B">
        <w:t xml:space="preserve">All </w:t>
      </w:r>
      <w:proofErr w:type="spellStart"/>
      <w:r w:rsidRPr="006A280B">
        <w:t>FSOs</w:t>
      </w:r>
      <w:proofErr w:type="spellEnd"/>
      <w:r w:rsidRPr="006A280B">
        <w:t xml:space="preserve"> are observed </w:t>
      </w:r>
      <w:r>
        <w:t>at audits</w:t>
      </w:r>
      <w:r w:rsidR="000E7E7E">
        <w:t xml:space="preserve">, with particular emphasis on new </w:t>
      </w:r>
      <w:proofErr w:type="spellStart"/>
      <w:r w:rsidR="000E7E7E">
        <w:t>FSOs</w:t>
      </w:r>
      <w:proofErr w:type="spellEnd"/>
      <w:r>
        <w:t xml:space="preserve">. </w:t>
      </w:r>
    </w:p>
    <w:p w:rsidR="00CC08BA" w:rsidRPr="006A280B" w:rsidRDefault="00CC08BA" w:rsidP="00CC08BA">
      <w:pPr>
        <w:pStyle w:val="ListParagraph"/>
        <w:numPr>
          <w:ilvl w:val="0"/>
          <w:numId w:val="4"/>
        </w:numPr>
      </w:pPr>
      <w:proofErr w:type="spellStart"/>
      <w:r w:rsidRPr="006A280B">
        <w:t>FSOs</w:t>
      </w:r>
      <w:proofErr w:type="spellEnd"/>
      <w:r w:rsidRPr="006A280B">
        <w:t xml:space="preserve"> are provided with </w:t>
      </w:r>
      <w:r>
        <w:t>ma</w:t>
      </w:r>
      <w:r w:rsidRPr="006A280B">
        <w:t xml:space="preserve">terial and guidance </w:t>
      </w:r>
      <w:r w:rsidR="00D224DC">
        <w:t>- d</w:t>
      </w:r>
      <w:r w:rsidRPr="006A280B">
        <w:t xml:space="preserve">ocuments include General Directions to Federal Safety Officers 2005, the </w:t>
      </w:r>
      <w:proofErr w:type="spellStart"/>
      <w:r w:rsidRPr="006A280B">
        <w:t>FSO</w:t>
      </w:r>
      <w:proofErr w:type="spellEnd"/>
      <w:r w:rsidRPr="006A280B">
        <w:t xml:space="preserve"> Code of Conduct and the </w:t>
      </w:r>
      <w:proofErr w:type="spellStart"/>
      <w:r w:rsidRPr="006A280B">
        <w:t>FSO</w:t>
      </w:r>
      <w:proofErr w:type="spellEnd"/>
      <w:r w:rsidRPr="006A280B">
        <w:t xml:space="preserve"> Guidelines.</w:t>
      </w:r>
    </w:p>
    <w:p w:rsidR="00CC08BA" w:rsidRPr="006A280B" w:rsidRDefault="00CC08BA" w:rsidP="00CC08BA">
      <w:pPr>
        <w:pStyle w:val="ListParagraph"/>
        <w:numPr>
          <w:ilvl w:val="0"/>
          <w:numId w:val="4"/>
        </w:numPr>
      </w:pPr>
      <w:proofErr w:type="spellStart"/>
      <w:r w:rsidRPr="006A280B">
        <w:t>FSO</w:t>
      </w:r>
      <w:proofErr w:type="spellEnd"/>
      <w:r w:rsidRPr="006A280B">
        <w:t xml:space="preserve"> Forums are conducted on average every six to 12 months to discuss issues of importance and help ensure consistency of approach amongst auditors. </w:t>
      </w:r>
    </w:p>
    <w:p w:rsidR="00CC08BA" w:rsidRDefault="00CC08BA" w:rsidP="00CC08BA">
      <w:pPr>
        <w:pStyle w:val="ListParagraph"/>
        <w:numPr>
          <w:ilvl w:val="0"/>
          <w:numId w:val="4"/>
        </w:numPr>
      </w:pPr>
      <w:proofErr w:type="spellStart"/>
      <w:r>
        <w:t>FSO</w:t>
      </w:r>
      <w:proofErr w:type="spellEnd"/>
      <w:r>
        <w:t xml:space="preserve"> selection for audit considers the skills and expertise of the </w:t>
      </w:r>
      <w:proofErr w:type="spellStart"/>
      <w:r>
        <w:t>FSOs</w:t>
      </w:r>
      <w:proofErr w:type="spellEnd"/>
      <w:r>
        <w:t>, not just their location (</w:t>
      </w:r>
      <w:r w:rsidR="00F353D8">
        <w:t xml:space="preserve">that is, </w:t>
      </w:r>
      <w:r>
        <w:t>someone with relevant background in telecommunications would be matched where possible for a telecommunications audit).</w:t>
      </w:r>
    </w:p>
    <w:p w:rsidR="00CC08BA" w:rsidRPr="006A280B" w:rsidRDefault="00CC08BA" w:rsidP="00CC08BA">
      <w:pPr>
        <w:pStyle w:val="ListParagraph"/>
        <w:numPr>
          <w:ilvl w:val="0"/>
          <w:numId w:val="4"/>
        </w:numPr>
      </w:pPr>
      <w:r w:rsidRPr="006A280B">
        <w:t xml:space="preserve">At the conclusion of each audit, companies are provided with an evaluation form seeking feedback on </w:t>
      </w:r>
      <w:proofErr w:type="spellStart"/>
      <w:r w:rsidRPr="006A280B">
        <w:t>FSO</w:t>
      </w:r>
      <w:proofErr w:type="spellEnd"/>
      <w:r w:rsidRPr="006A280B">
        <w:t xml:space="preserve"> performance, providing an opportunity for the review of any issues.</w:t>
      </w:r>
    </w:p>
    <w:p w:rsidR="00CC08BA" w:rsidRPr="006A280B" w:rsidRDefault="00CC08BA" w:rsidP="00CC08BA">
      <w:pPr>
        <w:pStyle w:val="ListParagraph"/>
        <w:numPr>
          <w:ilvl w:val="0"/>
          <w:numId w:val="4"/>
        </w:numPr>
      </w:pPr>
      <w:r w:rsidRPr="006A280B">
        <w:t>All audit reports are reviewed by the OFSC prior to being issued to companies. This is to check for consistency of criteria interpretation and level of any findings made.</w:t>
      </w:r>
    </w:p>
    <w:p w:rsidR="00CC08BA" w:rsidRDefault="00CC08BA" w:rsidP="00CC08BA">
      <w:pPr>
        <w:pStyle w:val="ListParagraph"/>
        <w:numPr>
          <w:ilvl w:val="0"/>
          <w:numId w:val="4"/>
        </w:numPr>
      </w:pPr>
      <w:r w:rsidRPr="006A280B">
        <w:lastRenderedPageBreak/>
        <w:t xml:space="preserve">Within accreditation and reaccreditation processes, the </w:t>
      </w:r>
      <w:r>
        <w:t>OFSC</w:t>
      </w:r>
      <w:r w:rsidRPr="006A280B">
        <w:t xml:space="preserve"> generally utilises the same </w:t>
      </w:r>
      <w:proofErr w:type="spellStart"/>
      <w:r w:rsidRPr="006A280B">
        <w:t>FSO</w:t>
      </w:r>
      <w:proofErr w:type="spellEnd"/>
      <w:r w:rsidRPr="006A280B">
        <w:t xml:space="preserve"> for follow up of findings to ensure a level of consistency</w:t>
      </w:r>
      <w:r>
        <w:t xml:space="preserve"> for the company</w:t>
      </w:r>
      <w:r w:rsidRPr="006A280B">
        <w:t>.</w:t>
      </w:r>
    </w:p>
    <w:p w:rsidR="005817E5" w:rsidRDefault="005817E5" w:rsidP="005817E5"/>
    <w:p w:rsidR="00CC08BA" w:rsidRPr="006A280B" w:rsidRDefault="00CC08BA" w:rsidP="00CC08BA">
      <w:r w:rsidRPr="006A280B">
        <w:t>Any specific issues raised by companies with the O</w:t>
      </w:r>
      <w:r>
        <w:t>FSC</w:t>
      </w:r>
      <w:r w:rsidRPr="006A280B">
        <w:t xml:space="preserve"> are </w:t>
      </w:r>
      <w:r w:rsidR="00F9440C">
        <w:t xml:space="preserve">followed </w:t>
      </w:r>
      <w:r w:rsidR="006060F0">
        <w:t xml:space="preserve">up </w:t>
      </w:r>
      <w:r w:rsidR="00F9440C">
        <w:t xml:space="preserve">with the company and </w:t>
      </w:r>
      <w:proofErr w:type="spellStart"/>
      <w:r w:rsidR="00F9440C">
        <w:t>FSO</w:t>
      </w:r>
      <w:proofErr w:type="spellEnd"/>
      <w:r w:rsidR="00F9440C">
        <w:t xml:space="preserve"> involved</w:t>
      </w:r>
      <w:r w:rsidRPr="006A280B">
        <w:t xml:space="preserve">. </w:t>
      </w:r>
      <w:r w:rsidR="00D224DC">
        <w:t xml:space="preserve">There may be under-reporting of concerns where companies consider that it may jeopardise their accreditation process. </w:t>
      </w:r>
      <w:r w:rsidR="00F9440C">
        <w:t>Concerns that do arise are</w:t>
      </w:r>
      <w:r w:rsidRPr="006A280B">
        <w:t xml:space="preserve"> generally </w:t>
      </w:r>
      <w:r w:rsidR="00F9440C">
        <w:t xml:space="preserve">raised </w:t>
      </w:r>
      <w:r w:rsidRPr="006A280B">
        <w:t>in the review of corrective actions</w:t>
      </w:r>
      <w:r w:rsidR="00F9440C">
        <w:t xml:space="preserve"> identified at audit</w:t>
      </w:r>
      <w:r w:rsidR="000E7E7E">
        <w:t xml:space="preserve"> and in the behaviour of the </w:t>
      </w:r>
      <w:proofErr w:type="spellStart"/>
      <w:r w:rsidR="000E7E7E">
        <w:t>FSO</w:t>
      </w:r>
      <w:proofErr w:type="spellEnd"/>
      <w:r w:rsidR="000E7E7E">
        <w:t xml:space="preserve"> at audit</w:t>
      </w:r>
      <w:r w:rsidRPr="006A280B">
        <w:t xml:space="preserve">. Where a company believes the </w:t>
      </w:r>
      <w:proofErr w:type="spellStart"/>
      <w:r w:rsidRPr="006A280B">
        <w:t>FSO</w:t>
      </w:r>
      <w:proofErr w:type="spellEnd"/>
      <w:r w:rsidRPr="006A280B">
        <w:t xml:space="preserve"> has </w:t>
      </w:r>
      <w:r>
        <w:t>acted</w:t>
      </w:r>
      <w:r w:rsidRPr="006A280B">
        <w:t xml:space="preserve"> outside of the scope of the criteria, or has provided findings inconsistent with previous findings, the </w:t>
      </w:r>
      <w:r>
        <w:t>OFSC</w:t>
      </w:r>
      <w:r w:rsidRPr="006A280B">
        <w:t xml:space="preserve"> seeks additional information from the </w:t>
      </w:r>
      <w:proofErr w:type="spellStart"/>
      <w:r w:rsidRPr="006A280B">
        <w:t>FSO</w:t>
      </w:r>
      <w:proofErr w:type="spellEnd"/>
      <w:r w:rsidRPr="006A280B">
        <w:t xml:space="preserve"> and company, and uses this information to determine wh</w:t>
      </w:r>
      <w:r>
        <w:t xml:space="preserve">at </w:t>
      </w:r>
      <w:r w:rsidRPr="006A280B">
        <w:t xml:space="preserve">action needs to be taken regarding </w:t>
      </w:r>
      <w:r>
        <w:t>the findings</w:t>
      </w:r>
      <w:r w:rsidRPr="006A280B">
        <w:t>.</w:t>
      </w:r>
    </w:p>
    <w:p w:rsidR="00CC08BA" w:rsidRDefault="00CC08BA" w:rsidP="00CC08BA"/>
    <w:p w:rsidR="00CC08BA" w:rsidRPr="006A280B" w:rsidRDefault="00F9440C" w:rsidP="00CC08BA">
      <w:r>
        <w:t xml:space="preserve">OFSC experience is that in </w:t>
      </w:r>
      <w:r w:rsidR="006173E3">
        <w:t>many</w:t>
      </w:r>
      <w:r w:rsidR="000A7F29">
        <w:t xml:space="preserve"> </w:t>
      </w:r>
      <w:r>
        <w:t xml:space="preserve">cases, concerns about </w:t>
      </w:r>
      <w:r w:rsidR="00CC08BA" w:rsidRPr="006A280B">
        <w:t xml:space="preserve">inconsistency </w:t>
      </w:r>
      <w:r>
        <w:t xml:space="preserve">arise from a misunderstanding about the </w:t>
      </w:r>
      <w:r w:rsidR="00CC08BA" w:rsidRPr="006A280B">
        <w:t xml:space="preserve">criteria requirements </w:t>
      </w:r>
      <w:r w:rsidR="00CC08BA">
        <w:t>by the</w:t>
      </w:r>
      <w:r w:rsidR="00CC08BA" w:rsidRPr="006A280B">
        <w:t xml:space="preserve"> company, </w:t>
      </w:r>
      <w:r>
        <w:t xml:space="preserve">and are resolved collaboratively through subsequent communication between the company, the OFSC and the </w:t>
      </w:r>
      <w:proofErr w:type="spellStart"/>
      <w:r>
        <w:t>FSO</w:t>
      </w:r>
      <w:proofErr w:type="spellEnd"/>
      <w:r>
        <w:t xml:space="preserve">. </w:t>
      </w:r>
      <w:r w:rsidR="00CC08BA">
        <w:t>W</w:t>
      </w:r>
      <w:r w:rsidR="00CC08BA" w:rsidRPr="006A280B">
        <w:t>here an error on the part of the O</w:t>
      </w:r>
      <w:r w:rsidR="00CC08BA">
        <w:t>FSC</w:t>
      </w:r>
      <w:r w:rsidR="00CC08BA" w:rsidRPr="006A280B">
        <w:t xml:space="preserve"> or </w:t>
      </w:r>
      <w:proofErr w:type="spellStart"/>
      <w:r w:rsidR="00CC08BA" w:rsidRPr="006A280B">
        <w:t>FSO</w:t>
      </w:r>
      <w:proofErr w:type="spellEnd"/>
      <w:r w:rsidR="00CC08BA" w:rsidRPr="006A280B">
        <w:t xml:space="preserve"> is </w:t>
      </w:r>
      <w:proofErr w:type="gramStart"/>
      <w:r w:rsidR="00CC08BA">
        <w:t>apparent</w:t>
      </w:r>
      <w:r w:rsidR="00CC08BA" w:rsidRPr="006A280B">
        <w:t>,</w:t>
      </w:r>
      <w:proofErr w:type="gramEnd"/>
      <w:r w:rsidR="00CC08BA" w:rsidRPr="006A280B">
        <w:t xml:space="preserve"> or where the difference of opinion between the </w:t>
      </w:r>
      <w:proofErr w:type="spellStart"/>
      <w:r w:rsidR="00CC08BA">
        <w:t>FSO</w:t>
      </w:r>
      <w:proofErr w:type="spellEnd"/>
      <w:r w:rsidR="00CC08BA">
        <w:t xml:space="preserve"> and the company</w:t>
      </w:r>
      <w:r w:rsidR="00CC08BA" w:rsidRPr="006A280B">
        <w:t xml:space="preserve"> is significant enough for the company to not accept an auditor</w:t>
      </w:r>
      <w:r w:rsidR="00CC08BA">
        <w:t>’</w:t>
      </w:r>
      <w:r w:rsidR="00CC08BA" w:rsidRPr="006A280B">
        <w:t>s findings, corrective actions have been set aside</w:t>
      </w:r>
      <w:r>
        <w:t xml:space="preserve"> </w:t>
      </w:r>
      <w:r w:rsidR="00F82D79">
        <w:t>(</w:t>
      </w:r>
      <w:r>
        <w:t>a very small number of cases</w:t>
      </w:r>
      <w:r w:rsidR="00F82D79">
        <w:t>)</w:t>
      </w:r>
      <w:r w:rsidR="00CC08BA">
        <w:t>.</w:t>
      </w:r>
      <w:r w:rsidR="00CC08BA" w:rsidRPr="006A280B">
        <w:t xml:space="preserve"> </w:t>
      </w:r>
      <w:r w:rsidR="00CC08BA">
        <w:t>I</w:t>
      </w:r>
      <w:r w:rsidR="00CC08BA" w:rsidRPr="006A280B">
        <w:t>n a few extreme cases entire audits have been set aside with an alternat</w:t>
      </w:r>
      <w:r>
        <w:t>ive</w:t>
      </w:r>
      <w:r w:rsidR="00CC08BA" w:rsidRPr="006A280B">
        <w:t xml:space="preserve"> </w:t>
      </w:r>
      <w:proofErr w:type="spellStart"/>
      <w:r w:rsidR="00CC08BA" w:rsidRPr="006A280B">
        <w:t>FSO</w:t>
      </w:r>
      <w:proofErr w:type="spellEnd"/>
      <w:r w:rsidR="00CC08BA" w:rsidRPr="006A280B">
        <w:t xml:space="preserve"> sent to conduct subsequent audits. </w:t>
      </w:r>
    </w:p>
    <w:p w:rsidR="005817E5" w:rsidRDefault="005817E5" w:rsidP="005817E5"/>
    <w:p w:rsidR="00BE358A" w:rsidRDefault="00BE358A" w:rsidP="00BE358A">
      <w:pPr>
        <w:pStyle w:val="Heading3"/>
      </w:pPr>
      <w:r>
        <w:t xml:space="preserve">Federal Safety Officer </w:t>
      </w:r>
      <w:proofErr w:type="gramStart"/>
      <w:r>
        <w:t>appointment</w:t>
      </w:r>
      <w:proofErr w:type="gramEnd"/>
      <w:r>
        <w:t xml:space="preserve"> processes</w:t>
      </w:r>
    </w:p>
    <w:p w:rsidR="00BE358A" w:rsidRDefault="00BE358A" w:rsidP="00BE358A">
      <w:pPr>
        <w:rPr>
          <w:rFonts w:eastAsiaTheme="minorHAnsi"/>
        </w:rPr>
      </w:pPr>
    </w:p>
    <w:p w:rsidR="00BE358A" w:rsidRDefault="00BE358A" w:rsidP="00BE358A">
      <w:proofErr w:type="spellStart"/>
      <w:r>
        <w:t>FSOs</w:t>
      </w:r>
      <w:proofErr w:type="spellEnd"/>
      <w:r>
        <w:t xml:space="preserve"> are selected through competitive open tender processes (conducted every four to five years) with successful service providers engaged under a Deed of Standing Offer (the Deed) and specified personnel appointed as </w:t>
      </w:r>
      <w:proofErr w:type="spellStart"/>
      <w:r>
        <w:t>FSOs</w:t>
      </w:r>
      <w:proofErr w:type="spellEnd"/>
      <w:r>
        <w:t xml:space="preserve">. </w:t>
      </w:r>
      <w:proofErr w:type="spellStart"/>
      <w:r>
        <w:t>FSOs</w:t>
      </w:r>
      <w:proofErr w:type="spellEnd"/>
      <w:r>
        <w:t xml:space="preserve"> are required to hold or demonstrate:</w:t>
      </w:r>
    </w:p>
    <w:p w:rsidR="00BE358A" w:rsidRDefault="00BE358A" w:rsidP="00BE358A"/>
    <w:p w:rsidR="00BE358A" w:rsidRPr="00BE358A" w:rsidRDefault="00BE358A" w:rsidP="00BE358A">
      <w:pPr>
        <w:pStyle w:val="ListParagraph"/>
        <w:numPr>
          <w:ilvl w:val="0"/>
          <w:numId w:val="4"/>
        </w:numPr>
      </w:pPr>
      <w:r w:rsidRPr="00BE358A">
        <w:t xml:space="preserve">Current </w:t>
      </w:r>
      <w:r w:rsidR="00B27C82">
        <w:t>W</w:t>
      </w:r>
      <w:r w:rsidRPr="00BE358A">
        <w:t xml:space="preserve">HS lead </w:t>
      </w:r>
      <w:r>
        <w:t xml:space="preserve">or principal </w:t>
      </w:r>
      <w:r w:rsidRPr="00BE358A">
        <w:t>auditor, or equivalent, certification to:</w:t>
      </w:r>
    </w:p>
    <w:p w:rsidR="00BE358A" w:rsidRPr="00BE358A" w:rsidRDefault="00BE358A" w:rsidP="00BE358A">
      <w:pPr>
        <w:pStyle w:val="ListParagraph"/>
        <w:numPr>
          <w:ilvl w:val="1"/>
          <w:numId w:val="4"/>
        </w:numPr>
      </w:pPr>
      <w:proofErr w:type="spellStart"/>
      <w:r w:rsidRPr="00BE358A">
        <w:t>RABQSA</w:t>
      </w:r>
      <w:proofErr w:type="spellEnd"/>
      <w:r w:rsidRPr="00BE358A">
        <w:t xml:space="preserve"> International; or </w:t>
      </w:r>
    </w:p>
    <w:p w:rsidR="00BE358A" w:rsidRPr="00BE358A" w:rsidRDefault="00BE358A" w:rsidP="00BE358A">
      <w:pPr>
        <w:pStyle w:val="ListParagraph"/>
        <w:numPr>
          <w:ilvl w:val="1"/>
          <w:numId w:val="4"/>
        </w:numPr>
      </w:pPr>
      <w:r w:rsidRPr="00BE358A">
        <w:t>International Register of Certified Auditors (</w:t>
      </w:r>
      <w:proofErr w:type="spellStart"/>
      <w:r w:rsidRPr="00BE358A">
        <w:t>IRCA</w:t>
      </w:r>
      <w:proofErr w:type="spellEnd"/>
      <w:r w:rsidRPr="00BE358A">
        <w:t xml:space="preserve">) </w:t>
      </w:r>
      <w:r>
        <w:t>W</w:t>
      </w:r>
      <w:r w:rsidRPr="00BE358A">
        <w:t>HS Certification</w:t>
      </w:r>
    </w:p>
    <w:p w:rsidR="00BE358A" w:rsidRDefault="00B27C82" w:rsidP="00BE358A">
      <w:pPr>
        <w:pStyle w:val="ListParagraph"/>
        <w:numPr>
          <w:ilvl w:val="0"/>
          <w:numId w:val="4"/>
        </w:numPr>
      </w:pPr>
      <w:r>
        <w:t>W</w:t>
      </w:r>
      <w:r w:rsidR="00BE358A" w:rsidRPr="00BE358A">
        <w:t>HS and auditing experience in the construction industry</w:t>
      </w:r>
    </w:p>
    <w:p w:rsidR="00BE358A" w:rsidRDefault="00BE358A" w:rsidP="00BE358A">
      <w:pPr>
        <w:pStyle w:val="ListParagraph"/>
        <w:numPr>
          <w:ilvl w:val="0"/>
          <w:numId w:val="4"/>
        </w:numPr>
      </w:pPr>
      <w:r>
        <w:t>familiarity with and the ability to apply the scope and general content of AS/</w:t>
      </w:r>
      <w:proofErr w:type="spellStart"/>
      <w:r>
        <w:t>NZS</w:t>
      </w:r>
      <w:proofErr w:type="spellEnd"/>
      <w:r w:rsidR="006B455A">
        <w:t> </w:t>
      </w:r>
      <w:r>
        <w:t xml:space="preserve">4801:2001 and/or </w:t>
      </w:r>
      <w:proofErr w:type="spellStart"/>
      <w:r>
        <w:t>OHSAS</w:t>
      </w:r>
      <w:proofErr w:type="spellEnd"/>
      <w:r>
        <w:t xml:space="preserve"> 18001:199</w:t>
      </w:r>
      <w:r w:rsidR="000E7E7E">
        <w:t>9</w:t>
      </w:r>
    </w:p>
    <w:p w:rsidR="00BE358A" w:rsidRDefault="00BE358A" w:rsidP="00BE358A">
      <w:pPr>
        <w:pStyle w:val="ListParagraph"/>
        <w:numPr>
          <w:ilvl w:val="0"/>
          <w:numId w:val="4"/>
        </w:numPr>
      </w:pPr>
      <w:r>
        <w:t xml:space="preserve">a sound knowledge and understanding of WHS and Australian WHS laws, including relevant </w:t>
      </w:r>
      <w:r w:rsidR="00B27C82">
        <w:t>W</w:t>
      </w:r>
      <w:r>
        <w:t>HS codes of practice and standards</w:t>
      </w:r>
    </w:p>
    <w:p w:rsidR="00BE358A" w:rsidRDefault="00BE358A" w:rsidP="00BE358A">
      <w:pPr>
        <w:pStyle w:val="ListParagraph"/>
        <w:numPr>
          <w:ilvl w:val="0"/>
          <w:numId w:val="4"/>
        </w:numPr>
      </w:pPr>
      <w:r>
        <w:t>the ability to assess the application of Australian WHS laws in the building and construction industry across all Commonwealth, state and territory jurisdictions</w:t>
      </w:r>
    </w:p>
    <w:p w:rsidR="00BE358A" w:rsidRDefault="00BE358A" w:rsidP="00BE358A">
      <w:pPr>
        <w:pStyle w:val="ListParagraph"/>
        <w:numPr>
          <w:ilvl w:val="0"/>
          <w:numId w:val="4"/>
        </w:numPr>
      </w:pPr>
      <w:r>
        <w:t>a sound understanding and knowledge of risk management processes</w:t>
      </w:r>
    </w:p>
    <w:p w:rsidR="00BE358A" w:rsidRDefault="00BE358A" w:rsidP="00BE358A">
      <w:pPr>
        <w:pStyle w:val="ListParagraph"/>
        <w:numPr>
          <w:ilvl w:val="0"/>
          <w:numId w:val="4"/>
        </w:numPr>
      </w:pPr>
      <w:r>
        <w:t>tertiary or other qualifications in WHS</w:t>
      </w:r>
    </w:p>
    <w:p w:rsidR="00BE358A" w:rsidRDefault="00BE358A" w:rsidP="00BE358A">
      <w:pPr>
        <w:pStyle w:val="ListParagraph"/>
        <w:numPr>
          <w:ilvl w:val="0"/>
          <w:numId w:val="4"/>
        </w:numPr>
      </w:pPr>
      <w:r>
        <w:t>relevant licences and certificates of competency in relation to specific activities or hazards common in the construction industry (e.g. construction induction card such as a green card, dogman/riggers/scaffolders licence, plant operators licence etc</w:t>
      </w:r>
      <w:r w:rsidR="00700755">
        <w:t>.</w:t>
      </w:r>
      <w:r>
        <w:t>)</w:t>
      </w:r>
    </w:p>
    <w:p w:rsidR="00BE358A" w:rsidRDefault="00BE358A" w:rsidP="00BE358A">
      <w:pPr>
        <w:pStyle w:val="ListParagraph"/>
        <w:numPr>
          <w:ilvl w:val="0"/>
          <w:numId w:val="4"/>
        </w:numPr>
      </w:pPr>
      <w:r>
        <w:t>demonstrated ability to meet deadlines and</w:t>
      </w:r>
    </w:p>
    <w:p w:rsidR="00BE358A" w:rsidRPr="00BE358A" w:rsidRDefault="00BE358A" w:rsidP="00BE358A">
      <w:pPr>
        <w:pStyle w:val="ListParagraph"/>
        <w:numPr>
          <w:ilvl w:val="0"/>
          <w:numId w:val="4"/>
        </w:numPr>
      </w:pPr>
      <w:proofErr w:type="gramStart"/>
      <w:r>
        <w:t>evidence</w:t>
      </w:r>
      <w:proofErr w:type="gramEnd"/>
      <w:r>
        <w:t xml:space="preserve"> of liaison and interpersonal skills that demonstrate a capacity to work collaboratively with companies.</w:t>
      </w:r>
    </w:p>
    <w:p w:rsidR="00BE358A" w:rsidRDefault="00BE358A" w:rsidP="00BE358A"/>
    <w:p w:rsidR="00BE358A" w:rsidRDefault="00D224DC" w:rsidP="00BE358A">
      <w:r>
        <w:t xml:space="preserve">Applicants </w:t>
      </w:r>
      <w:r w:rsidR="00BE358A" w:rsidRPr="00BE358A">
        <w:t xml:space="preserve">who only hold quality and environmental qualifications </w:t>
      </w:r>
      <w:r w:rsidR="00BE358A">
        <w:t xml:space="preserve">are not </w:t>
      </w:r>
      <w:r w:rsidR="00BE358A" w:rsidRPr="00BE358A">
        <w:t xml:space="preserve">considered for appointment as </w:t>
      </w:r>
      <w:proofErr w:type="spellStart"/>
      <w:r w:rsidR="00BE358A" w:rsidRPr="00BE358A">
        <w:t>FSOs</w:t>
      </w:r>
      <w:proofErr w:type="spellEnd"/>
      <w:r w:rsidR="00BE358A" w:rsidRPr="00BE358A">
        <w:t>.</w:t>
      </w:r>
      <w:r w:rsidR="00BE358A">
        <w:t xml:space="preserve"> </w:t>
      </w:r>
    </w:p>
    <w:p w:rsidR="005817E5" w:rsidRDefault="005817E5" w:rsidP="005817E5"/>
    <w:p w:rsidR="00BE358A" w:rsidRDefault="00BE358A" w:rsidP="00BE358A">
      <w:r w:rsidRPr="006A280B">
        <w:t>Once engaged, a</w:t>
      </w:r>
      <w:r w:rsidR="00D224DC">
        <w:t>n</w:t>
      </w:r>
      <w:r w:rsidRPr="006A280B">
        <w:t xml:space="preserve"> induction and observation process is undertaken to ensure the suitability of </w:t>
      </w:r>
      <w:proofErr w:type="spellStart"/>
      <w:r w:rsidRPr="006A280B">
        <w:t>FSOs</w:t>
      </w:r>
      <w:proofErr w:type="spellEnd"/>
      <w:r w:rsidRPr="006A280B">
        <w:t xml:space="preserve">. Further, the Deed provides no </w:t>
      </w:r>
      <w:proofErr w:type="gramStart"/>
      <w:r w:rsidRPr="006A280B">
        <w:t>guarantee</w:t>
      </w:r>
      <w:proofErr w:type="gramEnd"/>
      <w:r w:rsidRPr="006A280B">
        <w:t xml:space="preserve"> of work, meaning those </w:t>
      </w:r>
      <w:proofErr w:type="spellStart"/>
      <w:r w:rsidRPr="006A280B">
        <w:t>FSOs</w:t>
      </w:r>
      <w:proofErr w:type="spellEnd"/>
      <w:r w:rsidRPr="006A280B">
        <w:t xml:space="preserve"> who are observed to not </w:t>
      </w:r>
      <w:r>
        <w:t>meet</w:t>
      </w:r>
      <w:r w:rsidRPr="006A280B">
        <w:t xml:space="preserve"> the required standards are either not utilised, or are terminated (also provided for under the Deed).</w:t>
      </w:r>
      <w:r w:rsidR="00D224DC">
        <w:t xml:space="preserve"> Feedback from companies assists in this regard.</w:t>
      </w:r>
    </w:p>
    <w:p w:rsidR="00BE358A" w:rsidRPr="006A280B" w:rsidRDefault="00BE358A" w:rsidP="00BE358A"/>
    <w:p w:rsidR="00BE358A" w:rsidRDefault="00BE358A" w:rsidP="00BE358A">
      <w:r w:rsidRPr="006A280B">
        <w:lastRenderedPageBreak/>
        <w:t xml:space="preserve">As a condition of the Deed, </w:t>
      </w:r>
      <w:proofErr w:type="spellStart"/>
      <w:r w:rsidRPr="006A280B">
        <w:t>FSOs</w:t>
      </w:r>
      <w:proofErr w:type="spellEnd"/>
      <w:r w:rsidRPr="006A280B">
        <w:t xml:space="preserve"> are required to notify the </w:t>
      </w:r>
      <w:r>
        <w:t>OFSC</w:t>
      </w:r>
      <w:r w:rsidRPr="006A280B">
        <w:t xml:space="preserve"> of any actual or perceived conflicts of interest when they are approached to do audits on the </w:t>
      </w:r>
      <w:proofErr w:type="spellStart"/>
      <w:r>
        <w:t>OFSC</w:t>
      </w:r>
      <w:r w:rsidRPr="006A280B">
        <w:t>’s</w:t>
      </w:r>
      <w:proofErr w:type="spellEnd"/>
      <w:r w:rsidRPr="006A280B">
        <w:t xml:space="preserve"> behalf. </w:t>
      </w:r>
      <w:r>
        <w:t xml:space="preserve">The most common scenario for a potential conflict of interest is where an </w:t>
      </w:r>
      <w:proofErr w:type="spellStart"/>
      <w:r>
        <w:t>FSO</w:t>
      </w:r>
      <w:proofErr w:type="spellEnd"/>
      <w:r>
        <w:t xml:space="preserve"> has been or is working for a company. The OFSC applies a policy where audits are not offered to an </w:t>
      </w:r>
      <w:proofErr w:type="spellStart"/>
      <w:r>
        <w:t>FSO</w:t>
      </w:r>
      <w:proofErr w:type="spellEnd"/>
      <w:r>
        <w:t xml:space="preserve">, for a two year period, in relation to a company where the FSC has been working for that company. </w:t>
      </w:r>
      <w:proofErr w:type="gramStart"/>
      <w:r>
        <w:t>who</w:t>
      </w:r>
      <w:proofErr w:type="gramEnd"/>
      <w:r>
        <w:t xml:space="preserve"> had been engaged by the company within a two year period. </w:t>
      </w:r>
    </w:p>
    <w:p w:rsidR="00BE358A" w:rsidRDefault="00BE358A" w:rsidP="00BE358A"/>
    <w:p w:rsidR="00BE358A" w:rsidRPr="006A280B" w:rsidRDefault="00BE358A" w:rsidP="00BE358A">
      <w:r>
        <w:t xml:space="preserve">The process for selecting </w:t>
      </w:r>
      <w:proofErr w:type="spellStart"/>
      <w:r>
        <w:t>FSOs</w:t>
      </w:r>
      <w:proofErr w:type="spellEnd"/>
      <w:r>
        <w:t xml:space="preserve"> aim</w:t>
      </w:r>
      <w:r w:rsidR="00F9440C">
        <w:t>s</w:t>
      </w:r>
      <w:r>
        <w:t xml:space="preserve"> </w:t>
      </w:r>
      <w:r w:rsidR="00F9440C">
        <w:t>to</w:t>
      </w:r>
      <w:r>
        <w:t xml:space="preserve"> engag</w:t>
      </w:r>
      <w:r w:rsidR="00F9440C">
        <w:t>e</w:t>
      </w:r>
      <w:r>
        <w:t xml:space="preserve"> experienced and qualified personnel</w:t>
      </w:r>
      <w:r w:rsidR="00F9440C">
        <w:t xml:space="preserve"> and those likely to</w:t>
      </w:r>
      <w:r>
        <w:t xml:space="preserve"> foster consistency and minimise any actual or potential conflicts of interest.</w:t>
      </w:r>
    </w:p>
    <w:p w:rsidR="00BE358A" w:rsidRDefault="00BE358A" w:rsidP="005817E5"/>
    <w:p w:rsidR="003F603D" w:rsidRDefault="003F603D" w:rsidP="00936166">
      <w:pPr>
        <w:pStyle w:val="Heading3"/>
      </w:pPr>
      <w:r w:rsidRPr="00936166">
        <w:t>OFSC performance</w:t>
      </w:r>
    </w:p>
    <w:p w:rsidR="006E3121" w:rsidRDefault="006E3121" w:rsidP="006E3121"/>
    <w:p w:rsidR="006E3121" w:rsidRPr="006E3121" w:rsidRDefault="006E3121" w:rsidP="006E3121">
      <w:r>
        <w:t xml:space="preserve">The functions of the FSC and by extension the OFSC include promoting WHS in relation to building work, accrediting companies to the Scheme and promoting the benefits of the Scheme. </w:t>
      </w:r>
    </w:p>
    <w:p w:rsidR="003F603D" w:rsidRPr="001D5288" w:rsidRDefault="003F603D" w:rsidP="00E66426">
      <w:pPr>
        <w:rPr>
          <w:highlight w:val="yellow"/>
        </w:rPr>
      </w:pPr>
    </w:p>
    <w:p w:rsidR="00F25A85" w:rsidRDefault="00B92B53" w:rsidP="00F25A85">
      <w:r w:rsidRPr="006E3121">
        <w:t xml:space="preserve">As part of the commitment to promote sustainable </w:t>
      </w:r>
      <w:r w:rsidR="006E3121">
        <w:t>W</w:t>
      </w:r>
      <w:r w:rsidRPr="006E3121">
        <w:t>HS cultural change in the building and construction industry, the OFSC regularly undertakes education activities as well as formal and informal stakeholder consultation.</w:t>
      </w:r>
      <w:r w:rsidR="00F25A85">
        <w:t xml:space="preserve"> For example, the FSC attends safety related conferences, forums and meetings of safety managers, industry representatives and undertakes site visits. </w:t>
      </w:r>
    </w:p>
    <w:p w:rsidR="00B92B53" w:rsidRPr="006E3121" w:rsidRDefault="00B92B53" w:rsidP="006E3121"/>
    <w:p w:rsidR="00B92B53" w:rsidRPr="006E3121" w:rsidRDefault="00B92B53" w:rsidP="006E3121">
      <w:r w:rsidRPr="006E3121">
        <w:t>The FSC chairs two consultative reference groups, the Industry Reference Group and the Australian Government Agency Reference Group. Generally these groups meet two to three times a year.</w:t>
      </w:r>
    </w:p>
    <w:p w:rsidR="00B92B53" w:rsidRDefault="00B92B53" w:rsidP="00B92B53">
      <w:pPr>
        <w:pStyle w:val="ListParagraph"/>
        <w:ind w:left="284" w:hanging="284"/>
        <w:rPr>
          <w:sz w:val="28"/>
          <w:szCs w:val="28"/>
        </w:rPr>
      </w:pPr>
    </w:p>
    <w:p w:rsidR="009E51EF" w:rsidRDefault="00F25A85" w:rsidP="00E66426">
      <w:r>
        <w:t xml:space="preserve">The OFSC website </w:t>
      </w:r>
      <w:hyperlink r:id="rId27" w:history="1">
        <w:r w:rsidRPr="00C003ED">
          <w:rPr>
            <w:rStyle w:val="Hyperlink"/>
          </w:rPr>
          <w:t>www.fsc.gov.au</w:t>
        </w:r>
      </w:hyperlink>
      <w:r>
        <w:t xml:space="preserve"> </w:t>
      </w:r>
      <w:r w:rsidR="009E51EF">
        <w:t>provides an opportunity to highlight examples of best practice from companies and more can be done in this area as a vehicle for communicating between the OFSC and the industry.</w:t>
      </w:r>
    </w:p>
    <w:p w:rsidR="00630F0C" w:rsidRDefault="00630F0C" w:rsidP="00E66426"/>
    <w:p w:rsidR="00630F0C" w:rsidRDefault="00630F0C" w:rsidP="00630F0C">
      <w:r w:rsidRPr="00026AF0">
        <w:t xml:space="preserve">The OFSC has a range of internal </w:t>
      </w:r>
      <w:proofErr w:type="spellStart"/>
      <w:r w:rsidRPr="00026AF0">
        <w:t>KPIs</w:t>
      </w:r>
      <w:proofErr w:type="spellEnd"/>
      <w:r w:rsidRPr="00026AF0">
        <w:t xml:space="preserve"> that focus in the main o</w:t>
      </w:r>
      <w:r w:rsidR="007736B1">
        <w:t>n</w:t>
      </w:r>
      <w:r w:rsidRPr="00026AF0">
        <w:t xml:space="preserve"> achieving accreditation for companies in as timely a manner as possible. For example </w:t>
      </w:r>
      <w:proofErr w:type="spellStart"/>
      <w:r w:rsidRPr="00026AF0">
        <w:t>FSOs</w:t>
      </w:r>
      <w:proofErr w:type="spellEnd"/>
      <w:r w:rsidRPr="00026AF0">
        <w:t xml:space="preserve"> are required to submit their audit reports within 5 working days and the OFSC </w:t>
      </w:r>
      <w:r w:rsidR="00D815A2">
        <w:t xml:space="preserve">benchmark is </w:t>
      </w:r>
      <w:r w:rsidRPr="00026AF0">
        <w:t xml:space="preserve">then </w:t>
      </w:r>
      <w:r w:rsidR="00D815A2">
        <w:t xml:space="preserve">to </w:t>
      </w:r>
      <w:r w:rsidRPr="00026AF0">
        <w:t xml:space="preserve">issue the report to the company within another 5 working days. </w:t>
      </w:r>
    </w:p>
    <w:p w:rsidR="00431A03" w:rsidRDefault="00431A03" w:rsidP="00630F0C"/>
    <w:p w:rsidR="00431A03" w:rsidRDefault="00431A03" w:rsidP="00431A03">
      <w:r>
        <w:t xml:space="preserve">There is an opportunity to identify new </w:t>
      </w:r>
      <w:proofErr w:type="spellStart"/>
      <w:r>
        <w:t>KPIs</w:t>
      </w:r>
      <w:proofErr w:type="spellEnd"/>
      <w:r>
        <w:t xml:space="preserve">. Company suggestions as to appropriate </w:t>
      </w:r>
      <w:proofErr w:type="spellStart"/>
      <w:r>
        <w:t>KPIs</w:t>
      </w:r>
      <w:proofErr w:type="spellEnd"/>
      <w:r>
        <w:t xml:space="preserve"> for the OFSC and </w:t>
      </w:r>
      <w:proofErr w:type="spellStart"/>
      <w:r>
        <w:t>FSOs</w:t>
      </w:r>
      <w:proofErr w:type="spellEnd"/>
      <w:r>
        <w:t xml:space="preserve"> are sought. </w:t>
      </w:r>
    </w:p>
    <w:p w:rsidR="00431A03" w:rsidRPr="00026AF0" w:rsidRDefault="00431A03" w:rsidP="00630F0C"/>
    <w:p w:rsidR="00630F0C" w:rsidRDefault="00630F0C" w:rsidP="00630F0C">
      <w:r>
        <w:t>Views are sought as to other ways in which the OFSC can monitor its performance</w:t>
      </w:r>
      <w:r w:rsidR="006173E3">
        <w:t xml:space="preserve"> and that of the </w:t>
      </w:r>
      <w:proofErr w:type="spellStart"/>
      <w:r w:rsidR="006173E3">
        <w:t>FSOs</w:t>
      </w:r>
      <w:proofErr w:type="spellEnd"/>
      <w:r>
        <w:t>.</w:t>
      </w:r>
    </w:p>
    <w:p w:rsidR="001B1149" w:rsidRPr="006A280B" w:rsidRDefault="001B1149" w:rsidP="00E66426"/>
    <w:p w:rsidR="001B1149" w:rsidRPr="006A280B" w:rsidRDefault="001B1149" w:rsidP="00E66426">
      <w:pPr>
        <w:rPr>
          <w:highlight w:val="yellow"/>
        </w:rPr>
      </w:pPr>
      <w:r w:rsidRPr="006A280B">
        <w:rPr>
          <w:noProof/>
        </w:rPr>
        <mc:AlternateContent>
          <mc:Choice Requires="wps">
            <w:drawing>
              <wp:inline distT="0" distB="0" distL="0" distR="0" wp14:anchorId="41B02A7B" wp14:editId="1E5A88A7">
                <wp:extent cx="6105525" cy="1857375"/>
                <wp:effectExtent l="38100" t="38100" r="123825" b="12382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857375"/>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106DF0" w:rsidRDefault="004660D6" w:rsidP="00106DF0">
                            <w:pPr>
                              <w:rPr>
                                <w:b/>
                                <w:u w:val="single"/>
                              </w:rPr>
                            </w:pPr>
                            <w:bookmarkStart w:id="57" w:name="_Toc375564282"/>
                            <w:r w:rsidRPr="00106DF0">
                              <w:rPr>
                                <w:b/>
                                <w:u w:val="single"/>
                              </w:rPr>
                              <w:t xml:space="preserve">Questions - OFSC and </w:t>
                            </w:r>
                            <w:proofErr w:type="spellStart"/>
                            <w:r w:rsidRPr="00106DF0">
                              <w:rPr>
                                <w:b/>
                                <w:u w:val="single"/>
                              </w:rPr>
                              <w:t>FSO</w:t>
                            </w:r>
                            <w:proofErr w:type="spellEnd"/>
                            <w:r w:rsidRPr="00106DF0">
                              <w:rPr>
                                <w:b/>
                                <w:u w:val="single"/>
                              </w:rPr>
                              <w:t xml:space="preserve"> performance </w:t>
                            </w:r>
                          </w:p>
                          <w:p w:rsidR="004660D6" w:rsidRPr="00106DF0" w:rsidRDefault="004660D6" w:rsidP="00106DF0"/>
                          <w:p w:rsidR="004660D6" w:rsidRPr="00106DF0" w:rsidRDefault="004660D6" w:rsidP="00106DF0">
                            <w:r w:rsidRPr="003C236A">
                              <w:rPr>
                                <w:b/>
                              </w:rPr>
                              <w:t>Question 1</w:t>
                            </w:r>
                            <w:r>
                              <w:rPr>
                                <w:b/>
                              </w:rPr>
                              <w:t>8</w:t>
                            </w:r>
                            <w:r w:rsidRPr="00106DF0">
                              <w:t xml:space="preserve">: </w:t>
                            </w:r>
                            <w:r>
                              <w:t xml:space="preserve">How can </w:t>
                            </w:r>
                            <w:proofErr w:type="spellStart"/>
                            <w:r>
                              <w:t>FSO</w:t>
                            </w:r>
                            <w:proofErr w:type="spellEnd"/>
                            <w:r>
                              <w:t xml:space="preserve"> consistency in behaviour and audit interpretation </w:t>
                            </w:r>
                            <w:proofErr w:type="gramStart"/>
                            <w:r>
                              <w:t>be</w:t>
                            </w:r>
                            <w:proofErr w:type="gramEnd"/>
                            <w:r>
                              <w:t xml:space="preserve"> improved and reporting of specific instances of inconsistency be increased</w:t>
                            </w:r>
                            <w:r w:rsidRPr="00106DF0">
                              <w:t>?</w:t>
                            </w:r>
                            <w:bookmarkEnd w:id="57"/>
                          </w:p>
                          <w:p w:rsidR="004660D6" w:rsidRPr="00106DF0" w:rsidRDefault="004660D6" w:rsidP="00106DF0"/>
                          <w:p w:rsidR="004660D6" w:rsidRPr="00106DF0" w:rsidRDefault="004660D6" w:rsidP="00106DF0">
                            <w:r w:rsidRPr="003C236A">
                              <w:rPr>
                                <w:b/>
                              </w:rPr>
                              <w:t>Question 1</w:t>
                            </w:r>
                            <w:r>
                              <w:rPr>
                                <w:b/>
                              </w:rPr>
                              <w:t>9</w:t>
                            </w:r>
                            <w:r w:rsidRPr="00106DF0">
                              <w:t xml:space="preserve">: </w:t>
                            </w:r>
                            <w:r>
                              <w:t xml:space="preserve">Is </w:t>
                            </w:r>
                            <w:proofErr w:type="spellStart"/>
                            <w:r>
                              <w:t>FSO</w:t>
                            </w:r>
                            <w:proofErr w:type="spellEnd"/>
                            <w:r>
                              <w:t xml:space="preserve"> conflict of interest an issue? If yes, in what ways can it be addressed?  </w:t>
                            </w:r>
                            <w:r w:rsidRPr="00106DF0">
                              <w:t xml:space="preserve"> </w:t>
                            </w:r>
                          </w:p>
                          <w:p w:rsidR="004660D6" w:rsidRPr="00106DF0" w:rsidRDefault="004660D6" w:rsidP="00106DF0"/>
                          <w:p w:rsidR="004660D6" w:rsidRPr="0049135D" w:rsidRDefault="004660D6" w:rsidP="00E66426">
                            <w:r w:rsidRPr="003C236A">
                              <w:rPr>
                                <w:b/>
                              </w:rPr>
                              <w:t xml:space="preserve">Question </w:t>
                            </w:r>
                            <w:r>
                              <w:rPr>
                                <w:b/>
                              </w:rPr>
                              <w:t>20</w:t>
                            </w:r>
                            <w:r w:rsidRPr="00106DF0">
                              <w:t>: How can the OFSC improve its own performance?</w:t>
                            </w:r>
                            <w:r>
                              <w:t xml:space="preserve"> In what ways can the OFSC better articulate its message of improved safety and cultural change to the industry?</w:t>
                            </w:r>
                          </w:p>
                        </w:txbxContent>
                      </wps:txbx>
                      <wps:bodyPr rot="0" vert="horz" wrap="square" lIns="91440" tIns="45720" rIns="91440" bIns="45720" anchor="ctr" anchorCtr="0">
                        <a:noAutofit/>
                      </wps:bodyPr>
                    </wps:wsp>
                  </a:graphicData>
                </a:graphic>
              </wp:inline>
            </w:drawing>
          </mc:Choice>
          <mc:Fallback>
            <w:pict>
              <v:shape id="Text Box 27" o:spid="_x0000_s1031" type="#_x0000_t202" style="width:480.75pt;height:14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" fillcolor="#d8d8d8 [2732]">
                <v:shadow on="t" color="black" opacity="26214f" origin="-.5,-.5" offset=".74836mm,.74836mm"/>
                <v:textbox>
                  <w:txbxContent>
                    <w:p w:rsidR="004660D6" w:rsidRPr="00106DF0" w:rsidRDefault="004660D6" w:rsidP="00106DF0">
                      <w:pPr>
                        <w:rPr>
                          <w:b/>
                          <w:u w:val="single"/>
                        </w:rPr>
                      </w:pPr>
                      <w:bookmarkStart w:id="62" w:name="_Toc375564282"/>
                      <w:r w:rsidRPr="00106DF0">
                        <w:rPr>
                          <w:b/>
                          <w:u w:val="single"/>
                        </w:rPr>
                        <w:t xml:space="preserve">Questions - OFSC and FSO performance </w:t>
                      </w:r>
                    </w:p>
                    <w:p w:rsidR="004660D6" w:rsidRPr="00106DF0" w:rsidRDefault="004660D6" w:rsidP="00106DF0"/>
                    <w:p w:rsidR="004660D6" w:rsidRPr="00106DF0" w:rsidRDefault="004660D6" w:rsidP="00106DF0">
                      <w:r w:rsidRPr="003C236A">
                        <w:rPr>
                          <w:b/>
                        </w:rPr>
                        <w:t>Question 1</w:t>
                      </w:r>
                      <w:r>
                        <w:rPr>
                          <w:b/>
                        </w:rPr>
                        <w:t>8</w:t>
                      </w:r>
                      <w:r w:rsidRPr="00106DF0">
                        <w:t xml:space="preserve">: </w:t>
                      </w:r>
                      <w:r>
                        <w:t>How can FSO consistency in behaviour and audit interpretation be improved and reporting of specific instances of inconsistency be increased</w:t>
                      </w:r>
                      <w:r w:rsidRPr="00106DF0">
                        <w:t>?</w:t>
                      </w:r>
                      <w:bookmarkEnd w:id="62"/>
                    </w:p>
                    <w:p w:rsidR="004660D6" w:rsidRPr="00106DF0" w:rsidRDefault="004660D6" w:rsidP="00106DF0"/>
                    <w:p w:rsidR="004660D6" w:rsidRPr="00106DF0" w:rsidRDefault="004660D6" w:rsidP="00106DF0">
                      <w:r w:rsidRPr="003C236A">
                        <w:rPr>
                          <w:b/>
                        </w:rPr>
                        <w:t>Question 1</w:t>
                      </w:r>
                      <w:r>
                        <w:rPr>
                          <w:b/>
                        </w:rPr>
                        <w:t>9</w:t>
                      </w:r>
                      <w:r w:rsidRPr="00106DF0">
                        <w:t xml:space="preserve">: </w:t>
                      </w:r>
                      <w:r>
                        <w:t xml:space="preserve">Is FSO conflict of interest an issue? If yes, in what ways can it be addressed?  </w:t>
                      </w:r>
                      <w:r w:rsidRPr="00106DF0">
                        <w:t xml:space="preserve"> </w:t>
                      </w:r>
                    </w:p>
                    <w:p w:rsidR="004660D6" w:rsidRPr="00106DF0" w:rsidRDefault="004660D6" w:rsidP="00106DF0"/>
                    <w:p w:rsidR="004660D6" w:rsidRPr="0049135D" w:rsidRDefault="004660D6" w:rsidP="00E66426">
                      <w:r w:rsidRPr="003C236A">
                        <w:rPr>
                          <w:b/>
                        </w:rPr>
                        <w:t xml:space="preserve">Question </w:t>
                      </w:r>
                      <w:r>
                        <w:rPr>
                          <w:b/>
                        </w:rPr>
                        <w:t>20</w:t>
                      </w:r>
                      <w:r w:rsidRPr="00106DF0">
                        <w:t>: How can the OFSC improve its own performance?</w:t>
                      </w:r>
                      <w:r>
                        <w:t xml:space="preserve"> In what ways can the OFSC better articulate its message of improved safety and cultural change to the industry?</w:t>
                      </w:r>
                    </w:p>
                  </w:txbxContent>
                </v:textbox>
                <w10:anchorlock/>
              </v:shape>
            </w:pict>
          </mc:Fallback>
        </mc:AlternateContent>
      </w:r>
    </w:p>
    <w:p w:rsidR="001B1149" w:rsidRPr="001B1149" w:rsidRDefault="001B1149" w:rsidP="00E66426"/>
    <w:p w:rsidR="001B1149" w:rsidRDefault="00936166" w:rsidP="000F2835">
      <w:pPr>
        <w:pStyle w:val="Heading2"/>
      </w:pPr>
      <w:bookmarkStart w:id="58" w:name="_Toc377032062"/>
      <w:bookmarkStart w:id="59" w:name="_Toc378322605"/>
      <w:r w:rsidRPr="00936166">
        <w:lastRenderedPageBreak/>
        <w:t xml:space="preserve">Agencies’ </w:t>
      </w:r>
      <w:r w:rsidR="00726DD0" w:rsidRPr="00936166">
        <w:t xml:space="preserve">adherence to </w:t>
      </w:r>
      <w:r w:rsidR="003F603D" w:rsidRPr="00936166">
        <w:t xml:space="preserve">Scheme </w:t>
      </w:r>
      <w:r w:rsidR="00726DD0" w:rsidRPr="00936166">
        <w:t>requirements</w:t>
      </w:r>
      <w:bookmarkEnd w:id="58"/>
      <w:bookmarkEnd w:id="59"/>
    </w:p>
    <w:p w:rsidR="001B1149" w:rsidRDefault="001B1149" w:rsidP="00E66426"/>
    <w:p w:rsidR="00902E26" w:rsidRDefault="00902E26" w:rsidP="00E66426">
      <w:r>
        <w:t xml:space="preserve">The biggest incentive of the Scheme is the benefit to be gained by becoming accredited and being able to secure </w:t>
      </w:r>
      <w:r w:rsidR="00BF23E4">
        <w:t xml:space="preserve">Commonwealth </w:t>
      </w:r>
      <w:r>
        <w:t>Government funded building work. Funding agencies play a vital role in ensuring that their procurement processes r</w:t>
      </w:r>
      <w:r w:rsidR="00672816">
        <w:t>eflect the requirements of the S</w:t>
      </w:r>
      <w:r>
        <w:t xml:space="preserve">cheme and therefore meet the Government’s agenda to use its own purchasing power to improve safety in the building and construction industry. </w:t>
      </w:r>
    </w:p>
    <w:p w:rsidR="00902E26" w:rsidRDefault="00902E26" w:rsidP="00E66426"/>
    <w:p w:rsidR="006654BE" w:rsidRPr="006A280B" w:rsidRDefault="006654BE" w:rsidP="00E66426">
      <w:r w:rsidRPr="006A280B">
        <w:t xml:space="preserve">The OFSC established the Australian Government Agency Reference Group </w:t>
      </w:r>
      <w:r>
        <w:t>early in the implementation of the Scheme</w:t>
      </w:r>
      <w:r w:rsidR="00D02F4F">
        <w:t xml:space="preserve"> to </w:t>
      </w:r>
      <w:r w:rsidRPr="006A280B">
        <w:t xml:space="preserve">work with agencies to </w:t>
      </w:r>
      <w:r w:rsidR="00D02F4F">
        <w:t xml:space="preserve">understand the Scheme and </w:t>
      </w:r>
      <w:r w:rsidRPr="006A280B">
        <w:t>better deliver projects, safely, on time and on budget. The A</w:t>
      </w:r>
      <w:r w:rsidR="00281EAC">
        <w:t xml:space="preserve">ustralian </w:t>
      </w:r>
      <w:r w:rsidRPr="006A280B">
        <w:t>G</w:t>
      </w:r>
      <w:r w:rsidR="00281EAC">
        <w:t xml:space="preserve">overnment </w:t>
      </w:r>
      <w:r w:rsidRPr="006A280B">
        <w:t>A</w:t>
      </w:r>
      <w:r w:rsidR="00281EAC">
        <w:t xml:space="preserve">gency </w:t>
      </w:r>
      <w:r w:rsidRPr="006A280B">
        <w:t>R</w:t>
      </w:r>
      <w:r w:rsidR="00281EAC">
        <w:t xml:space="preserve">eference </w:t>
      </w:r>
      <w:r w:rsidRPr="006A280B">
        <w:t>G</w:t>
      </w:r>
      <w:r w:rsidR="00281EAC">
        <w:t>roup</w:t>
      </w:r>
      <w:r w:rsidRPr="006A280B">
        <w:t xml:space="preserve"> also provides a forum where issues such as any resource implications of the Scheme, improvement strategies and possible synergies across agencies can be discussed.</w:t>
      </w:r>
    </w:p>
    <w:p w:rsidR="006654BE" w:rsidRPr="006A280B" w:rsidRDefault="006654BE" w:rsidP="00E66426"/>
    <w:p w:rsidR="006654BE" w:rsidRDefault="006654BE" w:rsidP="00E66426">
      <w:r w:rsidRPr="006A280B">
        <w:t>The OFSC has initiated a range of activities to educate and support agencies in their role as model clients in the building and construction industry. The OFSC actively works with agencies on projects that will address and highlight different aspects of WHS</w:t>
      </w:r>
      <w:r w:rsidR="00D02F4F">
        <w:t>. A</w:t>
      </w:r>
      <w:r w:rsidRPr="006A280B">
        <w:t>gencies are also able to access expert advice on projects associated with th</w:t>
      </w:r>
      <w:r w:rsidR="008C1FC5">
        <w:t xml:space="preserve">e model client </w:t>
      </w:r>
      <w:r w:rsidRPr="006A280B">
        <w:t>initiative</w:t>
      </w:r>
      <w:r w:rsidR="008C1FC5">
        <w:t xml:space="preserve"> which may lead to an increase in agencies’ understanding </w:t>
      </w:r>
      <w:r w:rsidRPr="006A280B">
        <w:t>and management of WHS.</w:t>
      </w:r>
    </w:p>
    <w:p w:rsidR="009E51EF" w:rsidRDefault="009E51EF" w:rsidP="00E66426"/>
    <w:p w:rsidR="00EC5856" w:rsidRDefault="008C1FC5" w:rsidP="00E66426">
      <w:r>
        <w:t xml:space="preserve">Some agencies have experienced difficulties in adhering to the requirements of the Scheme. </w:t>
      </w:r>
      <w:r w:rsidR="004A51A7">
        <w:t>Most commonly, agency representatives involved in procurement processes are unaware of the Scheme requirements. T</w:t>
      </w:r>
      <w:r w:rsidR="006654BE">
        <w:t>o assist</w:t>
      </w:r>
      <w:r w:rsidR="006654BE" w:rsidRPr="006A280B">
        <w:t xml:space="preserve"> Government agencies</w:t>
      </w:r>
      <w:r w:rsidR="006654BE">
        <w:t xml:space="preserve"> to</w:t>
      </w:r>
      <w:r w:rsidR="006654BE" w:rsidRPr="006A280B">
        <w:t xml:space="preserve"> comply with </w:t>
      </w:r>
      <w:r w:rsidR="004A51A7">
        <w:t xml:space="preserve">Scheme </w:t>
      </w:r>
      <w:r w:rsidR="006654BE" w:rsidRPr="006A280B">
        <w:t>requirement</w:t>
      </w:r>
      <w:r w:rsidR="004A51A7">
        <w:t>s</w:t>
      </w:r>
      <w:r w:rsidR="006654BE" w:rsidRPr="006A280B">
        <w:t xml:space="preserve">, the OFSC </w:t>
      </w:r>
      <w:r w:rsidR="004A51A7">
        <w:t xml:space="preserve">has </w:t>
      </w:r>
      <w:r w:rsidR="006654BE" w:rsidRPr="006A280B">
        <w:t xml:space="preserve">developed a series of Model Clauses that may be included in tender, contract and funding agreement or grant documentation. </w:t>
      </w:r>
    </w:p>
    <w:p w:rsidR="00285C0E" w:rsidRDefault="00285C0E" w:rsidP="00E66426"/>
    <w:p w:rsidR="006654BE" w:rsidRDefault="006654BE" w:rsidP="00E66426">
      <w:pPr>
        <w:rPr>
          <w:b/>
        </w:rPr>
      </w:pPr>
      <w:r w:rsidRPr="006A280B">
        <w:t xml:space="preserve">Further information is also available in the </w:t>
      </w:r>
      <w:r w:rsidRPr="00106DF0">
        <w:t>Advice to Agencies fact sheet</w:t>
      </w:r>
      <w:r w:rsidRPr="006A280B">
        <w:t> and Guidance for Australian Government Agencies and Funding Recipients document</w:t>
      </w:r>
      <w:r w:rsidR="004A51A7">
        <w:t>s available on the website</w:t>
      </w:r>
      <w:r w:rsidRPr="006A280B">
        <w:rPr>
          <w:b/>
        </w:rPr>
        <w:t>.</w:t>
      </w:r>
      <w:r w:rsidR="004A51A7">
        <w:rPr>
          <w:b/>
        </w:rPr>
        <w:t xml:space="preserve"> </w:t>
      </w:r>
    </w:p>
    <w:p w:rsidR="00285C0E" w:rsidRPr="006A280B" w:rsidRDefault="00285C0E" w:rsidP="00E66426">
      <w:pPr>
        <w:rPr>
          <w:b/>
        </w:rPr>
      </w:pPr>
    </w:p>
    <w:p w:rsidR="007B6EB7" w:rsidRDefault="007B6EB7" w:rsidP="00294C3A">
      <w:r>
        <w:t xml:space="preserve">There have been instances where agencies have entered into a contract for building work with an unaccredited builder. </w:t>
      </w:r>
    </w:p>
    <w:p w:rsidR="007B6EB7" w:rsidRDefault="007B6EB7" w:rsidP="00294C3A"/>
    <w:p w:rsidR="006654BE" w:rsidRPr="0006573C" w:rsidRDefault="006654BE" w:rsidP="00E66426">
      <w:r w:rsidRPr="0006573C">
        <w:t xml:space="preserve">There have been 32 </w:t>
      </w:r>
      <w:r w:rsidR="00285C0E" w:rsidRPr="0006573C">
        <w:t xml:space="preserve">instances of </w:t>
      </w:r>
      <w:r w:rsidR="004B6F10" w:rsidRPr="0006573C">
        <w:t xml:space="preserve">identified </w:t>
      </w:r>
      <w:r w:rsidR="00285C0E" w:rsidRPr="0006573C">
        <w:t xml:space="preserve">non-compliance with the </w:t>
      </w:r>
      <w:r w:rsidRPr="0006573C">
        <w:t>legislation during the life of the Scheme</w:t>
      </w:r>
      <w:r w:rsidR="007B6EB7" w:rsidRPr="0006573C">
        <w:t xml:space="preserve"> where funding agencies have entered into contracts with unaccredited companies</w:t>
      </w:r>
      <w:r w:rsidR="00285C0E" w:rsidRPr="0006573C">
        <w:t xml:space="preserve">; </w:t>
      </w:r>
      <w:r w:rsidRPr="0006573C">
        <w:t xml:space="preserve">18 </w:t>
      </w:r>
      <w:r w:rsidR="00285C0E" w:rsidRPr="0006573C">
        <w:t xml:space="preserve">relating to </w:t>
      </w:r>
      <w:r w:rsidRPr="0006573C">
        <w:t>direct</w:t>
      </w:r>
      <w:r w:rsidR="00B15BAE" w:rsidRPr="0006573C">
        <w:t>ly</w:t>
      </w:r>
      <w:r w:rsidRPr="0006573C">
        <w:t xml:space="preserve"> fund</w:t>
      </w:r>
      <w:r w:rsidR="00B15BAE" w:rsidRPr="0006573C">
        <w:t>ed projects</w:t>
      </w:r>
      <w:r w:rsidRPr="0006573C">
        <w:t xml:space="preserve"> and 14 indirectly funded </w:t>
      </w:r>
      <w:r w:rsidR="00B15BAE" w:rsidRPr="0006573C">
        <w:t>projects</w:t>
      </w:r>
      <w:r w:rsidRPr="0006573C">
        <w:t>. Eleven of the directly funded</w:t>
      </w:r>
      <w:r w:rsidR="00285C0E" w:rsidRPr="0006573C">
        <w:t xml:space="preserve"> instances </w:t>
      </w:r>
      <w:r w:rsidRPr="0006573C">
        <w:t>occurred in the initial two years of the Scheme</w:t>
      </w:r>
      <w:r w:rsidR="005E5AB0" w:rsidRPr="0006573C">
        <w:t>.</w:t>
      </w:r>
    </w:p>
    <w:p w:rsidR="006173E3" w:rsidRPr="00BA238C" w:rsidRDefault="006173E3" w:rsidP="00E66426"/>
    <w:p w:rsidR="006173E3" w:rsidRPr="0006573C" w:rsidRDefault="006173E3" w:rsidP="006173E3">
      <w:r w:rsidRPr="0006573C">
        <w:t xml:space="preserve">Where there has been non-compliance with Scheme requirements, an explanation is sought from the funding agency. If a satisfactory response is not forthcoming, the issue can be raised to departmental head and Ministerial levels. </w:t>
      </w:r>
    </w:p>
    <w:p w:rsidR="006173E3" w:rsidRPr="0006573C" w:rsidRDefault="006173E3" w:rsidP="006173E3"/>
    <w:p w:rsidR="006173E3" w:rsidRDefault="006173E3" w:rsidP="006173E3">
      <w:r w:rsidRPr="009E51EF">
        <w:t xml:space="preserve">Funding recipients or agencies have </w:t>
      </w:r>
      <w:r>
        <w:t xml:space="preserve">also </w:t>
      </w:r>
      <w:r w:rsidRPr="009E51EF">
        <w:t xml:space="preserve">occasionally </w:t>
      </w:r>
      <w:r>
        <w:t>s</w:t>
      </w:r>
      <w:r w:rsidRPr="009E51EF">
        <w:t>plit a single head contract for building work into two or more head contracts below the $3 million threshold. In a number of examples, the same builder is engaged to undertake all of the resulting contracts.</w:t>
      </w:r>
      <w:r>
        <w:t xml:space="preserve"> </w:t>
      </w:r>
    </w:p>
    <w:p w:rsidR="006173E3" w:rsidRDefault="006173E3" w:rsidP="006173E3"/>
    <w:p w:rsidR="006173E3" w:rsidRPr="006A280B" w:rsidRDefault="006173E3" w:rsidP="006173E3">
      <w:r>
        <w:t xml:space="preserve">Where there is a perception of contract splitting to avoid Scheme requirements, the OFSC will work to clarify the situation and work with the agency to ensure Scheme requirements are understood and with companies to encourage and assist them in the accreditation process. </w:t>
      </w:r>
    </w:p>
    <w:p w:rsidR="006173E3" w:rsidRDefault="006173E3" w:rsidP="006173E3"/>
    <w:p w:rsidR="000A7F29" w:rsidRDefault="000A7F29">
      <w:r>
        <w:br w:type="page"/>
      </w:r>
    </w:p>
    <w:p w:rsidR="00726DD0" w:rsidRDefault="00726DD0" w:rsidP="00E66426">
      <w:r w:rsidRPr="006A280B">
        <w:lastRenderedPageBreak/>
        <w:t>The OFSC</w:t>
      </w:r>
      <w:r>
        <w:t xml:space="preserve"> relies on a</w:t>
      </w:r>
      <w:r w:rsidR="006654BE">
        <w:t>gencies completing contract notifications as a source of information on Scheme projects</w:t>
      </w:r>
      <w:r w:rsidRPr="006A280B">
        <w:t xml:space="preserve">. </w:t>
      </w:r>
      <w:r w:rsidR="00CF0363">
        <w:t xml:space="preserve">The response rate in this area is mixed, especially when it comes to declarations for indirectly funded projects. Suggestions are sought for ways to increase the submission of contract declaration forms by funding recipients and agencies. </w:t>
      </w:r>
      <w:r w:rsidR="006654BE">
        <w:t xml:space="preserve">Client agencies are also required to complete an </w:t>
      </w:r>
      <w:r w:rsidRPr="006A280B">
        <w:t xml:space="preserve">end of project report. </w:t>
      </w:r>
      <w:r w:rsidR="004A51A7">
        <w:t xml:space="preserve">The </w:t>
      </w:r>
      <w:r w:rsidR="006654BE">
        <w:t>OFSC also monitor</w:t>
      </w:r>
      <w:r w:rsidR="00902E26">
        <w:t>s</w:t>
      </w:r>
      <w:r w:rsidR="006654BE">
        <w:t xml:space="preserve"> AusTender</w:t>
      </w:r>
      <w:r w:rsidR="000A15F6">
        <w:t>.gov.au</w:t>
      </w:r>
      <w:r w:rsidR="006654BE">
        <w:t xml:space="preserve"> and other procurement databases to determine contracts for tender or due for award </w:t>
      </w:r>
      <w:r w:rsidR="005F548A">
        <w:t>that</w:t>
      </w:r>
      <w:r w:rsidR="006654BE">
        <w:t xml:space="preserve"> fall within the Scheme thresholds where an accredited builder is required to be engaged. </w:t>
      </w:r>
    </w:p>
    <w:p w:rsidR="00D25986" w:rsidRDefault="00D25986" w:rsidP="00E66426"/>
    <w:p w:rsidR="00D25986" w:rsidRPr="006A280B" w:rsidRDefault="00D25986" w:rsidP="00E66426">
      <w:r>
        <w:t xml:space="preserve">Where funding passes through several entities, it can be difficult to track where a Scheme contract is due to be let, and therefore often problematic to </w:t>
      </w:r>
      <w:r w:rsidR="00285C0E">
        <w:t xml:space="preserve">prevent non-compliance. </w:t>
      </w:r>
      <w:r>
        <w:t xml:space="preserve">Therefore, the question is asked what other mechanisms can be introduced to </w:t>
      </w:r>
      <w:r w:rsidR="00285C0E">
        <w:t xml:space="preserve">ensure compliance with </w:t>
      </w:r>
      <w:r>
        <w:t xml:space="preserve">the legislation and </w:t>
      </w:r>
      <w:r w:rsidR="00902E26">
        <w:t>assist</w:t>
      </w:r>
      <w:r>
        <w:t xml:space="preserve"> agencies </w:t>
      </w:r>
      <w:r w:rsidR="00902E26">
        <w:t xml:space="preserve">to </w:t>
      </w:r>
      <w:r>
        <w:t>adhere to the requirement to utilise an accredited builder for Scheme contracts.</w:t>
      </w:r>
    </w:p>
    <w:p w:rsidR="00726DD0" w:rsidRPr="006A280B" w:rsidRDefault="00726DD0" w:rsidP="00E66426"/>
    <w:p w:rsidR="00EC6952" w:rsidRDefault="00726DD0" w:rsidP="00E66426">
      <w:r w:rsidRPr="006A280B">
        <w:rPr>
          <w:noProof/>
        </w:rPr>
        <mc:AlternateContent>
          <mc:Choice Requires="wps">
            <w:drawing>
              <wp:inline distT="0" distB="0" distL="0" distR="0" wp14:anchorId="4DE43D1E" wp14:editId="48097E97">
                <wp:extent cx="5895975" cy="971550"/>
                <wp:effectExtent l="38100" t="38100" r="123825" b="11430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71550"/>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Default="004660D6" w:rsidP="00E66426"/>
                          <w:p w:rsidR="004660D6" w:rsidRPr="00106DF0" w:rsidRDefault="004660D6" w:rsidP="00106DF0">
                            <w:pPr>
                              <w:rPr>
                                <w:b/>
                                <w:u w:val="single"/>
                              </w:rPr>
                            </w:pPr>
                            <w:r w:rsidRPr="00106DF0">
                              <w:rPr>
                                <w:b/>
                                <w:u w:val="single"/>
                              </w:rPr>
                              <w:t xml:space="preserve">Question </w:t>
                            </w:r>
                            <w:r>
                              <w:rPr>
                                <w:b/>
                                <w:u w:val="single"/>
                              </w:rPr>
                              <w:t>–</w:t>
                            </w:r>
                            <w:r w:rsidRPr="00106DF0">
                              <w:rPr>
                                <w:b/>
                                <w:u w:val="single"/>
                              </w:rPr>
                              <w:t xml:space="preserve"> Agencies</w:t>
                            </w:r>
                            <w:r>
                              <w:rPr>
                                <w:b/>
                                <w:u w:val="single"/>
                              </w:rPr>
                              <w:t>’</w:t>
                            </w:r>
                            <w:r w:rsidRPr="00106DF0">
                              <w:rPr>
                                <w:b/>
                                <w:u w:val="single"/>
                              </w:rPr>
                              <w:t xml:space="preserve"> adherence to Scheme requirements</w:t>
                            </w:r>
                          </w:p>
                          <w:p w:rsidR="004660D6" w:rsidRPr="00106DF0" w:rsidRDefault="004660D6" w:rsidP="00106DF0"/>
                          <w:p w:rsidR="004660D6" w:rsidRPr="00106DF0" w:rsidRDefault="004660D6" w:rsidP="00106DF0">
                            <w:r w:rsidRPr="003C236A">
                              <w:rPr>
                                <w:b/>
                              </w:rPr>
                              <w:t>Question</w:t>
                            </w:r>
                            <w:r>
                              <w:rPr>
                                <w:b/>
                              </w:rPr>
                              <w:t xml:space="preserve"> 21</w:t>
                            </w:r>
                            <w:r w:rsidRPr="00106DF0">
                              <w:t xml:space="preserve">: </w:t>
                            </w:r>
                            <w:r>
                              <w:t>What</w:t>
                            </w:r>
                            <w:r w:rsidRPr="00106DF0">
                              <w:t xml:space="preserve"> </w:t>
                            </w:r>
                            <w:r>
                              <w:t>can the OFSC do to assist agencies to comply with Scheme requirements?</w:t>
                            </w:r>
                          </w:p>
                          <w:p w:rsidR="004660D6" w:rsidRPr="000F0523" w:rsidRDefault="004660D6" w:rsidP="00E66426"/>
                        </w:txbxContent>
                      </wps:txbx>
                      <wps:bodyPr rot="0" vert="horz" wrap="square" lIns="91440" tIns="45720" rIns="91440" bIns="45720" anchor="ctr" anchorCtr="0">
                        <a:noAutofit/>
                      </wps:bodyPr>
                    </wps:wsp>
                  </a:graphicData>
                </a:graphic>
              </wp:inline>
            </w:drawing>
          </mc:Choice>
          <mc:Fallback>
            <w:pict>
              <v:shape id="Text Box 28" o:spid="_x0000_s1032" type="#_x0000_t202" style="width:464.25pt;height: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" fillcolor="#d8d8d8 [2732]">
                <v:shadow on="t" color="black" opacity="26214f" origin="-.5,-.5" offset=".74836mm,.74836mm"/>
                <v:textbox>
                  <w:txbxContent>
                    <w:p w:rsidR="004660D6" w:rsidRDefault="004660D6" w:rsidP="00E66426"/>
                    <w:p w:rsidR="004660D6" w:rsidRPr="00106DF0" w:rsidRDefault="004660D6" w:rsidP="00106DF0">
                      <w:pPr>
                        <w:rPr>
                          <w:b/>
                          <w:u w:val="single"/>
                        </w:rPr>
                      </w:pPr>
                      <w:r w:rsidRPr="00106DF0">
                        <w:rPr>
                          <w:b/>
                          <w:u w:val="single"/>
                        </w:rPr>
                        <w:t xml:space="preserve">Question </w:t>
                      </w:r>
                      <w:r>
                        <w:rPr>
                          <w:b/>
                          <w:u w:val="single"/>
                        </w:rPr>
                        <w:t>–</w:t>
                      </w:r>
                      <w:r w:rsidRPr="00106DF0">
                        <w:rPr>
                          <w:b/>
                          <w:u w:val="single"/>
                        </w:rPr>
                        <w:t xml:space="preserve"> Agencies</w:t>
                      </w:r>
                      <w:r>
                        <w:rPr>
                          <w:b/>
                          <w:u w:val="single"/>
                        </w:rPr>
                        <w:t>’</w:t>
                      </w:r>
                      <w:r w:rsidRPr="00106DF0">
                        <w:rPr>
                          <w:b/>
                          <w:u w:val="single"/>
                        </w:rPr>
                        <w:t xml:space="preserve"> adherence to Scheme requirements</w:t>
                      </w:r>
                    </w:p>
                    <w:p w:rsidR="004660D6" w:rsidRPr="00106DF0" w:rsidRDefault="004660D6" w:rsidP="00106DF0"/>
                    <w:p w:rsidR="004660D6" w:rsidRPr="00106DF0" w:rsidRDefault="004660D6" w:rsidP="00106DF0">
                      <w:r w:rsidRPr="003C236A">
                        <w:rPr>
                          <w:b/>
                        </w:rPr>
                        <w:t>Question</w:t>
                      </w:r>
                      <w:r>
                        <w:rPr>
                          <w:b/>
                        </w:rPr>
                        <w:t xml:space="preserve"> 21</w:t>
                      </w:r>
                      <w:r w:rsidRPr="00106DF0">
                        <w:t xml:space="preserve">: </w:t>
                      </w:r>
                      <w:r>
                        <w:t>What</w:t>
                      </w:r>
                      <w:r w:rsidRPr="00106DF0">
                        <w:t xml:space="preserve"> </w:t>
                      </w:r>
                      <w:r>
                        <w:t>can the OFSC do to assist agencies to comply with Scheme requirements?</w:t>
                      </w:r>
                    </w:p>
                    <w:p w:rsidR="004660D6" w:rsidRPr="000F0523" w:rsidRDefault="004660D6" w:rsidP="00E66426"/>
                  </w:txbxContent>
                </v:textbox>
                <w10:anchorlock/>
              </v:shape>
            </w:pict>
          </mc:Fallback>
        </mc:AlternateContent>
      </w:r>
    </w:p>
    <w:p w:rsidR="00EC6952" w:rsidRDefault="00EC6952" w:rsidP="00E66426"/>
    <w:p w:rsidR="00726DD0" w:rsidRPr="00EC6952" w:rsidRDefault="00B5553F" w:rsidP="000F2835">
      <w:pPr>
        <w:pStyle w:val="Heading2"/>
      </w:pPr>
      <w:bookmarkStart w:id="60" w:name="_Toc377032064"/>
      <w:bookmarkStart w:id="61" w:name="_Toc378322606"/>
      <w:r w:rsidRPr="00EC6952">
        <w:t>Interaction of the Scheme with other compliance requirements</w:t>
      </w:r>
      <w:bookmarkEnd w:id="60"/>
      <w:bookmarkEnd w:id="61"/>
    </w:p>
    <w:p w:rsidR="00B5553F" w:rsidRDefault="00B5553F" w:rsidP="00E66426"/>
    <w:p w:rsidR="00D25986" w:rsidRDefault="00D32D6B" w:rsidP="00E66426">
      <w:r w:rsidRPr="00D32D6B">
        <w:t>The</w:t>
      </w:r>
      <w:r>
        <w:t xml:space="preserve"> Scheme operates in an environment of numerous existing regulatory requirements. With that in mind, there are several areas where the interaction of requirements has </w:t>
      </w:r>
      <w:r w:rsidR="00285C0E">
        <w:t>been</w:t>
      </w:r>
      <w:r>
        <w:t xml:space="preserve"> problematic, or where steps can be taken to reduce the compliance burden on companies meeting multiple similar requirements.</w:t>
      </w:r>
    </w:p>
    <w:p w:rsidR="002269E1" w:rsidRDefault="002269E1" w:rsidP="00E66426"/>
    <w:p w:rsidR="002269E1" w:rsidRDefault="00317D5C" w:rsidP="002269E1">
      <w:r>
        <w:t xml:space="preserve">Feedback is sought about </w:t>
      </w:r>
      <w:r w:rsidR="002269E1">
        <w:t xml:space="preserve">areas </w:t>
      </w:r>
      <w:r>
        <w:t xml:space="preserve">in which the Scheme </w:t>
      </w:r>
      <w:r w:rsidR="002269E1">
        <w:t>overlap</w:t>
      </w:r>
      <w:r>
        <w:t>s</w:t>
      </w:r>
      <w:r w:rsidR="002269E1">
        <w:t xml:space="preserve"> or duplicate</w:t>
      </w:r>
      <w:r>
        <w:t>s</w:t>
      </w:r>
      <w:r w:rsidR="002269E1">
        <w:t xml:space="preserve"> the safety related requirements of state and territory jurisdictions. While the OFSC requirements aspire to set a higher benchmark for those companies </w:t>
      </w:r>
      <w:r>
        <w:t>that</w:t>
      </w:r>
      <w:r w:rsidR="002269E1">
        <w:t xml:space="preserve"> wish to secure Commonwealth government funded building work, a number of the criteria at an OFSC audit test compliance to the local laws. This directs resources away from those areas that would allow a company to demonstrate safety practices above and beyond local jurisdictional requirements.</w:t>
      </w:r>
    </w:p>
    <w:p w:rsidR="002269E1" w:rsidRDefault="002269E1" w:rsidP="00E66426"/>
    <w:p w:rsidR="00B5553F" w:rsidRDefault="00B5553F" w:rsidP="000F2835">
      <w:pPr>
        <w:pStyle w:val="Heading3"/>
      </w:pPr>
      <w:bookmarkStart w:id="62" w:name="_Toc377032065"/>
      <w:r w:rsidRPr="00B5553F">
        <w:t>S</w:t>
      </w:r>
      <w:r w:rsidR="00902E26">
        <w:t xml:space="preserve">afe </w:t>
      </w:r>
      <w:r w:rsidRPr="00B5553F">
        <w:t>W</w:t>
      </w:r>
      <w:r w:rsidR="00902E26">
        <w:t xml:space="preserve">ork </w:t>
      </w:r>
      <w:r w:rsidRPr="00B5553F">
        <w:t>M</w:t>
      </w:r>
      <w:r w:rsidR="00902E26">
        <w:t xml:space="preserve">ethod </w:t>
      </w:r>
      <w:r w:rsidRPr="00B5553F">
        <w:t>S</w:t>
      </w:r>
      <w:bookmarkEnd w:id="62"/>
      <w:r w:rsidR="00902E26">
        <w:t>tatements (</w:t>
      </w:r>
      <w:proofErr w:type="spellStart"/>
      <w:r w:rsidR="00902E26">
        <w:t>SWMS</w:t>
      </w:r>
      <w:proofErr w:type="spellEnd"/>
      <w:r w:rsidR="00902E26">
        <w:t>)</w:t>
      </w:r>
    </w:p>
    <w:p w:rsidR="00B5553F" w:rsidRDefault="00B5553F" w:rsidP="00E66426"/>
    <w:p w:rsidR="00B85C67" w:rsidRDefault="00D25986" w:rsidP="00E66426">
      <w:proofErr w:type="spellStart"/>
      <w:r>
        <w:t>SWMS</w:t>
      </w:r>
      <w:proofErr w:type="spellEnd"/>
      <w:r>
        <w:t xml:space="preserve"> </w:t>
      </w:r>
      <w:r w:rsidR="00FF0A50">
        <w:t xml:space="preserve">are </w:t>
      </w:r>
      <w:r>
        <w:t xml:space="preserve">a </w:t>
      </w:r>
      <w:r w:rsidRPr="006A280B">
        <w:t xml:space="preserve">common cause of query and complaint </w:t>
      </w:r>
      <w:r>
        <w:t xml:space="preserve">to the OFSC </w:t>
      </w:r>
      <w:r w:rsidRPr="006A280B">
        <w:t>from companies</w:t>
      </w:r>
      <w:r>
        <w:t>, unions</w:t>
      </w:r>
      <w:r w:rsidRPr="006A280B">
        <w:t xml:space="preserve"> </w:t>
      </w:r>
      <w:r>
        <w:t>and industry associations</w:t>
      </w:r>
      <w:r w:rsidRPr="006A280B">
        <w:t>.</w:t>
      </w:r>
      <w:r w:rsidR="00F82D79">
        <w:t xml:space="preserve"> </w:t>
      </w:r>
    </w:p>
    <w:p w:rsidR="00B85C67" w:rsidRDefault="00B85C67" w:rsidP="00E66426"/>
    <w:p w:rsidR="006173E3" w:rsidRDefault="006173E3" w:rsidP="00E66426">
      <w:r>
        <w:t>It is often assumed that the OFSC has re</w:t>
      </w:r>
      <w:r w:rsidR="0006573C">
        <w:t>s</w:t>
      </w:r>
      <w:r>
        <w:t xml:space="preserve">ponsibility for </w:t>
      </w:r>
      <w:proofErr w:type="spellStart"/>
      <w:r>
        <w:t>SWMS</w:t>
      </w:r>
      <w:proofErr w:type="spellEnd"/>
      <w:r>
        <w:t xml:space="preserve"> across the industry; this is not the case. </w:t>
      </w:r>
    </w:p>
    <w:p w:rsidR="006173E3" w:rsidRDefault="006173E3" w:rsidP="00E66426"/>
    <w:p w:rsidR="00F82D79" w:rsidRDefault="00F82D79" w:rsidP="00E66426">
      <w:proofErr w:type="spellStart"/>
      <w:r w:rsidRPr="006A280B">
        <w:t>SWMS</w:t>
      </w:r>
      <w:proofErr w:type="spellEnd"/>
      <w:r w:rsidRPr="006A280B">
        <w:t xml:space="preserve"> are a requirement of </w:t>
      </w:r>
      <w:r>
        <w:t xml:space="preserve">the jurisdictional WHS </w:t>
      </w:r>
      <w:r w:rsidRPr="006A280B">
        <w:t>legislation</w:t>
      </w:r>
      <w:r w:rsidR="006173E3">
        <w:t xml:space="preserve">. </w:t>
      </w:r>
      <w:r w:rsidRPr="006A280B">
        <w:t xml:space="preserve"> </w:t>
      </w:r>
      <w:r>
        <w:t>S</w:t>
      </w:r>
      <w:r w:rsidRPr="006A280B">
        <w:t xml:space="preserve">tate and territory regulators </w:t>
      </w:r>
      <w:r>
        <w:t xml:space="preserve">introduced </w:t>
      </w:r>
      <w:proofErr w:type="spellStart"/>
      <w:r>
        <w:t>SWMS</w:t>
      </w:r>
      <w:proofErr w:type="spellEnd"/>
      <w:r>
        <w:t xml:space="preserve"> to</w:t>
      </w:r>
      <w:r w:rsidRPr="006A280B">
        <w:t xml:space="preserve"> entrench the requirement for a documented description of how work is to be done safely</w:t>
      </w:r>
      <w:r>
        <w:t>,</w:t>
      </w:r>
      <w:r w:rsidRPr="006A280B">
        <w:t xml:space="preserve"> </w:t>
      </w:r>
      <w:r>
        <w:t xml:space="preserve">formalise </w:t>
      </w:r>
      <w:r w:rsidRPr="006A280B">
        <w:t xml:space="preserve">hazard identification and risk assessment processes within a systematic approach to managing and controlling health and safety in the workplace. </w:t>
      </w:r>
    </w:p>
    <w:p w:rsidR="00F82D79" w:rsidRDefault="00F82D79" w:rsidP="00E66426"/>
    <w:p w:rsidR="00D25986" w:rsidRPr="006A280B" w:rsidRDefault="00D25986" w:rsidP="00E66426">
      <w:r w:rsidRPr="006A280B">
        <w:t xml:space="preserve">In the early days of the Scheme there was a significant push by the OFSC to improve the quality of </w:t>
      </w:r>
      <w:proofErr w:type="spellStart"/>
      <w:r w:rsidRPr="006A280B">
        <w:t>SWMS</w:t>
      </w:r>
      <w:proofErr w:type="spellEnd"/>
      <w:r w:rsidRPr="006A280B">
        <w:t xml:space="preserve"> offered up at audit; however, th</w:t>
      </w:r>
      <w:r w:rsidR="00B85C67">
        <w:t>is approach has changed in the last couple of years following consultation with industry</w:t>
      </w:r>
      <w:r w:rsidR="000E7E7E">
        <w:t xml:space="preserve"> and </w:t>
      </w:r>
      <w:proofErr w:type="spellStart"/>
      <w:r w:rsidR="000E7E7E">
        <w:t>FSOs</w:t>
      </w:r>
      <w:proofErr w:type="spellEnd"/>
      <w:r w:rsidR="00B85C67">
        <w:t>.</w:t>
      </w:r>
      <w:r w:rsidR="00902E26">
        <w:t xml:space="preserve"> </w:t>
      </w:r>
      <w:r w:rsidRPr="006A280B">
        <w:t xml:space="preserve">  </w:t>
      </w:r>
    </w:p>
    <w:p w:rsidR="00D25986" w:rsidRPr="006A280B" w:rsidRDefault="00D25986" w:rsidP="00E66426"/>
    <w:p w:rsidR="00D25986" w:rsidRPr="006A280B" w:rsidRDefault="00F82D79" w:rsidP="00E66426">
      <w:r>
        <w:lastRenderedPageBreak/>
        <w:t xml:space="preserve">The Scheme generally does not prescribe through which documents companies should address safety system criteria, although adherence to local legislation is required. </w:t>
      </w:r>
      <w:r w:rsidRPr="006A280B">
        <w:t xml:space="preserve">So long as the criteria are met, the documentation of systems should be of maximum utility and relevance to the company’s individual circumstances. </w:t>
      </w:r>
      <w:r>
        <w:t xml:space="preserve">Accordingly, </w:t>
      </w:r>
      <w:proofErr w:type="spellStart"/>
      <w:r w:rsidR="00D25986" w:rsidRPr="006A280B">
        <w:t>FSOs</w:t>
      </w:r>
      <w:proofErr w:type="spellEnd"/>
      <w:r w:rsidR="00D25986" w:rsidRPr="006A280B">
        <w:t xml:space="preserve"> review </w:t>
      </w:r>
      <w:proofErr w:type="spellStart"/>
      <w:r w:rsidR="00D25986" w:rsidRPr="006A280B">
        <w:t>SWMS</w:t>
      </w:r>
      <w:proofErr w:type="spellEnd"/>
      <w:r w:rsidR="00D25986" w:rsidRPr="006A280B">
        <w:t xml:space="preserve"> where they are presented by a company </w:t>
      </w:r>
      <w:r>
        <w:t xml:space="preserve">as evidence of documentation against Scheme criteria. </w:t>
      </w:r>
      <w:proofErr w:type="spellStart"/>
      <w:r w:rsidR="00D25986" w:rsidRPr="006A280B">
        <w:t>FSOs</w:t>
      </w:r>
      <w:proofErr w:type="spellEnd"/>
      <w:r w:rsidR="00D25986" w:rsidRPr="006A280B">
        <w:t xml:space="preserve"> do not dictate content but rather ensure that a </w:t>
      </w:r>
      <w:proofErr w:type="spellStart"/>
      <w:r w:rsidR="00D25986" w:rsidRPr="006A280B">
        <w:t>SWMS</w:t>
      </w:r>
      <w:proofErr w:type="spellEnd"/>
      <w:r w:rsidR="00D25986" w:rsidRPr="006A280B">
        <w:t xml:space="preserve"> reflects the work activity being undertaken and </w:t>
      </w:r>
      <w:r w:rsidR="00BF23E4">
        <w:t xml:space="preserve">that </w:t>
      </w:r>
      <w:r w:rsidR="00D25986" w:rsidRPr="006A280B">
        <w:t xml:space="preserve">the controls are being implemented. </w:t>
      </w:r>
      <w:proofErr w:type="spellStart"/>
      <w:r w:rsidR="00D25986" w:rsidRPr="006A280B">
        <w:t>FSOs</w:t>
      </w:r>
      <w:proofErr w:type="spellEnd"/>
      <w:r w:rsidR="00D25986" w:rsidRPr="006A280B">
        <w:t xml:space="preserve"> are directed to consider alternative methods </w:t>
      </w:r>
      <w:r>
        <w:t>(</w:t>
      </w:r>
      <w:r w:rsidR="000C462E">
        <w:t>that is,</w:t>
      </w:r>
      <w:r>
        <w:t xml:space="preserve"> other than </w:t>
      </w:r>
      <w:proofErr w:type="spellStart"/>
      <w:r>
        <w:t>SWMS</w:t>
      </w:r>
      <w:proofErr w:type="spellEnd"/>
      <w:r>
        <w:t xml:space="preserve">) </w:t>
      </w:r>
      <w:r w:rsidR="00D25986" w:rsidRPr="006A280B">
        <w:t>presented by companies that deliver the outcomes of a risk assessment process.</w:t>
      </w:r>
    </w:p>
    <w:p w:rsidR="00D25986" w:rsidRPr="006A280B" w:rsidRDefault="00D25986" w:rsidP="00E66426"/>
    <w:p w:rsidR="00A66135" w:rsidRPr="006A280B" w:rsidRDefault="00F82D79" w:rsidP="00A66135">
      <w:r>
        <w:t>A</w:t>
      </w:r>
      <w:r w:rsidR="00D25986" w:rsidRPr="006A280B">
        <w:t xml:space="preserve"> small number of Scheme criteria </w:t>
      </w:r>
      <w:r>
        <w:t xml:space="preserve">directly </w:t>
      </w:r>
      <w:r w:rsidR="00D25986" w:rsidRPr="006A280B">
        <w:t>refer</w:t>
      </w:r>
      <w:r w:rsidR="00420A11">
        <w:t>enc</w:t>
      </w:r>
      <w:r>
        <w:t>e</w:t>
      </w:r>
      <w:r w:rsidR="00420A11">
        <w:t xml:space="preserve"> </w:t>
      </w:r>
      <w:proofErr w:type="spellStart"/>
      <w:r w:rsidR="00D25986" w:rsidRPr="006A280B">
        <w:t>SWMS</w:t>
      </w:r>
      <w:proofErr w:type="spellEnd"/>
      <w:r>
        <w:t xml:space="preserve"> and they</w:t>
      </w:r>
      <w:r w:rsidR="00A66135" w:rsidRPr="006A280B">
        <w:t xml:space="preserve"> require local laws to be met, and focus on ensuring the involvement of workers, management, and subcontractors in key safety systems. Specifically, the criteria require:</w:t>
      </w:r>
    </w:p>
    <w:p w:rsidR="00A66135" w:rsidRPr="006A280B" w:rsidRDefault="00A66135" w:rsidP="00A66135"/>
    <w:p w:rsidR="00A66135" w:rsidRPr="006A280B" w:rsidRDefault="00A66135" w:rsidP="00A66135">
      <w:pPr>
        <w:pStyle w:val="ListParagraph"/>
        <w:numPr>
          <w:ilvl w:val="0"/>
          <w:numId w:val="4"/>
        </w:numPr>
      </w:pPr>
      <w:r w:rsidRPr="006A280B">
        <w:t xml:space="preserve">subcontractor involvement in the development of </w:t>
      </w:r>
      <w:proofErr w:type="spellStart"/>
      <w:r w:rsidRPr="006A280B">
        <w:t>SWMS</w:t>
      </w:r>
      <w:proofErr w:type="spellEnd"/>
      <w:r w:rsidRPr="006A280B">
        <w:t xml:space="preserve"> </w:t>
      </w:r>
    </w:p>
    <w:p w:rsidR="00A66135" w:rsidRPr="006A280B" w:rsidRDefault="00A66135" w:rsidP="00A66135">
      <w:pPr>
        <w:pStyle w:val="ListParagraph"/>
        <w:numPr>
          <w:ilvl w:val="0"/>
          <w:numId w:val="4"/>
        </w:numPr>
      </w:pPr>
      <w:r w:rsidRPr="006A280B">
        <w:t xml:space="preserve">control measures within </w:t>
      </w:r>
      <w:proofErr w:type="spellStart"/>
      <w:r w:rsidRPr="006A280B">
        <w:t>SWMS</w:t>
      </w:r>
      <w:proofErr w:type="spellEnd"/>
      <w:r w:rsidRPr="006A280B">
        <w:t xml:space="preserve"> reflect any relevant requirements of WHS Acts, Regulations, Codes of Practice and Australian Standards </w:t>
      </w:r>
    </w:p>
    <w:p w:rsidR="00A66135" w:rsidRPr="006A280B" w:rsidRDefault="00A66135" w:rsidP="00A66135">
      <w:pPr>
        <w:pStyle w:val="ListParagraph"/>
        <w:numPr>
          <w:ilvl w:val="0"/>
          <w:numId w:val="4"/>
        </w:numPr>
      </w:pPr>
      <w:proofErr w:type="spellStart"/>
      <w:r w:rsidRPr="006A280B">
        <w:t>SWMS</w:t>
      </w:r>
      <w:proofErr w:type="spellEnd"/>
      <w:r w:rsidRPr="006A280B">
        <w:t xml:space="preserve"> have been reviewed and accepted by the Principal Contractor prior to work </w:t>
      </w:r>
    </w:p>
    <w:p w:rsidR="00A66135" w:rsidRPr="006A280B" w:rsidRDefault="00A66135" w:rsidP="00A66135">
      <w:pPr>
        <w:pStyle w:val="ListParagraph"/>
        <w:numPr>
          <w:ilvl w:val="0"/>
          <w:numId w:val="4"/>
        </w:numPr>
      </w:pPr>
      <w:r w:rsidRPr="006A280B">
        <w:t xml:space="preserve">workers are familiar with </w:t>
      </w:r>
      <w:proofErr w:type="spellStart"/>
      <w:r w:rsidRPr="006A280B">
        <w:t>SWMS</w:t>
      </w:r>
      <w:proofErr w:type="spellEnd"/>
      <w:r w:rsidRPr="006A280B">
        <w:t xml:space="preserve"> relevant to the work activities they are undertaking, and</w:t>
      </w:r>
    </w:p>
    <w:p w:rsidR="00A66135" w:rsidRPr="006A280B" w:rsidRDefault="00A66135" w:rsidP="00A66135">
      <w:pPr>
        <w:pStyle w:val="ListParagraph"/>
        <w:numPr>
          <w:ilvl w:val="0"/>
          <w:numId w:val="4"/>
        </w:numPr>
      </w:pPr>
      <w:proofErr w:type="gramStart"/>
      <w:r w:rsidRPr="006A280B">
        <w:t>assessment</w:t>
      </w:r>
      <w:proofErr w:type="gramEnd"/>
      <w:r w:rsidRPr="006A280B">
        <w:t xml:space="preserve"> and control of risks as identified for high risk construction activity. </w:t>
      </w:r>
    </w:p>
    <w:p w:rsidR="00D25986" w:rsidRPr="006A280B" w:rsidRDefault="00D25986" w:rsidP="00E66426"/>
    <w:p w:rsidR="00D25986" w:rsidRDefault="00B85C67" w:rsidP="00E66426">
      <w:r>
        <w:t xml:space="preserve">Feedback is sought about how to streamline and better align the Scheme in relation to </w:t>
      </w:r>
      <w:proofErr w:type="spellStart"/>
      <w:r>
        <w:t>SWMS</w:t>
      </w:r>
      <w:proofErr w:type="spellEnd"/>
      <w:r>
        <w:t xml:space="preserve"> requirements, and any options to improve communication about those requirements.  </w:t>
      </w:r>
    </w:p>
    <w:p w:rsidR="000C462E" w:rsidRDefault="000C462E" w:rsidP="000F2835">
      <w:pPr>
        <w:pStyle w:val="Heading3"/>
      </w:pPr>
      <w:bookmarkStart w:id="63" w:name="_Toc377032066"/>
    </w:p>
    <w:p w:rsidR="00B5553F" w:rsidRDefault="00B5553F" w:rsidP="000F2835">
      <w:pPr>
        <w:pStyle w:val="Heading3"/>
      </w:pPr>
      <w:r>
        <w:t>Other Commonwealth procurement processes</w:t>
      </w:r>
      <w:bookmarkEnd w:id="63"/>
    </w:p>
    <w:p w:rsidR="00B5553F" w:rsidRDefault="00B5553F" w:rsidP="00E66426"/>
    <w:p w:rsidR="00B5553F" w:rsidRPr="00B5553F" w:rsidRDefault="00B85C67" w:rsidP="00E66426">
      <w:r>
        <w:t>There are a range of</w:t>
      </w:r>
      <w:r w:rsidR="00FE1B09">
        <w:t xml:space="preserve"> Commonwealth requirements </w:t>
      </w:r>
      <w:r>
        <w:t xml:space="preserve">related </w:t>
      </w:r>
      <w:r w:rsidR="00FE1B09">
        <w:t>to procurement</w:t>
      </w:r>
      <w:r>
        <w:t xml:space="preserve"> which may be difficult for companies to navigate</w:t>
      </w:r>
      <w:r w:rsidR="00FE1B09">
        <w:t xml:space="preserve">. </w:t>
      </w:r>
      <w:r w:rsidR="00B5553F" w:rsidRPr="00B5553F">
        <w:t xml:space="preserve">The procurement of goods and services, including the procurement of construction services by Commonwealth departments and agencies is governed by the: </w:t>
      </w:r>
    </w:p>
    <w:p w:rsidR="00B5553F" w:rsidRPr="00B5553F" w:rsidRDefault="00B5553F" w:rsidP="00E66426"/>
    <w:p w:rsidR="00B5553F" w:rsidRPr="00B5553F" w:rsidRDefault="00B5553F" w:rsidP="00E66426">
      <w:pPr>
        <w:pStyle w:val="ListParagraph"/>
        <w:numPr>
          <w:ilvl w:val="0"/>
          <w:numId w:val="22"/>
        </w:numPr>
      </w:pPr>
      <w:r w:rsidRPr="00420A11">
        <w:rPr>
          <w:i/>
        </w:rPr>
        <w:t>Financial Management and Accountability Act 1997</w:t>
      </w:r>
      <w:r w:rsidRPr="00B5553F">
        <w:t xml:space="preserve"> (</w:t>
      </w:r>
      <w:proofErr w:type="spellStart"/>
      <w:r w:rsidRPr="00B5553F">
        <w:t>FMA</w:t>
      </w:r>
      <w:proofErr w:type="spellEnd"/>
      <w:r w:rsidRPr="00B5553F">
        <w:t xml:space="preserve"> Act)</w:t>
      </w:r>
    </w:p>
    <w:p w:rsidR="00B5553F" w:rsidRPr="00A66135" w:rsidRDefault="00D07E8E" w:rsidP="00E66426">
      <w:pPr>
        <w:pStyle w:val="ListParagraph"/>
        <w:numPr>
          <w:ilvl w:val="0"/>
          <w:numId w:val="22"/>
        </w:numPr>
      </w:pPr>
      <w:hyperlink r:id="rId28" w:history="1">
        <w:r w:rsidR="00B5553F" w:rsidRPr="00B5553F">
          <w:rPr>
            <w:i/>
          </w:rPr>
          <w:t>Commonwealth Authorities and Companies Act 1997</w:t>
        </w:r>
      </w:hyperlink>
      <w:r w:rsidR="00B5553F" w:rsidRPr="00B5553F">
        <w:rPr>
          <w:i/>
        </w:rPr>
        <w:t xml:space="preserve"> </w:t>
      </w:r>
      <w:r w:rsidR="00B5553F" w:rsidRPr="00A66135">
        <w:t>(CAC Act)</w:t>
      </w:r>
    </w:p>
    <w:p w:rsidR="00B5553F" w:rsidRPr="00B5553F" w:rsidRDefault="00B5553F" w:rsidP="00E66426"/>
    <w:p w:rsidR="00B5553F" w:rsidRPr="00B5553F" w:rsidRDefault="00B5553F" w:rsidP="00E66426">
      <w:r w:rsidRPr="00B5553F">
        <w:t xml:space="preserve">The </w:t>
      </w:r>
      <w:proofErr w:type="spellStart"/>
      <w:r w:rsidRPr="00B5553F">
        <w:t>FMA</w:t>
      </w:r>
      <w:proofErr w:type="spellEnd"/>
      <w:r w:rsidRPr="00B5553F">
        <w:t xml:space="preserve"> Act and the CAC Act will be replaced by the </w:t>
      </w:r>
      <w:r w:rsidRPr="00B5553F">
        <w:rPr>
          <w:i/>
        </w:rPr>
        <w:t>Public Governance, Performance and Accountability Act 2013</w:t>
      </w:r>
      <w:r w:rsidRPr="00B5553F">
        <w:t xml:space="preserve"> which commences on 1 July 2014.</w:t>
      </w:r>
    </w:p>
    <w:p w:rsidR="00B5553F" w:rsidRPr="00B5553F" w:rsidRDefault="00B5553F" w:rsidP="00E66426"/>
    <w:p w:rsidR="00B5553F" w:rsidRPr="00B5553F" w:rsidRDefault="00B5553F" w:rsidP="00E66426">
      <w:r w:rsidRPr="00B5553F">
        <w:t xml:space="preserve">The </w:t>
      </w:r>
      <w:proofErr w:type="spellStart"/>
      <w:r w:rsidRPr="00B5553F">
        <w:t>FMA</w:t>
      </w:r>
      <w:proofErr w:type="spellEnd"/>
      <w:r w:rsidRPr="00B5553F">
        <w:t xml:space="preserve"> Act currently provides that the Minister for Finance may issue regulations or rules about how procurements must be undertaken by Commonwealth agencies. In particular, all agencies covered by the </w:t>
      </w:r>
      <w:proofErr w:type="spellStart"/>
      <w:r w:rsidRPr="00B5553F">
        <w:t>FMA</w:t>
      </w:r>
      <w:proofErr w:type="spellEnd"/>
      <w:r w:rsidRPr="00B5553F">
        <w:t xml:space="preserve"> Act must comply (and where applicable, ensure suppliers comply) with the Commonwealth Procurement Rules (</w:t>
      </w:r>
      <w:proofErr w:type="spellStart"/>
      <w:r w:rsidRPr="00B5553F">
        <w:t>CPRs</w:t>
      </w:r>
      <w:proofErr w:type="spellEnd"/>
      <w:r w:rsidRPr="00B5553F">
        <w:t xml:space="preserve">) and any other Procurement Connected Policies (PCPs) issued by agencies (that are relevant to the particular type of procurement being undertaken).  </w:t>
      </w:r>
    </w:p>
    <w:p w:rsidR="00A66135" w:rsidRDefault="00A66135" w:rsidP="00E66426"/>
    <w:p w:rsidR="00B5553F" w:rsidRPr="00B5553F" w:rsidRDefault="00B5553F" w:rsidP="00E66426">
      <w:r w:rsidRPr="00B5553F">
        <w:t xml:space="preserve">The </w:t>
      </w:r>
      <w:proofErr w:type="spellStart"/>
      <w:r w:rsidRPr="00B5553F">
        <w:t>CPRs</w:t>
      </w:r>
      <w:proofErr w:type="spellEnd"/>
      <w:r w:rsidRPr="00B5553F">
        <w:t xml:space="preserve"> apply to the procurement of construction services, where the procurement is valued over $9 million. Similarly, some PCPs only apply to </w:t>
      </w:r>
      <w:r w:rsidR="004B6F10">
        <w:t xml:space="preserve">specific </w:t>
      </w:r>
      <w:r w:rsidRPr="00B5553F">
        <w:t xml:space="preserve">procurements and </w:t>
      </w:r>
      <w:r w:rsidR="004B6F10">
        <w:t>w</w:t>
      </w:r>
      <w:r w:rsidRPr="00B5553F">
        <w:t xml:space="preserve">here the procurement value is above certain thresholds. </w:t>
      </w:r>
    </w:p>
    <w:p w:rsidR="00B5553F" w:rsidRPr="00B5553F" w:rsidRDefault="00B5553F" w:rsidP="00E66426"/>
    <w:p w:rsidR="00FE1B09" w:rsidRDefault="00B5553F" w:rsidP="00E66426">
      <w:r w:rsidRPr="00B5553F">
        <w:t xml:space="preserve">In relation to the procurement of construction services by Commonwealth agencies, tenderers are required to demonstrate compliance with the Building Code 2013 and the Scheme (subject to relevant financial thresholds). </w:t>
      </w:r>
      <w:r w:rsidR="00D37490">
        <w:t xml:space="preserve">Commonwealth </w:t>
      </w:r>
      <w:r w:rsidR="00A66135">
        <w:t xml:space="preserve">agencies are also encouraged to favourably consider those tenderers who </w:t>
      </w:r>
      <w:r w:rsidR="00FE1B09">
        <w:t xml:space="preserve">demonstrate commitment to supporting apprenticeships and education and training in the workplace. </w:t>
      </w:r>
    </w:p>
    <w:p w:rsidR="00B5553F" w:rsidRDefault="00B5553F" w:rsidP="00E66426">
      <w:r w:rsidRPr="00B5553F">
        <w:lastRenderedPageBreak/>
        <w:t xml:space="preserve">A complete list of PCPs is available on the Department of Finance website at: </w:t>
      </w:r>
      <w:hyperlink r:id="rId29" w:history="1">
        <w:r w:rsidR="007578E0" w:rsidRPr="00696FDE">
          <w:rPr>
            <w:rStyle w:val="Hyperlink"/>
          </w:rPr>
          <w:t>http://www.finance.gov.au/procurement/procurement-policy-and-guidance/buying/policy-framework/procurement-policies/principles.html</w:t>
        </w:r>
      </w:hyperlink>
      <w:r w:rsidR="007578E0">
        <w:t xml:space="preserve"> </w:t>
      </w:r>
    </w:p>
    <w:p w:rsidR="00B5553F" w:rsidRDefault="00B5553F" w:rsidP="00E66426"/>
    <w:p w:rsidR="00B5553F" w:rsidRPr="00B5553F" w:rsidRDefault="004B6F10" w:rsidP="00CB519A">
      <w:pPr>
        <w:pStyle w:val="Heading2"/>
      </w:pPr>
      <w:bookmarkStart w:id="64" w:name="_Toc377032067"/>
      <w:bookmarkStart w:id="65" w:name="_Toc378322607"/>
      <w:r>
        <w:t>I</w:t>
      </w:r>
      <w:r w:rsidR="00B5553F" w:rsidRPr="00B5553F">
        <w:t>nteraction of the Scheme with state and territory pre-qualification arrangements</w:t>
      </w:r>
      <w:bookmarkEnd w:id="64"/>
      <w:bookmarkEnd w:id="65"/>
    </w:p>
    <w:p w:rsidR="00B5553F" w:rsidRDefault="00B5553F" w:rsidP="00E66426"/>
    <w:p w:rsidR="00DC41F7" w:rsidRDefault="00B5553F" w:rsidP="00E66426">
      <w:r w:rsidRPr="006A280B">
        <w:t xml:space="preserve">The OFSC has </w:t>
      </w:r>
      <w:r w:rsidR="00420A11">
        <w:t xml:space="preserve">sought to </w:t>
      </w:r>
      <w:r w:rsidRPr="006A280B">
        <w:t xml:space="preserve">reduce the administrative burden for builders by progressing arrangements with states and territories to recognise the Scheme. The OFSC has entered into Scheme recognition arrangements with eight prequalification jurisdictions. This means that any builder accredited under the Scheme is automatically deemed to comply with the relevant state/territory </w:t>
      </w:r>
      <w:r>
        <w:t>W</w:t>
      </w:r>
      <w:r w:rsidRPr="006A280B">
        <w:t xml:space="preserve">HS prequalification requirements in place for that jurisdiction. </w:t>
      </w:r>
      <w:r w:rsidR="00DC41F7">
        <w:t>The following list identifies those state and territory schemes that recognise OFSC accreditation:</w:t>
      </w:r>
    </w:p>
    <w:p w:rsidR="00DC41F7" w:rsidRDefault="00DC41F7" w:rsidP="00E66426"/>
    <w:p w:rsidR="00DC41F7" w:rsidRPr="00DC41F7" w:rsidRDefault="00DC41F7" w:rsidP="006D5206">
      <w:pPr>
        <w:numPr>
          <w:ilvl w:val="0"/>
          <w:numId w:val="32"/>
        </w:numPr>
      </w:pPr>
      <w:r w:rsidRPr="00DC41F7">
        <w:t>ACT Government Prequalification Scheme for Construction Industry Contractors</w:t>
      </w:r>
    </w:p>
    <w:p w:rsidR="00DC41F7" w:rsidRPr="00DC41F7" w:rsidRDefault="00DC41F7" w:rsidP="006D5206">
      <w:pPr>
        <w:numPr>
          <w:ilvl w:val="0"/>
          <w:numId w:val="32"/>
        </w:numPr>
      </w:pPr>
      <w:r w:rsidRPr="00DC41F7">
        <w:t>NSW Government Finance and Services - Contractor Prequalification And Best Practice Accreditation Scheme 2011-2014</w:t>
      </w:r>
    </w:p>
    <w:p w:rsidR="00DC41F7" w:rsidRPr="00DC41F7" w:rsidRDefault="00DC41F7" w:rsidP="006D5206">
      <w:pPr>
        <w:numPr>
          <w:ilvl w:val="0"/>
          <w:numId w:val="32"/>
        </w:numPr>
      </w:pPr>
      <w:r w:rsidRPr="00DC41F7">
        <w:t>NSW Government Transport: Roads and Maritime Services - Prequalification System for Civil (Road and Bridge) Construction Contracts</w:t>
      </w:r>
    </w:p>
    <w:p w:rsidR="00DC41F7" w:rsidRPr="00DC41F7" w:rsidRDefault="00DC41F7" w:rsidP="006D5206">
      <w:pPr>
        <w:numPr>
          <w:ilvl w:val="0"/>
          <w:numId w:val="32"/>
        </w:numPr>
      </w:pPr>
      <w:r w:rsidRPr="00DC41F7">
        <w:t>QLD Transport and Main Roads - National Prequalification System for Civil (Road and Bridge) Construction Contracts</w:t>
      </w:r>
    </w:p>
    <w:p w:rsidR="00DC41F7" w:rsidRPr="00DC41F7" w:rsidRDefault="00DC41F7" w:rsidP="006D5206">
      <w:pPr>
        <w:numPr>
          <w:ilvl w:val="0"/>
          <w:numId w:val="32"/>
        </w:numPr>
      </w:pPr>
      <w:r w:rsidRPr="00DC41F7">
        <w:t>Tasmanian Department of Infrastructure, Energy and Resources - National Prequalification System for Civil (Road and Bridge) Construction Contracts</w:t>
      </w:r>
    </w:p>
    <w:p w:rsidR="00DC41F7" w:rsidRPr="00DC41F7" w:rsidRDefault="00DC41F7" w:rsidP="006D5206">
      <w:pPr>
        <w:numPr>
          <w:ilvl w:val="0"/>
          <w:numId w:val="32"/>
        </w:numPr>
      </w:pPr>
      <w:r w:rsidRPr="00DC41F7">
        <w:t>WA Department of Finance – Builders Prequalification Scheme</w:t>
      </w:r>
    </w:p>
    <w:p w:rsidR="00DC41F7" w:rsidRPr="00DC41F7" w:rsidRDefault="00DC41F7" w:rsidP="006D5206">
      <w:pPr>
        <w:numPr>
          <w:ilvl w:val="0"/>
          <w:numId w:val="32"/>
        </w:numPr>
      </w:pPr>
      <w:r w:rsidRPr="00DC41F7">
        <w:t>Main Roads WA – National Prequalification System for Civil (Road and Bridge) Construction Contracts</w:t>
      </w:r>
    </w:p>
    <w:p w:rsidR="002437EC" w:rsidRDefault="00DC41F7" w:rsidP="006D5206">
      <w:pPr>
        <w:numPr>
          <w:ilvl w:val="0"/>
          <w:numId w:val="32"/>
        </w:numPr>
      </w:pPr>
      <w:r w:rsidRPr="00DC41F7">
        <w:t>NT – Contractor Accreditation Limited</w:t>
      </w:r>
    </w:p>
    <w:p w:rsidR="002437EC" w:rsidRDefault="002437EC" w:rsidP="006D5206">
      <w:pPr>
        <w:numPr>
          <w:ilvl w:val="0"/>
          <w:numId w:val="32"/>
        </w:numPr>
      </w:pPr>
      <w:proofErr w:type="spellStart"/>
      <w:r>
        <w:t>VicRoads</w:t>
      </w:r>
      <w:proofErr w:type="spellEnd"/>
      <w:r>
        <w:t xml:space="preserve"> – National Prequalification System for Civil (Road and Bridge) Construction Contracts</w:t>
      </w:r>
    </w:p>
    <w:p w:rsidR="00F414FE" w:rsidRDefault="00F414FE" w:rsidP="00F414FE">
      <w:pPr>
        <w:numPr>
          <w:ilvl w:val="0"/>
          <w:numId w:val="32"/>
        </w:numPr>
      </w:pPr>
      <w:r>
        <w:t>SA Department of Planning, Transport and Infrastructure - National Prequalification System for Civil (Road and Bridge) Construction Contracts</w:t>
      </w:r>
    </w:p>
    <w:p w:rsidR="00B5553F" w:rsidRPr="006A280B" w:rsidRDefault="00B5553F" w:rsidP="00E66426"/>
    <w:p w:rsidR="00EC6952" w:rsidRDefault="002437EC" w:rsidP="00E66426">
      <w:r>
        <w:t>T</w:t>
      </w:r>
      <w:r w:rsidR="00420A11">
        <w:t xml:space="preserve">he Department </w:t>
      </w:r>
      <w:r w:rsidR="00B5553F" w:rsidRPr="006A280B">
        <w:t>worked with the Council of Australian Governments (</w:t>
      </w:r>
      <w:proofErr w:type="spellStart"/>
      <w:r w:rsidR="00B5553F" w:rsidRPr="006A280B">
        <w:t>COAG</w:t>
      </w:r>
      <w:proofErr w:type="spellEnd"/>
      <w:r w:rsidR="00B5553F" w:rsidRPr="006A280B">
        <w:t xml:space="preserve">) Infrastructure Working Group (through the Australasian Procurement and Construction Council) and </w:t>
      </w:r>
      <w:proofErr w:type="spellStart"/>
      <w:r w:rsidR="00B5553F" w:rsidRPr="006A280B">
        <w:t>Austroads</w:t>
      </w:r>
      <w:proofErr w:type="spellEnd"/>
      <w:r w:rsidR="00B5553F" w:rsidRPr="006A280B">
        <w:t xml:space="preserve"> to develop nationally consistent prequalification systems for civil and commercial construction. Harmonised prequalification </w:t>
      </w:r>
      <w:r>
        <w:t>arrangements took effect from 1 </w:t>
      </w:r>
      <w:r w:rsidR="00B5553F" w:rsidRPr="006A280B">
        <w:t>January 2011.</w:t>
      </w:r>
    </w:p>
    <w:p w:rsidR="00CB519A" w:rsidRDefault="00CB519A" w:rsidP="00E66426"/>
    <w:p w:rsidR="00CB519A" w:rsidRDefault="00CB519A" w:rsidP="00CB519A">
      <w:r w:rsidRPr="00CB519A">
        <w:t>In seeking to further reduce the red tape burden, other state and territory prequalification schemes and requirements might be targeted for Scheme recognition. Further to this, the impact of the previously noted possible removal of AS</w:t>
      </w:r>
      <w:r w:rsidR="00420A11">
        <w:t>/</w:t>
      </w:r>
      <w:proofErr w:type="spellStart"/>
      <w:r w:rsidR="00420A11">
        <w:t>NZS</w:t>
      </w:r>
      <w:proofErr w:type="spellEnd"/>
      <w:r w:rsidR="004B6F10">
        <w:t> </w:t>
      </w:r>
      <w:r w:rsidRPr="00CB519A">
        <w:t>4801</w:t>
      </w:r>
      <w:r w:rsidR="004B6F10">
        <w:t>:2001</w:t>
      </w:r>
      <w:r w:rsidRPr="00CB519A">
        <w:t xml:space="preserve"> as a requirement </w:t>
      </w:r>
      <w:r w:rsidR="00420A11">
        <w:t>for</w:t>
      </w:r>
      <w:r w:rsidRPr="00CB519A">
        <w:t xml:space="preserve"> Scheme application will need to</w:t>
      </w:r>
      <w:r w:rsidR="00420A11">
        <w:t xml:space="preserve"> be</w:t>
      </w:r>
      <w:r w:rsidRPr="00CB519A">
        <w:t xml:space="preserve"> scoped relative to current jurisdiction prequalification requirements </w:t>
      </w:r>
      <w:r w:rsidR="00B85C67">
        <w:t>to ensure no adverse impact</w:t>
      </w:r>
      <w:r w:rsidRPr="00CB519A">
        <w:t>.</w:t>
      </w:r>
    </w:p>
    <w:p w:rsidR="002269E1" w:rsidRDefault="00AC592C" w:rsidP="00B40D18">
      <w:r w:rsidRPr="006A280B">
        <w:rPr>
          <w:noProof/>
        </w:rPr>
        <mc:AlternateContent>
          <mc:Choice Requires="wps">
            <w:drawing>
              <wp:anchor distT="0" distB="0" distL="114300" distR="114300" simplePos="0" relativeHeight="251694080" behindDoc="0" locked="0" layoutInCell="1" allowOverlap="1" wp14:anchorId="68F69780" wp14:editId="571EE776">
                <wp:simplePos x="0" y="0"/>
                <wp:positionH relativeFrom="column">
                  <wp:posOffset>-71755</wp:posOffset>
                </wp:positionH>
                <wp:positionV relativeFrom="paragraph">
                  <wp:posOffset>221615</wp:posOffset>
                </wp:positionV>
                <wp:extent cx="5895975" cy="2066925"/>
                <wp:effectExtent l="38100" t="38100" r="123825" b="123825"/>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066925"/>
                        </a:xfrm>
                        <a:prstGeom prst="rect">
                          <a:avLst/>
                        </a:prstGeom>
                        <a:solidFill>
                          <a:schemeClr val="bg1">
                            <a:lumMod val="8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106DF0" w:rsidRDefault="004660D6" w:rsidP="00106DF0">
                            <w:pPr>
                              <w:rPr>
                                <w:b/>
                                <w:u w:val="single"/>
                              </w:rPr>
                            </w:pPr>
                            <w:bookmarkStart w:id="66" w:name="_Toc375564285"/>
                            <w:r w:rsidRPr="00106DF0">
                              <w:rPr>
                                <w:b/>
                                <w:u w:val="single"/>
                              </w:rPr>
                              <w:t xml:space="preserve">Questions - Interaction of the Scheme with other compliance requirements </w:t>
                            </w:r>
                          </w:p>
                          <w:p w:rsidR="004660D6" w:rsidRPr="00106DF0" w:rsidRDefault="004660D6" w:rsidP="00106DF0"/>
                          <w:p w:rsidR="004660D6" w:rsidRPr="00106DF0" w:rsidRDefault="004660D6" w:rsidP="00106DF0">
                            <w:r w:rsidRPr="003C236A">
                              <w:rPr>
                                <w:b/>
                              </w:rPr>
                              <w:t xml:space="preserve">Question </w:t>
                            </w:r>
                            <w:r>
                              <w:rPr>
                                <w:b/>
                              </w:rPr>
                              <w:t>22</w:t>
                            </w:r>
                            <w:r w:rsidRPr="00106DF0">
                              <w:t xml:space="preserve">: What changes </w:t>
                            </w:r>
                            <w:r>
                              <w:t>should</w:t>
                            </w:r>
                            <w:r w:rsidRPr="00106DF0">
                              <w:t xml:space="preserve"> be made to the way the industry utilises </w:t>
                            </w:r>
                            <w:proofErr w:type="spellStart"/>
                            <w:r w:rsidRPr="00106DF0">
                              <w:t>SWMS</w:t>
                            </w:r>
                            <w:proofErr w:type="spellEnd"/>
                            <w:r w:rsidRPr="00106DF0">
                              <w:t>?</w:t>
                            </w:r>
                            <w:bookmarkEnd w:id="66"/>
                            <w:r w:rsidRPr="00106DF0">
                              <w:t xml:space="preserve"> What role can the OFSC play to facilitate this change?</w:t>
                            </w:r>
                          </w:p>
                          <w:p w:rsidR="004660D6" w:rsidRPr="00106DF0" w:rsidRDefault="004660D6" w:rsidP="00106DF0"/>
                          <w:p w:rsidR="004660D6" w:rsidRPr="00106DF0" w:rsidRDefault="004660D6" w:rsidP="00106DF0">
                            <w:r w:rsidRPr="003C236A">
                              <w:rPr>
                                <w:b/>
                              </w:rPr>
                              <w:t>Question</w:t>
                            </w:r>
                            <w:r>
                              <w:rPr>
                                <w:b/>
                              </w:rPr>
                              <w:t xml:space="preserve"> 23</w:t>
                            </w:r>
                            <w:r w:rsidRPr="00106DF0">
                              <w:t xml:space="preserve">: What measures can </w:t>
                            </w:r>
                            <w:r>
                              <w:t>be</w:t>
                            </w:r>
                            <w:r w:rsidRPr="00106DF0">
                              <w:t xml:space="preserve"> consider</w:t>
                            </w:r>
                            <w:r>
                              <w:t>ed</w:t>
                            </w:r>
                            <w:r w:rsidRPr="00106DF0">
                              <w:t xml:space="preserve"> to reduce procurement related compliance costs</w:t>
                            </w:r>
                            <w:r>
                              <w:t xml:space="preserve"> and administration</w:t>
                            </w:r>
                            <w:r w:rsidRPr="00106DF0">
                              <w:t>?</w:t>
                            </w:r>
                          </w:p>
                          <w:p w:rsidR="004660D6" w:rsidRPr="00106DF0" w:rsidRDefault="004660D6" w:rsidP="00106DF0"/>
                          <w:p w:rsidR="004660D6" w:rsidRDefault="004660D6" w:rsidP="00106DF0">
                            <w:r w:rsidRPr="003C236A">
                              <w:rPr>
                                <w:b/>
                              </w:rPr>
                              <w:t>Question 2</w:t>
                            </w:r>
                            <w:r>
                              <w:rPr>
                                <w:b/>
                              </w:rPr>
                              <w:t>4</w:t>
                            </w:r>
                            <w:r w:rsidRPr="00106DF0">
                              <w:t>: What are the other pre-qualification Schemes that can be considered for mutual recognition in order to further reduce red tape?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33" type="#_x0000_t202" style="position:absolute;margin-left:-5.65pt;margin-top:17.45pt;width:464.25pt;height:16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" fillcolor="#d8d8d8 [2732]">
                <v:shadow on="t" color="black" opacity="26214f" origin="-.5,-.5" offset=".74836mm,.74836mm"/>
                <v:textbox>
                  <w:txbxContent>
                    <w:p w:rsidR="004660D6" w:rsidRPr="00106DF0" w:rsidRDefault="004660D6" w:rsidP="00106DF0">
                      <w:pPr>
                        <w:rPr>
                          <w:b/>
                          <w:u w:val="single"/>
                        </w:rPr>
                      </w:pPr>
                      <w:bookmarkStart w:id="72" w:name="_Toc375564285"/>
                      <w:r w:rsidRPr="00106DF0">
                        <w:rPr>
                          <w:b/>
                          <w:u w:val="single"/>
                        </w:rPr>
                        <w:t xml:space="preserve">Questions - Interaction of the Scheme with other compliance requirements </w:t>
                      </w:r>
                    </w:p>
                    <w:p w:rsidR="004660D6" w:rsidRPr="00106DF0" w:rsidRDefault="004660D6" w:rsidP="00106DF0"/>
                    <w:p w:rsidR="004660D6" w:rsidRPr="00106DF0" w:rsidRDefault="004660D6" w:rsidP="00106DF0">
                      <w:r w:rsidRPr="003C236A">
                        <w:rPr>
                          <w:b/>
                        </w:rPr>
                        <w:t xml:space="preserve">Question </w:t>
                      </w:r>
                      <w:r>
                        <w:rPr>
                          <w:b/>
                        </w:rPr>
                        <w:t>22</w:t>
                      </w:r>
                      <w:r w:rsidRPr="00106DF0">
                        <w:t xml:space="preserve">: What changes </w:t>
                      </w:r>
                      <w:r>
                        <w:t>should</w:t>
                      </w:r>
                      <w:r w:rsidRPr="00106DF0">
                        <w:t xml:space="preserve"> be made to the way the industry utilises SWMS?</w:t>
                      </w:r>
                      <w:bookmarkEnd w:id="72"/>
                      <w:r w:rsidRPr="00106DF0">
                        <w:t xml:space="preserve"> What role can the OFSC play to facilitate this change?</w:t>
                      </w:r>
                    </w:p>
                    <w:p w:rsidR="004660D6" w:rsidRPr="00106DF0" w:rsidRDefault="004660D6" w:rsidP="00106DF0"/>
                    <w:p w:rsidR="004660D6" w:rsidRPr="00106DF0" w:rsidRDefault="004660D6" w:rsidP="00106DF0">
                      <w:r w:rsidRPr="003C236A">
                        <w:rPr>
                          <w:b/>
                        </w:rPr>
                        <w:t>Question</w:t>
                      </w:r>
                      <w:r>
                        <w:rPr>
                          <w:b/>
                        </w:rPr>
                        <w:t xml:space="preserve"> 23</w:t>
                      </w:r>
                      <w:r w:rsidRPr="00106DF0">
                        <w:t xml:space="preserve">: What measures can </w:t>
                      </w:r>
                      <w:r>
                        <w:t>be</w:t>
                      </w:r>
                      <w:r w:rsidRPr="00106DF0">
                        <w:t xml:space="preserve"> consider</w:t>
                      </w:r>
                      <w:r>
                        <w:t>ed</w:t>
                      </w:r>
                      <w:r w:rsidRPr="00106DF0">
                        <w:t xml:space="preserve"> to reduce procurement related compliance costs</w:t>
                      </w:r>
                      <w:r>
                        <w:t xml:space="preserve"> and administration</w:t>
                      </w:r>
                      <w:r w:rsidRPr="00106DF0">
                        <w:t>?</w:t>
                      </w:r>
                    </w:p>
                    <w:p w:rsidR="004660D6" w:rsidRPr="00106DF0" w:rsidRDefault="004660D6" w:rsidP="00106DF0"/>
                    <w:p w:rsidR="004660D6" w:rsidRDefault="004660D6" w:rsidP="00106DF0">
                      <w:r w:rsidRPr="003C236A">
                        <w:rPr>
                          <w:b/>
                        </w:rPr>
                        <w:t>Question 2</w:t>
                      </w:r>
                      <w:r>
                        <w:rPr>
                          <w:b/>
                        </w:rPr>
                        <w:t>4</w:t>
                      </w:r>
                      <w:r w:rsidRPr="00106DF0">
                        <w:t>: What are the other pre-qualification Schemes that can be considered for mutual recognition in order to further reduce red tape?</w:t>
                      </w:r>
                    </w:p>
                  </w:txbxContent>
                </v:textbox>
                <w10:wrap type="topAndBottom"/>
              </v:shape>
            </w:pict>
          </mc:Fallback>
        </mc:AlternateContent>
      </w:r>
    </w:p>
    <w:p w:rsidR="00D25986" w:rsidRPr="00EC6952" w:rsidRDefault="00D25986" w:rsidP="000F2835">
      <w:pPr>
        <w:pStyle w:val="Heading2"/>
      </w:pPr>
      <w:bookmarkStart w:id="67" w:name="_Toc377032068"/>
      <w:bookmarkStart w:id="68" w:name="_Toc378322608"/>
      <w:r w:rsidRPr="00EC6952">
        <w:lastRenderedPageBreak/>
        <w:t>Other issues</w:t>
      </w:r>
      <w:bookmarkEnd w:id="67"/>
      <w:bookmarkEnd w:id="68"/>
    </w:p>
    <w:p w:rsidR="00D25986" w:rsidRDefault="00D25986" w:rsidP="00E66426"/>
    <w:p w:rsidR="00D32D6B" w:rsidRPr="00D32D6B" w:rsidRDefault="00D32D6B" w:rsidP="00E66426">
      <w:r w:rsidRPr="00D32D6B">
        <w:t xml:space="preserve">Other </w:t>
      </w:r>
      <w:r>
        <w:t>areas where feedback and ideas on improvements to current processes would be useful have been identified below.</w:t>
      </w:r>
    </w:p>
    <w:p w:rsidR="00EC6952" w:rsidRDefault="00EC6952" w:rsidP="00E66426"/>
    <w:p w:rsidR="00BA6B7E" w:rsidRPr="006A280B" w:rsidRDefault="00D25986" w:rsidP="000F2835">
      <w:pPr>
        <w:pStyle w:val="Heading3"/>
      </w:pPr>
      <w:bookmarkStart w:id="69" w:name="_Toc377032069"/>
      <w:r>
        <w:t xml:space="preserve">Feedback </w:t>
      </w:r>
      <w:r w:rsidR="00281EAC">
        <w:t xml:space="preserve">to the OFSC </w:t>
      </w:r>
      <w:r>
        <w:t>and actioning of issues</w:t>
      </w:r>
      <w:bookmarkEnd w:id="69"/>
    </w:p>
    <w:p w:rsidR="00602862" w:rsidRPr="006A280B" w:rsidRDefault="00602862" w:rsidP="00E66426"/>
    <w:p w:rsidR="00086110" w:rsidRPr="006A280B" w:rsidRDefault="00602862" w:rsidP="00E66426">
      <w:r w:rsidRPr="006A280B">
        <w:t xml:space="preserve">Feedback is provided </w:t>
      </w:r>
      <w:r w:rsidR="00281EAC">
        <w:t xml:space="preserve">by a range of individuals and organisations including companies, industry bodies, state and territory regulators, safety networks and members of the public </w:t>
      </w:r>
      <w:r w:rsidRPr="006A280B">
        <w:t>through a range of mechanisms including formal survey</w:t>
      </w:r>
      <w:r w:rsidR="006E1135">
        <w:t>s</w:t>
      </w:r>
      <w:r w:rsidRPr="006A280B">
        <w:t>, via phone and email,</w:t>
      </w:r>
      <w:r w:rsidR="004813A9">
        <w:t xml:space="preserve"> and </w:t>
      </w:r>
      <w:r w:rsidR="00C37543">
        <w:t>the</w:t>
      </w:r>
      <w:r w:rsidRPr="006A280B">
        <w:t xml:space="preserve"> I</w:t>
      </w:r>
      <w:r w:rsidR="004813A9">
        <w:t xml:space="preserve">ndustry </w:t>
      </w:r>
      <w:r w:rsidRPr="006A280B">
        <w:t>R</w:t>
      </w:r>
      <w:r w:rsidR="004813A9">
        <w:t xml:space="preserve">eference </w:t>
      </w:r>
      <w:r w:rsidRPr="006A280B">
        <w:t>G</w:t>
      </w:r>
      <w:r w:rsidR="004813A9">
        <w:t>roup</w:t>
      </w:r>
      <w:r w:rsidRPr="006A280B">
        <w:t xml:space="preserve">. </w:t>
      </w:r>
      <w:r w:rsidR="009B3855" w:rsidRPr="006A280B">
        <w:t xml:space="preserve">The most common form of contact is through the Accreditation and Audit Team </w:t>
      </w:r>
      <w:r w:rsidR="00086110" w:rsidRPr="006A280B">
        <w:t>Case M</w:t>
      </w:r>
      <w:r w:rsidR="009B3855" w:rsidRPr="006A280B">
        <w:t>anager allocated for each audit</w:t>
      </w:r>
      <w:r w:rsidR="00C00656">
        <w:t xml:space="preserve"> and </w:t>
      </w:r>
      <w:r w:rsidR="006E1135">
        <w:t>to whom c</w:t>
      </w:r>
      <w:r w:rsidR="009B3855" w:rsidRPr="006A280B">
        <w:t xml:space="preserve">ompanies provide both oral and written feedback </w:t>
      </w:r>
      <w:r w:rsidR="007E0CAB">
        <w:t>regarding</w:t>
      </w:r>
      <w:r w:rsidR="007E0CAB" w:rsidRPr="006A280B">
        <w:t xml:space="preserve"> </w:t>
      </w:r>
      <w:r w:rsidR="009B3855" w:rsidRPr="006A280B">
        <w:t xml:space="preserve">their audit experience.  </w:t>
      </w:r>
    </w:p>
    <w:p w:rsidR="00086110" w:rsidRPr="006A280B" w:rsidRDefault="00086110" w:rsidP="00E66426"/>
    <w:p w:rsidR="00086110" w:rsidRDefault="009B3855" w:rsidP="00E66426">
      <w:r w:rsidRPr="006A280B">
        <w:t>A survey feedback form is provided to companies afte</w:t>
      </w:r>
      <w:r w:rsidR="00D25986">
        <w:t>r each audit. Currently only 15 </w:t>
      </w:r>
      <w:r w:rsidRPr="006A280B">
        <w:t xml:space="preserve">per cent of survey forms are returned to the OFSC. The information provided in the survey forms generally rates the OFSC and </w:t>
      </w:r>
      <w:proofErr w:type="spellStart"/>
      <w:r w:rsidR="007E0CAB">
        <w:t>FSOs</w:t>
      </w:r>
      <w:proofErr w:type="spellEnd"/>
      <w:r w:rsidR="00F728A8">
        <w:t xml:space="preserve"> as 4 to 5 on a 5 point scale, with an overall average rating of 4.3. </w:t>
      </w:r>
    </w:p>
    <w:p w:rsidR="000C462E" w:rsidRDefault="000C462E" w:rsidP="00E66426"/>
    <w:p w:rsidR="000C462E" w:rsidRDefault="000C462E" w:rsidP="000C462E">
      <w:r w:rsidRPr="00130C32">
        <w:t xml:space="preserve">At the completion of a Scheme project the Government agency or funding recipient that was the client for the project completes an assessment of the accredited contractor’s performance against </w:t>
      </w:r>
      <w:r w:rsidR="0006573C">
        <w:t>six</w:t>
      </w:r>
      <w:r w:rsidRPr="00130C32">
        <w:t xml:space="preserve"> elements, as well as rating their own performance throughout the project. The results of these assessments are used t</w:t>
      </w:r>
      <w:r w:rsidRPr="00CA339C">
        <w:t>o inform the OFSC where companies or agencies would benefit from further education and support from the OFSC to achieve better outcomes.</w:t>
      </w:r>
    </w:p>
    <w:p w:rsidR="00EC4D2F" w:rsidRDefault="00EC4D2F" w:rsidP="00E66426"/>
    <w:p w:rsidR="00EC4D2F" w:rsidRPr="006A280B" w:rsidRDefault="006D5206" w:rsidP="00E66426">
      <w:r>
        <w:t xml:space="preserve">Some </w:t>
      </w:r>
      <w:r w:rsidR="00EC4D2F">
        <w:t>compan</w:t>
      </w:r>
      <w:r>
        <w:t xml:space="preserve">ies may be </w:t>
      </w:r>
      <w:r w:rsidR="00EC4D2F">
        <w:t>reluctant to provide negative feedback to the OFSC because they fear jeopardising the</w:t>
      </w:r>
      <w:r w:rsidR="00472BCF">
        <w:t>ir</w:t>
      </w:r>
      <w:r w:rsidR="00EC4D2F">
        <w:t xml:space="preserve"> accreditation.</w:t>
      </w:r>
      <w:r>
        <w:t xml:space="preserve"> This reluctance would distort the positive conclusions that could be drawn from the small survey sample identified above. </w:t>
      </w:r>
      <w:r w:rsidR="00EC4D2F">
        <w:t xml:space="preserve"> </w:t>
      </w:r>
    </w:p>
    <w:p w:rsidR="00086110" w:rsidRPr="006A280B" w:rsidRDefault="00086110" w:rsidP="00E66426"/>
    <w:bookmarkStart w:id="70" w:name="_Toc377032070"/>
    <w:p w:rsidR="00A258CE" w:rsidRPr="006A280B" w:rsidRDefault="000A7F29" w:rsidP="000F2835">
      <w:pPr>
        <w:pStyle w:val="Heading3"/>
      </w:pPr>
      <w:r>
        <w:fldChar w:fldCharType="begin"/>
      </w:r>
      <w:r>
        <w:instrText xml:space="preserve"> HYPERLINK "http://www.fsc.gov.au/sites/fsc/resources/az/pages/auditingcriteria" </w:instrText>
      </w:r>
      <w:r>
        <w:fldChar w:fldCharType="separate"/>
      </w:r>
      <w:r w:rsidR="00A258CE" w:rsidRPr="00097823">
        <w:rPr>
          <w:rStyle w:val="Hyperlink"/>
        </w:rPr>
        <w:t>Audit criteria</w:t>
      </w:r>
      <w:r>
        <w:rPr>
          <w:rStyle w:val="Hyperlink"/>
        </w:rPr>
        <w:fldChar w:fldCharType="end"/>
      </w:r>
      <w:r w:rsidR="00A258CE">
        <w:t xml:space="preserve"> review</w:t>
      </w:r>
      <w:bookmarkEnd w:id="70"/>
      <w:r w:rsidR="00223A35">
        <w:t xml:space="preserve"> </w:t>
      </w:r>
    </w:p>
    <w:p w:rsidR="00A258CE" w:rsidRPr="006A280B" w:rsidRDefault="00A258CE" w:rsidP="00E66426"/>
    <w:p w:rsidR="005C4C60" w:rsidRDefault="005C4C60" w:rsidP="005C4C60">
      <w:r>
        <w:t>T</w:t>
      </w:r>
      <w:r w:rsidRPr="006A280B">
        <w:t xml:space="preserve">he Scheme was </w:t>
      </w:r>
      <w:r>
        <w:t xml:space="preserve">initially </w:t>
      </w:r>
      <w:r w:rsidRPr="006A280B">
        <w:t xml:space="preserve">established to raise the bar and challenge companies to </w:t>
      </w:r>
      <w:r w:rsidR="00E1133B">
        <w:t xml:space="preserve">not only achieve legislative compliance but to </w:t>
      </w:r>
      <w:r w:rsidRPr="006A280B">
        <w:t>strive beyond basic legislative compliance</w:t>
      </w:r>
      <w:r>
        <w:t xml:space="preserve"> in WHS</w:t>
      </w:r>
      <w:r w:rsidR="00E1133B">
        <w:t xml:space="preserve"> to improve the safety culture of the building and construction industry</w:t>
      </w:r>
      <w:r>
        <w:t xml:space="preserve">. To do that, audits have focussed on a mix of </w:t>
      </w:r>
      <w:proofErr w:type="spellStart"/>
      <w:r>
        <w:t>WHSMS</w:t>
      </w:r>
      <w:proofErr w:type="spellEnd"/>
      <w:r>
        <w:t xml:space="preserve"> criteria, the Scheme specific criteria such as Senior Management Commitment and Training Arrangements and hazard criteria</w:t>
      </w:r>
      <w:r w:rsidR="006A73F5">
        <w:t>.</w:t>
      </w:r>
      <w:r w:rsidR="00091133">
        <w:t xml:space="preserve"> At a typical two day first accreditation audit, </w:t>
      </w:r>
      <w:r w:rsidR="006D5206">
        <w:t xml:space="preserve">all companies are assessed against the same </w:t>
      </w:r>
      <w:proofErr w:type="spellStart"/>
      <w:r w:rsidR="00AC7D68">
        <w:t>WHSMS</w:t>
      </w:r>
      <w:proofErr w:type="spellEnd"/>
      <w:r w:rsidR="00AC7D68">
        <w:t xml:space="preserve"> criteria,</w:t>
      </w:r>
      <w:r w:rsidR="006D5206">
        <w:t xml:space="preserve"> and </w:t>
      </w:r>
      <w:r w:rsidR="00AC7D68">
        <w:t>Scheme criteria</w:t>
      </w:r>
      <w:r w:rsidR="006D5206">
        <w:t xml:space="preserve">. In addition, hazard specific criteria based on the works occurring on the site are assessed. </w:t>
      </w:r>
      <w:r w:rsidR="00091133">
        <w:t xml:space="preserve">At </w:t>
      </w:r>
      <w:r w:rsidR="00AC7D68">
        <w:t xml:space="preserve">an ongoing maintenance audit, </w:t>
      </w:r>
      <w:r w:rsidR="006D5206">
        <w:t xml:space="preserve">a reduced number of criteria are </w:t>
      </w:r>
      <w:r w:rsidR="00AC7D68">
        <w:t xml:space="preserve">typically reviewed. </w:t>
      </w:r>
      <w:r w:rsidR="00091133">
        <w:t xml:space="preserve"> </w:t>
      </w:r>
    </w:p>
    <w:p w:rsidR="005C4C60" w:rsidRDefault="005C4C60" w:rsidP="005C4C60"/>
    <w:p w:rsidR="005C4C60" w:rsidRDefault="006D5206" w:rsidP="005C4C60">
      <w:r>
        <w:t>This approach to the content of audits has remained largely unchanged since the commencement of the Scheme. T</w:t>
      </w:r>
      <w:r w:rsidR="005C4C60">
        <w:t xml:space="preserve">his review offers the opportunity to </w:t>
      </w:r>
      <w:r>
        <w:t xml:space="preserve">re-think the audit structure: </w:t>
      </w:r>
      <w:r w:rsidR="005C4C60">
        <w:t xml:space="preserve">existing criteria </w:t>
      </w:r>
      <w:r>
        <w:t xml:space="preserve">could be modified or removed, </w:t>
      </w:r>
      <w:r w:rsidR="005C4C60">
        <w:t xml:space="preserve">new criteria </w:t>
      </w:r>
      <w:r w:rsidR="00215830">
        <w:t xml:space="preserve">can be created, </w:t>
      </w:r>
      <w:proofErr w:type="gramStart"/>
      <w:r w:rsidR="00215830">
        <w:t>a</w:t>
      </w:r>
      <w:proofErr w:type="gramEnd"/>
      <w:r w:rsidR="00215830">
        <w:t xml:space="preserve"> new process </w:t>
      </w:r>
      <w:r w:rsidR="005C4C60">
        <w:t>that restore</w:t>
      </w:r>
      <w:r w:rsidR="00B6172E">
        <w:t>s</w:t>
      </w:r>
      <w:r w:rsidR="005C4C60">
        <w:t xml:space="preserve"> balance between system review and on-site practices</w:t>
      </w:r>
      <w:r w:rsidR="00215830">
        <w:t xml:space="preserve"> could be considered</w:t>
      </w:r>
      <w:r w:rsidR="005C4C60">
        <w:t xml:space="preserve">. An opportunity also exists to focus on safety leadership and culture with additional or expanded criteria. </w:t>
      </w:r>
    </w:p>
    <w:p w:rsidR="005C4C60" w:rsidRDefault="005C4C60" w:rsidP="005C4C60"/>
    <w:p w:rsidR="00413F76" w:rsidRDefault="005C4C60" w:rsidP="00E66426">
      <w:r>
        <w:t>The</w:t>
      </w:r>
      <w:r w:rsidR="00413F76">
        <w:t xml:space="preserve"> </w:t>
      </w:r>
      <w:r w:rsidR="00AC7D68">
        <w:t>focus</w:t>
      </w:r>
      <w:r w:rsidR="00413F76">
        <w:t xml:space="preserve"> of the current criteria should also be reconsidered in light of </w:t>
      </w:r>
      <w:r>
        <w:t xml:space="preserve">a number of </w:t>
      </w:r>
      <w:r w:rsidR="00A258CE" w:rsidRPr="006A280B">
        <w:t xml:space="preserve">legislative changes in the WHS environment, </w:t>
      </w:r>
      <w:r w:rsidR="00B75BE2">
        <w:t>particularly the harmonised arrangements for WHS</w:t>
      </w:r>
      <w:r w:rsidR="00413F76">
        <w:t>. A</w:t>
      </w:r>
      <w:r w:rsidR="00A258CE" w:rsidRPr="006A280B">
        <w:t xml:space="preserve"> number of </w:t>
      </w:r>
      <w:r>
        <w:t xml:space="preserve">Scheme </w:t>
      </w:r>
      <w:r w:rsidR="00A258CE" w:rsidRPr="006A280B">
        <w:t xml:space="preserve">criteria </w:t>
      </w:r>
      <w:r w:rsidR="00413F76">
        <w:t xml:space="preserve">relate to </w:t>
      </w:r>
      <w:r w:rsidR="00B75BE2">
        <w:t xml:space="preserve">compliance with the </w:t>
      </w:r>
      <w:r w:rsidR="00A258CE" w:rsidRPr="006A280B">
        <w:t>legislative requirement</w:t>
      </w:r>
      <w:r w:rsidR="00413F76">
        <w:t xml:space="preserve">s, although others relate to systems and culture that ensure an effective and consistent organisational approach to ensuring those requirements are met and maintained. </w:t>
      </w:r>
    </w:p>
    <w:p w:rsidR="007F6B15" w:rsidRDefault="007F6B15" w:rsidP="00E66426"/>
    <w:p w:rsidR="007F6B15" w:rsidRDefault="00B75BE2" w:rsidP="00E66426">
      <w:r>
        <w:lastRenderedPageBreak/>
        <w:t xml:space="preserve">Feedback is therefore sought about criteria </w:t>
      </w:r>
      <w:r w:rsidR="001A4FDA">
        <w:t>that improve safety culture and behaviour</w:t>
      </w:r>
      <w:r w:rsidR="00491C6C">
        <w:t xml:space="preserve">, as well as </w:t>
      </w:r>
      <w:r w:rsidR="001A4FDA">
        <w:t>those criteria that do not add value</w:t>
      </w:r>
      <w:r>
        <w:t xml:space="preserve">, are duplicative, or could be assumed to be met as a result of other requirements or </w:t>
      </w:r>
      <w:r w:rsidR="00413F76">
        <w:t xml:space="preserve">other compliance processes. </w:t>
      </w:r>
      <w:r w:rsidR="00491C6C">
        <w:t xml:space="preserve">Suggestions are also sought about specific areas of the criteria that are confusing, or where further guidance is needed. </w:t>
      </w:r>
    </w:p>
    <w:p w:rsidR="007F6B15" w:rsidRDefault="007F6B15" w:rsidP="00E66426"/>
    <w:p w:rsidR="00E1133B" w:rsidRDefault="00491C6C" w:rsidP="00E66426">
      <w:r>
        <w:t>Suggestions about changes which would support</w:t>
      </w:r>
      <w:r w:rsidR="001A4FDA">
        <w:t xml:space="preserve"> continuous improve</w:t>
      </w:r>
      <w:r>
        <w:t xml:space="preserve">ment in </w:t>
      </w:r>
      <w:r w:rsidR="001A4FDA">
        <w:t>safety outcomes</w:t>
      </w:r>
      <w:r>
        <w:t xml:space="preserve"> are also encouraged</w:t>
      </w:r>
      <w:r w:rsidR="001A4FDA">
        <w:t xml:space="preserve">. </w:t>
      </w:r>
    </w:p>
    <w:p w:rsidR="00091133" w:rsidRDefault="00091133" w:rsidP="00E66426">
      <w:r w:rsidRPr="006A280B">
        <w:rPr>
          <w:noProof/>
        </w:rPr>
        <mc:AlternateContent>
          <mc:Choice Requires="wps">
            <w:drawing>
              <wp:anchor distT="0" distB="0" distL="114300" distR="114300" simplePos="0" relativeHeight="251692032" behindDoc="0" locked="0" layoutInCell="1" allowOverlap="1" wp14:anchorId="57A26B2A" wp14:editId="0CF6072C">
                <wp:simplePos x="0" y="0"/>
                <wp:positionH relativeFrom="column">
                  <wp:posOffset>23495</wp:posOffset>
                </wp:positionH>
                <wp:positionV relativeFrom="paragraph">
                  <wp:posOffset>151130</wp:posOffset>
                </wp:positionV>
                <wp:extent cx="5895975" cy="2047875"/>
                <wp:effectExtent l="38100" t="38100" r="123825" b="1238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047875"/>
                        </a:xfrm>
                        <a:prstGeom prst="rect">
                          <a:avLst/>
                        </a:prstGeom>
                        <a:solidFill>
                          <a:sysClr val="window" lastClr="FFFFFF">
                            <a:lumMod val="85000"/>
                          </a:sys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4660D6" w:rsidRPr="00106DF0" w:rsidRDefault="004660D6" w:rsidP="00106DF0">
                            <w:pPr>
                              <w:rPr>
                                <w:b/>
                                <w:u w:val="single"/>
                              </w:rPr>
                            </w:pPr>
                            <w:bookmarkStart w:id="71" w:name="_Toc371604360"/>
                            <w:r w:rsidRPr="00106DF0">
                              <w:rPr>
                                <w:b/>
                                <w:u w:val="single"/>
                              </w:rPr>
                              <w:t>Questions - Other issues</w:t>
                            </w:r>
                          </w:p>
                          <w:p w:rsidR="004660D6" w:rsidRPr="00106DF0" w:rsidRDefault="004660D6" w:rsidP="00106DF0"/>
                          <w:bookmarkEnd w:id="71"/>
                          <w:p w:rsidR="004660D6" w:rsidRPr="00106DF0" w:rsidRDefault="004660D6" w:rsidP="00106DF0">
                            <w:r w:rsidRPr="003C236A">
                              <w:rPr>
                                <w:b/>
                              </w:rPr>
                              <w:t>Question 2</w:t>
                            </w:r>
                            <w:r>
                              <w:rPr>
                                <w:b/>
                              </w:rPr>
                              <w:t>5</w:t>
                            </w:r>
                            <w:r w:rsidRPr="00106DF0">
                              <w:t xml:space="preserve">: </w:t>
                            </w:r>
                            <w:r>
                              <w:t>Are there ways to</w:t>
                            </w:r>
                            <w:r w:rsidRPr="00106DF0">
                              <w:t xml:space="preserve"> increase</w:t>
                            </w:r>
                            <w:r>
                              <w:t xml:space="preserve"> </w:t>
                            </w:r>
                            <w:r w:rsidRPr="00106DF0">
                              <w:t>feedback</w:t>
                            </w:r>
                            <w:r>
                              <w:t xml:space="preserve"> (both positive and negative) on the Scheme</w:t>
                            </w:r>
                            <w:r w:rsidRPr="00106DF0">
                              <w:t>?</w:t>
                            </w:r>
                            <w:r>
                              <w:t xml:space="preserve"> </w:t>
                            </w:r>
                          </w:p>
                          <w:p w:rsidR="004660D6" w:rsidRPr="00106DF0" w:rsidRDefault="004660D6" w:rsidP="00106DF0"/>
                          <w:p w:rsidR="004660D6" w:rsidRDefault="004660D6" w:rsidP="00106DF0">
                            <w:r w:rsidRPr="003C236A">
                              <w:rPr>
                                <w:b/>
                              </w:rPr>
                              <w:t>Question 2</w:t>
                            </w:r>
                            <w:r>
                              <w:rPr>
                                <w:b/>
                              </w:rPr>
                              <w:t>6</w:t>
                            </w:r>
                            <w:r w:rsidRPr="00106DF0">
                              <w:t xml:space="preserve">: </w:t>
                            </w:r>
                            <w:r>
                              <w:t xml:space="preserve">Are the audit criteria appropriate? </w:t>
                            </w:r>
                            <w:r w:rsidRPr="007F6B15">
                              <w:t>Are there criteria that are redundant or could be removed without impacting safety outcomes? What are the audit criteria that will improve safety in the industry?</w:t>
                            </w:r>
                          </w:p>
                          <w:p w:rsidR="004660D6" w:rsidRDefault="004660D6" w:rsidP="00106DF0"/>
                          <w:p w:rsidR="004660D6" w:rsidRPr="00106DF0" w:rsidRDefault="004660D6" w:rsidP="00106DF0">
                            <w:r w:rsidRPr="000E7E7E">
                              <w:rPr>
                                <w:b/>
                              </w:rPr>
                              <w:t>Question 27</w:t>
                            </w:r>
                            <w:r>
                              <w:t>: Are there any other issues specific to the terms of reference that have not been addressed by the previous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1.85pt;margin-top:11.9pt;width:464.25pt;height:16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" fillcolor="#d9d9d9">
                <v:shadow on="t" color="black" opacity="26214f" origin="-.5,-.5" offset=".74836mm,.74836mm"/>
                <v:textbox>
                  <w:txbxContent>
                    <w:p w:rsidR="004660D6" w:rsidRPr="00106DF0" w:rsidRDefault="004660D6" w:rsidP="00106DF0">
                      <w:pPr>
                        <w:rPr>
                          <w:b/>
                          <w:u w:val="single"/>
                        </w:rPr>
                      </w:pPr>
                      <w:bookmarkStart w:id="78" w:name="_Toc371604360"/>
                      <w:r w:rsidRPr="00106DF0">
                        <w:rPr>
                          <w:b/>
                          <w:u w:val="single"/>
                        </w:rPr>
                        <w:t>Questions - Other issues</w:t>
                      </w:r>
                    </w:p>
                    <w:p w:rsidR="004660D6" w:rsidRPr="00106DF0" w:rsidRDefault="004660D6" w:rsidP="00106DF0"/>
                    <w:bookmarkEnd w:id="78"/>
                    <w:p w:rsidR="004660D6" w:rsidRPr="00106DF0" w:rsidRDefault="004660D6" w:rsidP="00106DF0">
                      <w:r w:rsidRPr="003C236A">
                        <w:rPr>
                          <w:b/>
                        </w:rPr>
                        <w:t>Question 2</w:t>
                      </w:r>
                      <w:r>
                        <w:rPr>
                          <w:b/>
                        </w:rPr>
                        <w:t>5</w:t>
                      </w:r>
                      <w:r w:rsidRPr="00106DF0">
                        <w:t xml:space="preserve">: </w:t>
                      </w:r>
                      <w:r>
                        <w:t>Are there ways to</w:t>
                      </w:r>
                      <w:r w:rsidRPr="00106DF0">
                        <w:t xml:space="preserve"> increase</w:t>
                      </w:r>
                      <w:r>
                        <w:t xml:space="preserve"> </w:t>
                      </w:r>
                      <w:r w:rsidRPr="00106DF0">
                        <w:t>feedback</w:t>
                      </w:r>
                      <w:r>
                        <w:t xml:space="preserve"> (both positive and negative) on the Scheme</w:t>
                      </w:r>
                      <w:r w:rsidRPr="00106DF0">
                        <w:t>?</w:t>
                      </w:r>
                      <w:r>
                        <w:t xml:space="preserve"> </w:t>
                      </w:r>
                    </w:p>
                    <w:p w:rsidR="004660D6" w:rsidRPr="00106DF0" w:rsidRDefault="004660D6" w:rsidP="00106DF0"/>
                    <w:p w:rsidR="004660D6" w:rsidRDefault="004660D6" w:rsidP="00106DF0">
                      <w:r w:rsidRPr="003C236A">
                        <w:rPr>
                          <w:b/>
                        </w:rPr>
                        <w:t>Question 2</w:t>
                      </w:r>
                      <w:r>
                        <w:rPr>
                          <w:b/>
                        </w:rPr>
                        <w:t>6</w:t>
                      </w:r>
                      <w:r w:rsidRPr="00106DF0">
                        <w:t xml:space="preserve">: </w:t>
                      </w:r>
                      <w:r>
                        <w:t xml:space="preserve">Are the audit criteria appropriate? </w:t>
                      </w:r>
                      <w:r w:rsidRPr="007F6B15">
                        <w:t>Are there criteria that are redundant or could be removed without impacting safety outcomes? What are the audit criteria that will improve safety in the industry?</w:t>
                      </w:r>
                    </w:p>
                    <w:p w:rsidR="004660D6" w:rsidRDefault="004660D6" w:rsidP="00106DF0"/>
                    <w:p w:rsidR="004660D6" w:rsidRPr="00106DF0" w:rsidRDefault="004660D6" w:rsidP="00106DF0">
                      <w:r w:rsidRPr="000E7E7E">
                        <w:rPr>
                          <w:b/>
                        </w:rPr>
                        <w:t>Question 27</w:t>
                      </w:r>
                      <w:r>
                        <w:t>: Are there any other issues specific to the terms of reference that have not been addressed by the previous questions?</w:t>
                      </w:r>
                    </w:p>
                  </w:txbxContent>
                </v:textbox>
              </v:shape>
            </w:pict>
          </mc:Fallback>
        </mc:AlternateContent>
      </w:r>
    </w:p>
    <w:p w:rsidR="00091133" w:rsidRDefault="00091133" w:rsidP="00E66426"/>
    <w:p w:rsidR="00A258CE" w:rsidRPr="006A280B" w:rsidRDefault="00A258CE" w:rsidP="00E66426">
      <w:pPr>
        <w:pStyle w:val="ListParagraph"/>
      </w:pPr>
    </w:p>
    <w:p w:rsidR="00A258CE" w:rsidRPr="006A280B" w:rsidRDefault="00A258CE" w:rsidP="00E66426">
      <w:pPr>
        <w:pStyle w:val="ListParagraph"/>
      </w:pPr>
    </w:p>
    <w:p w:rsidR="00A258CE" w:rsidRPr="006A280B" w:rsidRDefault="00A258CE" w:rsidP="00E66426">
      <w:pPr>
        <w:pStyle w:val="ListParagraph"/>
      </w:pPr>
    </w:p>
    <w:p w:rsidR="00A258CE" w:rsidRPr="006A280B" w:rsidRDefault="00A258CE" w:rsidP="00E66426">
      <w:pPr>
        <w:pStyle w:val="ListParagraph"/>
      </w:pPr>
    </w:p>
    <w:p w:rsidR="00A258CE" w:rsidRPr="006A280B" w:rsidRDefault="00A258CE" w:rsidP="00E66426"/>
    <w:p w:rsidR="009F725C" w:rsidRDefault="009F725C" w:rsidP="00E66426"/>
    <w:p w:rsidR="009F725C" w:rsidRDefault="009F725C" w:rsidP="00E66426"/>
    <w:p w:rsidR="009F725C" w:rsidRDefault="009F725C" w:rsidP="00E66426"/>
    <w:p w:rsidR="00882EBD" w:rsidRPr="006A280B" w:rsidRDefault="00882EBD" w:rsidP="00E66426"/>
    <w:p w:rsidR="00B6172E" w:rsidRDefault="00B6172E" w:rsidP="00794C9E">
      <w:pPr>
        <w:pStyle w:val="Heading1"/>
      </w:pPr>
      <w:bookmarkStart w:id="72" w:name="_Toc377032071"/>
      <w:bookmarkStart w:id="73" w:name="_Toc378322609"/>
    </w:p>
    <w:p w:rsidR="00B6172E" w:rsidRDefault="00B6172E" w:rsidP="00794C9E">
      <w:pPr>
        <w:pStyle w:val="Heading1"/>
      </w:pPr>
    </w:p>
    <w:p w:rsidR="00B6172E" w:rsidRDefault="00B6172E" w:rsidP="00794C9E">
      <w:pPr>
        <w:pStyle w:val="Heading1"/>
      </w:pPr>
    </w:p>
    <w:p w:rsidR="00B6172E" w:rsidRDefault="00B6172E" w:rsidP="00794C9E">
      <w:pPr>
        <w:pStyle w:val="Heading1"/>
      </w:pPr>
    </w:p>
    <w:p w:rsidR="009D7FD5" w:rsidRDefault="009D7FD5">
      <w:pPr>
        <w:rPr>
          <w:b/>
          <w:sz w:val="24"/>
          <w:szCs w:val="24"/>
        </w:rPr>
      </w:pPr>
      <w:r>
        <w:br w:type="page"/>
      </w:r>
    </w:p>
    <w:p w:rsidR="00654CCF" w:rsidRPr="006A280B" w:rsidRDefault="00882EBD" w:rsidP="00794C9E">
      <w:pPr>
        <w:pStyle w:val="Heading1"/>
      </w:pPr>
      <w:r w:rsidRPr="006A280B">
        <w:lastRenderedPageBreak/>
        <w:t>S</w:t>
      </w:r>
      <w:r w:rsidR="009829D0" w:rsidRPr="006A280B">
        <w:t>ubmitting</w:t>
      </w:r>
      <w:r w:rsidR="00512348" w:rsidRPr="006A280B">
        <w:t xml:space="preserve"> a response</w:t>
      </w:r>
      <w:bookmarkEnd w:id="72"/>
      <w:bookmarkEnd w:id="73"/>
    </w:p>
    <w:p w:rsidR="00512348" w:rsidRPr="006A280B" w:rsidRDefault="00512348" w:rsidP="00E66426"/>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12BFE">
        <w:t>Submissions must be provided in electronic form using the Comment Response Form</w:t>
      </w:r>
      <w:r>
        <w:t xml:space="preserve"> (found at attachment B)</w:t>
      </w:r>
      <w:r w:rsidRPr="00012BFE">
        <w:t xml:space="preserve"> and emailed to </w:t>
      </w:r>
      <w:hyperlink r:id="rId30" w:history="1">
        <w:r w:rsidRPr="00012BFE">
          <w:rPr>
            <w:rStyle w:val="Hyperlink"/>
          </w:rPr>
          <w:t>ofscreview@employment.gov.au</w:t>
        </w:r>
      </w:hyperlink>
      <w:r>
        <w:t xml:space="preserve"> by </w:t>
      </w:r>
      <w:proofErr w:type="spellStart"/>
      <w:r>
        <w:t>5:00pm</w:t>
      </w:r>
      <w:proofErr w:type="spellEnd"/>
      <w:r>
        <w:t xml:space="preserve"> </w:t>
      </w:r>
      <w:proofErr w:type="spellStart"/>
      <w:r>
        <w:t>AEST</w:t>
      </w:r>
      <w:proofErr w:type="spellEnd"/>
      <w:r>
        <w:t xml:space="preserve"> on </w:t>
      </w:r>
      <w:r w:rsidR="006D6D0E">
        <w:t>4 April </w:t>
      </w:r>
      <w:r>
        <w:t>2014</w:t>
      </w:r>
      <w:r w:rsidRPr="00012BFE">
        <w:t>. Please include your name, position title, company/department or association details and postal address in the email.</w:t>
      </w:r>
    </w:p>
    <w:p w:rsidR="00F1379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1379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5F1627">
        <w:t xml:space="preserve">Each submission must be accompanied by a completed cover sheet (found at attachment </w:t>
      </w:r>
      <w:r>
        <w:t>A</w:t>
      </w:r>
      <w:r w:rsidRPr="005F1627">
        <w:t>).</w:t>
      </w:r>
      <w:r>
        <w:t xml:space="preserve"> Anonymous submissions will not be accepted.</w:t>
      </w:r>
    </w:p>
    <w:p w:rsidR="00D57E11" w:rsidRDefault="00D57E11"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7F6B15" w:rsidRDefault="00FB2C4B"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Submissions can address any or all of the questions in the template. </w:t>
      </w:r>
      <w:r w:rsidR="007F6B15">
        <w:t>It is not necessary to provide a response to every question. The template also provides space for any additional comments that responders may have that have not been raised in the questions.</w:t>
      </w:r>
    </w:p>
    <w:p w:rsidR="00F1379E" w:rsidRPr="00012BFE" w:rsidRDefault="007F6B15"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For queries please phone </w:t>
      </w:r>
      <w:r w:rsidR="00D37490">
        <w:t>1800 652 500</w:t>
      </w:r>
      <w:r>
        <w:t>.</w:t>
      </w: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12BFE">
        <w:t xml:space="preserve">Alternatively you can submit your comment by contacting your employer association, union or state or territory </w:t>
      </w:r>
      <w:r>
        <w:t xml:space="preserve">WHS </w:t>
      </w:r>
      <w:r w:rsidRPr="00012BFE">
        <w:t>authority and have them incorporate your comment into their submission.</w:t>
      </w: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12BFE">
        <w:t>Please ensure that the submission provided to the Department</w:t>
      </w:r>
      <w:r w:rsidR="00D37490">
        <w:t xml:space="preserve"> </w:t>
      </w:r>
      <w:r w:rsidRPr="00012BFE">
        <w:t>i</w:t>
      </w:r>
      <w:r>
        <w:t>s</w:t>
      </w:r>
      <w:r w:rsidRPr="00012BFE">
        <w:t xml:space="preserve"> the final version and that you have removed any drafting notes, tracked change</w:t>
      </w:r>
      <w:r w:rsidR="000A15F6">
        <w:t>s</w:t>
      </w:r>
      <w:r w:rsidRPr="00012BFE">
        <w:t>, annotation</w:t>
      </w:r>
      <w:r w:rsidR="000A15F6">
        <w:t>s</w:t>
      </w:r>
      <w:r w:rsidRPr="00012BFE">
        <w:t>, hidden text or marked revisions, as well as any internal links, large logos or decorative graphics (</w:t>
      </w:r>
      <w:r>
        <w:t>to minimise</w:t>
      </w:r>
      <w:r w:rsidRPr="00012BFE">
        <w:t xml:space="preserve"> file sizes).</w:t>
      </w: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1379E" w:rsidRPr="00012BFE" w:rsidRDefault="000A15F6"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r>
        <w:t>If your comment is</w:t>
      </w:r>
      <w:r w:rsidR="00F1379E" w:rsidRPr="00012BFE">
        <w:t xml:space="preserve"> confidential, please clearly mark your submission “IN CONFIDENCE”</w:t>
      </w:r>
    </w:p>
    <w:p w:rsidR="00F1379E" w:rsidRPr="00012BFE" w:rsidRDefault="00F1379E" w:rsidP="00F1379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7F6B15" w:rsidRDefault="007F6B15">
      <w:pPr>
        <w:rPr>
          <w:b/>
          <w:sz w:val="24"/>
          <w:szCs w:val="24"/>
        </w:rPr>
      </w:pPr>
      <w:bookmarkStart w:id="74" w:name="_Toc378322610"/>
      <w:r>
        <w:br w:type="page"/>
      </w:r>
    </w:p>
    <w:p w:rsidR="00F1379E" w:rsidRPr="0076357F" w:rsidRDefault="00F1379E" w:rsidP="00F1379E">
      <w:pPr>
        <w:pStyle w:val="Heading1"/>
        <w:jc w:val="right"/>
      </w:pPr>
      <w:r>
        <w:rPr>
          <w:b w:val="0"/>
          <w:noProof/>
          <w:sz w:val="22"/>
          <w:szCs w:val="22"/>
        </w:rPr>
        <w:lastRenderedPageBreak/>
        <w:drawing>
          <wp:anchor distT="0" distB="0" distL="114300" distR="114300" simplePos="0" relativeHeight="251696128" behindDoc="0" locked="0" layoutInCell="1" allowOverlap="1" wp14:anchorId="557DDF73" wp14:editId="58F22F05">
            <wp:simplePos x="0" y="0"/>
            <wp:positionH relativeFrom="column">
              <wp:posOffset>-52705</wp:posOffset>
            </wp:positionH>
            <wp:positionV relativeFrom="paragraph">
              <wp:posOffset>-300355</wp:posOffset>
            </wp:positionV>
            <wp:extent cx="3218400" cy="799200"/>
            <wp:effectExtent l="0" t="0" r="1270" b="1270"/>
            <wp:wrapNone/>
            <wp:docPr id="1" name="Picture 1" descr="Department of Employment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FSC\Reporting and Communication\Logos 2013\Employment\Inline\Dept Employment_Inl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400" cy="79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164F">
        <w:t xml:space="preserve">Attachment </w:t>
      </w:r>
      <w:r>
        <w:t>A</w:t>
      </w:r>
      <w:bookmarkEnd w:id="74"/>
    </w:p>
    <w:p w:rsidR="00F1379E" w:rsidRDefault="00F1379E" w:rsidP="00F1379E"/>
    <w:p w:rsidR="00F1379E" w:rsidRDefault="00F1379E" w:rsidP="00F1379E"/>
    <w:p w:rsidR="00F1379E" w:rsidRDefault="00F1379E" w:rsidP="00F1379E"/>
    <w:p w:rsidR="00F1379E" w:rsidRDefault="00F1379E" w:rsidP="00F1379E">
      <w:pPr>
        <w:rPr>
          <w:b/>
        </w:rPr>
      </w:pPr>
    </w:p>
    <w:p w:rsidR="00F1379E" w:rsidRDefault="00F1379E" w:rsidP="00F1379E">
      <w:pPr>
        <w:rPr>
          <w:b/>
        </w:rPr>
      </w:pPr>
    </w:p>
    <w:p w:rsidR="00F1379E" w:rsidRPr="00D0164F" w:rsidRDefault="00F1379E" w:rsidP="00F1379E">
      <w:pPr>
        <w:rPr>
          <w:b/>
        </w:rPr>
      </w:pPr>
      <w:r w:rsidRPr="00D0164F">
        <w:rPr>
          <w:b/>
        </w:rPr>
        <w:t xml:space="preserve">Comment </w:t>
      </w:r>
      <w:r w:rsidR="000A15F6">
        <w:rPr>
          <w:b/>
        </w:rPr>
        <w:t xml:space="preserve">Response </w:t>
      </w:r>
      <w:r w:rsidRPr="00D0164F">
        <w:rPr>
          <w:b/>
        </w:rPr>
        <w:t>Cover Sheet</w:t>
      </w:r>
    </w:p>
    <w:p w:rsidR="00F1379E" w:rsidRDefault="00F1379E" w:rsidP="00F1379E"/>
    <w:p w:rsidR="00F1379E" w:rsidRDefault="00F1379E" w:rsidP="00F1379E">
      <w:pPr>
        <w:rPr>
          <w:b/>
        </w:rPr>
      </w:pPr>
      <w:r w:rsidRPr="00C93B41">
        <w:rPr>
          <w:b/>
        </w:rPr>
        <w:t xml:space="preserve">Please complete and submit this form with your submission by </w:t>
      </w:r>
      <w:proofErr w:type="spellStart"/>
      <w:r>
        <w:rPr>
          <w:b/>
        </w:rPr>
        <w:t>5:00pm</w:t>
      </w:r>
      <w:proofErr w:type="spellEnd"/>
      <w:r>
        <w:rPr>
          <w:b/>
        </w:rPr>
        <w:t xml:space="preserve"> </w:t>
      </w:r>
      <w:proofErr w:type="spellStart"/>
      <w:r>
        <w:rPr>
          <w:b/>
        </w:rPr>
        <w:t>AEST</w:t>
      </w:r>
      <w:proofErr w:type="spellEnd"/>
      <w:r>
        <w:rPr>
          <w:b/>
        </w:rPr>
        <w:t xml:space="preserve"> on </w:t>
      </w:r>
    </w:p>
    <w:p w:rsidR="00F1379E" w:rsidRPr="00C93B41" w:rsidRDefault="007F6B15" w:rsidP="00F1379E">
      <w:pPr>
        <w:rPr>
          <w:b/>
        </w:rPr>
      </w:pPr>
      <w:proofErr w:type="gramStart"/>
      <w:r>
        <w:rPr>
          <w:b/>
        </w:rPr>
        <w:t>4 April</w:t>
      </w:r>
      <w:r w:rsidR="00F1379E">
        <w:rPr>
          <w:b/>
        </w:rPr>
        <w:t xml:space="preserve"> 2014</w:t>
      </w:r>
      <w:r w:rsidR="00F1379E" w:rsidRPr="00C93B41">
        <w:rPr>
          <w:b/>
        </w:rPr>
        <w:t xml:space="preserve"> to </w:t>
      </w:r>
      <w:hyperlink r:id="rId31" w:history="1">
        <w:r w:rsidR="00F1379E" w:rsidRPr="00C93B41">
          <w:rPr>
            <w:rStyle w:val="Hyperlink"/>
            <w:b/>
          </w:rPr>
          <w:t>ofscreview@employment.gov.au</w:t>
        </w:r>
      </w:hyperlink>
      <w:r w:rsidR="00F1379E" w:rsidRPr="00C93B41">
        <w:rPr>
          <w:b/>
        </w:rPr>
        <w:t>.</w:t>
      </w:r>
      <w:proofErr w:type="gramEnd"/>
      <w:r w:rsidR="00F1379E" w:rsidRPr="00C93B41">
        <w:rPr>
          <w:b/>
        </w:rPr>
        <w:t xml:space="preserve"> </w:t>
      </w:r>
    </w:p>
    <w:p w:rsidR="00F1379E" w:rsidRDefault="00F1379E" w:rsidP="00F1379E"/>
    <w:p w:rsidR="00F1379E" w:rsidRDefault="00F1379E" w:rsidP="00F1379E">
      <w:pPr>
        <w:spacing w:before="120" w:after="120"/>
      </w:pPr>
      <w:r>
        <w:t>Organisation:</w:t>
      </w:r>
    </w:p>
    <w:p w:rsidR="00F1379E" w:rsidRDefault="00F1379E" w:rsidP="00F1379E">
      <w:pPr>
        <w:spacing w:before="120" w:after="120"/>
      </w:pPr>
      <w:r>
        <w:t>Street address</w:t>
      </w:r>
    </w:p>
    <w:p w:rsidR="00F1379E" w:rsidRDefault="00F1379E" w:rsidP="00F1379E">
      <w:pPr>
        <w:spacing w:before="120" w:after="120"/>
      </w:pPr>
      <w:r>
        <w:t>Suburb/City:</w:t>
      </w:r>
    </w:p>
    <w:p w:rsidR="00F1379E" w:rsidRDefault="00F1379E" w:rsidP="00F1379E">
      <w:pPr>
        <w:spacing w:before="120" w:after="120"/>
      </w:pPr>
      <w:r>
        <w:t xml:space="preserve">State </w:t>
      </w:r>
      <w:r w:rsidR="000A15F6">
        <w:t>and</w:t>
      </w:r>
      <w:r>
        <w:t xml:space="preserve"> Postcode:</w:t>
      </w:r>
    </w:p>
    <w:p w:rsidR="00F1379E" w:rsidRDefault="00F1379E" w:rsidP="00F1379E">
      <w:pPr>
        <w:spacing w:before="120" w:after="120"/>
      </w:pPr>
      <w:r>
        <w:t>Postal address:</w:t>
      </w:r>
    </w:p>
    <w:p w:rsidR="00F1379E" w:rsidRDefault="00F1379E" w:rsidP="00F1379E">
      <w:pPr>
        <w:spacing w:before="120" w:after="120"/>
      </w:pPr>
      <w:r>
        <w:t>Suburb/City:</w:t>
      </w:r>
    </w:p>
    <w:p w:rsidR="00F1379E" w:rsidRDefault="00F1379E" w:rsidP="00F1379E">
      <w:pPr>
        <w:spacing w:before="120" w:after="120"/>
      </w:pPr>
      <w:r>
        <w:t>State and Postcode:</w:t>
      </w:r>
    </w:p>
    <w:p w:rsidR="00F1379E" w:rsidRDefault="00F1379E" w:rsidP="00F1379E">
      <w:pPr>
        <w:spacing w:before="120" w:after="120"/>
      </w:pPr>
    </w:p>
    <w:p w:rsidR="00F1379E" w:rsidRDefault="00F1379E" w:rsidP="00F1379E">
      <w:pPr>
        <w:spacing w:before="120" w:after="120"/>
      </w:pPr>
      <w:r>
        <w:t>Principal contact:</w:t>
      </w:r>
    </w:p>
    <w:p w:rsidR="00F1379E" w:rsidRDefault="00F1379E" w:rsidP="00F1379E">
      <w:pPr>
        <w:spacing w:before="120" w:after="120"/>
      </w:pPr>
      <w:r>
        <w:t>Position:</w:t>
      </w:r>
    </w:p>
    <w:p w:rsidR="00F1379E" w:rsidRDefault="00F1379E" w:rsidP="00F1379E">
      <w:pPr>
        <w:spacing w:before="120" w:after="120"/>
      </w:pPr>
      <w:r>
        <w:t>Phone:</w:t>
      </w:r>
    </w:p>
    <w:p w:rsidR="00F1379E" w:rsidRDefault="00F1379E" w:rsidP="00F1379E">
      <w:pPr>
        <w:spacing w:before="120" w:after="120"/>
      </w:pPr>
      <w:r>
        <w:t>Mobile:</w:t>
      </w:r>
    </w:p>
    <w:p w:rsidR="00F1379E" w:rsidRDefault="00F1379E" w:rsidP="00F1379E">
      <w:pPr>
        <w:spacing w:before="120" w:after="120"/>
      </w:pPr>
      <w:r>
        <w:t>Email address:</w:t>
      </w:r>
    </w:p>
    <w:p w:rsidR="00F1379E" w:rsidRDefault="00F1379E" w:rsidP="00F1379E"/>
    <w:p w:rsidR="00F1379E" w:rsidRDefault="00F1379E" w:rsidP="00F137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rsidRPr="00C93B41">
        <w:t>If you wish to make a submission that contains confidential information, please ensure that the material is clearly marked “IN CONFIDENCE”.</w:t>
      </w:r>
    </w:p>
    <w:p w:rsidR="00F1379E" w:rsidRDefault="00F1379E" w:rsidP="00F1379E"/>
    <w:p w:rsidR="00F1379E" w:rsidRDefault="00F1379E" w:rsidP="00F1379E">
      <w:pPr>
        <w:jc w:val="center"/>
        <w:rPr>
          <w:b/>
        </w:rPr>
        <w:sectPr w:rsidR="00F1379E" w:rsidSect="00690BC2">
          <w:headerReference w:type="even" r:id="rId32"/>
          <w:headerReference w:type="default" r:id="rId33"/>
          <w:footerReference w:type="default" r:id="rId34"/>
          <w:headerReference w:type="first" r:id="rId35"/>
          <w:pgSz w:w="11906" w:h="16838" w:code="9"/>
          <w:pgMar w:top="1418" w:right="1274" w:bottom="1418" w:left="1418" w:header="567" w:footer="567" w:gutter="0"/>
          <w:cols w:space="708"/>
          <w:docGrid w:linePitch="360"/>
        </w:sectPr>
      </w:pPr>
    </w:p>
    <w:p w:rsidR="00F1379E" w:rsidRDefault="00F1379E" w:rsidP="00F1379E">
      <w:pPr>
        <w:pStyle w:val="Heading1"/>
        <w:jc w:val="right"/>
      </w:pPr>
      <w:bookmarkStart w:id="75" w:name="_Toc378322611"/>
      <w:r>
        <w:lastRenderedPageBreak/>
        <w:t>Attachment B</w:t>
      </w:r>
      <w:bookmarkEnd w:id="75"/>
    </w:p>
    <w:p w:rsidR="00F1379E" w:rsidRDefault="00F1379E" w:rsidP="00F1379E">
      <w:pPr>
        <w:jc w:val="center"/>
        <w:rPr>
          <w:b/>
        </w:rPr>
      </w:pPr>
      <w:r w:rsidRPr="006E601A">
        <w:rPr>
          <w:b/>
        </w:rPr>
        <w:t>Comment Response Form</w:t>
      </w:r>
    </w:p>
    <w:p w:rsidR="00F1379E" w:rsidRDefault="00F1379E" w:rsidP="00F1379E">
      <w:pPr>
        <w:jc w:val="center"/>
        <w:rPr>
          <w:b/>
        </w:rPr>
      </w:pPr>
    </w:p>
    <w:p w:rsidR="00F1379E" w:rsidRDefault="00F1379E" w:rsidP="00F1379E">
      <w:pPr>
        <w:jc w:val="center"/>
        <w:rPr>
          <w:b/>
        </w:rPr>
      </w:pPr>
      <w:r>
        <w:rPr>
          <w:b/>
        </w:rPr>
        <w:t>Discussion Paper</w:t>
      </w:r>
    </w:p>
    <w:p w:rsidR="00F1379E" w:rsidRDefault="00F1379E" w:rsidP="00F1379E">
      <w:pPr>
        <w:jc w:val="center"/>
        <w:rPr>
          <w:b/>
        </w:rPr>
      </w:pPr>
      <w:r w:rsidRPr="006E601A">
        <w:rPr>
          <w:b/>
        </w:rPr>
        <w:t>A REVIEW TO MODERNISE THE OFFICE OF THE FEDERAL SAFETY COMMISSIONER AND THE AUSTRALIAN GOVERNMENT BUILDING AND CONSTRUCTION OHS ACCREDITATION SCHEME</w:t>
      </w:r>
    </w:p>
    <w:p w:rsidR="00F1379E" w:rsidRDefault="00F1379E" w:rsidP="00F1379E">
      <w:pPr>
        <w:jc w:val="center"/>
        <w:rPr>
          <w:b/>
        </w:rPr>
      </w:pPr>
    </w:p>
    <w:p w:rsidR="00F1379E" w:rsidRDefault="00F1379E" w:rsidP="00F1379E">
      <w:pPr>
        <w:jc w:val="center"/>
        <w:rPr>
          <w:b/>
        </w:rPr>
      </w:pPr>
      <w:r>
        <w:rPr>
          <w:b/>
        </w:rPr>
        <w:t xml:space="preserve">Complete and submit this form and the coversheet at </w:t>
      </w:r>
      <w:r w:rsidR="00D37490">
        <w:rPr>
          <w:b/>
        </w:rPr>
        <w:t>A</w:t>
      </w:r>
      <w:r>
        <w:rPr>
          <w:b/>
        </w:rPr>
        <w:t xml:space="preserve">ttachment </w:t>
      </w:r>
      <w:r w:rsidR="00D37490">
        <w:rPr>
          <w:b/>
        </w:rPr>
        <w:t>A</w:t>
      </w:r>
      <w:r>
        <w:rPr>
          <w:b/>
        </w:rPr>
        <w:t xml:space="preserve"> </w:t>
      </w:r>
    </w:p>
    <w:p w:rsidR="00F1379E" w:rsidRDefault="00F1379E" w:rsidP="00F1379E">
      <w:pPr>
        <w:jc w:val="center"/>
        <w:rPr>
          <w:rStyle w:val="Hyperlink"/>
          <w:b/>
        </w:rPr>
      </w:pPr>
      <w:proofErr w:type="gramStart"/>
      <w:r>
        <w:rPr>
          <w:b/>
        </w:rPr>
        <w:t>by</w:t>
      </w:r>
      <w:proofErr w:type="gramEnd"/>
      <w:r>
        <w:rPr>
          <w:b/>
        </w:rPr>
        <w:t xml:space="preserve"> </w:t>
      </w:r>
      <w:proofErr w:type="spellStart"/>
      <w:r>
        <w:rPr>
          <w:b/>
        </w:rPr>
        <w:t>5:00pm</w:t>
      </w:r>
      <w:proofErr w:type="spellEnd"/>
      <w:r>
        <w:rPr>
          <w:b/>
        </w:rPr>
        <w:t xml:space="preserve"> </w:t>
      </w:r>
      <w:proofErr w:type="spellStart"/>
      <w:r>
        <w:rPr>
          <w:b/>
        </w:rPr>
        <w:t>AEST</w:t>
      </w:r>
      <w:proofErr w:type="spellEnd"/>
      <w:r>
        <w:rPr>
          <w:b/>
        </w:rPr>
        <w:t xml:space="preserve"> </w:t>
      </w:r>
      <w:r w:rsidR="00B22E8A">
        <w:rPr>
          <w:b/>
        </w:rPr>
        <w:t xml:space="preserve">4 April </w:t>
      </w:r>
      <w:r>
        <w:rPr>
          <w:b/>
        </w:rPr>
        <w:t xml:space="preserve">2014 to </w:t>
      </w:r>
      <w:hyperlink r:id="rId36" w:history="1">
        <w:r w:rsidR="000F11C1" w:rsidRPr="001D1276">
          <w:rPr>
            <w:rStyle w:val="Hyperlink"/>
            <w:b/>
          </w:rPr>
          <w:t>ofscreview@employment.gov.au</w:t>
        </w:r>
      </w:hyperlink>
    </w:p>
    <w:p w:rsidR="00F1379E" w:rsidRDefault="00F1379E" w:rsidP="00F1379E">
      <w:pPr>
        <w:jc w:val="center"/>
        <w:rPr>
          <w:rStyle w:val="Hyperlink"/>
          <w:b/>
        </w:rPr>
      </w:pPr>
    </w:p>
    <w:p w:rsidR="00491C6C" w:rsidRPr="007F6B15" w:rsidRDefault="007F6B15" w:rsidP="00F1379E">
      <w:pPr>
        <w:jc w:val="center"/>
        <w:rPr>
          <w:rStyle w:val="Hyperlink"/>
          <w:color w:val="auto"/>
        </w:rPr>
      </w:pPr>
      <w:r w:rsidRPr="007F6B15">
        <w:rPr>
          <w:u w:val="single"/>
        </w:rPr>
        <w:t>It is not necessary to provide a response to every question. The template also provides space for any additional comments that responders may have that have not been raised in the questions.</w:t>
      </w:r>
    </w:p>
    <w:p w:rsidR="00491C6C" w:rsidRDefault="00491C6C" w:rsidP="00F1379E">
      <w:pPr>
        <w:jc w:val="center"/>
        <w:rPr>
          <w:rStyle w:val="Hyperlink"/>
          <w:color w:val="auto"/>
        </w:rPr>
      </w:pPr>
    </w:p>
    <w:p w:rsidR="00F1379E" w:rsidRPr="00F1379E" w:rsidRDefault="00F1379E" w:rsidP="00F1379E">
      <w:pPr>
        <w:jc w:val="center"/>
        <w:rPr>
          <w:rStyle w:val="Hyperlink"/>
          <w:color w:val="auto"/>
        </w:rPr>
      </w:pPr>
      <w:r w:rsidRPr="00F1379E">
        <w:rPr>
          <w:rStyle w:val="Hyperlink"/>
          <w:color w:val="auto"/>
        </w:rPr>
        <w:t xml:space="preserve">When providing comment </w:t>
      </w:r>
      <w:r w:rsidR="00D37490">
        <w:rPr>
          <w:rStyle w:val="Hyperlink"/>
          <w:color w:val="auto"/>
        </w:rPr>
        <w:t xml:space="preserve">or </w:t>
      </w:r>
      <w:r w:rsidRPr="00F1379E">
        <w:rPr>
          <w:rStyle w:val="Hyperlink"/>
          <w:color w:val="auto"/>
        </w:rPr>
        <w:t>feedback, pleas</w:t>
      </w:r>
      <w:r>
        <w:rPr>
          <w:rStyle w:val="Hyperlink"/>
          <w:color w:val="auto"/>
        </w:rPr>
        <w:t xml:space="preserve">e give </w:t>
      </w:r>
      <w:r w:rsidR="00491C6C">
        <w:rPr>
          <w:rStyle w:val="Hyperlink"/>
          <w:color w:val="auto"/>
        </w:rPr>
        <w:t xml:space="preserve">tangible </w:t>
      </w:r>
      <w:r>
        <w:rPr>
          <w:rStyle w:val="Hyperlink"/>
          <w:color w:val="auto"/>
        </w:rPr>
        <w:t xml:space="preserve">examples and suggestions </w:t>
      </w:r>
      <w:r w:rsidRPr="00F1379E">
        <w:rPr>
          <w:rStyle w:val="Hyperlink"/>
          <w:color w:val="auto"/>
        </w:rPr>
        <w:t>for improvement/amendment where possible.</w:t>
      </w:r>
      <w:r w:rsidR="00FB2C4B">
        <w:rPr>
          <w:rStyle w:val="Hyperlink"/>
          <w:color w:val="auto"/>
        </w:rPr>
        <w:t xml:space="preserve"> </w:t>
      </w:r>
    </w:p>
    <w:p w:rsidR="00F1379E" w:rsidRDefault="00F1379E" w:rsidP="00F1379E"/>
    <w:p w:rsidR="00E3695D" w:rsidRDefault="00E3695D" w:rsidP="00E3695D">
      <w:pPr>
        <w:jc w:val="center"/>
      </w:pPr>
      <w:r w:rsidRPr="006E601A">
        <w:rPr>
          <w:b/>
        </w:rPr>
        <w:t>Response to questions identified in the Discussion Paper</w:t>
      </w:r>
    </w:p>
    <w:p w:rsidR="00E3695D" w:rsidRPr="00B929CA" w:rsidRDefault="00E3695D" w:rsidP="00F1379E"/>
    <w:tbl>
      <w:tblPr>
        <w:tblStyle w:val="TableGrid"/>
        <w:tblW w:w="0" w:type="auto"/>
        <w:tblLook w:val="04A0" w:firstRow="1" w:lastRow="0" w:firstColumn="1" w:lastColumn="0" w:noHBand="0" w:noVBand="1"/>
      </w:tblPr>
      <w:tblGrid>
        <w:gridCol w:w="9430"/>
      </w:tblGrid>
      <w:tr w:rsidR="00F1379E" w:rsidTr="00794C9E">
        <w:trPr>
          <w:trHeight w:val="469"/>
        </w:trPr>
        <w:tc>
          <w:tcPr>
            <w:tcW w:w="9430" w:type="dxa"/>
            <w:shd w:val="clear" w:color="auto" w:fill="D9D9D9" w:themeFill="background1" w:themeFillShade="D9"/>
          </w:tcPr>
          <w:p w:rsidR="00F1379E" w:rsidRPr="00262216" w:rsidRDefault="00C845CB" w:rsidP="00363673">
            <w:pPr>
              <w:spacing w:before="120" w:after="120"/>
              <w:rPr>
                <w:b/>
                <w:i/>
              </w:rPr>
            </w:pPr>
            <w:r>
              <w:rPr>
                <w:b/>
                <w:i/>
              </w:rPr>
              <w:t>Application of the S</w:t>
            </w:r>
            <w:r w:rsidR="00F1379E" w:rsidRPr="00262216">
              <w:rPr>
                <w:b/>
                <w:i/>
              </w:rPr>
              <w:t xml:space="preserve">cheme </w:t>
            </w:r>
            <w:r w:rsidR="0056165A">
              <w:rPr>
                <w:b/>
                <w:i/>
              </w:rPr>
              <w:t xml:space="preserve">- see </w:t>
            </w:r>
            <w:r w:rsidR="00363673">
              <w:rPr>
                <w:b/>
                <w:i/>
              </w:rPr>
              <w:t>pages 10-13</w:t>
            </w:r>
            <w:r w:rsidR="0056165A">
              <w:rPr>
                <w:b/>
                <w:i/>
              </w:rPr>
              <w:t xml:space="preserve"> </w:t>
            </w:r>
          </w:p>
        </w:tc>
      </w:tr>
      <w:tr w:rsidR="00F1379E" w:rsidTr="00794C9E">
        <w:trPr>
          <w:trHeight w:val="469"/>
        </w:trPr>
        <w:tc>
          <w:tcPr>
            <w:tcW w:w="9430" w:type="dxa"/>
            <w:shd w:val="clear" w:color="auto" w:fill="D9D9D9" w:themeFill="background1" w:themeFillShade="D9"/>
          </w:tcPr>
          <w:p w:rsidR="00F1379E" w:rsidRPr="00DC0F56" w:rsidRDefault="00CE527F" w:rsidP="00B227F2">
            <w:pPr>
              <w:spacing w:before="120" w:after="120"/>
              <w:rPr>
                <w:b/>
              </w:rPr>
            </w:pPr>
            <w:r w:rsidRPr="00CE527F">
              <w:rPr>
                <w:b/>
              </w:rPr>
              <w:t xml:space="preserve">Question 1: Should the thresholds for directly and indirectly funded projects be lowered, </w:t>
            </w:r>
            <w:r w:rsidR="00DD0681">
              <w:rPr>
                <w:b/>
              </w:rPr>
              <w:t>removed</w:t>
            </w:r>
            <w:r w:rsidRPr="00CE527F">
              <w:rPr>
                <w:b/>
              </w:rPr>
              <w:t>, increased, or remain unchanged? To what levels?</w:t>
            </w:r>
            <w:r w:rsidR="003D5741">
              <w:rPr>
                <w:b/>
              </w:rPr>
              <w:t xml:space="preserve"> </w:t>
            </w:r>
          </w:p>
        </w:tc>
      </w:tr>
      <w:tr w:rsidR="00F1379E" w:rsidTr="00794C9E">
        <w:tc>
          <w:tcPr>
            <w:tcW w:w="9430" w:type="dxa"/>
          </w:tcPr>
          <w:p w:rsidR="00415D20" w:rsidRDefault="00F1379E" w:rsidP="00415D20">
            <w:pPr>
              <w:spacing w:before="120" w:after="120"/>
              <w:rPr>
                <w:b/>
              </w:rPr>
            </w:pPr>
            <w:r>
              <w:rPr>
                <w:b/>
              </w:rPr>
              <w:fldChar w:fldCharType="begin">
                <w:ffData>
                  <w:name w:val="Check1"/>
                  <w:enabled/>
                  <w:calcOnExit w:val="0"/>
                  <w:checkBox>
                    <w:sizeAuto/>
                    <w:default w:val="0"/>
                  </w:checkBox>
                </w:ffData>
              </w:fldChar>
            </w:r>
            <w:bookmarkStart w:id="76" w:name="Check1"/>
            <w:r>
              <w:rPr>
                <w:b/>
              </w:rPr>
              <w:instrText xml:space="preserve"> FORMCHECKBOX </w:instrText>
            </w:r>
            <w:r w:rsidR="00D07E8E">
              <w:rPr>
                <w:b/>
              </w:rPr>
            </w:r>
            <w:r w:rsidR="00D07E8E">
              <w:rPr>
                <w:b/>
              </w:rPr>
              <w:fldChar w:fldCharType="separate"/>
            </w:r>
            <w:r>
              <w:rPr>
                <w:b/>
              </w:rPr>
              <w:fldChar w:fldCharType="end"/>
            </w:r>
            <w:bookmarkEnd w:id="76"/>
            <w:r>
              <w:rPr>
                <w:b/>
              </w:rPr>
              <w:t xml:space="preserve"> </w:t>
            </w:r>
            <w:r w:rsidR="00415D20">
              <w:rPr>
                <w:b/>
              </w:rPr>
              <w:t xml:space="preserve">Lowered  </w:t>
            </w:r>
            <w:r>
              <w:rPr>
                <w:b/>
              </w:rPr>
              <w:fldChar w:fldCharType="begin">
                <w:ffData>
                  <w:name w:val="Check2"/>
                  <w:enabled/>
                  <w:calcOnExit w:val="0"/>
                  <w:checkBox>
                    <w:sizeAuto/>
                    <w:default w:val="0"/>
                  </w:checkBox>
                </w:ffData>
              </w:fldChar>
            </w:r>
            <w:bookmarkStart w:id="77" w:name="Check2"/>
            <w:r>
              <w:rPr>
                <w:b/>
              </w:rPr>
              <w:instrText xml:space="preserve"> FORMCHECKBOX </w:instrText>
            </w:r>
            <w:r w:rsidR="00D07E8E">
              <w:rPr>
                <w:b/>
              </w:rPr>
            </w:r>
            <w:r w:rsidR="00D07E8E">
              <w:rPr>
                <w:b/>
              </w:rPr>
              <w:fldChar w:fldCharType="separate"/>
            </w:r>
            <w:r>
              <w:rPr>
                <w:b/>
              </w:rPr>
              <w:fldChar w:fldCharType="end"/>
            </w:r>
            <w:bookmarkEnd w:id="77"/>
            <w:r>
              <w:rPr>
                <w:b/>
              </w:rPr>
              <w:t xml:space="preserve"> </w:t>
            </w:r>
            <w:r w:rsidR="00DD0681">
              <w:rPr>
                <w:b/>
              </w:rPr>
              <w:t>Removed</w:t>
            </w:r>
            <w:r w:rsidR="00415D20">
              <w:rPr>
                <w:b/>
              </w:rPr>
              <w:t xml:space="preserve"> </w:t>
            </w:r>
            <w:r w:rsidR="00415D20">
              <w:rPr>
                <w:b/>
              </w:rPr>
              <w:fldChar w:fldCharType="begin">
                <w:ffData>
                  <w:name w:val="Check1"/>
                  <w:enabled/>
                  <w:calcOnExit w:val="0"/>
                  <w:checkBox>
                    <w:sizeAuto/>
                    <w:default w:val="0"/>
                  </w:checkBox>
                </w:ffData>
              </w:fldChar>
            </w:r>
            <w:r w:rsidR="00415D20">
              <w:rPr>
                <w:b/>
              </w:rPr>
              <w:instrText xml:space="preserve"> FORMCHECKBOX </w:instrText>
            </w:r>
            <w:r w:rsidR="00D07E8E">
              <w:rPr>
                <w:b/>
              </w:rPr>
            </w:r>
            <w:r w:rsidR="00D07E8E">
              <w:rPr>
                <w:b/>
              </w:rPr>
              <w:fldChar w:fldCharType="separate"/>
            </w:r>
            <w:r w:rsidR="00415D20">
              <w:rPr>
                <w:b/>
              </w:rPr>
              <w:fldChar w:fldCharType="end"/>
            </w:r>
            <w:r w:rsidR="0002000F">
              <w:rPr>
                <w:b/>
              </w:rPr>
              <w:t xml:space="preserve"> </w:t>
            </w:r>
            <w:r w:rsidR="00C23F80">
              <w:rPr>
                <w:b/>
              </w:rPr>
              <w:t>Increased</w:t>
            </w:r>
            <w:r w:rsidR="00415D20">
              <w:rPr>
                <w:b/>
              </w:rPr>
              <w:t xml:space="preserve">  </w:t>
            </w:r>
            <w:r w:rsidR="00415D20">
              <w:rPr>
                <w:b/>
              </w:rPr>
              <w:fldChar w:fldCharType="begin">
                <w:ffData>
                  <w:name w:val="Check2"/>
                  <w:enabled/>
                  <w:calcOnExit w:val="0"/>
                  <w:checkBox>
                    <w:sizeAuto/>
                    <w:default w:val="0"/>
                  </w:checkBox>
                </w:ffData>
              </w:fldChar>
            </w:r>
            <w:r w:rsidR="00415D20">
              <w:rPr>
                <w:b/>
              </w:rPr>
              <w:instrText xml:space="preserve"> FORMCHECKBOX </w:instrText>
            </w:r>
            <w:r w:rsidR="00D07E8E">
              <w:rPr>
                <w:b/>
              </w:rPr>
            </w:r>
            <w:r w:rsidR="00D07E8E">
              <w:rPr>
                <w:b/>
              </w:rPr>
              <w:fldChar w:fldCharType="separate"/>
            </w:r>
            <w:r w:rsidR="00415D20">
              <w:rPr>
                <w:b/>
              </w:rPr>
              <w:fldChar w:fldCharType="end"/>
            </w:r>
            <w:r w:rsidR="00415D20">
              <w:rPr>
                <w:b/>
              </w:rPr>
              <w:t xml:space="preserve"> Remain Unchanged</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68"/>
        </w:trPr>
        <w:tc>
          <w:tcPr>
            <w:tcW w:w="9430" w:type="dxa"/>
            <w:shd w:val="clear" w:color="auto" w:fill="D9D9D9" w:themeFill="background1" w:themeFillShade="D9"/>
          </w:tcPr>
          <w:p w:rsidR="00F1379E" w:rsidRDefault="00F1379E" w:rsidP="00681755">
            <w:pPr>
              <w:spacing w:before="120" w:after="120"/>
              <w:rPr>
                <w:b/>
              </w:rPr>
            </w:pPr>
            <w:r w:rsidRPr="00DC0F56">
              <w:rPr>
                <w:b/>
              </w:rPr>
              <w:t xml:space="preserve">Question 2: Should the definition of building work be changed? If yes, how should building work </w:t>
            </w:r>
            <w:proofErr w:type="gramStart"/>
            <w:r w:rsidRPr="00DC0F56">
              <w:rPr>
                <w:b/>
              </w:rPr>
              <w:t>be</w:t>
            </w:r>
            <w:proofErr w:type="gramEnd"/>
            <w:r w:rsidRPr="00DC0F56">
              <w:rPr>
                <w:b/>
              </w:rPr>
              <w:t xml:space="preserve"> defined</w:t>
            </w:r>
            <w:r w:rsidR="00EA57F6">
              <w:rPr>
                <w:b/>
              </w:rPr>
              <w:t>?</w:t>
            </w:r>
            <w:r w:rsidR="003D5741">
              <w:rPr>
                <w:b/>
              </w:rPr>
              <w:t xml:space="preserve"> </w:t>
            </w:r>
          </w:p>
        </w:tc>
      </w:tr>
      <w:tr w:rsidR="00F1379E" w:rsidTr="00794C9E">
        <w:tc>
          <w:tcPr>
            <w:tcW w:w="9430" w:type="dxa"/>
          </w:tcPr>
          <w:p w:rsidR="00F1379E" w:rsidRDefault="00F1379E" w:rsidP="00D931E5">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EA57F6" w:rsidTr="00794C9E">
        <w:tc>
          <w:tcPr>
            <w:tcW w:w="9430" w:type="dxa"/>
            <w:shd w:val="clear" w:color="auto" w:fill="D9D9D9" w:themeFill="background1" w:themeFillShade="D9"/>
          </w:tcPr>
          <w:p w:rsidR="00EA57F6" w:rsidRDefault="00EA57F6" w:rsidP="00B227F2">
            <w:pPr>
              <w:spacing w:before="120" w:after="120"/>
              <w:rPr>
                <w:b/>
              </w:rPr>
            </w:pPr>
            <w:r w:rsidRPr="00DC0F56">
              <w:rPr>
                <w:b/>
              </w:rPr>
              <w:t xml:space="preserve">Question </w:t>
            </w:r>
            <w:r>
              <w:rPr>
                <w:b/>
              </w:rPr>
              <w:t>3</w:t>
            </w:r>
            <w:r w:rsidRPr="00DC0F56">
              <w:rPr>
                <w:b/>
              </w:rPr>
              <w:t xml:space="preserve">: </w:t>
            </w:r>
            <w:r w:rsidRPr="00EA57F6">
              <w:rPr>
                <w:b/>
              </w:rPr>
              <w:t>Should exemptions to the Scheme apply to particular agencies or sectors of work</w:t>
            </w:r>
            <w:r w:rsidR="00D04797">
              <w:rPr>
                <w:b/>
              </w:rPr>
              <w:t xml:space="preserve"> (for example, residential)</w:t>
            </w:r>
            <w:r w:rsidRPr="00EA57F6">
              <w:rPr>
                <w:b/>
              </w:rPr>
              <w:t>?</w:t>
            </w:r>
            <w:r w:rsidR="003D5741">
              <w:rPr>
                <w:b/>
              </w:rPr>
              <w:t xml:space="preserve"> </w:t>
            </w:r>
          </w:p>
        </w:tc>
      </w:tr>
      <w:tr w:rsidR="00EA57F6" w:rsidTr="00794C9E">
        <w:tc>
          <w:tcPr>
            <w:tcW w:w="9430" w:type="dxa"/>
          </w:tcPr>
          <w:p w:rsidR="00EA57F6" w:rsidRDefault="00EA57F6" w:rsidP="00EA57F6">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EA57F6" w:rsidRDefault="00EA57F6" w:rsidP="00EA57F6">
            <w:pPr>
              <w:spacing w:before="120" w:after="120"/>
              <w:rPr>
                <w:b/>
              </w:rPr>
            </w:pPr>
            <w:r>
              <w:rPr>
                <w:b/>
              </w:rPr>
              <w:t>Comment (why/why not?):</w:t>
            </w:r>
          </w:p>
          <w:p w:rsidR="00EA57F6" w:rsidRDefault="00EA57F6"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Pr="00262216" w:rsidRDefault="00F1379E" w:rsidP="009D6AE8">
            <w:pPr>
              <w:spacing w:before="120" w:after="120"/>
              <w:rPr>
                <w:b/>
                <w:i/>
              </w:rPr>
            </w:pPr>
            <w:r w:rsidRPr="00262216">
              <w:rPr>
                <w:b/>
                <w:i/>
              </w:rPr>
              <w:t>Accessibility of the Scheme</w:t>
            </w:r>
            <w:r w:rsidR="009D6AE8">
              <w:rPr>
                <w:b/>
                <w:i/>
              </w:rPr>
              <w:t xml:space="preserve"> – see pages </w:t>
            </w:r>
            <w:r w:rsidR="00363673">
              <w:rPr>
                <w:b/>
                <w:i/>
              </w:rPr>
              <w:t>13-16</w:t>
            </w:r>
          </w:p>
        </w:tc>
      </w:tr>
      <w:tr w:rsidR="00F1379E" w:rsidTr="00794C9E">
        <w:trPr>
          <w:trHeight w:val="454"/>
        </w:trPr>
        <w:tc>
          <w:tcPr>
            <w:tcW w:w="9430" w:type="dxa"/>
            <w:shd w:val="clear" w:color="auto" w:fill="D9D9D9" w:themeFill="background1" w:themeFillShade="D9"/>
          </w:tcPr>
          <w:p w:rsidR="00F1379E" w:rsidRDefault="00F1379E" w:rsidP="00794C9E">
            <w:pPr>
              <w:spacing w:before="120" w:after="120"/>
              <w:rPr>
                <w:b/>
              </w:rPr>
            </w:pPr>
            <w:r w:rsidRPr="00DC0F56">
              <w:rPr>
                <w:b/>
              </w:rPr>
              <w:t xml:space="preserve">Question </w:t>
            </w:r>
            <w:r w:rsidR="00012888">
              <w:rPr>
                <w:b/>
              </w:rPr>
              <w:t>4</w:t>
            </w:r>
            <w:r w:rsidRPr="00DC0F56">
              <w:rPr>
                <w:b/>
              </w:rPr>
              <w:t>: What measures can be implemented to reduce the time taken to gain accreditation?</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bl>
    <w:p w:rsidR="00DA7791" w:rsidRDefault="00DA7791"/>
    <w:tbl>
      <w:tblPr>
        <w:tblStyle w:val="TableGrid"/>
        <w:tblW w:w="0" w:type="auto"/>
        <w:tblLook w:val="04A0" w:firstRow="1" w:lastRow="0" w:firstColumn="1" w:lastColumn="0" w:noHBand="0" w:noVBand="1"/>
      </w:tblPr>
      <w:tblGrid>
        <w:gridCol w:w="9430"/>
      </w:tblGrid>
      <w:tr w:rsidR="00F1379E" w:rsidTr="00794C9E">
        <w:trPr>
          <w:trHeight w:val="454"/>
        </w:trPr>
        <w:tc>
          <w:tcPr>
            <w:tcW w:w="9430" w:type="dxa"/>
            <w:shd w:val="clear" w:color="auto" w:fill="D9D9D9" w:themeFill="background1" w:themeFillShade="D9"/>
          </w:tcPr>
          <w:p w:rsidR="00F1379E" w:rsidRDefault="00F1379E" w:rsidP="00B52FE9">
            <w:pPr>
              <w:spacing w:before="120" w:after="120"/>
              <w:rPr>
                <w:b/>
              </w:rPr>
            </w:pPr>
            <w:r w:rsidRPr="00DC0F56">
              <w:rPr>
                <w:b/>
              </w:rPr>
              <w:lastRenderedPageBreak/>
              <w:t xml:space="preserve">Question </w:t>
            </w:r>
            <w:r w:rsidR="00012888">
              <w:rPr>
                <w:b/>
              </w:rPr>
              <w:t>5</w:t>
            </w:r>
            <w:r w:rsidRPr="00DC0F56">
              <w:rPr>
                <w:b/>
              </w:rPr>
              <w:t xml:space="preserve">: </w:t>
            </w:r>
            <w:r w:rsidR="00D940D4" w:rsidRPr="00D940D4">
              <w:rPr>
                <w:b/>
              </w:rPr>
              <w:t xml:space="preserve">How can the accreditation process and communication of the process </w:t>
            </w:r>
            <w:proofErr w:type="gramStart"/>
            <w:r w:rsidR="00D940D4" w:rsidRPr="00D940D4">
              <w:rPr>
                <w:b/>
              </w:rPr>
              <w:t>be</w:t>
            </w:r>
            <w:proofErr w:type="gramEnd"/>
            <w:r w:rsidR="00D940D4" w:rsidRPr="00D940D4">
              <w:rPr>
                <w:b/>
              </w:rPr>
              <w:t xml:space="preserve"> improved to assist first time applicants?</w:t>
            </w:r>
          </w:p>
        </w:tc>
      </w:tr>
      <w:tr w:rsidR="00F1379E" w:rsidTr="00794C9E">
        <w:tc>
          <w:tcPr>
            <w:tcW w:w="9430" w:type="dxa"/>
          </w:tcPr>
          <w:p w:rsidR="00F1379E" w:rsidRDefault="00D04797" w:rsidP="00D931E5">
            <w:pPr>
              <w:spacing w:before="120" w:after="120"/>
              <w:rPr>
                <w:b/>
              </w:rPr>
            </w:pPr>
            <w:r>
              <w:rPr>
                <w:b/>
              </w:rPr>
              <w:t>Comment:</w:t>
            </w:r>
          </w:p>
          <w:p w:rsidR="00F1379E" w:rsidRDefault="00F1379E" w:rsidP="00D931E5">
            <w:pPr>
              <w:spacing w:before="120" w:after="120"/>
              <w:rPr>
                <w:b/>
              </w:rPr>
            </w:pPr>
          </w:p>
        </w:tc>
      </w:tr>
      <w:tr w:rsidR="00D04797" w:rsidTr="00794C9E">
        <w:trPr>
          <w:trHeight w:val="454"/>
        </w:trPr>
        <w:tc>
          <w:tcPr>
            <w:tcW w:w="9430" w:type="dxa"/>
            <w:shd w:val="clear" w:color="auto" w:fill="D9D9D9" w:themeFill="background1" w:themeFillShade="D9"/>
          </w:tcPr>
          <w:p w:rsidR="00D04797" w:rsidRPr="00012888" w:rsidRDefault="00D04797" w:rsidP="00012D4F">
            <w:pPr>
              <w:spacing w:before="120" w:after="120"/>
              <w:rPr>
                <w:b/>
              </w:rPr>
            </w:pPr>
            <w:r>
              <w:rPr>
                <w:b/>
              </w:rPr>
              <w:t xml:space="preserve">Question 6: What are the net additional costs and benefits (for example, beyond legislative requirements) of achieving and retaining accreditation under the Scheme? How can costs be minimised while not reducing safety </w:t>
            </w:r>
            <w:r w:rsidR="00012D4F">
              <w:rPr>
                <w:b/>
              </w:rPr>
              <w:t>standards</w:t>
            </w:r>
            <w:r>
              <w:rPr>
                <w:b/>
              </w:rPr>
              <w:t>?</w:t>
            </w:r>
          </w:p>
        </w:tc>
      </w:tr>
      <w:tr w:rsidR="00D04797" w:rsidTr="00D04797">
        <w:tc>
          <w:tcPr>
            <w:tcW w:w="9430" w:type="dxa"/>
          </w:tcPr>
          <w:p w:rsidR="00D04797" w:rsidRDefault="00D04797" w:rsidP="00130C32">
            <w:pPr>
              <w:spacing w:before="120" w:after="120"/>
              <w:rPr>
                <w:b/>
              </w:rPr>
            </w:pPr>
            <w:r>
              <w:rPr>
                <w:b/>
              </w:rPr>
              <w:t>Comment:</w:t>
            </w:r>
          </w:p>
          <w:p w:rsidR="00D04797" w:rsidRDefault="00D04797" w:rsidP="00130C32">
            <w:pPr>
              <w:spacing w:before="120" w:after="120"/>
              <w:rPr>
                <w:b/>
              </w:rPr>
            </w:pP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012888">
              <w:rPr>
                <w:b/>
              </w:rPr>
              <w:t xml:space="preserve">Question </w:t>
            </w:r>
            <w:r w:rsidR="00012D4F">
              <w:rPr>
                <w:b/>
              </w:rPr>
              <w:t>7</w:t>
            </w:r>
            <w:r w:rsidRPr="00012888">
              <w:rPr>
                <w:b/>
              </w:rPr>
              <w:t>: Should AS/</w:t>
            </w:r>
            <w:proofErr w:type="spellStart"/>
            <w:r w:rsidRPr="00012888">
              <w:rPr>
                <w:b/>
              </w:rPr>
              <w:t>NZS</w:t>
            </w:r>
            <w:proofErr w:type="spellEnd"/>
            <w:r w:rsidRPr="00012888">
              <w:rPr>
                <w:b/>
              </w:rPr>
              <w:t xml:space="preserve"> 4801:2001 certification be removed as a pre-requisite to applying for Scheme accreditation? </w:t>
            </w:r>
          </w:p>
        </w:tc>
      </w:tr>
      <w:tr w:rsidR="00F1379E" w:rsidTr="00794C9E">
        <w:tc>
          <w:tcPr>
            <w:tcW w:w="9430" w:type="dxa"/>
          </w:tcPr>
          <w:p w:rsidR="00012888" w:rsidRDefault="00012888" w:rsidP="00012888">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012888" w:rsidRDefault="00012888" w:rsidP="00012888">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012888">
              <w:rPr>
                <w:b/>
              </w:rPr>
              <w:t xml:space="preserve">Question </w:t>
            </w:r>
            <w:r w:rsidR="00012D4F">
              <w:rPr>
                <w:b/>
              </w:rPr>
              <w:t>8</w:t>
            </w:r>
            <w:r w:rsidRPr="00012888">
              <w:rPr>
                <w:b/>
              </w:rPr>
              <w:t>: What changes can be made to current requirements to make applying to the Scheme and achieving accreditation easier for smaller companies?</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012888" w:rsidTr="00794C9E">
        <w:trPr>
          <w:trHeight w:val="454"/>
        </w:trPr>
        <w:tc>
          <w:tcPr>
            <w:tcW w:w="9430" w:type="dxa"/>
            <w:shd w:val="clear" w:color="auto" w:fill="D9D9D9" w:themeFill="background1" w:themeFillShade="D9"/>
          </w:tcPr>
          <w:p w:rsidR="00012888" w:rsidRPr="00262216" w:rsidRDefault="00012888" w:rsidP="009D6AE8">
            <w:pPr>
              <w:spacing w:before="120" w:after="120"/>
              <w:rPr>
                <w:b/>
              </w:rPr>
            </w:pPr>
            <w:r w:rsidRPr="00794C9E">
              <w:rPr>
                <w:b/>
                <w:i/>
              </w:rPr>
              <w:t>Clarity of Scheme requirements</w:t>
            </w:r>
            <w:r w:rsidR="0056165A">
              <w:rPr>
                <w:b/>
                <w:i/>
              </w:rPr>
              <w:t xml:space="preserve"> </w:t>
            </w:r>
            <w:r w:rsidR="009D6AE8">
              <w:rPr>
                <w:b/>
                <w:i/>
              </w:rPr>
              <w:t>– see page</w:t>
            </w:r>
            <w:r w:rsidR="00363673">
              <w:rPr>
                <w:b/>
                <w:i/>
              </w:rPr>
              <w:t>s 14-18</w:t>
            </w: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012888">
              <w:rPr>
                <w:b/>
              </w:rPr>
              <w:t xml:space="preserve">Question </w:t>
            </w:r>
            <w:r w:rsidR="00012D4F">
              <w:rPr>
                <w:b/>
              </w:rPr>
              <w:t>9</w:t>
            </w:r>
            <w:r w:rsidRPr="00012888">
              <w:rPr>
                <w:b/>
              </w:rPr>
              <w:t>: What changes and support measures can be introduced to clarify criteria and Scheme requirements and assist companies in the accreditation process?</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C27B6A" w:rsidTr="00794C9E">
        <w:trPr>
          <w:trHeight w:val="454"/>
        </w:trPr>
        <w:tc>
          <w:tcPr>
            <w:tcW w:w="9430" w:type="dxa"/>
            <w:shd w:val="clear" w:color="auto" w:fill="D9D9D9" w:themeFill="background1" w:themeFillShade="D9"/>
          </w:tcPr>
          <w:p w:rsidR="00C27B6A" w:rsidRPr="00C23F80" w:rsidRDefault="00C27B6A" w:rsidP="00CA339C">
            <w:pPr>
              <w:spacing w:before="120" w:after="120"/>
              <w:rPr>
                <w:b/>
              </w:rPr>
            </w:pPr>
            <w:r w:rsidRPr="00C23F80">
              <w:rPr>
                <w:b/>
              </w:rPr>
              <w:t xml:space="preserve">Question </w:t>
            </w:r>
            <w:r w:rsidR="00012D4F">
              <w:rPr>
                <w:b/>
              </w:rPr>
              <w:t>10</w:t>
            </w:r>
            <w:r w:rsidRPr="00C23F80">
              <w:rPr>
                <w:b/>
              </w:rPr>
              <w:t xml:space="preserve">: In what ways can the interaction between principal contractors and subcontractors be </w:t>
            </w:r>
            <w:r w:rsidR="00CA339C">
              <w:rPr>
                <w:b/>
              </w:rPr>
              <w:t>improved to increase clarity</w:t>
            </w:r>
            <w:r w:rsidR="00012D4F">
              <w:rPr>
                <w:b/>
              </w:rPr>
              <w:t xml:space="preserve"> </w:t>
            </w:r>
            <w:r w:rsidR="00CA339C">
              <w:rPr>
                <w:b/>
              </w:rPr>
              <w:t xml:space="preserve">of requirements </w:t>
            </w:r>
            <w:r w:rsidR="00012D4F">
              <w:rPr>
                <w:b/>
              </w:rPr>
              <w:t>and reduce compliance costs</w:t>
            </w:r>
            <w:r w:rsidRPr="00C23F80">
              <w:rPr>
                <w:b/>
              </w:rPr>
              <w:t>?</w:t>
            </w:r>
          </w:p>
        </w:tc>
      </w:tr>
      <w:tr w:rsidR="00C27B6A" w:rsidTr="00C27B6A">
        <w:trPr>
          <w:trHeight w:val="454"/>
        </w:trPr>
        <w:tc>
          <w:tcPr>
            <w:tcW w:w="9430" w:type="dxa"/>
            <w:shd w:val="clear" w:color="auto" w:fill="FFFFFF" w:themeFill="background1"/>
          </w:tcPr>
          <w:p w:rsidR="00C27B6A" w:rsidRDefault="00C27B6A" w:rsidP="0056165A">
            <w:pPr>
              <w:spacing w:before="120" w:after="120"/>
              <w:rPr>
                <w:b/>
                <w:i/>
              </w:rPr>
            </w:pPr>
            <w:r>
              <w:rPr>
                <w:b/>
                <w:i/>
              </w:rPr>
              <w:t>Comment:</w:t>
            </w:r>
          </w:p>
          <w:p w:rsidR="00C27B6A" w:rsidRPr="00262216" w:rsidRDefault="00C27B6A" w:rsidP="0056165A">
            <w:pPr>
              <w:spacing w:before="120" w:after="120"/>
              <w:rPr>
                <w:b/>
                <w:i/>
              </w:rPr>
            </w:pPr>
          </w:p>
        </w:tc>
      </w:tr>
      <w:tr w:rsidR="00F1379E" w:rsidTr="00794C9E">
        <w:trPr>
          <w:trHeight w:val="454"/>
        </w:trPr>
        <w:tc>
          <w:tcPr>
            <w:tcW w:w="9430" w:type="dxa"/>
            <w:shd w:val="clear" w:color="auto" w:fill="D9D9D9" w:themeFill="background1" w:themeFillShade="D9"/>
          </w:tcPr>
          <w:p w:rsidR="00F1379E" w:rsidRPr="00262216" w:rsidRDefault="00F1379E" w:rsidP="009D6AE8">
            <w:pPr>
              <w:spacing w:before="120" w:after="120"/>
              <w:rPr>
                <w:b/>
                <w:i/>
              </w:rPr>
            </w:pPr>
            <w:r w:rsidRPr="00262216">
              <w:rPr>
                <w:b/>
                <w:i/>
              </w:rPr>
              <w:t>Ongoing Accreditation Compliance requirements</w:t>
            </w:r>
            <w:r w:rsidR="0056165A">
              <w:rPr>
                <w:b/>
                <w:i/>
              </w:rPr>
              <w:t xml:space="preserve"> – see pages </w:t>
            </w:r>
            <w:r w:rsidR="00363673">
              <w:rPr>
                <w:b/>
                <w:i/>
              </w:rPr>
              <w:t>18-22</w:t>
            </w: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012888">
              <w:rPr>
                <w:b/>
              </w:rPr>
              <w:t xml:space="preserve">Question </w:t>
            </w:r>
            <w:r w:rsidR="00C27B6A">
              <w:rPr>
                <w:b/>
              </w:rPr>
              <w:t>1</w:t>
            </w:r>
            <w:r w:rsidR="00012D4F">
              <w:rPr>
                <w:b/>
              </w:rPr>
              <w:t>1</w:t>
            </w:r>
            <w:r w:rsidRPr="00012888">
              <w:rPr>
                <w:b/>
              </w:rPr>
              <w:t>: Is the current accreditation period of up to three years appropriate? If not what should it be?</w:t>
            </w:r>
          </w:p>
        </w:tc>
      </w:tr>
      <w:tr w:rsidR="00F1379E" w:rsidTr="00794C9E">
        <w:tc>
          <w:tcPr>
            <w:tcW w:w="9430" w:type="dxa"/>
          </w:tcPr>
          <w:p w:rsidR="00F1379E" w:rsidRDefault="00F1379E" w:rsidP="00D931E5">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012888">
              <w:rPr>
                <w:b/>
              </w:rPr>
              <w:lastRenderedPageBreak/>
              <w:t>Question 1</w:t>
            </w:r>
            <w:r w:rsidR="00012D4F">
              <w:rPr>
                <w:b/>
              </w:rPr>
              <w:t>2</w:t>
            </w:r>
            <w:r w:rsidRPr="00012888">
              <w:rPr>
                <w:b/>
              </w:rPr>
              <w:t>: Should reaccreditation be treated differently to accreditation? In what ways?</w:t>
            </w:r>
          </w:p>
        </w:tc>
      </w:tr>
      <w:tr w:rsidR="00F1379E" w:rsidTr="00794C9E">
        <w:tc>
          <w:tcPr>
            <w:tcW w:w="9430" w:type="dxa"/>
          </w:tcPr>
          <w:p w:rsidR="00F1379E" w:rsidRDefault="00F1379E" w:rsidP="00D931E5">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A253B1" w:rsidP="00681755">
            <w:pPr>
              <w:spacing w:before="120" w:after="120"/>
              <w:rPr>
                <w:b/>
              </w:rPr>
            </w:pPr>
            <w:r>
              <w:rPr>
                <w:b/>
              </w:rPr>
              <w:t>Q</w:t>
            </w:r>
            <w:r w:rsidR="00012888" w:rsidRPr="00012888">
              <w:rPr>
                <w:b/>
              </w:rPr>
              <w:t>uestion 1</w:t>
            </w:r>
            <w:r w:rsidR="00012D4F">
              <w:rPr>
                <w:b/>
              </w:rPr>
              <w:t>3</w:t>
            </w:r>
            <w:r w:rsidR="00012888" w:rsidRPr="00012888">
              <w:rPr>
                <w:b/>
              </w:rPr>
              <w:t xml:space="preserve">: How </w:t>
            </w:r>
            <w:r w:rsidR="00012D4F">
              <w:rPr>
                <w:b/>
              </w:rPr>
              <w:t xml:space="preserve">would </w:t>
            </w:r>
            <w:r w:rsidR="00012888" w:rsidRPr="00012888">
              <w:rPr>
                <w:b/>
              </w:rPr>
              <w:t xml:space="preserve">we </w:t>
            </w:r>
            <w:r w:rsidR="00012D4F">
              <w:rPr>
                <w:b/>
              </w:rPr>
              <w:t xml:space="preserve">better </w:t>
            </w:r>
            <w:r w:rsidR="00012888" w:rsidRPr="00012888">
              <w:rPr>
                <w:b/>
              </w:rPr>
              <w:t xml:space="preserve">ensure that companies maintain the standard achieved at accreditation </w:t>
            </w:r>
            <w:r w:rsidR="00681755">
              <w:rPr>
                <w:b/>
              </w:rPr>
              <w:t xml:space="preserve">into the future and </w:t>
            </w:r>
            <w:r w:rsidR="00012888" w:rsidRPr="00012888">
              <w:rPr>
                <w:b/>
              </w:rPr>
              <w:t>across all projects? How can an element of the unknown be added to audits?</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9E3EBA" w:rsidTr="00794C9E">
        <w:trPr>
          <w:trHeight w:val="454"/>
        </w:trPr>
        <w:tc>
          <w:tcPr>
            <w:tcW w:w="9430" w:type="dxa"/>
            <w:shd w:val="clear" w:color="auto" w:fill="D9D9D9" w:themeFill="background1" w:themeFillShade="D9"/>
          </w:tcPr>
          <w:p w:rsidR="009E3EBA" w:rsidRPr="003C236A" w:rsidRDefault="009E3EBA" w:rsidP="00C27B6A">
            <w:pPr>
              <w:spacing w:before="120" w:after="120"/>
              <w:rPr>
                <w:b/>
              </w:rPr>
            </w:pPr>
            <w:r w:rsidRPr="009E3EBA">
              <w:rPr>
                <w:b/>
              </w:rPr>
              <w:t>Question 1</w:t>
            </w:r>
            <w:r w:rsidR="00012D4F">
              <w:rPr>
                <w:b/>
              </w:rPr>
              <w:t>4</w:t>
            </w:r>
            <w:r w:rsidRPr="009E3EBA">
              <w:rPr>
                <w:b/>
              </w:rPr>
              <w:t>: What factors can be taken into account in undertaking a risk assessment of a company’s performance during its accreditation?</w:t>
            </w:r>
            <w:r w:rsidR="00130C32">
              <w:rPr>
                <w:b/>
              </w:rPr>
              <w:t xml:space="preserve"> What would be the key risk indicators?</w:t>
            </w:r>
          </w:p>
        </w:tc>
      </w:tr>
      <w:tr w:rsidR="009E3EBA" w:rsidTr="009E3EBA">
        <w:trPr>
          <w:trHeight w:val="454"/>
        </w:trPr>
        <w:tc>
          <w:tcPr>
            <w:tcW w:w="9430" w:type="dxa"/>
            <w:shd w:val="clear" w:color="auto" w:fill="FFFFFF" w:themeFill="background1"/>
          </w:tcPr>
          <w:p w:rsidR="009E3EBA" w:rsidRDefault="009E3EBA" w:rsidP="00794C9E">
            <w:pPr>
              <w:spacing w:before="120" w:after="120"/>
              <w:rPr>
                <w:b/>
              </w:rPr>
            </w:pPr>
            <w:r>
              <w:rPr>
                <w:b/>
              </w:rPr>
              <w:t>Comment:</w:t>
            </w:r>
          </w:p>
          <w:p w:rsidR="009E3EBA" w:rsidRPr="003C236A" w:rsidRDefault="009E3EBA" w:rsidP="00794C9E">
            <w:pPr>
              <w:spacing w:before="120" w:after="120"/>
              <w:rPr>
                <w:b/>
              </w:rPr>
            </w:pPr>
          </w:p>
        </w:tc>
      </w:tr>
      <w:tr w:rsidR="00F1379E" w:rsidTr="00794C9E">
        <w:trPr>
          <w:trHeight w:val="454"/>
        </w:trPr>
        <w:tc>
          <w:tcPr>
            <w:tcW w:w="9430" w:type="dxa"/>
            <w:shd w:val="clear" w:color="auto" w:fill="D9D9D9" w:themeFill="background1" w:themeFillShade="D9"/>
          </w:tcPr>
          <w:p w:rsidR="00012888" w:rsidRPr="00794C9E" w:rsidRDefault="00012888" w:rsidP="00794C9E">
            <w:pPr>
              <w:spacing w:before="120" w:after="120"/>
              <w:rPr>
                <w:b/>
              </w:rPr>
            </w:pPr>
            <w:r w:rsidRPr="003C236A">
              <w:rPr>
                <w:b/>
              </w:rPr>
              <w:t>Question 1</w:t>
            </w:r>
            <w:r w:rsidR="00012D4F">
              <w:rPr>
                <w:b/>
              </w:rPr>
              <w:t>5</w:t>
            </w:r>
            <w:r w:rsidRPr="00794C9E">
              <w:rPr>
                <w:b/>
              </w:rPr>
              <w:t xml:space="preserve">: </w:t>
            </w:r>
            <w:r w:rsidR="00866A17">
              <w:rPr>
                <w:b/>
              </w:rPr>
              <w:t xml:space="preserve">Should there be </w:t>
            </w:r>
            <w:r w:rsidRPr="00794C9E">
              <w:rPr>
                <w:b/>
              </w:rPr>
              <w:t xml:space="preserve">an annual fee for maintaining accreditation once accredited? Would this fee foster greater voluntary compliance? </w:t>
            </w:r>
          </w:p>
          <w:p w:rsidR="00F1379E" w:rsidRDefault="00F1379E" w:rsidP="00D931E5">
            <w:pPr>
              <w:spacing w:before="120" w:after="120"/>
              <w:rPr>
                <w:b/>
              </w:rPr>
            </w:pPr>
          </w:p>
        </w:tc>
      </w:tr>
      <w:tr w:rsidR="00F1379E" w:rsidTr="00794C9E">
        <w:tc>
          <w:tcPr>
            <w:tcW w:w="9430" w:type="dxa"/>
          </w:tcPr>
          <w:p w:rsidR="00F1379E" w:rsidRPr="00866A17" w:rsidRDefault="00F1379E" w:rsidP="00866A17">
            <w:pPr>
              <w:spacing w:before="120" w:after="120"/>
              <w:rPr>
                <w:b/>
              </w:rPr>
            </w:pPr>
            <w:r w:rsidRPr="00866A17">
              <w:rPr>
                <w:b/>
              </w:rPr>
              <w:fldChar w:fldCharType="begin">
                <w:ffData>
                  <w:name w:val="Check1"/>
                  <w:enabled/>
                  <w:calcOnExit w:val="0"/>
                  <w:checkBox>
                    <w:sizeAuto/>
                    <w:default w:val="0"/>
                  </w:checkBox>
                </w:ffData>
              </w:fldChar>
            </w:r>
            <w:r w:rsidRPr="00866A17">
              <w:rPr>
                <w:b/>
              </w:rPr>
              <w:instrText xml:space="preserve"> FORMCHECKBOX </w:instrText>
            </w:r>
            <w:r w:rsidR="00D07E8E">
              <w:rPr>
                <w:b/>
              </w:rPr>
            </w:r>
            <w:r w:rsidR="00D07E8E">
              <w:rPr>
                <w:b/>
              </w:rPr>
              <w:fldChar w:fldCharType="separate"/>
            </w:r>
            <w:r w:rsidRPr="00866A17">
              <w:rPr>
                <w:b/>
              </w:rPr>
              <w:fldChar w:fldCharType="end"/>
            </w:r>
            <w:r w:rsidRPr="00866A17">
              <w:rPr>
                <w:b/>
              </w:rPr>
              <w:t xml:space="preserve"> Yes  </w:t>
            </w:r>
            <w:r w:rsidRPr="00866A17">
              <w:rPr>
                <w:b/>
              </w:rPr>
              <w:fldChar w:fldCharType="begin">
                <w:ffData>
                  <w:name w:val="Check2"/>
                  <w:enabled/>
                  <w:calcOnExit w:val="0"/>
                  <w:checkBox>
                    <w:sizeAuto/>
                    <w:default w:val="0"/>
                  </w:checkBox>
                </w:ffData>
              </w:fldChar>
            </w:r>
            <w:r w:rsidRPr="00866A17">
              <w:rPr>
                <w:b/>
              </w:rPr>
              <w:instrText xml:space="preserve"> FORMCHECKBOX </w:instrText>
            </w:r>
            <w:r w:rsidR="00D07E8E">
              <w:rPr>
                <w:b/>
              </w:rPr>
            </w:r>
            <w:r w:rsidR="00D07E8E">
              <w:rPr>
                <w:b/>
              </w:rPr>
              <w:fldChar w:fldCharType="separate"/>
            </w:r>
            <w:r w:rsidRPr="00866A17">
              <w:rPr>
                <w:b/>
              </w:rPr>
              <w:fldChar w:fldCharType="end"/>
            </w:r>
            <w:r w:rsidRPr="00866A17">
              <w:rPr>
                <w:b/>
              </w:rPr>
              <w:t xml:space="preserve"> No</w:t>
            </w:r>
          </w:p>
          <w:p w:rsidR="00F1379E" w:rsidRPr="00866A17" w:rsidRDefault="00F1379E" w:rsidP="00866A17">
            <w:pPr>
              <w:spacing w:before="120" w:after="120"/>
              <w:rPr>
                <w:b/>
              </w:rPr>
            </w:pPr>
            <w:r w:rsidRPr="00866A17">
              <w:rPr>
                <w:b/>
              </w:rPr>
              <w:fldChar w:fldCharType="begin">
                <w:ffData>
                  <w:name w:val="Check3"/>
                  <w:enabled/>
                  <w:calcOnExit w:val="0"/>
                  <w:checkBox>
                    <w:sizeAuto/>
                    <w:default w:val="0"/>
                  </w:checkBox>
                </w:ffData>
              </w:fldChar>
            </w:r>
            <w:r w:rsidRPr="00866A17">
              <w:rPr>
                <w:b/>
              </w:rPr>
              <w:instrText xml:space="preserve"> FORMCHECKBOX </w:instrText>
            </w:r>
            <w:r w:rsidR="00D07E8E">
              <w:rPr>
                <w:b/>
              </w:rPr>
            </w:r>
            <w:r w:rsidR="00D07E8E">
              <w:rPr>
                <w:b/>
              </w:rPr>
              <w:fldChar w:fldCharType="separate"/>
            </w:r>
            <w:r w:rsidRPr="00866A17">
              <w:rPr>
                <w:b/>
              </w:rPr>
              <w:fldChar w:fldCharType="end"/>
            </w:r>
            <w:r w:rsidRPr="00866A17">
              <w:rPr>
                <w:b/>
              </w:rPr>
              <w:t xml:space="preserve"> Yes  </w:t>
            </w:r>
            <w:r w:rsidRPr="00866A17">
              <w:rPr>
                <w:b/>
              </w:rPr>
              <w:fldChar w:fldCharType="begin">
                <w:ffData>
                  <w:name w:val="Check4"/>
                  <w:enabled/>
                  <w:calcOnExit w:val="0"/>
                  <w:checkBox>
                    <w:sizeAuto/>
                    <w:default w:val="0"/>
                  </w:checkBox>
                </w:ffData>
              </w:fldChar>
            </w:r>
            <w:r w:rsidRPr="00866A17">
              <w:rPr>
                <w:b/>
              </w:rPr>
              <w:instrText xml:space="preserve"> FORMCHECKBOX </w:instrText>
            </w:r>
            <w:r w:rsidR="00D07E8E">
              <w:rPr>
                <w:b/>
              </w:rPr>
            </w:r>
            <w:r w:rsidR="00D07E8E">
              <w:rPr>
                <w:b/>
              </w:rPr>
              <w:fldChar w:fldCharType="separate"/>
            </w:r>
            <w:r w:rsidRPr="00866A17">
              <w:rPr>
                <w:b/>
              </w:rPr>
              <w:fldChar w:fldCharType="end"/>
            </w:r>
            <w:r w:rsidRPr="00866A17">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012888">
              <w:rPr>
                <w:b/>
              </w:rPr>
              <w:t>Question 1</w:t>
            </w:r>
            <w:r w:rsidR="00012D4F">
              <w:rPr>
                <w:b/>
              </w:rPr>
              <w:t>6</w:t>
            </w:r>
            <w:r w:rsidRPr="00012888">
              <w:rPr>
                <w:b/>
              </w:rPr>
              <w:t>: Is the WHS data collected by the OFSC and the data analysis produced appropriate and beneficial? How could collection and analysis be improved?</w:t>
            </w:r>
          </w:p>
        </w:tc>
      </w:tr>
      <w:tr w:rsidR="00F1379E" w:rsidTr="00794C9E">
        <w:tc>
          <w:tcPr>
            <w:tcW w:w="9430" w:type="dxa"/>
          </w:tcPr>
          <w:p w:rsidR="00F1379E" w:rsidRDefault="00F1379E" w:rsidP="00D931E5">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012D4F" w:rsidRPr="00012D4F" w:rsidTr="00012D4F">
        <w:trPr>
          <w:trHeight w:val="454"/>
        </w:trPr>
        <w:tc>
          <w:tcPr>
            <w:tcW w:w="9430" w:type="dxa"/>
            <w:shd w:val="clear" w:color="auto" w:fill="D9D9D9" w:themeFill="background1" w:themeFillShade="D9"/>
          </w:tcPr>
          <w:p w:rsidR="00012D4F" w:rsidRDefault="00012D4F" w:rsidP="00012D4F">
            <w:pPr>
              <w:spacing w:before="120" w:after="120"/>
              <w:rPr>
                <w:b/>
              </w:rPr>
            </w:pPr>
            <w:r w:rsidRPr="00012888">
              <w:rPr>
                <w:b/>
              </w:rPr>
              <w:t>Question 1</w:t>
            </w:r>
            <w:r>
              <w:rPr>
                <w:b/>
              </w:rPr>
              <w:t>7</w:t>
            </w:r>
            <w:r w:rsidRPr="00012888">
              <w:rPr>
                <w:b/>
              </w:rPr>
              <w:t xml:space="preserve">: </w:t>
            </w:r>
            <w:r>
              <w:rPr>
                <w:b/>
              </w:rPr>
              <w:t xml:space="preserve">How could the information disseminated to industry </w:t>
            </w:r>
            <w:proofErr w:type="gramStart"/>
            <w:r>
              <w:rPr>
                <w:b/>
              </w:rPr>
              <w:t>be</w:t>
            </w:r>
            <w:proofErr w:type="gramEnd"/>
            <w:r>
              <w:rPr>
                <w:b/>
              </w:rPr>
              <w:t xml:space="preserve"> improved to better educate for best practice and benchmarking to provide self-help opportunities for companies?</w:t>
            </w:r>
          </w:p>
        </w:tc>
      </w:tr>
      <w:tr w:rsidR="00012D4F" w:rsidTr="00012D4F">
        <w:tc>
          <w:tcPr>
            <w:tcW w:w="9430" w:type="dxa"/>
          </w:tcPr>
          <w:p w:rsidR="00012D4F" w:rsidRDefault="00012D4F" w:rsidP="00130C32">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012D4F" w:rsidRDefault="00012D4F" w:rsidP="00130C32">
            <w:pPr>
              <w:spacing w:before="120" w:after="120"/>
              <w:rPr>
                <w:b/>
              </w:rPr>
            </w:pPr>
            <w:r>
              <w:rPr>
                <w:b/>
              </w:rPr>
              <w:t>Comment:</w:t>
            </w:r>
          </w:p>
          <w:p w:rsidR="00012D4F" w:rsidRDefault="00012D4F" w:rsidP="00130C32">
            <w:pPr>
              <w:spacing w:before="120" w:after="120"/>
              <w:rPr>
                <w:b/>
              </w:rPr>
            </w:pPr>
          </w:p>
        </w:tc>
      </w:tr>
    </w:tbl>
    <w:p w:rsidR="006D6D0E" w:rsidRDefault="006D6D0E">
      <w:r>
        <w:br w:type="page"/>
      </w:r>
    </w:p>
    <w:tbl>
      <w:tblPr>
        <w:tblStyle w:val="TableGrid"/>
        <w:tblW w:w="0" w:type="auto"/>
        <w:tblLook w:val="04A0" w:firstRow="1" w:lastRow="0" w:firstColumn="1" w:lastColumn="0" w:noHBand="0" w:noVBand="1"/>
      </w:tblPr>
      <w:tblGrid>
        <w:gridCol w:w="9430"/>
      </w:tblGrid>
      <w:tr w:rsidR="00012888" w:rsidTr="00012888">
        <w:trPr>
          <w:trHeight w:val="454"/>
        </w:trPr>
        <w:tc>
          <w:tcPr>
            <w:tcW w:w="9430" w:type="dxa"/>
            <w:shd w:val="clear" w:color="auto" w:fill="D9D9D9" w:themeFill="background1" w:themeFillShade="D9"/>
          </w:tcPr>
          <w:p w:rsidR="00012888" w:rsidRPr="00794C9E" w:rsidRDefault="00012888" w:rsidP="009D6AE8">
            <w:pPr>
              <w:spacing w:before="120" w:after="120"/>
              <w:rPr>
                <w:b/>
                <w:i/>
              </w:rPr>
            </w:pPr>
            <w:r w:rsidRPr="00794C9E">
              <w:rPr>
                <w:b/>
                <w:i/>
              </w:rPr>
              <w:lastRenderedPageBreak/>
              <w:t xml:space="preserve">OFSC and </w:t>
            </w:r>
            <w:proofErr w:type="spellStart"/>
            <w:r w:rsidRPr="00794C9E">
              <w:rPr>
                <w:b/>
                <w:i/>
              </w:rPr>
              <w:t>FSO</w:t>
            </w:r>
            <w:proofErr w:type="spellEnd"/>
            <w:r w:rsidRPr="00794C9E">
              <w:rPr>
                <w:b/>
                <w:i/>
              </w:rPr>
              <w:t xml:space="preserve"> performance</w:t>
            </w:r>
            <w:r w:rsidR="009D6AE8">
              <w:rPr>
                <w:b/>
                <w:i/>
              </w:rPr>
              <w:t xml:space="preserve"> – see pages </w:t>
            </w:r>
            <w:r w:rsidR="00363673">
              <w:rPr>
                <w:b/>
                <w:i/>
              </w:rPr>
              <w:t>23-25</w:t>
            </w:r>
          </w:p>
        </w:tc>
      </w:tr>
      <w:tr w:rsidR="00F1379E" w:rsidTr="00794C9E">
        <w:trPr>
          <w:trHeight w:val="454"/>
        </w:trPr>
        <w:tc>
          <w:tcPr>
            <w:tcW w:w="9430" w:type="dxa"/>
            <w:shd w:val="clear" w:color="auto" w:fill="D9D9D9" w:themeFill="background1" w:themeFillShade="D9"/>
          </w:tcPr>
          <w:p w:rsidR="00F1379E" w:rsidRDefault="009E3EBA" w:rsidP="00C23F80">
            <w:pPr>
              <w:spacing w:before="120" w:after="120"/>
              <w:rPr>
                <w:b/>
              </w:rPr>
            </w:pPr>
            <w:r>
              <w:rPr>
                <w:b/>
              </w:rPr>
              <w:t>Question 1</w:t>
            </w:r>
            <w:r w:rsidR="00012D4F">
              <w:rPr>
                <w:b/>
              </w:rPr>
              <w:t>8</w:t>
            </w:r>
            <w:r w:rsidR="00012888" w:rsidRPr="00012888">
              <w:rPr>
                <w:b/>
              </w:rPr>
              <w:t xml:space="preserve">: How can </w:t>
            </w:r>
            <w:proofErr w:type="spellStart"/>
            <w:r w:rsidR="00012888" w:rsidRPr="00012888">
              <w:rPr>
                <w:b/>
              </w:rPr>
              <w:t>FSO</w:t>
            </w:r>
            <w:proofErr w:type="spellEnd"/>
            <w:r w:rsidR="00012888" w:rsidRPr="00012888">
              <w:rPr>
                <w:b/>
              </w:rPr>
              <w:t xml:space="preserve"> consistency </w:t>
            </w:r>
            <w:r w:rsidR="00C27B6A">
              <w:rPr>
                <w:b/>
              </w:rPr>
              <w:t xml:space="preserve">in behaviour and audit interpretation </w:t>
            </w:r>
            <w:proofErr w:type="gramStart"/>
            <w:r w:rsidR="00012888" w:rsidRPr="00012888">
              <w:rPr>
                <w:b/>
              </w:rPr>
              <w:t>be</w:t>
            </w:r>
            <w:proofErr w:type="gramEnd"/>
            <w:r w:rsidR="00012888" w:rsidRPr="00012888">
              <w:rPr>
                <w:b/>
              </w:rPr>
              <w:t xml:space="preserve"> improved and reporting of specific instances of inconsistency be increased?</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012888" w:rsidP="00C23F80">
            <w:pPr>
              <w:spacing w:before="120" w:after="120"/>
              <w:rPr>
                <w:b/>
              </w:rPr>
            </w:pPr>
            <w:r w:rsidRPr="00012888">
              <w:rPr>
                <w:b/>
              </w:rPr>
              <w:t>Question 1</w:t>
            </w:r>
            <w:r w:rsidR="00012D4F">
              <w:rPr>
                <w:b/>
              </w:rPr>
              <w:t>9</w:t>
            </w:r>
            <w:r w:rsidRPr="00012888">
              <w:rPr>
                <w:b/>
              </w:rPr>
              <w:t xml:space="preserve">: </w:t>
            </w:r>
            <w:r w:rsidR="00281EAC" w:rsidRPr="00281EAC">
              <w:rPr>
                <w:b/>
              </w:rPr>
              <w:t xml:space="preserve">Is </w:t>
            </w:r>
            <w:proofErr w:type="spellStart"/>
            <w:r w:rsidR="00281EAC" w:rsidRPr="00281EAC">
              <w:rPr>
                <w:b/>
              </w:rPr>
              <w:t>FSO</w:t>
            </w:r>
            <w:proofErr w:type="spellEnd"/>
            <w:r w:rsidR="00281EAC" w:rsidRPr="00281EAC">
              <w:rPr>
                <w:b/>
              </w:rPr>
              <w:t xml:space="preserve"> conflict of interest an issue? If yes, in what ways can it be addressed?  </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9E3EBA" w:rsidP="00012D4F">
            <w:pPr>
              <w:spacing w:before="120" w:after="120"/>
              <w:rPr>
                <w:b/>
              </w:rPr>
            </w:pPr>
            <w:r>
              <w:rPr>
                <w:b/>
              </w:rPr>
              <w:t xml:space="preserve">Question </w:t>
            </w:r>
            <w:r w:rsidR="00012D4F">
              <w:rPr>
                <w:b/>
              </w:rPr>
              <w:t>20</w:t>
            </w:r>
            <w:r w:rsidR="00012888" w:rsidRPr="00012888">
              <w:rPr>
                <w:b/>
              </w:rPr>
              <w:t>: How can the OFSC improve its own performance?</w:t>
            </w:r>
            <w:r w:rsidR="00C27B6A">
              <w:rPr>
                <w:b/>
              </w:rPr>
              <w:t xml:space="preserve"> </w:t>
            </w:r>
            <w:r w:rsidR="00C23F80">
              <w:rPr>
                <w:b/>
              </w:rPr>
              <w:t>In what ways can the OFSC better articulate its message of improved safety and cultural change to the industry?</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Pr="00262216" w:rsidRDefault="00F1379E" w:rsidP="009D6AE8">
            <w:pPr>
              <w:spacing w:before="120" w:after="120"/>
              <w:rPr>
                <w:b/>
                <w:i/>
              </w:rPr>
            </w:pPr>
            <w:r w:rsidRPr="00262216">
              <w:rPr>
                <w:b/>
                <w:i/>
              </w:rPr>
              <w:t>Agencies</w:t>
            </w:r>
            <w:r w:rsidR="000A15F6">
              <w:rPr>
                <w:b/>
                <w:i/>
              </w:rPr>
              <w:t xml:space="preserve">’ </w:t>
            </w:r>
            <w:r w:rsidRPr="00262216">
              <w:rPr>
                <w:b/>
                <w:i/>
              </w:rPr>
              <w:t>adherence to Scheme requirements</w:t>
            </w:r>
            <w:r w:rsidR="0056165A">
              <w:rPr>
                <w:b/>
                <w:i/>
              </w:rPr>
              <w:t xml:space="preserve"> – see pages </w:t>
            </w:r>
            <w:r w:rsidR="00363673">
              <w:rPr>
                <w:b/>
                <w:i/>
              </w:rPr>
              <w:t>26-27</w:t>
            </w:r>
          </w:p>
        </w:tc>
      </w:tr>
      <w:tr w:rsidR="00F1379E" w:rsidTr="00794C9E">
        <w:trPr>
          <w:trHeight w:val="454"/>
        </w:trPr>
        <w:tc>
          <w:tcPr>
            <w:tcW w:w="9430" w:type="dxa"/>
            <w:shd w:val="clear" w:color="auto" w:fill="D9D9D9" w:themeFill="background1" w:themeFillShade="D9"/>
          </w:tcPr>
          <w:p w:rsidR="00F1379E" w:rsidRDefault="009E3EBA" w:rsidP="00012D4F">
            <w:pPr>
              <w:spacing w:before="120" w:after="120"/>
              <w:rPr>
                <w:b/>
              </w:rPr>
            </w:pPr>
            <w:r>
              <w:rPr>
                <w:b/>
              </w:rPr>
              <w:t xml:space="preserve">Question </w:t>
            </w:r>
            <w:r w:rsidR="00012D4F">
              <w:rPr>
                <w:b/>
              </w:rPr>
              <w:t>21</w:t>
            </w:r>
            <w:r w:rsidR="00012888" w:rsidRPr="00012888">
              <w:rPr>
                <w:b/>
              </w:rPr>
              <w:t>: What can the OFSC do to assist agencies to comply with Scheme requirements?</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Pr="00262216" w:rsidRDefault="00F1379E" w:rsidP="009D6AE8">
            <w:pPr>
              <w:spacing w:before="120" w:after="120"/>
              <w:rPr>
                <w:b/>
                <w:i/>
              </w:rPr>
            </w:pPr>
            <w:r w:rsidRPr="00262216">
              <w:rPr>
                <w:b/>
                <w:i/>
              </w:rPr>
              <w:t xml:space="preserve">Interaction of the Scheme with other compliance requirements </w:t>
            </w:r>
            <w:r w:rsidR="0056165A">
              <w:rPr>
                <w:b/>
                <w:i/>
              </w:rPr>
              <w:t xml:space="preserve">– see pages </w:t>
            </w:r>
            <w:r w:rsidR="00363673">
              <w:rPr>
                <w:b/>
                <w:i/>
              </w:rPr>
              <w:t>27-29</w:t>
            </w:r>
          </w:p>
        </w:tc>
      </w:tr>
      <w:tr w:rsidR="00F1379E" w:rsidTr="00794C9E">
        <w:trPr>
          <w:trHeight w:val="454"/>
        </w:trPr>
        <w:tc>
          <w:tcPr>
            <w:tcW w:w="9430" w:type="dxa"/>
            <w:shd w:val="clear" w:color="auto" w:fill="D9D9D9" w:themeFill="background1" w:themeFillShade="D9"/>
          </w:tcPr>
          <w:p w:rsidR="00F1379E" w:rsidRDefault="00425777" w:rsidP="00012D4F">
            <w:pPr>
              <w:spacing w:before="120" w:after="120"/>
              <w:rPr>
                <w:b/>
              </w:rPr>
            </w:pPr>
            <w:r>
              <w:rPr>
                <w:b/>
              </w:rPr>
              <w:t>Question 2</w:t>
            </w:r>
            <w:r w:rsidR="00012D4F">
              <w:rPr>
                <w:b/>
              </w:rPr>
              <w:t>2</w:t>
            </w:r>
            <w:r w:rsidR="00012888" w:rsidRPr="00012888">
              <w:rPr>
                <w:b/>
              </w:rPr>
              <w:t xml:space="preserve">: What changes should be made to the way the industry utilises </w:t>
            </w:r>
            <w:proofErr w:type="spellStart"/>
            <w:r w:rsidR="00012888" w:rsidRPr="00012888">
              <w:rPr>
                <w:b/>
              </w:rPr>
              <w:t>SWMS</w:t>
            </w:r>
            <w:proofErr w:type="spellEnd"/>
            <w:r w:rsidR="00012888" w:rsidRPr="00012888">
              <w:rPr>
                <w:b/>
              </w:rPr>
              <w:t>? What role can the OFSC play to facilitate this change?</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012888" w:rsidP="00012D4F">
            <w:pPr>
              <w:spacing w:before="120" w:after="120"/>
              <w:rPr>
                <w:b/>
              </w:rPr>
            </w:pPr>
            <w:r w:rsidRPr="003C236A">
              <w:rPr>
                <w:b/>
              </w:rPr>
              <w:t>Question</w:t>
            </w:r>
            <w:r w:rsidR="009E3EBA">
              <w:rPr>
                <w:b/>
              </w:rPr>
              <w:t xml:space="preserve"> 2</w:t>
            </w:r>
            <w:r w:rsidR="00012D4F">
              <w:rPr>
                <w:b/>
              </w:rPr>
              <w:t>3</w:t>
            </w:r>
            <w:r w:rsidRPr="00794C9E">
              <w:rPr>
                <w:b/>
              </w:rPr>
              <w:t xml:space="preserve">: </w:t>
            </w:r>
            <w:r w:rsidR="009E3EBA" w:rsidRPr="009E3EBA">
              <w:rPr>
                <w:b/>
              </w:rPr>
              <w:t>What measures can be considered to reduce procurement related compliance costs and administration?</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9E3EBA" w:rsidP="00012D4F">
            <w:pPr>
              <w:spacing w:before="120" w:after="120"/>
              <w:rPr>
                <w:b/>
              </w:rPr>
            </w:pPr>
            <w:r>
              <w:rPr>
                <w:b/>
              </w:rPr>
              <w:t>Question 2</w:t>
            </w:r>
            <w:r w:rsidR="00012D4F">
              <w:rPr>
                <w:b/>
              </w:rPr>
              <w:t>4</w:t>
            </w:r>
            <w:r w:rsidR="00B955B9" w:rsidRPr="00B955B9">
              <w:rPr>
                <w:b/>
              </w:rPr>
              <w:t>: What are the other pre-qualification Schemes that can be considered for mutual recognition in order to further reduce red tape?</w:t>
            </w:r>
          </w:p>
        </w:tc>
      </w:tr>
      <w:tr w:rsidR="00F1379E" w:rsidTr="00794C9E">
        <w:tc>
          <w:tcPr>
            <w:tcW w:w="9430" w:type="dxa"/>
          </w:tcPr>
          <w:p w:rsidR="00F1379E" w:rsidRDefault="00F1379E" w:rsidP="00D931E5">
            <w:pPr>
              <w:spacing w:before="120" w:after="120"/>
              <w:rPr>
                <w:b/>
              </w:rPr>
            </w:pPr>
            <w:r>
              <w:rPr>
                <w:b/>
              </w:rPr>
              <w:t>Comment:</w:t>
            </w:r>
          </w:p>
          <w:p w:rsidR="00F1379E" w:rsidRDefault="00F1379E" w:rsidP="00D931E5">
            <w:pPr>
              <w:spacing w:before="120" w:after="120"/>
              <w:rPr>
                <w:b/>
              </w:rPr>
            </w:pPr>
          </w:p>
        </w:tc>
      </w:tr>
    </w:tbl>
    <w:p w:rsidR="006D6D0E" w:rsidRDefault="006D6D0E">
      <w:r>
        <w:br w:type="page"/>
      </w:r>
    </w:p>
    <w:tbl>
      <w:tblPr>
        <w:tblStyle w:val="TableGrid"/>
        <w:tblW w:w="0" w:type="auto"/>
        <w:tblLook w:val="04A0" w:firstRow="1" w:lastRow="0" w:firstColumn="1" w:lastColumn="0" w:noHBand="0" w:noVBand="1"/>
      </w:tblPr>
      <w:tblGrid>
        <w:gridCol w:w="9430"/>
      </w:tblGrid>
      <w:tr w:rsidR="00F1379E" w:rsidTr="00794C9E">
        <w:trPr>
          <w:trHeight w:val="454"/>
        </w:trPr>
        <w:tc>
          <w:tcPr>
            <w:tcW w:w="9430" w:type="dxa"/>
            <w:shd w:val="clear" w:color="auto" w:fill="D9D9D9" w:themeFill="background1" w:themeFillShade="D9"/>
          </w:tcPr>
          <w:p w:rsidR="00F1379E" w:rsidRPr="00106182" w:rsidRDefault="00F1379E" w:rsidP="009D6AE8">
            <w:pPr>
              <w:spacing w:before="120" w:after="120"/>
              <w:rPr>
                <w:b/>
                <w:i/>
              </w:rPr>
            </w:pPr>
            <w:r w:rsidRPr="00106182">
              <w:rPr>
                <w:b/>
                <w:i/>
              </w:rPr>
              <w:lastRenderedPageBreak/>
              <w:t>Other issues</w:t>
            </w:r>
            <w:r w:rsidR="0056165A">
              <w:rPr>
                <w:b/>
                <w:i/>
              </w:rPr>
              <w:t xml:space="preserve"> – see pages </w:t>
            </w:r>
            <w:r w:rsidR="00363673">
              <w:rPr>
                <w:b/>
                <w:i/>
              </w:rPr>
              <w:t>30-31</w:t>
            </w:r>
          </w:p>
        </w:tc>
      </w:tr>
      <w:tr w:rsidR="00F1379E" w:rsidTr="00794C9E">
        <w:trPr>
          <w:trHeight w:val="454"/>
        </w:trPr>
        <w:tc>
          <w:tcPr>
            <w:tcW w:w="9430" w:type="dxa"/>
            <w:shd w:val="clear" w:color="auto" w:fill="D9D9D9" w:themeFill="background1" w:themeFillShade="D9"/>
          </w:tcPr>
          <w:p w:rsidR="00F1379E" w:rsidRDefault="00425777" w:rsidP="00012D4F">
            <w:pPr>
              <w:spacing w:before="120" w:after="120"/>
              <w:rPr>
                <w:b/>
              </w:rPr>
            </w:pPr>
            <w:r>
              <w:rPr>
                <w:b/>
              </w:rPr>
              <w:t>Question 2</w:t>
            </w:r>
            <w:r w:rsidR="00012D4F">
              <w:rPr>
                <w:b/>
              </w:rPr>
              <w:t>5</w:t>
            </w:r>
            <w:r w:rsidR="00B955B9" w:rsidRPr="00B955B9">
              <w:rPr>
                <w:b/>
              </w:rPr>
              <w:t xml:space="preserve">: Are there ways to increase feedback </w:t>
            </w:r>
            <w:r w:rsidR="00012D4F">
              <w:rPr>
                <w:b/>
              </w:rPr>
              <w:t xml:space="preserve">(both positive and negative) </w:t>
            </w:r>
            <w:r w:rsidR="00B955B9" w:rsidRPr="00B955B9">
              <w:rPr>
                <w:b/>
              </w:rPr>
              <w:t>on the Scheme?</w:t>
            </w:r>
          </w:p>
        </w:tc>
      </w:tr>
      <w:tr w:rsidR="00F1379E" w:rsidTr="00794C9E">
        <w:tc>
          <w:tcPr>
            <w:tcW w:w="9430" w:type="dxa"/>
          </w:tcPr>
          <w:p w:rsidR="00F1379E" w:rsidRDefault="00F1379E" w:rsidP="00D931E5">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F1379E" w:rsidTr="00794C9E">
        <w:trPr>
          <w:trHeight w:val="454"/>
        </w:trPr>
        <w:tc>
          <w:tcPr>
            <w:tcW w:w="9430" w:type="dxa"/>
            <w:shd w:val="clear" w:color="auto" w:fill="D9D9D9" w:themeFill="background1" w:themeFillShade="D9"/>
          </w:tcPr>
          <w:p w:rsidR="00F1379E" w:rsidRDefault="009E3EBA" w:rsidP="00012D4F">
            <w:pPr>
              <w:spacing w:before="120" w:after="120"/>
              <w:rPr>
                <w:b/>
              </w:rPr>
            </w:pPr>
            <w:r>
              <w:rPr>
                <w:b/>
              </w:rPr>
              <w:t>Question 2</w:t>
            </w:r>
            <w:r w:rsidR="00012D4F">
              <w:rPr>
                <w:b/>
              </w:rPr>
              <w:t>6</w:t>
            </w:r>
            <w:r w:rsidR="00B955B9" w:rsidRPr="00B955B9">
              <w:rPr>
                <w:b/>
              </w:rPr>
              <w:t xml:space="preserve">: </w:t>
            </w:r>
            <w:r w:rsidR="00425777">
              <w:rPr>
                <w:b/>
              </w:rPr>
              <w:t xml:space="preserve">Are the audit criteria appropriate? Are there criteria that are redundant or that could be removed without impacting safety outcomes? What are the audit criteria that will improve safety in the industry? </w:t>
            </w:r>
          </w:p>
        </w:tc>
      </w:tr>
      <w:tr w:rsidR="00F1379E" w:rsidTr="00794C9E">
        <w:tc>
          <w:tcPr>
            <w:tcW w:w="9430" w:type="dxa"/>
          </w:tcPr>
          <w:p w:rsidR="00866A17" w:rsidRDefault="00866A17" w:rsidP="00866A17">
            <w:pPr>
              <w:spacing w:before="120" w:after="120"/>
              <w:rPr>
                <w:b/>
              </w:rPr>
            </w:pPr>
            <w:r>
              <w:rPr>
                <w:b/>
              </w:rPr>
              <w:fldChar w:fldCharType="begin">
                <w:ffData>
                  <w:name w:val="Check1"/>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Yes  </w:t>
            </w:r>
            <w:r>
              <w:rPr>
                <w:b/>
              </w:rPr>
              <w:fldChar w:fldCharType="begin">
                <w:ffData>
                  <w:name w:val="Check2"/>
                  <w:enabled/>
                  <w:calcOnExit w:val="0"/>
                  <w:checkBox>
                    <w:sizeAuto/>
                    <w:default w:val="0"/>
                  </w:checkBox>
                </w:ffData>
              </w:fldChar>
            </w:r>
            <w:r>
              <w:rPr>
                <w:b/>
              </w:rPr>
              <w:instrText xml:space="preserve"> FORMCHECKBOX </w:instrText>
            </w:r>
            <w:r w:rsidR="00D07E8E">
              <w:rPr>
                <w:b/>
              </w:rPr>
            </w:r>
            <w:r w:rsidR="00D07E8E">
              <w:rPr>
                <w:b/>
              </w:rPr>
              <w:fldChar w:fldCharType="separate"/>
            </w:r>
            <w:r>
              <w:rPr>
                <w:b/>
              </w:rPr>
              <w:fldChar w:fldCharType="end"/>
            </w:r>
            <w:r>
              <w:rPr>
                <w:b/>
              </w:rPr>
              <w:t xml:space="preserve"> No</w:t>
            </w:r>
          </w:p>
          <w:p w:rsidR="00F1379E" w:rsidRDefault="00F1379E" w:rsidP="00D931E5">
            <w:pPr>
              <w:spacing w:before="120" w:after="120"/>
              <w:rPr>
                <w:b/>
              </w:rPr>
            </w:pPr>
            <w:r>
              <w:rPr>
                <w:b/>
              </w:rPr>
              <w:t>Comment:</w:t>
            </w:r>
          </w:p>
          <w:p w:rsidR="00F1379E" w:rsidRDefault="00F1379E" w:rsidP="00D931E5">
            <w:pPr>
              <w:spacing w:before="120" w:after="120"/>
              <w:rPr>
                <w:b/>
              </w:rPr>
            </w:pPr>
          </w:p>
        </w:tc>
      </w:tr>
      <w:tr w:rsidR="00FB2C4B" w:rsidTr="00700755">
        <w:tc>
          <w:tcPr>
            <w:tcW w:w="9430" w:type="dxa"/>
            <w:shd w:val="clear" w:color="auto" w:fill="D9D9D9" w:themeFill="background1" w:themeFillShade="D9"/>
          </w:tcPr>
          <w:p w:rsidR="00FB2C4B" w:rsidRDefault="00FB2C4B" w:rsidP="00012D4F">
            <w:pPr>
              <w:spacing w:before="120" w:after="120"/>
              <w:rPr>
                <w:b/>
              </w:rPr>
            </w:pPr>
            <w:r>
              <w:rPr>
                <w:b/>
              </w:rPr>
              <w:t>Question 2</w:t>
            </w:r>
            <w:r w:rsidR="00012D4F">
              <w:rPr>
                <w:b/>
              </w:rPr>
              <w:t>7</w:t>
            </w:r>
            <w:r>
              <w:rPr>
                <w:b/>
              </w:rPr>
              <w:t xml:space="preserve">: </w:t>
            </w:r>
            <w:r w:rsidR="00D04797">
              <w:rPr>
                <w:b/>
              </w:rPr>
              <w:t>Are there any other issues specific to the terms of reference that have not been addressed by the previous questions?</w:t>
            </w:r>
            <w:r>
              <w:rPr>
                <w:b/>
              </w:rPr>
              <w:t xml:space="preserve"> </w:t>
            </w:r>
          </w:p>
        </w:tc>
      </w:tr>
      <w:tr w:rsidR="00FB2C4B" w:rsidTr="00794C9E">
        <w:tc>
          <w:tcPr>
            <w:tcW w:w="9430" w:type="dxa"/>
          </w:tcPr>
          <w:p w:rsidR="00FB2C4B" w:rsidRDefault="00FB2C4B" w:rsidP="00D931E5">
            <w:pPr>
              <w:spacing w:before="120" w:after="120"/>
              <w:rPr>
                <w:b/>
              </w:rPr>
            </w:pPr>
            <w:r>
              <w:rPr>
                <w:b/>
              </w:rPr>
              <w:t>Comment:</w:t>
            </w:r>
          </w:p>
          <w:p w:rsidR="00FB2C4B" w:rsidRDefault="00FB2C4B" w:rsidP="00D931E5">
            <w:pPr>
              <w:spacing w:before="120" w:after="120"/>
              <w:rPr>
                <w:b/>
              </w:rPr>
            </w:pPr>
          </w:p>
        </w:tc>
      </w:tr>
    </w:tbl>
    <w:p w:rsidR="00F1379E" w:rsidRDefault="00F1379E" w:rsidP="00425777">
      <w:pPr>
        <w:rPr>
          <w:b/>
        </w:rPr>
      </w:pPr>
    </w:p>
    <w:sectPr w:rsidR="00F1379E" w:rsidSect="00690BC2">
      <w:pgSz w:w="11906" w:h="16838" w:code="9"/>
      <w:pgMar w:top="1418" w:right="1274" w:bottom="1418"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58D" w:rsidRDefault="0076658D" w:rsidP="00E66426">
      <w:r>
        <w:separator/>
      </w:r>
    </w:p>
  </w:endnote>
  <w:endnote w:type="continuationSeparator" w:id="0">
    <w:p w:rsidR="0076658D" w:rsidRDefault="0076658D" w:rsidP="00E6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Pr="009829D0" w:rsidRDefault="004660D6" w:rsidP="00E66426">
    <w:pPr>
      <w:pStyle w:val="Footer"/>
    </w:pPr>
    <w:r w:rsidRPr="009829D0">
      <w:t>Modernisation Of The Office Of The Federal Safety Commissioner And The Australian Government OHS Accreditation Scheme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Pr="009829D0" w:rsidRDefault="004660D6" w:rsidP="00E664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491601"/>
      <w:docPartObj>
        <w:docPartGallery w:val="Page Numbers (Bottom of Page)"/>
        <w:docPartUnique/>
      </w:docPartObj>
    </w:sdtPr>
    <w:sdtEndPr>
      <w:rPr>
        <w:noProof/>
      </w:rPr>
    </w:sdtEndPr>
    <w:sdtContent>
      <w:p w:rsidR="004660D6" w:rsidRDefault="004660D6" w:rsidP="00E66426">
        <w:pPr>
          <w:pStyle w:val="Footer"/>
        </w:pPr>
        <w:r w:rsidRPr="003343FB">
          <w:fldChar w:fldCharType="begin"/>
        </w:r>
        <w:r w:rsidRPr="003343FB">
          <w:instrText xml:space="preserve"> PAGE   \* MERGEFORMAT </w:instrText>
        </w:r>
        <w:r w:rsidRPr="003343FB">
          <w:fldChar w:fldCharType="separate"/>
        </w:r>
        <w:r w:rsidR="00D07E8E">
          <w:rPr>
            <w:noProof/>
          </w:rPr>
          <w:t>18</w:t>
        </w:r>
        <w:r w:rsidRPr="003343FB">
          <w:rPr>
            <w:noProof/>
          </w:rPr>
          <w:fldChar w:fldCharType="end"/>
        </w:r>
      </w:p>
    </w:sdtContent>
  </w:sdt>
  <w:p w:rsidR="004660D6" w:rsidRPr="009829D0" w:rsidRDefault="004660D6" w:rsidP="00E66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58D" w:rsidRDefault="0076658D" w:rsidP="00E66426">
      <w:r>
        <w:separator/>
      </w:r>
    </w:p>
  </w:footnote>
  <w:footnote w:type="continuationSeparator" w:id="0">
    <w:p w:rsidR="0076658D" w:rsidRDefault="0076658D" w:rsidP="00E66426">
      <w:r>
        <w:continuationSeparator/>
      </w:r>
    </w:p>
  </w:footnote>
  <w:footnote w:id="1">
    <w:p w:rsidR="004660D6" w:rsidRDefault="004660D6">
      <w:pPr>
        <w:pStyle w:val="FootnoteText"/>
      </w:pPr>
      <w:r>
        <w:rPr>
          <w:rStyle w:val="FootnoteReference"/>
        </w:rPr>
        <w:footnoteRef/>
      </w:r>
      <w:r>
        <w:t xml:space="preserve"> </w:t>
      </w:r>
      <w:r w:rsidRPr="00097823">
        <w:t>Prior to January 2013 applicants submitted full system documentation for review by the OFSC prior to audit</w:t>
      </w:r>
    </w:p>
  </w:footnote>
  <w:footnote w:id="2">
    <w:p w:rsidR="004660D6" w:rsidRPr="00A66065" w:rsidRDefault="004660D6" w:rsidP="00E66426">
      <w:pPr>
        <w:pStyle w:val="FootnoteText"/>
      </w:pPr>
      <w:r>
        <w:rPr>
          <w:rStyle w:val="FootnoteReference"/>
        </w:rPr>
        <w:footnoteRef/>
      </w:r>
      <w:r>
        <w:t xml:space="preserve"> </w:t>
      </w:r>
      <w:r w:rsidRPr="00A66065">
        <w:t>Safe Work Australia Compendium of Workers’ Compensation Statistics Australia 2010–11, Table 10.</w:t>
      </w:r>
    </w:p>
  </w:footnote>
  <w:footnote w:id="3">
    <w:p w:rsidR="004660D6" w:rsidRPr="00425A9E" w:rsidRDefault="004660D6" w:rsidP="00E66426">
      <w:pPr>
        <w:pStyle w:val="FootnoteText"/>
      </w:pPr>
      <w:r>
        <w:rPr>
          <w:rStyle w:val="FootnoteReference"/>
        </w:rPr>
        <w:footnoteRef/>
      </w:r>
      <w:r>
        <w:t xml:space="preserve"> </w:t>
      </w:r>
      <w:proofErr w:type="gramStart"/>
      <w:r w:rsidRPr="00425A9E">
        <w:t>Safe Work Australia Work-Related Traumatic Injury Fatalities,</w:t>
      </w:r>
      <w:r>
        <w:t xml:space="preserve"> </w:t>
      </w:r>
      <w:r w:rsidRPr="00425A9E">
        <w:t>Australia 2012, Table 9.</w:t>
      </w:r>
      <w:proofErr w:type="gramEnd"/>
    </w:p>
  </w:footnote>
  <w:footnote w:id="4">
    <w:p w:rsidR="004660D6" w:rsidRDefault="004660D6" w:rsidP="00E66426">
      <w:pPr>
        <w:pStyle w:val="FootnoteText"/>
      </w:pPr>
      <w:r>
        <w:rPr>
          <w:rStyle w:val="FootnoteReference"/>
        </w:rPr>
        <w:footnoteRef/>
      </w:r>
      <w:r>
        <w:t xml:space="preserve"> </w:t>
      </w:r>
      <w:proofErr w:type="gramStart"/>
      <w:r w:rsidRPr="00425A9E">
        <w:t>Safe Work Australia Work-Related Traumatic Injury Fatalities,</w:t>
      </w:r>
      <w:r>
        <w:t xml:space="preserve"> </w:t>
      </w:r>
      <w:r w:rsidRPr="00425A9E">
        <w:t xml:space="preserve">Australia 2012, Table </w:t>
      </w:r>
      <w:r>
        <w:t>3</w:t>
      </w:r>
      <w:r w:rsidRPr="00A66065">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D07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68.35pt;height:81.15pt;rotation:315;z-index:-251655168;mso-position-horizontal:center;mso-position-horizontal-relative:margin;mso-position-vertical:center;mso-position-vertical-relative:margin" o:allowincell="f" fillcolor="#7f7f7f [1612]" stroked="f">
          <v:fill opacity=".5"/>
          <v:textpath style="font-family:&quot;Arial&quot;;font-size:1pt" string="INTERNAL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D07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68.35pt;height:81.15pt;rotation:315;z-index:-251653120;mso-position-horizontal:center;mso-position-horizontal-relative:margin;mso-position-vertical:center;mso-position-vertical-relative:margin" o:allowincell="f" fillcolor="#7f7f7f [1612]" stroked="f">
          <v:fill opacity=".5"/>
          <v:textpath style="font-family:&quot;Arial&quot;;font-size:1pt" string="INTERNAL 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D07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68.35pt;height:81.15pt;rotation:315;z-index:-251649024;mso-position-horizontal:center;mso-position-horizontal-relative:margin;mso-position-vertical:center;mso-position-vertical-relative:margin" o:allowincell="f" fillcolor="#7f7f7f [1612]" stroked="f">
          <v:fill opacity=".5"/>
          <v:textpath style="font-family:&quot;Arial&quot;;font-size:1pt" string="INTERNAL 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4660D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D07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68.35pt;height:81.15pt;rotation:315;z-index:-251651072;mso-position-horizontal:center;mso-position-horizontal-relative:margin;mso-position-vertical:center;mso-position-vertical-relative:margin" o:allowincell="f" fillcolor="#7f7f7f [1612]" stroked="f">
          <v:fill opacity=".5"/>
          <v:textpath style="font-family:&quot;Arial&quot;;font-size:1pt" string="INTERNAL 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D07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68.35pt;height:81.15pt;rotation:315;z-index:-251642880;mso-position-horizontal:center;mso-position-horizontal-relative:margin;mso-position-vertical:center;mso-position-vertical-relative:margin" o:allowincell="f" fillcolor="#7f7f7f [1612]" stroked="f">
          <v:fill opacity=".5"/>
          <v:textpath style="font-family:&quot;Arial&quot;;font-size:1pt" string="INTERNAL 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4660D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D6" w:rsidRDefault="00D07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68.35pt;height:81.15pt;rotation:315;z-index:-251644928;mso-position-horizontal:center;mso-position-horizontal-relative:margin;mso-position-vertical:center;mso-position-vertical-relative:margin" o:allowincell="f" fillcolor="#7f7f7f [1612]" stroked="f">
          <v:fill opacity=".5"/>
          <v:textpath style="font-family:&quot;Arial&quot;;font-size:1pt" string="INTERNAL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7"/>
    <w:multiLevelType w:val="hybridMultilevel"/>
    <w:tmpl w:val="C65894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61E46"/>
    <w:multiLevelType w:val="hybridMultilevel"/>
    <w:tmpl w:val="F4CCD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7675E0"/>
    <w:multiLevelType w:val="hybridMultilevel"/>
    <w:tmpl w:val="12F83BB6"/>
    <w:lvl w:ilvl="0" w:tplc="CB144D6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AA9037C"/>
    <w:multiLevelType w:val="hybridMultilevel"/>
    <w:tmpl w:val="B3EE1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6C41FD"/>
    <w:multiLevelType w:val="hybridMultilevel"/>
    <w:tmpl w:val="73ECC0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04E7BDF"/>
    <w:multiLevelType w:val="hybridMultilevel"/>
    <w:tmpl w:val="D1BCB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4E4938"/>
    <w:multiLevelType w:val="hybridMultilevel"/>
    <w:tmpl w:val="73502CE8"/>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Times New Roman"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Times New Roman"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Times New Roman" w:hint="default"/>
      </w:rPr>
    </w:lvl>
    <w:lvl w:ilvl="8" w:tplc="0C090005">
      <w:start w:val="1"/>
      <w:numFmt w:val="bullet"/>
      <w:lvlText w:val=""/>
      <w:lvlJc w:val="left"/>
      <w:pPr>
        <w:ind w:left="6525" w:hanging="360"/>
      </w:pPr>
      <w:rPr>
        <w:rFonts w:ascii="Wingdings" w:hAnsi="Wingdings" w:hint="default"/>
      </w:rPr>
    </w:lvl>
  </w:abstractNum>
  <w:abstractNum w:abstractNumId="7">
    <w:nsid w:val="27453EF4"/>
    <w:multiLevelType w:val="hybridMultilevel"/>
    <w:tmpl w:val="0B1A428E"/>
    <w:lvl w:ilvl="0" w:tplc="0C09000F">
      <w:start w:val="1"/>
      <w:numFmt w:val="decimal"/>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
    <w:nsid w:val="2BD7023F"/>
    <w:multiLevelType w:val="hybridMultilevel"/>
    <w:tmpl w:val="A03C8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FC01A9"/>
    <w:multiLevelType w:val="hybridMultilevel"/>
    <w:tmpl w:val="D7C8B2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F0684F"/>
    <w:multiLevelType w:val="hybridMultilevel"/>
    <w:tmpl w:val="A7E450B4"/>
    <w:lvl w:ilvl="0" w:tplc="6F348BD2">
      <w:start w:val="1"/>
      <w:numFmt w:val="decimal"/>
      <w:lvlText w:val="%1."/>
      <w:lvlJc w:val="left"/>
      <w:pPr>
        <w:ind w:left="360" w:hanging="360"/>
      </w:pPr>
      <w:rPr>
        <w:b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89C7BBB"/>
    <w:multiLevelType w:val="hybridMultilevel"/>
    <w:tmpl w:val="EF3A3B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A9B0759"/>
    <w:multiLevelType w:val="hybridMultilevel"/>
    <w:tmpl w:val="B04036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DC32C3D"/>
    <w:multiLevelType w:val="hybridMultilevel"/>
    <w:tmpl w:val="2A208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7567A88"/>
    <w:multiLevelType w:val="hybridMultilevel"/>
    <w:tmpl w:val="EF148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B82B8E"/>
    <w:multiLevelType w:val="hybridMultilevel"/>
    <w:tmpl w:val="1124D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FF94E89"/>
    <w:multiLevelType w:val="hybridMultilevel"/>
    <w:tmpl w:val="22883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0C907EA"/>
    <w:multiLevelType w:val="hybridMultilevel"/>
    <w:tmpl w:val="886C1F74"/>
    <w:lvl w:ilvl="0" w:tplc="AED0FB26">
      <w:start w:val="1"/>
      <w:numFmt w:val="bullet"/>
      <w:lvlText w:val=""/>
      <w:lvlJc w:val="left"/>
      <w:pPr>
        <w:tabs>
          <w:tab w:val="num" w:pos="361"/>
        </w:tabs>
        <w:ind w:left="361" w:hanging="360"/>
      </w:pPr>
      <w:rPr>
        <w:rFonts w:ascii="Symbol" w:hAnsi="Symbol" w:hint="default"/>
        <w:sz w:val="24"/>
        <w:szCs w:val="24"/>
      </w:rPr>
    </w:lvl>
    <w:lvl w:ilvl="1" w:tplc="9760DFE4">
      <w:start w:val="1"/>
      <w:numFmt w:val="bullet"/>
      <w:lvlText w:val=""/>
      <w:lvlJc w:val="left"/>
      <w:pPr>
        <w:tabs>
          <w:tab w:val="num" w:pos="1441"/>
        </w:tabs>
        <w:ind w:left="1478" w:hanging="397"/>
      </w:pPr>
      <w:rPr>
        <w:rFonts w:ascii="Symbol" w:hAnsi="Symbol" w:hint="default"/>
        <w:sz w:val="24"/>
        <w:szCs w:val="24"/>
      </w:rPr>
    </w:lvl>
    <w:lvl w:ilvl="2" w:tplc="0C090005" w:tentative="1">
      <w:start w:val="1"/>
      <w:numFmt w:val="bullet"/>
      <w:lvlText w:val=""/>
      <w:lvlJc w:val="left"/>
      <w:pPr>
        <w:tabs>
          <w:tab w:val="num" w:pos="2161"/>
        </w:tabs>
        <w:ind w:left="2161" w:hanging="360"/>
      </w:pPr>
      <w:rPr>
        <w:rFonts w:ascii="Wingdings" w:hAnsi="Wingdings" w:hint="default"/>
      </w:rPr>
    </w:lvl>
    <w:lvl w:ilvl="3" w:tplc="0C090001" w:tentative="1">
      <w:start w:val="1"/>
      <w:numFmt w:val="bullet"/>
      <w:lvlText w:val=""/>
      <w:lvlJc w:val="left"/>
      <w:pPr>
        <w:tabs>
          <w:tab w:val="num" w:pos="2881"/>
        </w:tabs>
        <w:ind w:left="2881" w:hanging="360"/>
      </w:pPr>
      <w:rPr>
        <w:rFonts w:ascii="Symbol" w:hAnsi="Symbol" w:hint="default"/>
      </w:rPr>
    </w:lvl>
    <w:lvl w:ilvl="4" w:tplc="0C090003" w:tentative="1">
      <w:start w:val="1"/>
      <w:numFmt w:val="bullet"/>
      <w:lvlText w:val="o"/>
      <w:lvlJc w:val="left"/>
      <w:pPr>
        <w:tabs>
          <w:tab w:val="num" w:pos="3601"/>
        </w:tabs>
        <w:ind w:left="3601" w:hanging="360"/>
      </w:pPr>
      <w:rPr>
        <w:rFonts w:ascii="Courier New" w:hAnsi="Courier New" w:cs="Courier New" w:hint="default"/>
      </w:rPr>
    </w:lvl>
    <w:lvl w:ilvl="5" w:tplc="0C090005" w:tentative="1">
      <w:start w:val="1"/>
      <w:numFmt w:val="bullet"/>
      <w:lvlText w:val=""/>
      <w:lvlJc w:val="left"/>
      <w:pPr>
        <w:tabs>
          <w:tab w:val="num" w:pos="4321"/>
        </w:tabs>
        <w:ind w:left="4321" w:hanging="360"/>
      </w:pPr>
      <w:rPr>
        <w:rFonts w:ascii="Wingdings" w:hAnsi="Wingdings" w:hint="default"/>
      </w:rPr>
    </w:lvl>
    <w:lvl w:ilvl="6" w:tplc="0C090001" w:tentative="1">
      <w:start w:val="1"/>
      <w:numFmt w:val="bullet"/>
      <w:lvlText w:val=""/>
      <w:lvlJc w:val="left"/>
      <w:pPr>
        <w:tabs>
          <w:tab w:val="num" w:pos="5041"/>
        </w:tabs>
        <w:ind w:left="5041" w:hanging="360"/>
      </w:pPr>
      <w:rPr>
        <w:rFonts w:ascii="Symbol" w:hAnsi="Symbol" w:hint="default"/>
      </w:rPr>
    </w:lvl>
    <w:lvl w:ilvl="7" w:tplc="0C090003" w:tentative="1">
      <w:start w:val="1"/>
      <w:numFmt w:val="bullet"/>
      <w:lvlText w:val="o"/>
      <w:lvlJc w:val="left"/>
      <w:pPr>
        <w:tabs>
          <w:tab w:val="num" w:pos="5761"/>
        </w:tabs>
        <w:ind w:left="5761" w:hanging="360"/>
      </w:pPr>
      <w:rPr>
        <w:rFonts w:ascii="Courier New" w:hAnsi="Courier New" w:cs="Courier New" w:hint="default"/>
      </w:rPr>
    </w:lvl>
    <w:lvl w:ilvl="8" w:tplc="0C090005" w:tentative="1">
      <w:start w:val="1"/>
      <w:numFmt w:val="bullet"/>
      <w:lvlText w:val=""/>
      <w:lvlJc w:val="left"/>
      <w:pPr>
        <w:tabs>
          <w:tab w:val="num" w:pos="6481"/>
        </w:tabs>
        <w:ind w:left="6481" w:hanging="360"/>
      </w:pPr>
      <w:rPr>
        <w:rFonts w:ascii="Wingdings" w:hAnsi="Wingdings" w:hint="default"/>
      </w:rPr>
    </w:lvl>
  </w:abstractNum>
  <w:abstractNum w:abstractNumId="18">
    <w:nsid w:val="51E930DD"/>
    <w:multiLevelType w:val="hybridMultilevel"/>
    <w:tmpl w:val="A91AE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3F36AC2"/>
    <w:multiLevelType w:val="hybridMultilevel"/>
    <w:tmpl w:val="DA269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F45D7F"/>
    <w:multiLevelType w:val="hybridMultilevel"/>
    <w:tmpl w:val="0AF24CE0"/>
    <w:lvl w:ilvl="0" w:tplc="0C09000F">
      <w:start w:val="1"/>
      <w:numFmt w:val="decimal"/>
      <w:lvlText w:val="%1."/>
      <w:lvlJc w:val="left"/>
      <w:pPr>
        <w:tabs>
          <w:tab w:val="num" w:pos="360"/>
        </w:tabs>
        <w:ind w:left="360" w:hanging="360"/>
      </w:pPr>
      <w:rPr>
        <w:b w:val="0"/>
        <w:i w:val="0"/>
      </w:rPr>
    </w:lvl>
    <w:lvl w:ilvl="1" w:tplc="0C090001">
      <w:start w:val="1"/>
      <w:numFmt w:val="bullet"/>
      <w:lvlText w:val=""/>
      <w:lvlJc w:val="left"/>
      <w:pPr>
        <w:tabs>
          <w:tab w:val="num" w:pos="1440"/>
        </w:tabs>
        <w:ind w:left="1440" w:hanging="360"/>
      </w:pPr>
      <w:rPr>
        <w:rFonts w:ascii="Symbol" w:hAnsi="Symbol" w:hint="default"/>
      </w:rPr>
    </w:lvl>
    <w:lvl w:ilvl="2" w:tplc="0C090001">
      <w:start w:val="1"/>
      <w:numFmt w:val="bullet"/>
      <w:lvlText w:val=""/>
      <w:lvlJc w:val="left"/>
      <w:pPr>
        <w:tabs>
          <w:tab w:val="num" w:pos="2340"/>
        </w:tabs>
        <w:ind w:left="2340" w:hanging="360"/>
      </w:pPr>
      <w:rPr>
        <w:rFonts w:ascii="Symbol" w:hAnsi="Symbol" w:hint="default"/>
        <w:b w:val="0"/>
        <w:i w:val="0"/>
      </w:rPr>
    </w:lvl>
    <w:lvl w:ilvl="3" w:tplc="0C09000F">
      <w:start w:val="1"/>
      <w:numFmt w:val="decimal"/>
      <w:lvlText w:val="%4."/>
      <w:lvlJc w:val="left"/>
      <w:pPr>
        <w:tabs>
          <w:tab w:val="num" w:pos="2880"/>
        </w:tabs>
        <w:ind w:left="2880" w:hanging="360"/>
      </w:pPr>
      <w:rPr>
        <w:b w:val="0"/>
        <w:i w:val="0"/>
      </w:r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1">
    <w:nsid w:val="55AA2DB1"/>
    <w:multiLevelType w:val="hybridMultilevel"/>
    <w:tmpl w:val="28103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6245909"/>
    <w:multiLevelType w:val="hybridMultilevel"/>
    <w:tmpl w:val="DFF09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74C34E5"/>
    <w:multiLevelType w:val="hybridMultilevel"/>
    <w:tmpl w:val="048CE5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599207BE"/>
    <w:multiLevelType w:val="hybridMultilevel"/>
    <w:tmpl w:val="4AFE65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B9A5D8F"/>
    <w:multiLevelType w:val="hybridMultilevel"/>
    <w:tmpl w:val="EB328D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nsid w:val="63422926"/>
    <w:multiLevelType w:val="hybridMultilevel"/>
    <w:tmpl w:val="7EE0D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A95AF3"/>
    <w:multiLevelType w:val="hybridMultilevel"/>
    <w:tmpl w:val="B3508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78D1CB8"/>
    <w:multiLevelType w:val="hybridMultilevel"/>
    <w:tmpl w:val="12F83BB6"/>
    <w:lvl w:ilvl="0" w:tplc="CB144D6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91151B0"/>
    <w:multiLevelType w:val="hybridMultilevel"/>
    <w:tmpl w:val="0BEA8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C116465"/>
    <w:multiLevelType w:val="hybridMultilevel"/>
    <w:tmpl w:val="74DCB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E060EDF"/>
    <w:multiLevelType w:val="hybridMultilevel"/>
    <w:tmpl w:val="5EA425F4"/>
    <w:lvl w:ilvl="0" w:tplc="AD9E0614">
      <w:start w:val="1"/>
      <w:numFmt w:val="bullet"/>
      <w:lvlText w:val=""/>
      <w:lvlJc w:val="left"/>
      <w:pPr>
        <w:ind w:left="720" w:hanging="360"/>
      </w:pPr>
      <w:rPr>
        <w:rFonts w:ascii="Symbol" w:hAnsi="Symbol" w:hint="default"/>
      </w:rPr>
    </w:lvl>
    <w:lvl w:ilvl="1" w:tplc="86F848BC">
      <w:start w:val="1"/>
      <w:numFmt w:val="bullet"/>
      <w:lvlText w:val="o"/>
      <w:lvlJc w:val="left"/>
      <w:pPr>
        <w:ind w:left="1440" w:hanging="360"/>
      </w:pPr>
      <w:rPr>
        <w:rFonts w:ascii="Courier New" w:hAnsi="Courier New" w:cs="Courier New" w:hint="default"/>
      </w:rPr>
    </w:lvl>
    <w:lvl w:ilvl="2" w:tplc="ABCAF60C" w:tentative="1">
      <w:start w:val="1"/>
      <w:numFmt w:val="bullet"/>
      <w:lvlText w:val=""/>
      <w:lvlJc w:val="left"/>
      <w:pPr>
        <w:ind w:left="2160" w:hanging="360"/>
      </w:pPr>
      <w:rPr>
        <w:rFonts w:ascii="Wingdings" w:hAnsi="Wingdings" w:hint="default"/>
      </w:rPr>
    </w:lvl>
    <w:lvl w:ilvl="3" w:tplc="D5605F10" w:tentative="1">
      <w:start w:val="1"/>
      <w:numFmt w:val="bullet"/>
      <w:lvlText w:val=""/>
      <w:lvlJc w:val="left"/>
      <w:pPr>
        <w:ind w:left="2880" w:hanging="360"/>
      </w:pPr>
      <w:rPr>
        <w:rFonts w:ascii="Symbol" w:hAnsi="Symbol" w:hint="default"/>
      </w:rPr>
    </w:lvl>
    <w:lvl w:ilvl="4" w:tplc="4104A1A8" w:tentative="1">
      <w:start w:val="1"/>
      <w:numFmt w:val="bullet"/>
      <w:lvlText w:val="o"/>
      <w:lvlJc w:val="left"/>
      <w:pPr>
        <w:ind w:left="3600" w:hanging="360"/>
      </w:pPr>
      <w:rPr>
        <w:rFonts w:ascii="Courier New" w:hAnsi="Courier New" w:cs="Courier New" w:hint="default"/>
      </w:rPr>
    </w:lvl>
    <w:lvl w:ilvl="5" w:tplc="58DC50BE" w:tentative="1">
      <w:start w:val="1"/>
      <w:numFmt w:val="bullet"/>
      <w:lvlText w:val=""/>
      <w:lvlJc w:val="left"/>
      <w:pPr>
        <w:ind w:left="4320" w:hanging="360"/>
      </w:pPr>
      <w:rPr>
        <w:rFonts w:ascii="Wingdings" w:hAnsi="Wingdings" w:hint="default"/>
      </w:rPr>
    </w:lvl>
    <w:lvl w:ilvl="6" w:tplc="F6722640" w:tentative="1">
      <w:start w:val="1"/>
      <w:numFmt w:val="bullet"/>
      <w:lvlText w:val=""/>
      <w:lvlJc w:val="left"/>
      <w:pPr>
        <w:ind w:left="5040" w:hanging="360"/>
      </w:pPr>
      <w:rPr>
        <w:rFonts w:ascii="Symbol" w:hAnsi="Symbol" w:hint="default"/>
      </w:rPr>
    </w:lvl>
    <w:lvl w:ilvl="7" w:tplc="CDE8BEEA" w:tentative="1">
      <w:start w:val="1"/>
      <w:numFmt w:val="bullet"/>
      <w:lvlText w:val="o"/>
      <w:lvlJc w:val="left"/>
      <w:pPr>
        <w:ind w:left="5760" w:hanging="360"/>
      </w:pPr>
      <w:rPr>
        <w:rFonts w:ascii="Courier New" w:hAnsi="Courier New" w:cs="Courier New" w:hint="default"/>
      </w:rPr>
    </w:lvl>
    <w:lvl w:ilvl="8" w:tplc="ACD87CDA"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22"/>
  </w:num>
  <w:num w:numId="4">
    <w:abstractNumId w:val="0"/>
  </w:num>
  <w:num w:numId="5">
    <w:abstractNumId w:val="18"/>
  </w:num>
  <w:num w:numId="6">
    <w:abstractNumId w:val="8"/>
  </w:num>
  <w:num w:numId="7">
    <w:abstractNumId w:val="10"/>
  </w:num>
  <w:num w:numId="8">
    <w:abstractNumId w:val="6"/>
  </w:num>
  <w:num w:numId="9">
    <w:abstractNumId w:val="3"/>
  </w:num>
  <w:num w:numId="10">
    <w:abstractNumId w:val="16"/>
  </w:num>
  <w:num w:numId="11">
    <w:abstractNumId w:val="17"/>
  </w:num>
  <w:num w:numId="12">
    <w:abstractNumId w:val="30"/>
  </w:num>
  <w:num w:numId="13">
    <w:abstractNumId w:val="31"/>
  </w:num>
  <w:num w:numId="14">
    <w:abstractNumId w:val="12"/>
  </w:num>
  <w:num w:numId="15">
    <w:abstractNumId w:val="27"/>
  </w:num>
  <w:num w:numId="16">
    <w:abstractNumId w:val="5"/>
  </w:num>
  <w:num w:numId="17">
    <w:abstractNumId w:val="14"/>
  </w:num>
  <w:num w:numId="18">
    <w:abstractNumId w:val="19"/>
  </w:num>
  <w:num w:numId="19">
    <w:abstractNumId w:val="15"/>
  </w:num>
  <w:num w:numId="20">
    <w:abstractNumId w:val="21"/>
  </w:num>
  <w:num w:numId="21">
    <w:abstractNumId w:val="26"/>
  </w:num>
  <w:num w:numId="22">
    <w:abstractNumId w:val="13"/>
  </w:num>
  <w:num w:numId="23">
    <w:abstractNumId w:val="7"/>
  </w:num>
  <w:num w:numId="24">
    <w:abstractNumId w:val="28"/>
  </w:num>
  <w:num w:numId="25">
    <w:abstractNumId w:val="2"/>
  </w:num>
  <w:num w:numId="26">
    <w:abstractNumId w:val="25"/>
  </w:num>
  <w:num w:numId="27">
    <w:abstractNumId w:val="1"/>
  </w:num>
  <w:num w:numId="28">
    <w:abstractNumId w:val="9"/>
  </w:num>
  <w:num w:numId="29">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4"/>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BC2"/>
    <w:rsid w:val="00005D32"/>
    <w:rsid w:val="000075C9"/>
    <w:rsid w:val="00012888"/>
    <w:rsid w:val="00012D4F"/>
    <w:rsid w:val="00015D18"/>
    <w:rsid w:val="00016D82"/>
    <w:rsid w:val="0002000F"/>
    <w:rsid w:val="00020937"/>
    <w:rsid w:val="00022800"/>
    <w:rsid w:val="000265F5"/>
    <w:rsid w:val="00026AF0"/>
    <w:rsid w:val="0002760F"/>
    <w:rsid w:val="00030663"/>
    <w:rsid w:val="00032368"/>
    <w:rsid w:val="00033550"/>
    <w:rsid w:val="000339FA"/>
    <w:rsid w:val="00037C6A"/>
    <w:rsid w:val="00041EC6"/>
    <w:rsid w:val="0004443D"/>
    <w:rsid w:val="00046306"/>
    <w:rsid w:val="00047206"/>
    <w:rsid w:val="000535F0"/>
    <w:rsid w:val="00064DA3"/>
    <w:rsid w:val="0006573C"/>
    <w:rsid w:val="000665C8"/>
    <w:rsid w:val="00072C9E"/>
    <w:rsid w:val="00073601"/>
    <w:rsid w:val="00077A66"/>
    <w:rsid w:val="00080ED3"/>
    <w:rsid w:val="00081B4C"/>
    <w:rsid w:val="00084E4D"/>
    <w:rsid w:val="00086110"/>
    <w:rsid w:val="00091133"/>
    <w:rsid w:val="00095295"/>
    <w:rsid w:val="00097823"/>
    <w:rsid w:val="000A15F6"/>
    <w:rsid w:val="000A373E"/>
    <w:rsid w:val="000A7F29"/>
    <w:rsid w:val="000B3468"/>
    <w:rsid w:val="000B4B97"/>
    <w:rsid w:val="000C26EE"/>
    <w:rsid w:val="000C462E"/>
    <w:rsid w:val="000C69B4"/>
    <w:rsid w:val="000D1992"/>
    <w:rsid w:val="000E360F"/>
    <w:rsid w:val="000E503F"/>
    <w:rsid w:val="000E57FE"/>
    <w:rsid w:val="000E77E5"/>
    <w:rsid w:val="000E7E7E"/>
    <w:rsid w:val="000F0523"/>
    <w:rsid w:val="000F11C1"/>
    <w:rsid w:val="000F2835"/>
    <w:rsid w:val="001037DB"/>
    <w:rsid w:val="00104141"/>
    <w:rsid w:val="001063BE"/>
    <w:rsid w:val="00106DF0"/>
    <w:rsid w:val="00111784"/>
    <w:rsid w:val="001117F2"/>
    <w:rsid w:val="00113479"/>
    <w:rsid w:val="00117EE7"/>
    <w:rsid w:val="00121321"/>
    <w:rsid w:val="00124D08"/>
    <w:rsid w:val="00130C32"/>
    <w:rsid w:val="001317E9"/>
    <w:rsid w:val="00131B8F"/>
    <w:rsid w:val="00133948"/>
    <w:rsid w:val="00136986"/>
    <w:rsid w:val="001420AF"/>
    <w:rsid w:val="001420F1"/>
    <w:rsid w:val="00147E73"/>
    <w:rsid w:val="00150F57"/>
    <w:rsid w:val="00155A5B"/>
    <w:rsid w:val="00161F72"/>
    <w:rsid w:val="00163479"/>
    <w:rsid w:val="0017059D"/>
    <w:rsid w:val="00180040"/>
    <w:rsid w:val="00180F77"/>
    <w:rsid w:val="001861D7"/>
    <w:rsid w:val="00192720"/>
    <w:rsid w:val="00192FA8"/>
    <w:rsid w:val="00196A4F"/>
    <w:rsid w:val="00196FA9"/>
    <w:rsid w:val="001A157F"/>
    <w:rsid w:val="001A1DFF"/>
    <w:rsid w:val="001A2340"/>
    <w:rsid w:val="001A260B"/>
    <w:rsid w:val="001A4FDA"/>
    <w:rsid w:val="001A572E"/>
    <w:rsid w:val="001B0CD1"/>
    <w:rsid w:val="001B1149"/>
    <w:rsid w:val="001B32D5"/>
    <w:rsid w:val="001B626E"/>
    <w:rsid w:val="001D24AA"/>
    <w:rsid w:val="001D5288"/>
    <w:rsid w:val="001D5F01"/>
    <w:rsid w:val="001E1956"/>
    <w:rsid w:val="001E3469"/>
    <w:rsid w:val="001F3912"/>
    <w:rsid w:val="001F3E06"/>
    <w:rsid w:val="001F42A5"/>
    <w:rsid w:val="001F702F"/>
    <w:rsid w:val="002027CB"/>
    <w:rsid w:val="0020427E"/>
    <w:rsid w:val="00207106"/>
    <w:rsid w:val="002136A5"/>
    <w:rsid w:val="00215830"/>
    <w:rsid w:val="0022109E"/>
    <w:rsid w:val="002221F0"/>
    <w:rsid w:val="00223A35"/>
    <w:rsid w:val="0022529A"/>
    <w:rsid w:val="002269E1"/>
    <w:rsid w:val="002303FD"/>
    <w:rsid w:val="00231059"/>
    <w:rsid w:val="00235531"/>
    <w:rsid w:val="0024301B"/>
    <w:rsid w:val="0024312F"/>
    <w:rsid w:val="002437EC"/>
    <w:rsid w:val="00243891"/>
    <w:rsid w:val="002463C0"/>
    <w:rsid w:val="00247CFD"/>
    <w:rsid w:val="00252D6D"/>
    <w:rsid w:val="0025548C"/>
    <w:rsid w:val="0026402D"/>
    <w:rsid w:val="00264B89"/>
    <w:rsid w:val="0027761D"/>
    <w:rsid w:val="00281EAC"/>
    <w:rsid w:val="002828D1"/>
    <w:rsid w:val="00283352"/>
    <w:rsid w:val="00285C0E"/>
    <w:rsid w:val="00286891"/>
    <w:rsid w:val="00287ADA"/>
    <w:rsid w:val="00287E9C"/>
    <w:rsid w:val="00291924"/>
    <w:rsid w:val="0029286D"/>
    <w:rsid w:val="002930E7"/>
    <w:rsid w:val="00294C3A"/>
    <w:rsid w:val="00296CE9"/>
    <w:rsid w:val="002A1601"/>
    <w:rsid w:val="002A43FA"/>
    <w:rsid w:val="002A60D1"/>
    <w:rsid w:val="002A71D9"/>
    <w:rsid w:val="002B181E"/>
    <w:rsid w:val="002B272C"/>
    <w:rsid w:val="002B3698"/>
    <w:rsid w:val="002B4DE5"/>
    <w:rsid w:val="002C098F"/>
    <w:rsid w:val="002C63F2"/>
    <w:rsid w:val="002D0DB1"/>
    <w:rsid w:val="002E0D6E"/>
    <w:rsid w:val="002E1A77"/>
    <w:rsid w:val="002E59B4"/>
    <w:rsid w:val="002F3192"/>
    <w:rsid w:val="002F3BE9"/>
    <w:rsid w:val="002F3BF8"/>
    <w:rsid w:val="00300D92"/>
    <w:rsid w:val="0031598C"/>
    <w:rsid w:val="003160D6"/>
    <w:rsid w:val="00317D5C"/>
    <w:rsid w:val="00322E58"/>
    <w:rsid w:val="00322F7C"/>
    <w:rsid w:val="00331023"/>
    <w:rsid w:val="003343FB"/>
    <w:rsid w:val="00340794"/>
    <w:rsid w:val="00342169"/>
    <w:rsid w:val="00342F14"/>
    <w:rsid w:val="00343199"/>
    <w:rsid w:val="00344E5F"/>
    <w:rsid w:val="00345396"/>
    <w:rsid w:val="00346711"/>
    <w:rsid w:val="00351624"/>
    <w:rsid w:val="00361285"/>
    <w:rsid w:val="00361692"/>
    <w:rsid w:val="00363673"/>
    <w:rsid w:val="00366489"/>
    <w:rsid w:val="00366672"/>
    <w:rsid w:val="00372EF8"/>
    <w:rsid w:val="00377A25"/>
    <w:rsid w:val="003825C2"/>
    <w:rsid w:val="003830AA"/>
    <w:rsid w:val="00383F86"/>
    <w:rsid w:val="0038610D"/>
    <w:rsid w:val="00394EBF"/>
    <w:rsid w:val="00395ECB"/>
    <w:rsid w:val="003A0C7A"/>
    <w:rsid w:val="003A6267"/>
    <w:rsid w:val="003A7AD3"/>
    <w:rsid w:val="003B1E20"/>
    <w:rsid w:val="003B52B3"/>
    <w:rsid w:val="003B5414"/>
    <w:rsid w:val="003B5A1D"/>
    <w:rsid w:val="003B5F18"/>
    <w:rsid w:val="003C0ABD"/>
    <w:rsid w:val="003C236A"/>
    <w:rsid w:val="003D39AC"/>
    <w:rsid w:val="003D5741"/>
    <w:rsid w:val="003E7B24"/>
    <w:rsid w:val="003F3E82"/>
    <w:rsid w:val="003F603D"/>
    <w:rsid w:val="003F6611"/>
    <w:rsid w:val="003F67CF"/>
    <w:rsid w:val="0040058F"/>
    <w:rsid w:val="00413F76"/>
    <w:rsid w:val="00415D20"/>
    <w:rsid w:val="00420A11"/>
    <w:rsid w:val="00420CBF"/>
    <w:rsid w:val="004221C1"/>
    <w:rsid w:val="004247AF"/>
    <w:rsid w:val="00425777"/>
    <w:rsid w:val="00426101"/>
    <w:rsid w:val="004310CB"/>
    <w:rsid w:val="00431318"/>
    <w:rsid w:val="00431A03"/>
    <w:rsid w:val="00432428"/>
    <w:rsid w:val="00433B21"/>
    <w:rsid w:val="00436527"/>
    <w:rsid w:val="00436AF0"/>
    <w:rsid w:val="0044203F"/>
    <w:rsid w:val="00444BC5"/>
    <w:rsid w:val="0044719C"/>
    <w:rsid w:val="004502AC"/>
    <w:rsid w:val="0045292B"/>
    <w:rsid w:val="004543AE"/>
    <w:rsid w:val="00454B46"/>
    <w:rsid w:val="0046154F"/>
    <w:rsid w:val="0046155F"/>
    <w:rsid w:val="004656EC"/>
    <w:rsid w:val="004660D6"/>
    <w:rsid w:val="00470C47"/>
    <w:rsid w:val="0047193F"/>
    <w:rsid w:val="00472BCF"/>
    <w:rsid w:val="00472E3F"/>
    <w:rsid w:val="0047623F"/>
    <w:rsid w:val="004813A9"/>
    <w:rsid w:val="00484DCE"/>
    <w:rsid w:val="004876C7"/>
    <w:rsid w:val="0049135D"/>
    <w:rsid w:val="00491C6C"/>
    <w:rsid w:val="00492AF1"/>
    <w:rsid w:val="004958A0"/>
    <w:rsid w:val="00497968"/>
    <w:rsid w:val="004A23B0"/>
    <w:rsid w:val="004A51A7"/>
    <w:rsid w:val="004A55A7"/>
    <w:rsid w:val="004B0FB3"/>
    <w:rsid w:val="004B15CD"/>
    <w:rsid w:val="004B323C"/>
    <w:rsid w:val="004B6F10"/>
    <w:rsid w:val="004B7067"/>
    <w:rsid w:val="004C7BD9"/>
    <w:rsid w:val="004D08FD"/>
    <w:rsid w:val="004D3F34"/>
    <w:rsid w:val="004D70FC"/>
    <w:rsid w:val="004D786A"/>
    <w:rsid w:val="004E3362"/>
    <w:rsid w:val="004E4E05"/>
    <w:rsid w:val="004E6631"/>
    <w:rsid w:val="004E6E30"/>
    <w:rsid w:val="004F55DA"/>
    <w:rsid w:val="00506651"/>
    <w:rsid w:val="00512348"/>
    <w:rsid w:val="00514E0B"/>
    <w:rsid w:val="005203A1"/>
    <w:rsid w:val="0052448E"/>
    <w:rsid w:val="00532E59"/>
    <w:rsid w:val="0053526A"/>
    <w:rsid w:val="00554C82"/>
    <w:rsid w:val="0056165A"/>
    <w:rsid w:val="005735D1"/>
    <w:rsid w:val="00573646"/>
    <w:rsid w:val="005750D3"/>
    <w:rsid w:val="00575B49"/>
    <w:rsid w:val="00575CD7"/>
    <w:rsid w:val="005817E5"/>
    <w:rsid w:val="00581A39"/>
    <w:rsid w:val="00582A21"/>
    <w:rsid w:val="00584DF0"/>
    <w:rsid w:val="0058761E"/>
    <w:rsid w:val="0059191F"/>
    <w:rsid w:val="00591C01"/>
    <w:rsid w:val="00592319"/>
    <w:rsid w:val="00592495"/>
    <w:rsid w:val="00597CFB"/>
    <w:rsid w:val="005A183B"/>
    <w:rsid w:val="005A5D9D"/>
    <w:rsid w:val="005A6269"/>
    <w:rsid w:val="005C1361"/>
    <w:rsid w:val="005C482E"/>
    <w:rsid w:val="005C4C60"/>
    <w:rsid w:val="005C502D"/>
    <w:rsid w:val="005D5179"/>
    <w:rsid w:val="005E5AB0"/>
    <w:rsid w:val="005F49B7"/>
    <w:rsid w:val="005F4FB6"/>
    <w:rsid w:val="005F548A"/>
    <w:rsid w:val="00602862"/>
    <w:rsid w:val="006060F0"/>
    <w:rsid w:val="006131EE"/>
    <w:rsid w:val="0061486F"/>
    <w:rsid w:val="006173E3"/>
    <w:rsid w:val="00623FF8"/>
    <w:rsid w:val="0062670F"/>
    <w:rsid w:val="00626CAC"/>
    <w:rsid w:val="006277D3"/>
    <w:rsid w:val="00630F0C"/>
    <w:rsid w:val="00633E51"/>
    <w:rsid w:val="00636C27"/>
    <w:rsid w:val="00645914"/>
    <w:rsid w:val="006464E1"/>
    <w:rsid w:val="00654CCF"/>
    <w:rsid w:val="006628BA"/>
    <w:rsid w:val="0066374B"/>
    <w:rsid w:val="006654BE"/>
    <w:rsid w:val="00670F27"/>
    <w:rsid w:val="00672816"/>
    <w:rsid w:val="0067316A"/>
    <w:rsid w:val="0067753D"/>
    <w:rsid w:val="00681755"/>
    <w:rsid w:val="00683EDC"/>
    <w:rsid w:val="00684645"/>
    <w:rsid w:val="006852C5"/>
    <w:rsid w:val="006862C7"/>
    <w:rsid w:val="00690BC2"/>
    <w:rsid w:val="00693F5E"/>
    <w:rsid w:val="006A15FB"/>
    <w:rsid w:val="006A255B"/>
    <w:rsid w:val="006A280B"/>
    <w:rsid w:val="006A31F1"/>
    <w:rsid w:val="006A4B8F"/>
    <w:rsid w:val="006A73F5"/>
    <w:rsid w:val="006B1FE0"/>
    <w:rsid w:val="006B4395"/>
    <w:rsid w:val="006B455A"/>
    <w:rsid w:val="006B7E9F"/>
    <w:rsid w:val="006C0D97"/>
    <w:rsid w:val="006C2422"/>
    <w:rsid w:val="006C3630"/>
    <w:rsid w:val="006D4F57"/>
    <w:rsid w:val="006D5206"/>
    <w:rsid w:val="006D5C66"/>
    <w:rsid w:val="006D6D0E"/>
    <w:rsid w:val="006D76B6"/>
    <w:rsid w:val="006E1135"/>
    <w:rsid w:val="006E3121"/>
    <w:rsid w:val="006E35CE"/>
    <w:rsid w:val="006E5291"/>
    <w:rsid w:val="006F7BBA"/>
    <w:rsid w:val="00700755"/>
    <w:rsid w:val="007052B7"/>
    <w:rsid w:val="0070778E"/>
    <w:rsid w:val="00710BF3"/>
    <w:rsid w:val="00720813"/>
    <w:rsid w:val="00725490"/>
    <w:rsid w:val="00726DD0"/>
    <w:rsid w:val="00730CFF"/>
    <w:rsid w:val="007317FF"/>
    <w:rsid w:val="00733470"/>
    <w:rsid w:val="00741750"/>
    <w:rsid w:val="007467FD"/>
    <w:rsid w:val="007500E7"/>
    <w:rsid w:val="0075389E"/>
    <w:rsid w:val="00754F7D"/>
    <w:rsid w:val="007578E0"/>
    <w:rsid w:val="0076658D"/>
    <w:rsid w:val="00771481"/>
    <w:rsid w:val="007736B1"/>
    <w:rsid w:val="00773A23"/>
    <w:rsid w:val="00781A9C"/>
    <w:rsid w:val="007861B3"/>
    <w:rsid w:val="007866EF"/>
    <w:rsid w:val="00790DB8"/>
    <w:rsid w:val="00791C89"/>
    <w:rsid w:val="00791F8A"/>
    <w:rsid w:val="00794C9E"/>
    <w:rsid w:val="007B20CA"/>
    <w:rsid w:val="007B23B0"/>
    <w:rsid w:val="007B5FC9"/>
    <w:rsid w:val="007B6EB7"/>
    <w:rsid w:val="007C3B70"/>
    <w:rsid w:val="007C4732"/>
    <w:rsid w:val="007D3716"/>
    <w:rsid w:val="007D5B8F"/>
    <w:rsid w:val="007E04C3"/>
    <w:rsid w:val="007E0CAB"/>
    <w:rsid w:val="007E21D3"/>
    <w:rsid w:val="007E4231"/>
    <w:rsid w:val="007E7CE9"/>
    <w:rsid w:val="007F6B15"/>
    <w:rsid w:val="0080023E"/>
    <w:rsid w:val="0080165D"/>
    <w:rsid w:val="00806E45"/>
    <w:rsid w:val="0081036A"/>
    <w:rsid w:val="00814476"/>
    <w:rsid w:val="008163D9"/>
    <w:rsid w:val="00816709"/>
    <w:rsid w:val="00834195"/>
    <w:rsid w:val="00840C4F"/>
    <w:rsid w:val="00842896"/>
    <w:rsid w:val="00842DD9"/>
    <w:rsid w:val="00847469"/>
    <w:rsid w:val="00855842"/>
    <w:rsid w:val="00857828"/>
    <w:rsid w:val="008619C9"/>
    <w:rsid w:val="00866A17"/>
    <w:rsid w:val="00866F7A"/>
    <w:rsid w:val="00867D28"/>
    <w:rsid w:val="008720D4"/>
    <w:rsid w:val="0087223E"/>
    <w:rsid w:val="00876C03"/>
    <w:rsid w:val="00877340"/>
    <w:rsid w:val="00881106"/>
    <w:rsid w:val="00882BF6"/>
    <w:rsid w:val="00882EBD"/>
    <w:rsid w:val="00885CE4"/>
    <w:rsid w:val="00890A10"/>
    <w:rsid w:val="008916F4"/>
    <w:rsid w:val="00892847"/>
    <w:rsid w:val="00896E05"/>
    <w:rsid w:val="008A0A57"/>
    <w:rsid w:val="008A3B39"/>
    <w:rsid w:val="008A6327"/>
    <w:rsid w:val="008C1FC5"/>
    <w:rsid w:val="008C4BBD"/>
    <w:rsid w:val="008D49E0"/>
    <w:rsid w:val="008D4E05"/>
    <w:rsid w:val="008D7D8B"/>
    <w:rsid w:val="008E0F4C"/>
    <w:rsid w:val="008E654E"/>
    <w:rsid w:val="008F11DB"/>
    <w:rsid w:val="008F6779"/>
    <w:rsid w:val="008F6CD3"/>
    <w:rsid w:val="00900801"/>
    <w:rsid w:val="00902E26"/>
    <w:rsid w:val="0090726D"/>
    <w:rsid w:val="00910093"/>
    <w:rsid w:val="0092212B"/>
    <w:rsid w:val="00923624"/>
    <w:rsid w:val="009242A1"/>
    <w:rsid w:val="00925D77"/>
    <w:rsid w:val="00931A26"/>
    <w:rsid w:val="00936166"/>
    <w:rsid w:val="00936779"/>
    <w:rsid w:val="00943271"/>
    <w:rsid w:val="0095454E"/>
    <w:rsid w:val="0095704C"/>
    <w:rsid w:val="00960B90"/>
    <w:rsid w:val="00962FA3"/>
    <w:rsid w:val="0096493C"/>
    <w:rsid w:val="00967567"/>
    <w:rsid w:val="009719DA"/>
    <w:rsid w:val="00971EDE"/>
    <w:rsid w:val="00973B6B"/>
    <w:rsid w:val="009829D0"/>
    <w:rsid w:val="00996E57"/>
    <w:rsid w:val="00997260"/>
    <w:rsid w:val="009A1501"/>
    <w:rsid w:val="009A4FB3"/>
    <w:rsid w:val="009A5A3E"/>
    <w:rsid w:val="009A6004"/>
    <w:rsid w:val="009A73B9"/>
    <w:rsid w:val="009B14FF"/>
    <w:rsid w:val="009B3855"/>
    <w:rsid w:val="009B3B32"/>
    <w:rsid w:val="009B5A65"/>
    <w:rsid w:val="009C433E"/>
    <w:rsid w:val="009C5852"/>
    <w:rsid w:val="009C7307"/>
    <w:rsid w:val="009D6AE8"/>
    <w:rsid w:val="009D7FD5"/>
    <w:rsid w:val="009E03DD"/>
    <w:rsid w:val="009E386B"/>
    <w:rsid w:val="009E3EBA"/>
    <w:rsid w:val="009E51EF"/>
    <w:rsid w:val="009F3A7E"/>
    <w:rsid w:val="009F725C"/>
    <w:rsid w:val="00A01AC8"/>
    <w:rsid w:val="00A07C28"/>
    <w:rsid w:val="00A11D57"/>
    <w:rsid w:val="00A253B1"/>
    <w:rsid w:val="00A258CE"/>
    <w:rsid w:val="00A33A45"/>
    <w:rsid w:val="00A3513B"/>
    <w:rsid w:val="00A410C2"/>
    <w:rsid w:val="00A45A28"/>
    <w:rsid w:val="00A52C5A"/>
    <w:rsid w:val="00A53D90"/>
    <w:rsid w:val="00A53FAA"/>
    <w:rsid w:val="00A55498"/>
    <w:rsid w:val="00A556F2"/>
    <w:rsid w:val="00A63A9C"/>
    <w:rsid w:val="00A66135"/>
    <w:rsid w:val="00A66FE4"/>
    <w:rsid w:val="00A716CF"/>
    <w:rsid w:val="00A7453D"/>
    <w:rsid w:val="00A776C5"/>
    <w:rsid w:val="00A80104"/>
    <w:rsid w:val="00A80BD2"/>
    <w:rsid w:val="00A85547"/>
    <w:rsid w:val="00A87128"/>
    <w:rsid w:val="00A87555"/>
    <w:rsid w:val="00A9260C"/>
    <w:rsid w:val="00A97BC0"/>
    <w:rsid w:val="00AA4BD1"/>
    <w:rsid w:val="00AC0E52"/>
    <w:rsid w:val="00AC12D6"/>
    <w:rsid w:val="00AC21F4"/>
    <w:rsid w:val="00AC4012"/>
    <w:rsid w:val="00AC592C"/>
    <w:rsid w:val="00AC7D68"/>
    <w:rsid w:val="00AD250B"/>
    <w:rsid w:val="00AD2A0B"/>
    <w:rsid w:val="00AD7CDD"/>
    <w:rsid w:val="00AE28A8"/>
    <w:rsid w:val="00AE6C04"/>
    <w:rsid w:val="00AF1DA9"/>
    <w:rsid w:val="00AF5634"/>
    <w:rsid w:val="00B01404"/>
    <w:rsid w:val="00B01912"/>
    <w:rsid w:val="00B01C8B"/>
    <w:rsid w:val="00B044EC"/>
    <w:rsid w:val="00B05257"/>
    <w:rsid w:val="00B05689"/>
    <w:rsid w:val="00B06C5C"/>
    <w:rsid w:val="00B123C9"/>
    <w:rsid w:val="00B141A9"/>
    <w:rsid w:val="00B15BAE"/>
    <w:rsid w:val="00B16C47"/>
    <w:rsid w:val="00B227F2"/>
    <w:rsid w:val="00B22E8A"/>
    <w:rsid w:val="00B23D84"/>
    <w:rsid w:val="00B24726"/>
    <w:rsid w:val="00B27C82"/>
    <w:rsid w:val="00B40D18"/>
    <w:rsid w:val="00B47B63"/>
    <w:rsid w:val="00B47D27"/>
    <w:rsid w:val="00B50C9C"/>
    <w:rsid w:val="00B51354"/>
    <w:rsid w:val="00B52465"/>
    <w:rsid w:val="00B52F2B"/>
    <w:rsid w:val="00B52FE9"/>
    <w:rsid w:val="00B535D1"/>
    <w:rsid w:val="00B54829"/>
    <w:rsid w:val="00B5553F"/>
    <w:rsid w:val="00B56C55"/>
    <w:rsid w:val="00B6051E"/>
    <w:rsid w:val="00B6172E"/>
    <w:rsid w:val="00B61C2C"/>
    <w:rsid w:val="00B646A0"/>
    <w:rsid w:val="00B71A3A"/>
    <w:rsid w:val="00B71F27"/>
    <w:rsid w:val="00B75BE2"/>
    <w:rsid w:val="00B80CC8"/>
    <w:rsid w:val="00B85C67"/>
    <w:rsid w:val="00B875DB"/>
    <w:rsid w:val="00B92B53"/>
    <w:rsid w:val="00B933BE"/>
    <w:rsid w:val="00B93B6F"/>
    <w:rsid w:val="00B955B9"/>
    <w:rsid w:val="00B9714C"/>
    <w:rsid w:val="00B977C8"/>
    <w:rsid w:val="00BA09F9"/>
    <w:rsid w:val="00BA1B5D"/>
    <w:rsid w:val="00BA238C"/>
    <w:rsid w:val="00BA53BA"/>
    <w:rsid w:val="00BA6B7E"/>
    <w:rsid w:val="00BB01E0"/>
    <w:rsid w:val="00BB7A42"/>
    <w:rsid w:val="00BC3227"/>
    <w:rsid w:val="00BC7C9D"/>
    <w:rsid w:val="00BD06A5"/>
    <w:rsid w:val="00BD55C2"/>
    <w:rsid w:val="00BD6DAB"/>
    <w:rsid w:val="00BE358A"/>
    <w:rsid w:val="00BE4D21"/>
    <w:rsid w:val="00BE5023"/>
    <w:rsid w:val="00BE5A28"/>
    <w:rsid w:val="00BE70ED"/>
    <w:rsid w:val="00BF23E4"/>
    <w:rsid w:val="00BF7A9A"/>
    <w:rsid w:val="00C00656"/>
    <w:rsid w:val="00C01AEC"/>
    <w:rsid w:val="00C0716C"/>
    <w:rsid w:val="00C075A6"/>
    <w:rsid w:val="00C15AB8"/>
    <w:rsid w:val="00C16164"/>
    <w:rsid w:val="00C2052F"/>
    <w:rsid w:val="00C2143E"/>
    <w:rsid w:val="00C21A09"/>
    <w:rsid w:val="00C23F80"/>
    <w:rsid w:val="00C24AB5"/>
    <w:rsid w:val="00C2512E"/>
    <w:rsid w:val="00C27B6A"/>
    <w:rsid w:val="00C32B79"/>
    <w:rsid w:val="00C37543"/>
    <w:rsid w:val="00C42180"/>
    <w:rsid w:val="00C46A2F"/>
    <w:rsid w:val="00C545FA"/>
    <w:rsid w:val="00C54728"/>
    <w:rsid w:val="00C563AE"/>
    <w:rsid w:val="00C63F74"/>
    <w:rsid w:val="00C73734"/>
    <w:rsid w:val="00C80E30"/>
    <w:rsid w:val="00C817F7"/>
    <w:rsid w:val="00C845CB"/>
    <w:rsid w:val="00C87864"/>
    <w:rsid w:val="00C914F5"/>
    <w:rsid w:val="00C915C6"/>
    <w:rsid w:val="00C92504"/>
    <w:rsid w:val="00C93A0B"/>
    <w:rsid w:val="00C93F37"/>
    <w:rsid w:val="00C96D66"/>
    <w:rsid w:val="00CA01A2"/>
    <w:rsid w:val="00CA339C"/>
    <w:rsid w:val="00CB238D"/>
    <w:rsid w:val="00CB519A"/>
    <w:rsid w:val="00CB711B"/>
    <w:rsid w:val="00CC08BA"/>
    <w:rsid w:val="00CC0EA4"/>
    <w:rsid w:val="00CC1CC7"/>
    <w:rsid w:val="00CC2322"/>
    <w:rsid w:val="00CC2826"/>
    <w:rsid w:val="00CC43C1"/>
    <w:rsid w:val="00CC49DA"/>
    <w:rsid w:val="00CC583A"/>
    <w:rsid w:val="00CD346B"/>
    <w:rsid w:val="00CD3EA7"/>
    <w:rsid w:val="00CD42B7"/>
    <w:rsid w:val="00CD7736"/>
    <w:rsid w:val="00CE2C95"/>
    <w:rsid w:val="00CE3DDC"/>
    <w:rsid w:val="00CE42B8"/>
    <w:rsid w:val="00CE527F"/>
    <w:rsid w:val="00CF0363"/>
    <w:rsid w:val="00CF0C00"/>
    <w:rsid w:val="00D0072C"/>
    <w:rsid w:val="00D01E06"/>
    <w:rsid w:val="00D02F4F"/>
    <w:rsid w:val="00D04417"/>
    <w:rsid w:val="00D04797"/>
    <w:rsid w:val="00D07E8E"/>
    <w:rsid w:val="00D13A79"/>
    <w:rsid w:val="00D16FCF"/>
    <w:rsid w:val="00D17D45"/>
    <w:rsid w:val="00D224DC"/>
    <w:rsid w:val="00D23570"/>
    <w:rsid w:val="00D25986"/>
    <w:rsid w:val="00D30E69"/>
    <w:rsid w:val="00D32D6B"/>
    <w:rsid w:val="00D34019"/>
    <w:rsid w:val="00D37490"/>
    <w:rsid w:val="00D4249F"/>
    <w:rsid w:val="00D438D2"/>
    <w:rsid w:val="00D4398B"/>
    <w:rsid w:val="00D508C3"/>
    <w:rsid w:val="00D52ACF"/>
    <w:rsid w:val="00D57570"/>
    <w:rsid w:val="00D57E11"/>
    <w:rsid w:val="00D60E08"/>
    <w:rsid w:val="00D71CA5"/>
    <w:rsid w:val="00D71CA6"/>
    <w:rsid w:val="00D74395"/>
    <w:rsid w:val="00D768CE"/>
    <w:rsid w:val="00D80138"/>
    <w:rsid w:val="00D815A2"/>
    <w:rsid w:val="00D82C12"/>
    <w:rsid w:val="00D931E5"/>
    <w:rsid w:val="00D931EB"/>
    <w:rsid w:val="00D940D4"/>
    <w:rsid w:val="00DA7791"/>
    <w:rsid w:val="00DA7C45"/>
    <w:rsid w:val="00DB0949"/>
    <w:rsid w:val="00DB1F4E"/>
    <w:rsid w:val="00DB3825"/>
    <w:rsid w:val="00DB4CB5"/>
    <w:rsid w:val="00DB52D9"/>
    <w:rsid w:val="00DB6787"/>
    <w:rsid w:val="00DC41F7"/>
    <w:rsid w:val="00DC4F68"/>
    <w:rsid w:val="00DD0681"/>
    <w:rsid w:val="00DD395D"/>
    <w:rsid w:val="00DE0A94"/>
    <w:rsid w:val="00DE639D"/>
    <w:rsid w:val="00DF1204"/>
    <w:rsid w:val="00E02F65"/>
    <w:rsid w:val="00E105E6"/>
    <w:rsid w:val="00E1133B"/>
    <w:rsid w:val="00E12C81"/>
    <w:rsid w:val="00E20C80"/>
    <w:rsid w:val="00E21093"/>
    <w:rsid w:val="00E216CC"/>
    <w:rsid w:val="00E2619D"/>
    <w:rsid w:val="00E2688E"/>
    <w:rsid w:val="00E3695D"/>
    <w:rsid w:val="00E412BF"/>
    <w:rsid w:val="00E46118"/>
    <w:rsid w:val="00E4667C"/>
    <w:rsid w:val="00E46B43"/>
    <w:rsid w:val="00E500BD"/>
    <w:rsid w:val="00E617F9"/>
    <w:rsid w:val="00E66426"/>
    <w:rsid w:val="00E670E3"/>
    <w:rsid w:val="00E7059F"/>
    <w:rsid w:val="00E77341"/>
    <w:rsid w:val="00E77E0F"/>
    <w:rsid w:val="00E8398A"/>
    <w:rsid w:val="00E84637"/>
    <w:rsid w:val="00E91A80"/>
    <w:rsid w:val="00E93517"/>
    <w:rsid w:val="00E94E24"/>
    <w:rsid w:val="00E96FC6"/>
    <w:rsid w:val="00E97771"/>
    <w:rsid w:val="00EA57F6"/>
    <w:rsid w:val="00EA7EA1"/>
    <w:rsid w:val="00EB689D"/>
    <w:rsid w:val="00EB71AD"/>
    <w:rsid w:val="00EC4D2F"/>
    <w:rsid w:val="00EC5856"/>
    <w:rsid w:val="00EC6952"/>
    <w:rsid w:val="00EC6DAC"/>
    <w:rsid w:val="00ED171F"/>
    <w:rsid w:val="00ED20AC"/>
    <w:rsid w:val="00EE25CD"/>
    <w:rsid w:val="00EE3ACF"/>
    <w:rsid w:val="00EE4FED"/>
    <w:rsid w:val="00EF0F3E"/>
    <w:rsid w:val="00F1379E"/>
    <w:rsid w:val="00F13811"/>
    <w:rsid w:val="00F228B2"/>
    <w:rsid w:val="00F25A85"/>
    <w:rsid w:val="00F264FE"/>
    <w:rsid w:val="00F26FD7"/>
    <w:rsid w:val="00F27C14"/>
    <w:rsid w:val="00F337AD"/>
    <w:rsid w:val="00F353D8"/>
    <w:rsid w:val="00F35789"/>
    <w:rsid w:val="00F35E63"/>
    <w:rsid w:val="00F36E1F"/>
    <w:rsid w:val="00F40780"/>
    <w:rsid w:val="00F414FE"/>
    <w:rsid w:val="00F42269"/>
    <w:rsid w:val="00F53A82"/>
    <w:rsid w:val="00F543E9"/>
    <w:rsid w:val="00F54ECF"/>
    <w:rsid w:val="00F60394"/>
    <w:rsid w:val="00F608DC"/>
    <w:rsid w:val="00F610F8"/>
    <w:rsid w:val="00F67D7C"/>
    <w:rsid w:val="00F70ECE"/>
    <w:rsid w:val="00F728A8"/>
    <w:rsid w:val="00F7320D"/>
    <w:rsid w:val="00F753B1"/>
    <w:rsid w:val="00F75797"/>
    <w:rsid w:val="00F76D9C"/>
    <w:rsid w:val="00F82D79"/>
    <w:rsid w:val="00F876B0"/>
    <w:rsid w:val="00F91E48"/>
    <w:rsid w:val="00F92C36"/>
    <w:rsid w:val="00F94192"/>
    <w:rsid w:val="00F9440C"/>
    <w:rsid w:val="00F9578E"/>
    <w:rsid w:val="00F96A79"/>
    <w:rsid w:val="00FA1449"/>
    <w:rsid w:val="00FA2F28"/>
    <w:rsid w:val="00FA6118"/>
    <w:rsid w:val="00FB13A1"/>
    <w:rsid w:val="00FB2C4B"/>
    <w:rsid w:val="00FB6200"/>
    <w:rsid w:val="00FC3555"/>
    <w:rsid w:val="00FD2070"/>
    <w:rsid w:val="00FD232B"/>
    <w:rsid w:val="00FD6AE0"/>
    <w:rsid w:val="00FE1B09"/>
    <w:rsid w:val="00FE6319"/>
    <w:rsid w:val="00FE7E3F"/>
    <w:rsid w:val="00FF0A50"/>
    <w:rsid w:val="00FF5D3E"/>
    <w:rsid w:val="00FF76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nhideWhenUsed="1" w:qFormat="1"/>
    <w:lsdException w:name="List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6426"/>
    <w:rPr>
      <w:rFonts w:ascii="Arial" w:hAnsi="Arial" w:cs="Arial"/>
      <w:sz w:val="22"/>
      <w:szCs w:val="22"/>
    </w:rPr>
  </w:style>
  <w:style w:type="paragraph" w:styleId="Heading1">
    <w:name w:val="heading 1"/>
    <w:basedOn w:val="Normal"/>
    <w:next w:val="Normal"/>
    <w:link w:val="Heading1Char"/>
    <w:qFormat/>
    <w:rsid w:val="00E66426"/>
    <w:pPr>
      <w:outlineLvl w:val="0"/>
    </w:pPr>
    <w:rPr>
      <w:b/>
      <w:sz w:val="24"/>
      <w:szCs w:val="24"/>
    </w:rPr>
  </w:style>
  <w:style w:type="paragraph" w:styleId="Heading2">
    <w:name w:val="heading 2"/>
    <w:basedOn w:val="Normal"/>
    <w:next w:val="Normal"/>
    <w:link w:val="Heading2Char"/>
    <w:unhideWhenUsed/>
    <w:qFormat/>
    <w:rsid w:val="00E66426"/>
    <w:pPr>
      <w:outlineLvl w:val="1"/>
    </w:pPr>
    <w:rPr>
      <w:b/>
    </w:rPr>
  </w:style>
  <w:style w:type="paragraph" w:styleId="Heading3">
    <w:name w:val="heading 3"/>
    <w:basedOn w:val="Normal"/>
    <w:next w:val="Normal"/>
    <w:link w:val="Heading3Char"/>
    <w:unhideWhenUsed/>
    <w:qFormat/>
    <w:rsid w:val="00E66426"/>
    <w:pPr>
      <w:outlineLvl w:val="2"/>
    </w:pPr>
    <w:rPr>
      <w:u w:val="single"/>
    </w:rPr>
  </w:style>
  <w:style w:type="paragraph" w:styleId="Heading4">
    <w:name w:val="heading 4"/>
    <w:basedOn w:val="Normal"/>
    <w:next w:val="Normal"/>
    <w:link w:val="Heading4Char"/>
    <w:semiHidden/>
    <w:unhideWhenUsed/>
    <w:qFormat/>
    <w:rsid w:val="00CC08B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C08B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90BC2"/>
    <w:rPr>
      <w:rFonts w:ascii="Tahoma" w:hAnsi="Tahoma" w:cs="Tahoma"/>
      <w:sz w:val="16"/>
      <w:szCs w:val="16"/>
    </w:rPr>
  </w:style>
  <w:style w:type="character" w:customStyle="1" w:styleId="BalloonTextChar">
    <w:name w:val="Balloon Text Char"/>
    <w:basedOn w:val="DefaultParagraphFont"/>
    <w:link w:val="BalloonText"/>
    <w:rsid w:val="00690BC2"/>
    <w:rPr>
      <w:rFonts w:ascii="Tahoma" w:hAnsi="Tahoma" w:cs="Tahoma"/>
      <w:sz w:val="16"/>
      <w:szCs w:val="16"/>
    </w:rPr>
  </w:style>
  <w:style w:type="paragraph" w:styleId="Title">
    <w:name w:val="Title"/>
    <w:basedOn w:val="Normal"/>
    <w:next w:val="Normal"/>
    <w:link w:val="TitleChar"/>
    <w:qFormat/>
    <w:rsid w:val="00E96FC6"/>
    <w:pPr>
      <w:jc w:val="center"/>
    </w:pPr>
    <w:rPr>
      <w:sz w:val="32"/>
      <w:szCs w:val="32"/>
    </w:rPr>
  </w:style>
  <w:style w:type="character" w:customStyle="1" w:styleId="TitleChar">
    <w:name w:val="Title Char"/>
    <w:basedOn w:val="DefaultParagraphFont"/>
    <w:link w:val="Title"/>
    <w:rsid w:val="00E96FC6"/>
    <w:rPr>
      <w:rFonts w:ascii="Arial" w:hAnsi="Arial" w:cs="Arial"/>
      <w:sz w:val="32"/>
      <w:szCs w:val="32"/>
    </w:rPr>
  </w:style>
  <w:style w:type="paragraph" w:customStyle="1" w:styleId="Default">
    <w:name w:val="Default"/>
    <w:rsid w:val="00E96FC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54CCF"/>
    <w:pPr>
      <w:ind w:left="720"/>
      <w:contextualSpacing/>
    </w:pPr>
  </w:style>
  <w:style w:type="character" w:customStyle="1" w:styleId="Heading1Char">
    <w:name w:val="Heading 1 Char"/>
    <w:basedOn w:val="DefaultParagraphFont"/>
    <w:link w:val="Heading1"/>
    <w:rsid w:val="00E66426"/>
    <w:rPr>
      <w:rFonts w:ascii="Arial" w:hAnsi="Arial" w:cs="Arial"/>
      <w:b/>
      <w:sz w:val="24"/>
      <w:szCs w:val="24"/>
    </w:rPr>
  </w:style>
  <w:style w:type="character" w:customStyle="1" w:styleId="Heading2Char">
    <w:name w:val="Heading 2 Char"/>
    <w:basedOn w:val="DefaultParagraphFont"/>
    <w:link w:val="Heading2"/>
    <w:rsid w:val="00E66426"/>
    <w:rPr>
      <w:rFonts w:ascii="Arial" w:hAnsi="Arial" w:cs="Arial"/>
      <w:b/>
      <w:sz w:val="24"/>
      <w:szCs w:val="24"/>
    </w:rPr>
  </w:style>
  <w:style w:type="character" w:customStyle="1" w:styleId="Heading3Char">
    <w:name w:val="Heading 3 Char"/>
    <w:basedOn w:val="DefaultParagraphFont"/>
    <w:link w:val="Heading3"/>
    <w:rsid w:val="00E66426"/>
    <w:rPr>
      <w:rFonts w:ascii="Arial" w:hAnsi="Arial" w:cs="Arial"/>
      <w:sz w:val="24"/>
      <w:szCs w:val="24"/>
      <w:u w:val="single"/>
    </w:rPr>
  </w:style>
  <w:style w:type="paragraph" w:styleId="TOCHeading">
    <w:name w:val="TOC Heading"/>
    <w:basedOn w:val="Heading1"/>
    <w:next w:val="Normal"/>
    <w:uiPriority w:val="39"/>
    <w:unhideWhenUsed/>
    <w:qFormat/>
    <w:rsid w:val="00512348"/>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512348"/>
    <w:pPr>
      <w:spacing w:after="100" w:line="276" w:lineRule="auto"/>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512348"/>
    <w:pPr>
      <w:spacing w:after="100" w:line="276" w:lineRule="auto"/>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514E0B"/>
    <w:pPr>
      <w:tabs>
        <w:tab w:val="right" w:leader="dot" w:pos="9204"/>
      </w:tabs>
      <w:spacing w:after="100" w:line="276" w:lineRule="auto"/>
      <w:ind w:left="440" w:firstLine="694"/>
    </w:pPr>
    <w:rPr>
      <w:rFonts w:asciiTheme="minorHAnsi" w:eastAsiaTheme="minorEastAsia" w:hAnsiTheme="minorHAnsi" w:cstheme="minorBidi"/>
      <w:lang w:val="en-US" w:eastAsia="ja-JP"/>
    </w:rPr>
  </w:style>
  <w:style w:type="character" w:styleId="Hyperlink">
    <w:name w:val="Hyperlink"/>
    <w:basedOn w:val="DefaultParagraphFont"/>
    <w:uiPriority w:val="99"/>
    <w:unhideWhenUsed/>
    <w:rsid w:val="00512348"/>
    <w:rPr>
      <w:color w:val="0000FF" w:themeColor="hyperlink"/>
      <w:u w:val="single"/>
    </w:rPr>
  </w:style>
  <w:style w:type="paragraph" w:styleId="Header">
    <w:name w:val="header"/>
    <w:basedOn w:val="Normal"/>
    <w:link w:val="HeaderChar"/>
    <w:rsid w:val="00512348"/>
    <w:pPr>
      <w:tabs>
        <w:tab w:val="center" w:pos="4513"/>
        <w:tab w:val="right" w:pos="9026"/>
      </w:tabs>
    </w:pPr>
  </w:style>
  <w:style w:type="character" w:customStyle="1" w:styleId="HeaderChar">
    <w:name w:val="Header Char"/>
    <w:basedOn w:val="DefaultParagraphFont"/>
    <w:link w:val="Header"/>
    <w:rsid w:val="00512348"/>
    <w:rPr>
      <w:sz w:val="24"/>
      <w:szCs w:val="24"/>
    </w:rPr>
  </w:style>
  <w:style w:type="paragraph" w:styleId="Footer">
    <w:name w:val="footer"/>
    <w:basedOn w:val="Normal"/>
    <w:link w:val="FooterChar"/>
    <w:uiPriority w:val="99"/>
    <w:rsid w:val="00512348"/>
    <w:pPr>
      <w:tabs>
        <w:tab w:val="center" w:pos="4513"/>
        <w:tab w:val="right" w:pos="9026"/>
      </w:tabs>
    </w:pPr>
  </w:style>
  <w:style w:type="character" w:customStyle="1" w:styleId="FooterChar">
    <w:name w:val="Footer Char"/>
    <w:basedOn w:val="DefaultParagraphFont"/>
    <w:link w:val="Footer"/>
    <w:uiPriority w:val="99"/>
    <w:rsid w:val="00512348"/>
    <w:rPr>
      <w:sz w:val="24"/>
      <w:szCs w:val="24"/>
    </w:rPr>
  </w:style>
  <w:style w:type="paragraph" w:styleId="NormalWeb">
    <w:name w:val="Normal (Web)"/>
    <w:basedOn w:val="Normal"/>
    <w:uiPriority w:val="99"/>
    <w:unhideWhenUsed/>
    <w:rsid w:val="009829D0"/>
    <w:pPr>
      <w:spacing w:before="150"/>
    </w:pPr>
    <w:rPr>
      <w:color w:val="505050"/>
      <w:sz w:val="21"/>
      <w:szCs w:val="21"/>
    </w:rPr>
  </w:style>
  <w:style w:type="paragraph" w:styleId="FootnoteText">
    <w:name w:val="footnote text"/>
    <w:basedOn w:val="Normal"/>
    <w:link w:val="FootnoteTextChar"/>
    <w:uiPriority w:val="99"/>
    <w:unhideWhenUsed/>
    <w:rsid w:val="009829D0"/>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9829D0"/>
    <w:rPr>
      <w:rFonts w:asciiTheme="minorHAnsi" w:eastAsiaTheme="minorHAnsi" w:hAnsiTheme="minorHAnsi" w:cstheme="minorBidi"/>
      <w:lang w:eastAsia="en-US"/>
    </w:rPr>
  </w:style>
  <w:style w:type="character" w:styleId="FootnoteReference">
    <w:name w:val="footnote reference"/>
    <w:basedOn w:val="DefaultParagraphFont"/>
    <w:unhideWhenUsed/>
    <w:rsid w:val="009829D0"/>
    <w:rPr>
      <w:vertAlign w:val="superscript"/>
    </w:rPr>
  </w:style>
  <w:style w:type="character" w:styleId="CommentReference">
    <w:name w:val="annotation reference"/>
    <w:basedOn w:val="DefaultParagraphFont"/>
    <w:rsid w:val="00A87555"/>
    <w:rPr>
      <w:sz w:val="16"/>
      <w:szCs w:val="16"/>
    </w:rPr>
  </w:style>
  <w:style w:type="paragraph" w:styleId="CommentText">
    <w:name w:val="annotation text"/>
    <w:basedOn w:val="Normal"/>
    <w:link w:val="CommentTextChar"/>
    <w:rsid w:val="00A87555"/>
    <w:rPr>
      <w:sz w:val="20"/>
      <w:szCs w:val="20"/>
    </w:rPr>
  </w:style>
  <w:style w:type="character" w:customStyle="1" w:styleId="CommentTextChar">
    <w:name w:val="Comment Text Char"/>
    <w:basedOn w:val="DefaultParagraphFont"/>
    <w:link w:val="CommentText"/>
    <w:rsid w:val="00A87555"/>
  </w:style>
  <w:style w:type="paragraph" w:styleId="CommentSubject">
    <w:name w:val="annotation subject"/>
    <w:basedOn w:val="CommentText"/>
    <w:next w:val="CommentText"/>
    <w:link w:val="CommentSubjectChar"/>
    <w:rsid w:val="001F702F"/>
    <w:rPr>
      <w:b/>
      <w:bCs/>
    </w:rPr>
  </w:style>
  <w:style w:type="character" w:customStyle="1" w:styleId="CommentSubjectChar">
    <w:name w:val="Comment Subject Char"/>
    <w:basedOn w:val="CommentTextChar"/>
    <w:link w:val="CommentSubject"/>
    <w:rsid w:val="001F702F"/>
    <w:rPr>
      <w:b/>
      <w:bCs/>
    </w:rPr>
  </w:style>
  <w:style w:type="table" w:styleId="TableGrid">
    <w:name w:val="Table Grid"/>
    <w:basedOn w:val="TableNormal"/>
    <w:rsid w:val="00F137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BodyText"/>
    <w:uiPriority w:val="99"/>
    <w:unhideWhenUsed/>
    <w:rsid w:val="00B50C9C"/>
    <w:pPr>
      <w:spacing w:before="180"/>
      <w:outlineLvl w:val="0"/>
    </w:pPr>
    <w:rPr>
      <w:rFonts w:ascii="Tahoma" w:hAnsi="Tahoma" w:cs="Tahoma"/>
      <w:bCs/>
      <w:lang w:eastAsia="en-US"/>
    </w:rPr>
  </w:style>
  <w:style w:type="paragraph" w:styleId="BodyText">
    <w:name w:val="Body Text"/>
    <w:basedOn w:val="Normal"/>
    <w:link w:val="BodyTextChar"/>
    <w:rsid w:val="00B50C9C"/>
    <w:pPr>
      <w:spacing w:after="120"/>
    </w:pPr>
  </w:style>
  <w:style w:type="character" w:customStyle="1" w:styleId="BodyTextChar">
    <w:name w:val="Body Text Char"/>
    <w:basedOn w:val="DefaultParagraphFont"/>
    <w:link w:val="BodyText"/>
    <w:rsid w:val="00B50C9C"/>
    <w:rPr>
      <w:rFonts w:ascii="Arial" w:hAnsi="Arial" w:cs="Arial"/>
      <w:sz w:val="22"/>
      <w:szCs w:val="22"/>
    </w:rPr>
  </w:style>
  <w:style w:type="paragraph" w:styleId="Revision">
    <w:name w:val="Revision"/>
    <w:hidden/>
    <w:uiPriority w:val="99"/>
    <w:semiHidden/>
    <w:rsid w:val="0047623F"/>
    <w:rPr>
      <w:rFonts w:ascii="Arial" w:hAnsi="Arial" w:cs="Arial"/>
      <w:sz w:val="22"/>
      <w:szCs w:val="22"/>
    </w:rPr>
  </w:style>
  <w:style w:type="character" w:customStyle="1" w:styleId="Heading4Char">
    <w:name w:val="Heading 4 Char"/>
    <w:basedOn w:val="DefaultParagraphFont"/>
    <w:link w:val="Heading4"/>
    <w:semiHidden/>
    <w:rsid w:val="00CC08B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CC08BA"/>
    <w:rPr>
      <w:rFonts w:asciiTheme="majorHAnsi" w:eastAsiaTheme="majorEastAsia" w:hAnsiTheme="majorHAnsi" w:cstheme="majorBidi"/>
      <w:color w:val="243F60" w:themeColor="accent1" w:themeShade="7F"/>
      <w:sz w:val="22"/>
      <w:szCs w:val="22"/>
    </w:rPr>
  </w:style>
  <w:style w:type="character" w:styleId="FollowedHyperlink">
    <w:name w:val="FollowedHyperlink"/>
    <w:basedOn w:val="DefaultParagraphFont"/>
    <w:rsid w:val="000978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nhideWhenUsed="1" w:qFormat="1"/>
    <w:lsdException w:name="List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6426"/>
    <w:rPr>
      <w:rFonts w:ascii="Arial" w:hAnsi="Arial" w:cs="Arial"/>
      <w:sz w:val="22"/>
      <w:szCs w:val="22"/>
    </w:rPr>
  </w:style>
  <w:style w:type="paragraph" w:styleId="Heading1">
    <w:name w:val="heading 1"/>
    <w:basedOn w:val="Normal"/>
    <w:next w:val="Normal"/>
    <w:link w:val="Heading1Char"/>
    <w:qFormat/>
    <w:rsid w:val="00E66426"/>
    <w:pPr>
      <w:outlineLvl w:val="0"/>
    </w:pPr>
    <w:rPr>
      <w:b/>
      <w:sz w:val="24"/>
      <w:szCs w:val="24"/>
    </w:rPr>
  </w:style>
  <w:style w:type="paragraph" w:styleId="Heading2">
    <w:name w:val="heading 2"/>
    <w:basedOn w:val="Normal"/>
    <w:next w:val="Normal"/>
    <w:link w:val="Heading2Char"/>
    <w:unhideWhenUsed/>
    <w:qFormat/>
    <w:rsid w:val="00E66426"/>
    <w:pPr>
      <w:outlineLvl w:val="1"/>
    </w:pPr>
    <w:rPr>
      <w:b/>
    </w:rPr>
  </w:style>
  <w:style w:type="paragraph" w:styleId="Heading3">
    <w:name w:val="heading 3"/>
    <w:basedOn w:val="Normal"/>
    <w:next w:val="Normal"/>
    <w:link w:val="Heading3Char"/>
    <w:unhideWhenUsed/>
    <w:qFormat/>
    <w:rsid w:val="00E66426"/>
    <w:pPr>
      <w:outlineLvl w:val="2"/>
    </w:pPr>
    <w:rPr>
      <w:u w:val="single"/>
    </w:rPr>
  </w:style>
  <w:style w:type="paragraph" w:styleId="Heading4">
    <w:name w:val="heading 4"/>
    <w:basedOn w:val="Normal"/>
    <w:next w:val="Normal"/>
    <w:link w:val="Heading4Char"/>
    <w:semiHidden/>
    <w:unhideWhenUsed/>
    <w:qFormat/>
    <w:rsid w:val="00CC08B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C08B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90BC2"/>
    <w:rPr>
      <w:rFonts w:ascii="Tahoma" w:hAnsi="Tahoma" w:cs="Tahoma"/>
      <w:sz w:val="16"/>
      <w:szCs w:val="16"/>
    </w:rPr>
  </w:style>
  <w:style w:type="character" w:customStyle="1" w:styleId="BalloonTextChar">
    <w:name w:val="Balloon Text Char"/>
    <w:basedOn w:val="DefaultParagraphFont"/>
    <w:link w:val="BalloonText"/>
    <w:rsid w:val="00690BC2"/>
    <w:rPr>
      <w:rFonts w:ascii="Tahoma" w:hAnsi="Tahoma" w:cs="Tahoma"/>
      <w:sz w:val="16"/>
      <w:szCs w:val="16"/>
    </w:rPr>
  </w:style>
  <w:style w:type="paragraph" w:styleId="Title">
    <w:name w:val="Title"/>
    <w:basedOn w:val="Normal"/>
    <w:next w:val="Normal"/>
    <w:link w:val="TitleChar"/>
    <w:qFormat/>
    <w:rsid w:val="00E96FC6"/>
    <w:pPr>
      <w:jc w:val="center"/>
    </w:pPr>
    <w:rPr>
      <w:sz w:val="32"/>
      <w:szCs w:val="32"/>
    </w:rPr>
  </w:style>
  <w:style w:type="character" w:customStyle="1" w:styleId="TitleChar">
    <w:name w:val="Title Char"/>
    <w:basedOn w:val="DefaultParagraphFont"/>
    <w:link w:val="Title"/>
    <w:rsid w:val="00E96FC6"/>
    <w:rPr>
      <w:rFonts w:ascii="Arial" w:hAnsi="Arial" w:cs="Arial"/>
      <w:sz w:val="32"/>
      <w:szCs w:val="32"/>
    </w:rPr>
  </w:style>
  <w:style w:type="paragraph" w:customStyle="1" w:styleId="Default">
    <w:name w:val="Default"/>
    <w:rsid w:val="00E96FC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54CCF"/>
    <w:pPr>
      <w:ind w:left="720"/>
      <w:contextualSpacing/>
    </w:pPr>
  </w:style>
  <w:style w:type="character" w:customStyle="1" w:styleId="Heading1Char">
    <w:name w:val="Heading 1 Char"/>
    <w:basedOn w:val="DefaultParagraphFont"/>
    <w:link w:val="Heading1"/>
    <w:rsid w:val="00E66426"/>
    <w:rPr>
      <w:rFonts w:ascii="Arial" w:hAnsi="Arial" w:cs="Arial"/>
      <w:b/>
      <w:sz w:val="24"/>
      <w:szCs w:val="24"/>
    </w:rPr>
  </w:style>
  <w:style w:type="character" w:customStyle="1" w:styleId="Heading2Char">
    <w:name w:val="Heading 2 Char"/>
    <w:basedOn w:val="DefaultParagraphFont"/>
    <w:link w:val="Heading2"/>
    <w:rsid w:val="00E66426"/>
    <w:rPr>
      <w:rFonts w:ascii="Arial" w:hAnsi="Arial" w:cs="Arial"/>
      <w:b/>
      <w:sz w:val="24"/>
      <w:szCs w:val="24"/>
    </w:rPr>
  </w:style>
  <w:style w:type="character" w:customStyle="1" w:styleId="Heading3Char">
    <w:name w:val="Heading 3 Char"/>
    <w:basedOn w:val="DefaultParagraphFont"/>
    <w:link w:val="Heading3"/>
    <w:rsid w:val="00E66426"/>
    <w:rPr>
      <w:rFonts w:ascii="Arial" w:hAnsi="Arial" w:cs="Arial"/>
      <w:sz w:val="24"/>
      <w:szCs w:val="24"/>
      <w:u w:val="single"/>
    </w:rPr>
  </w:style>
  <w:style w:type="paragraph" w:styleId="TOCHeading">
    <w:name w:val="TOC Heading"/>
    <w:basedOn w:val="Heading1"/>
    <w:next w:val="Normal"/>
    <w:uiPriority w:val="39"/>
    <w:unhideWhenUsed/>
    <w:qFormat/>
    <w:rsid w:val="00512348"/>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512348"/>
    <w:pPr>
      <w:spacing w:after="100" w:line="276" w:lineRule="auto"/>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512348"/>
    <w:pPr>
      <w:spacing w:after="100" w:line="276" w:lineRule="auto"/>
    </w:pPr>
    <w:rPr>
      <w:rFonts w:asciiTheme="minorHAnsi" w:eastAsiaTheme="minorEastAsia" w:hAnsiTheme="minorHAnsi" w:cstheme="minorBidi"/>
      <w:lang w:val="en-US" w:eastAsia="ja-JP"/>
    </w:rPr>
  </w:style>
  <w:style w:type="paragraph" w:styleId="TOC3">
    <w:name w:val="toc 3"/>
    <w:basedOn w:val="Normal"/>
    <w:next w:val="Normal"/>
    <w:autoRedefine/>
    <w:uiPriority w:val="39"/>
    <w:unhideWhenUsed/>
    <w:qFormat/>
    <w:rsid w:val="00514E0B"/>
    <w:pPr>
      <w:tabs>
        <w:tab w:val="right" w:leader="dot" w:pos="9204"/>
      </w:tabs>
      <w:spacing w:after="100" w:line="276" w:lineRule="auto"/>
      <w:ind w:left="440" w:firstLine="694"/>
    </w:pPr>
    <w:rPr>
      <w:rFonts w:asciiTheme="minorHAnsi" w:eastAsiaTheme="minorEastAsia" w:hAnsiTheme="minorHAnsi" w:cstheme="minorBidi"/>
      <w:lang w:val="en-US" w:eastAsia="ja-JP"/>
    </w:rPr>
  </w:style>
  <w:style w:type="character" w:styleId="Hyperlink">
    <w:name w:val="Hyperlink"/>
    <w:basedOn w:val="DefaultParagraphFont"/>
    <w:uiPriority w:val="99"/>
    <w:unhideWhenUsed/>
    <w:rsid w:val="00512348"/>
    <w:rPr>
      <w:color w:val="0000FF" w:themeColor="hyperlink"/>
      <w:u w:val="single"/>
    </w:rPr>
  </w:style>
  <w:style w:type="paragraph" w:styleId="Header">
    <w:name w:val="header"/>
    <w:basedOn w:val="Normal"/>
    <w:link w:val="HeaderChar"/>
    <w:rsid w:val="00512348"/>
    <w:pPr>
      <w:tabs>
        <w:tab w:val="center" w:pos="4513"/>
        <w:tab w:val="right" w:pos="9026"/>
      </w:tabs>
    </w:pPr>
  </w:style>
  <w:style w:type="character" w:customStyle="1" w:styleId="HeaderChar">
    <w:name w:val="Header Char"/>
    <w:basedOn w:val="DefaultParagraphFont"/>
    <w:link w:val="Header"/>
    <w:rsid w:val="00512348"/>
    <w:rPr>
      <w:sz w:val="24"/>
      <w:szCs w:val="24"/>
    </w:rPr>
  </w:style>
  <w:style w:type="paragraph" w:styleId="Footer">
    <w:name w:val="footer"/>
    <w:basedOn w:val="Normal"/>
    <w:link w:val="FooterChar"/>
    <w:uiPriority w:val="99"/>
    <w:rsid w:val="00512348"/>
    <w:pPr>
      <w:tabs>
        <w:tab w:val="center" w:pos="4513"/>
        <w:tab w:val="right" w:pos="9026"/>
      </w:tabs>
    </w:pPr>
  </w:style>
  <w:style w:type="character" w:customStyle="1" w:styleId="FooterChar">
    <w:name w:val="Footer Char"/>
    <w:basedOn w:val="DefaultParagraphFont"/>
    <w:link w:val="Footer"/>
    <w:uiPriority w:val="99"/>
    <w:rsid w:val="00512348"/>
    <w:rPr>
      <w:sz w:val="24"/>
      <w:szCs w:val="24"/>
    </w:rPr>
  </w:style>
  <w:style w:type="paragraph" w:styleId="NormalWeb">
    <w:name w:val="Normal (Web)"/>
    <w:basedOn w:val="Normal"/>
    <w:uiPriority w:val="99"/>
    <w:unhideWhenUsed/>
    <w:rsid w:val="009829D0"/>
    <w:pPr>
      <w:spacing w:before="150"/>
    </w:pPr>
    <w:rPr>
      <w:color w:val="505050"/>
      <w:sz w:val="21"/>
      <w:szCs w:val="21"/>
    </w:rPr>
  </w:style>
  <w:style w:type="paragraph" w:styleId="FootnoteText">
    <w:name w:val="footnote text"/>
    <w:basedOn w:val="Normal"/>
    <w:link w:val="FootnoteTextChar"/>
    <w:uiPriority w:val="99"/>
    <w:unhideWhenUsed/>
    <w:rsid w:val="009829D0"/>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9829D0"/>
    <w:rPr>
      <w:rFonts w:asciiTheme="minorHAnsi" w:eastAsiaTheme="minorHAnsi" w:hAnsiTheme="minorHAnsi" w:cstheme="minorBidi"/>
      <w:lang w:eastAsia="en-US"/>
    </w:rPr>
  </w:style>
  <w:style w:type="character" w:styleId="FootnoteReference">
    <w:name w:val="footnote reference"/>
    <w:basedOn w:val="DefaultParagraphFont"/>
    <w:unhideWhenUsed/>
    <w:rsid w:val="009829D0"/>
    <w:rPr>
      <w:vertAlign w:val="superscript"/>
    </w:rPr>
  </w:style>
  <w:style w:type="character" w:styleId="CommentReference">
    <w:name w:val="annotation reference"/>
    <w:basedOn w:val="DefaultParagraphFont"/>
    <w:rsid w:val="00A87555"/>
    <w:rPr>
      <w:sz w:val="16"/>
      <w:szCs w:val="16"/>
    </w:rPr>
  </w:style>
  <w:style w:type="paragraph" w:styleId="CommentText">
    <w:name w:val="annotation text"/>
    <w:basedOn w:val="Normal"/>
    <w:link w:val="CommentTextChar"/>
    <w:rsid w:val="00A87555"/>
    <w:rPr>
      <w:sz w:val="20"/>
      <w:szCs w:val="20"/>
    </w:rPr>
  </w:style>
  <w:style w:type="character" w:customStyle="1" w:styleId="CommentTextChar">
    <w:name w:val="Comment Text Char"/>
    <w:basedOn w:val="DefaultParagraphFont"/>
    <w:link w:val="CommentText"/>
    <w:rsid w:val="00A87555"/>
  </w:style>
  <w:style w:type="paragraph" w:styleId="CommentSubject">
    <w:name w:val="annotation subject"/>
    <w:basedOn w:val="CommentText"/>
    <w:next w:val="CommentText"/>
    <w:link w:val="CommentSubjectChar"/>
    <w:rsid w:val="001F702F"/>
    <w:rPr>
      <w:b/>
      <w:bCs/>
    </w:rPr>
  </w:style>
  <w:style w:type="character" w:customStyle="1" w:styleId="CommentSubjectChar">
    <w:name w:val="Comment Subject Char"/>
    <w:basedOn w:val="CommentTextChar"/>
    <w:link w:val="CommentSubject"/>
    <w:rsid w:val="001F702F"/>
    <w:rPr>
      <w:b/>
      <w:bCs/>
    </w:rPr>
  </w:style>
  <w:style w:type="table" w:styleId="TableGrid">
    <w:name w:val="Table Grid"/>
    <w:basedOn w:val="TableNormal"/>
    <w:rsid w:val="00F137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BodyText"/>
    <w:uiPriority w:val="99"/>
    <w:unhideWhenUsed/>
    <w:rsid w:val="00B50C9C"/>
    <w:pPr>
      <w:spacing w:before="180"/>
      <w:outlineLvl w:val="0"/>
    </w:pPr>
    <w:rPr>
      <w:rFonts w:ascii="Tahoma" w:hAnsi="Tahoma" w:cs="Tahoma"/>
      <w:bCs/>
      <w:lang w:eastAsia="en-US"/>
    </w:rPr>
  </w:style>
  <w:style w:type="paragraph" w:styleId="BodyText">
    <w:name w:val="Body Text"/>
    <w:basedOn w:val="Normal"/>
    <w:link w:val="BodyTextChar"/>
    <w:rsid w:val="00B50C9C"/>
    <w:pPr>
      <w:spacing w:after="120"/>
    </w:pPr>
  </w:style>
  <w:style w:type="character" w:customStyle="1" w:styleId="BodyTextChar">
    <w:name w:val="Body Text Char"/>
    <w:basedOn w:val="DefaultParagraphFont"/>
    <w:link w:val="BodyText"/>
    <w:rsid w:val="00B50C9C"/>
    <w:rPr>
      <w:rFonts w:ascii="Arial" w:hAnsi="Arial" w:cs="Arial"/>
      <w:sz w:val="22"/>
      <w:szCs w:val="22"/>
    </w:rPr>
  </w:style>
  <w:style w:type="paragraph" w:styleId="Revision">
    <w:name w:val="Revision"/>
    <w:hidden/>
    <w:uiPriority w:val="99"/>
    <w:semiHidden/>
    <w:rsid w:val="0047623F"/>
    <w:rPr>
      <w:rFonts w:ascii="Arial" w:hAnsi="Arial" w:cs="Arial"/>
      <w:sz w:val="22"/>
      <w:szCs w:val="22"/>
    </w:rPr>
  </w:style>
  <w:style w:type="character" w:customStyle="1" w:styleId="Heading4Char">
    <w:name w:val="Heading 4 Char"/>
    <w:basedOn w:val="DefaultParagraphFont"/>
    <w:link w:val="Heading4"/>
    <w:semiHidden/>
    <w:rsid w:val="00CC08B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CC08BA"/>
    <w:rPr>
      <w:rFonts w:asciiTheme="majorHAnsi" w:eastAsiaTheme="majorEastAsia" w:hAnsiTheme="majorHAnsi" w:cstheme="majorBidi"/>
      <w:color w:val="243F60" w:themeColor="accent1" w:themeShade="7F"/>
      <w:sz w:val="22"/>
      <w:szCs w:val="22"/>
    </w:rPr>
  </w:style>
  <w:style w:type="character" w:styleId="FollowedHyperlink">
    <w:name w:val="FollowedHyperlink"/>
    <w:basedOn w:val="DefaultParagraphFont"/>
    <w:rsid w:val="000978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2010">
      <w:bodyDiv w:val="1"/>
      <w:marLeft w:val="0"/>
      <w:marRight w:val="0"/>
      <w:marTop w:val="0"/>
      <w:marBottom w:val="0"/>
      <w:divBdr>
        <w:top w:val="none" w:sz="0" w:space="0" w:color="auto"/>
        <w:left w:val="none" w:sz="0" w:space="0" w:color="auto"/>
        <w:bottom w:val="none" w:sz="0" w:space="0" w:color="auto"/>
        <w:right w:val="none" w:sz="0" w:space="0" w:color="auto"/>
      </w:divBdr>
    </w:div>
    <w:div w:id="113867837">
      <w:bodyDiv w:val="1"/>
      <w:marLeft w:val="0"/>
      <w:marRight w:val="0"/>
      <w:marTop w:val="0"/>
      <w:marBottom w:val="0"/>
      <w:divBdr>
        <w:top w:val="none" w:sz="0" w:space="0" w:color="auto"/>
        <w:left w:val="none" w:sz="0" w:space="0" w:color="auto"/>
        <w:bottom w:val="none" w:sz="0" w:space="0" w:color="auto"/>
        <w:right w:val="none" w:sz="0" w:space="0" w:color="auto"/>
      </w:divBdr>
    </w:div>
    <w:div w:id="348064776">
      <w:bodyDiv w:val="1"/>
      <w:marLeft w:val="0"/>
      <w:marRight w:val="0"/>
      <w:marTop w:val="0"/>
      <w:marBottom w:val="0"/>
      <w:divBdr>
        <w:top w:val="none" w:sz="0" w:space="0" w:color="auto"/>
        <w:left w:val="none" w:sz="0" w:space="0" w:color="auto"/>
        <w:bottom w:val="none" w:sz="0" w:space="0" w:color="auto"/>
        <w:right w:val="none" w:sz="0" w:space="0" w:color="auto"/>
      </w:divBdr>
    </w:div>
    <w:div w:id="547685924">
      <w:bodyDiv w:val="1"/>
      <w:marLeft w:val="0"/>
      <w:marRight w:val="0"/>
      <w:marTop w:val="0"/>
      <w:marBottom w:val="0"/>
      <w:divBdr>
        <w:top w:val="none" w:sz="0" w:space="0" w:color="auto"/>
        <w:left w:val="none" w:sz="0" w:space="0" w:color="auto"/>
        <w:bottom w:val="none" w:sz="0" w:space="0" w:color="auto"/>
        <w:right w:val="none" w:sz="0" w:space="0" w:color="auto"/>
      </w:divBdr>
    </w:div>
    <w:div w:id="594166034">
      <w:bodyDiv w:val="1"/>
      <w:marLeft w:val="0"/>
      <w:marRight w:val="0"/>
      <w:marTop w:val="0"/>
      <w:marBottom w:val="0"/>
      <w:divBdr>
        <w:top w:val="none" w:sz="0" w:space="0" w:color="auto"/>
        <w:left w:val="none" w:sz="0" w:space="0" w:color="auto"/>
        <w:bottom w:val="none" w:sz="0" w:space="0" w:color="auto"/>
        <w:right w:val="none" w:sz="0" w:space="0" w:color="auto"/>
      </w:divBdr>
    </w:div>
    <w:div w:id="723987067">
      <w:bodyDiv w:val="1"/>
      <w:marLeft w:val="0"/>
      <w:marRight w:val="0"/>
      <w:marTop w:val="0"/>
      <w:marBottom w:val="0"/>
      <w:divBdr>
        <w:top w:val="none" w:sz="0" w:space="0" w:color="auto"/>
        <w:left w:val="none" w:sz="0" w:space="0" w:color="auto"/>
        <w:bottom w:val="none" w:sz="0" w:space="0" w:color="auto"/>
        <w:right w:val="none" w:sz="0" w:space="0" w:color="auto"/>
      </w:divBdr>
    </w:div>
    <w:div w:id="724839712">
      <w:bodyDiv w:val="1"/>
      <w:marLeft w:val="0"/>
      <w:marRight w:val="0"/>
      <w:marTop w:val="0"/>
      <w:marBottom w:val="0"/>
      <w:divBdr>
        <w:top w:val="none" w:sz="0" w:space="0" w:color="auto"/>
        <w:left w:val="none" w:sz="0" w:space="0" w:color="auto"/>
        <w:bottom w:val="none" w:sz="0" w:space="0" w:color="auto"/>
        <w:right w:val="none" w:sz="0" w:space="0" w:color="auto"/>
      </w:divBdr>
    </w:div>
    <w:div w:id="777024230">
      <w:bodyDiv w:val="1"/>
      <w:marLeft w:val="0"/>
      <w:marRight w:val="0"/>
      <w:marTop w:val="0"/>
      <w:marBottom w:val="0"/>
      <w:divBdr>
        <w:top w:val="none" w:sz="0" w:space="0" w:color="auto"/>
        <w:left w:val="none" w:sz="0" w:space="0" w:color="auto"/>
        <w:bottom w:val="none" w:sz="0" w:space="0" w:color="auto"/>
        <w:right w:val="none" w:sz="0" w:space="0" w:color="auto"/>
      </w:divBdr>
    </w:div>
    <w:div w:id="916137815">
      <w:bodyDiv w:val="1"/>
      <w:marLeft w:val="0"/>
      <w:marRight w:val="0"/>
      <w:marTop w:val="0"/>
      <w:marBottom w:val="0"/>
      <w:divBdr>
        <w:top w:val="none" w:sz="0" w:space="0" w:color="auto"/>
        <w:left w:val="none" w:sz="0" w:space="0" w:color="auto"/>
        <w:bottom w:val="none" w:sz="0" w:space="0" w:color="auto"/>
        <w:right w:val="none" w:sz="0" w:space="0" w:color="auto"/>
      </w:divBdr>
    </w:div>
    <w:div w:id="955605189">
      <w:bodyDiv w:val="1"/>
      <w:marLeft w:val="0"/>
      <w:marRight w:val="0"/>
      <w:marTop w:val="0"/>
      <w:marBottom w:val="0"/>
      <w:divBdr>
        <w:top w:val="none" w:sz="0" w:space="0" w:color="auto"/>
        <w:left w:val="none" w:sz="0" w:space="0" w:color="auto"/>
        <w:bottom w:val="none" w:sz="0" w:space="0" w:color="auto"/>
        <w:right w:val="none" w:sz="0" w:space="0" w:color="auto"/>
      </w:divBdr>
    </w:div>
    <w:div w:id="1041787202">
      <w:bodyDiv w:val="1"/>
      <w:marLeft w:val="0"/>
      <w:marRight w:val="0"/>
      <w:marTop w:val="0"/>
      <w:marBottom w:val="0"/>
      <w:divBdr>
        <w:top w:val="none" w:sz="0" w:space="0" w:color="auto"/>
        <w:left w:val="none" w:sz="0" w:space="0" w:color="auto"/>
        <w:bottom w:val="none" w:sz="0" w:space="0" w:color="auto"/>
        <w:right w:val="none" w:sz="0" w:space="0" w:color="auto"/>
      </w:divBdr>
    </w:div>
    <w:div w:id="1117404692">
      <w:bodyDiv w:val="1"/>
      <w:marLeft w:val="0"/>
      <w:marRight w:val="0"/>
      <w:marTop w:val="0"/>
      <w:marBottom w:val="0"/>
      <w:divBdr>
        <w:top w:val="none" w:sz="0" w:space="0" w:color="auto"/>
        <w:left w:val="none" w:sz="0" w:space="0" w:color="auto"/>
        <w:bottom w:val="none" w:sz="0" w:space="0" w:color="auto"/>
        <w:right w:val="none" w:sz="0" w:space="0" w:color="auto"/>
      </w:divBdr>
    </w:div>
    <w:div w:id="1229851360">
      <w:bodyDiv w:val="1"/>
      <w:marLeft w:val="0"/>
      <w:marRight w:val="0"/>
      <w:marTop w:val="0"/>
      <w:marBottom w:val="0"/>
      <w:divBdr>
        <w:top w:val="none" w:sz="0" w:space="0" w:color="auto"/>
        <w:left w:val="none" w:sz="0" w:space="0" w:color="auto"/>
        <w:bottom w:val="none" w:sz="0" w:space="0" w:color="auto"/>
        <w:right w:val="none" w:sz="0" w:space="0" w:color="auto"/>
      </w:divBdr>
    </w:div>
    <w:div w:id="1531063640">
      <w:bodyDiv w:val="1"/>
      <w:marLeft w:val="0"/>
      <w:marRight w:val="0"/>
      <w:marTop w:val="0"/>
      <w:marBottom w:val="0"/>
      <w:divBdr>
        <w:top w:val="none" w:sz="0" w:space="0" w:color="auto"/>
        <w:left w:val="none" w:sz="0" w:space="0" w:color="auto"/>
        <w:bottom w:val="none" w:sz="0" w:space="0" w:color="auto"/>
        <w:right w:val="none" w:sz="0" w:space="0" w:color="auto"/>
      </w:divBdr>
    </w:div>
    <w:div w:id="1851528557">
      <w:bodyDiv w:val="1"/>
      <w:marLeft w:val="0"/>
      <w:marRight w:val="0"/>
      <w:marTop w:val="0"/>
      <w:marBottom w:val="0"/>
      <w:divBdr>
        <w:top w:val="none" w:sz="0" w:space="0" w:color="auto"/>
        <w:left w:val="none" w:sz="0" w:space="0" w:color="auto"/>
        <w:bottom w:val="none" w:sz="0" w:space="0" w:color="auto"/>
        <w:right w:val="none" w:sz="0" w:space="0" w:color="auto"/>
      </w:divBdr>
    </w:div>
    <w:div w:id="20965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fsc.gov.au/sites/fsc/resources/az/pages/auditingcriteria" TargetMode="External"/><Relationship Id="rId26" Type="http://schemas.openxmlformats.org/officeDocument/2006/relationships/hyperlink" Target="http://www.fsc.gov.au" TargetMode="External"/><Relationship Id="rId39" Type="http://schemas.openxmlformats.org/officeDocument/2006/relationships/customXml" Target="../customXml/item2.xml"/><Relationship Id="rId21" Type="http://schemas.openxmlformats.org/officeDocument/2006/relationships/chart" Target="charts/chart2.xml"/><Relationship Id="rId34"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hyperlink" Target="http://www.finance.gov.au/procurement/procurement-policy-and-guidance/buying/policy-framework/procurement-policies/principles.html"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fsc.gov.au/sites/fsc/resources/az/pages/auditingcriteria" TargetMode="External"/><Relationship Id="rId32" Type="http://schemas.openxmlformats.org/officeDocument/2006/relationships/header" Target="header6.xm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fsc.gov.au/sites/fsc/resources/az/pages/auditingcriteria" TargetMode="External"/><Relationship Id="rId28" Type="http://schemas.openxmlformats.org/officeDocument/2006/relationships/hyperlink" Target="http://www.austlii.edu.au/au/legis/cth/consol_act/caaca1997387" TargetMode="External"/><Relationship Id="rId36" Type="http://schemas.openxmlformats.org/officeDocument/2006/relationships/hyperlink" Target="mailto:ofscreview@employment.gov.au" TargetMode="External"/><Relationship Id="rId10" Type="http://schemas.openxmlformats.org/officeDocument/2006/relationships/header" Target="header1.xml"/><Relationship Id="rId19" Type="http://schemas.openxmlformats.org/officeDocument/2006/relationships/hyperlink" Target="http://www.fsc.gov.au" TargetMode="External"/><Relationship Id="rId31" Type="http://schemas.openxmlformats.org/officeDocument/2006/relationships/hyperlink" Target="mailto:ofscreview@employment.gov.a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yperlink" Target="http://www.fsc.gov.au/sites/fsc/resources/az/pages/auditingcriteria" TargetMode="External"/><Relationship Id="rId27" Type="http://schemas.openxmlformats.org/officeDocument/2006/relationships/hyperlink" Target="http://www.fsc.gov.au" TargetMode="External"/><Relationship Id="rId30" Type="http://schemas.openxmlformats.org/officeDocument/2006/relationships/hyperlink" Target="mailto:ofscreview@employment.gov.au" TargetMode="External"/><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OFSCreview@employment.gov.au" TargetMode="External"/><Relationship Id="rId25" Type="http://schemas.openxmlformats.org/officeDocument/2006/relationships/chart" Target="charts/chart3.xml"/><Relationship Id="rId33" Type="http://schemas.openxmlformats.org/officeDocument/2006/relationships/header" Target="header7.xml"/><Relationship Id="rId3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NAS002\KB2508$\Desktop\Audit%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AU" sz="1200" b="1" i="0" u="none" strike="noStrike" baseline="0">
                <a:effectLst/>
              </a:rPr>
              <a:t>Table 1 - Frequency rate (serious claims per million hours worked)</a:t>
            </a:r>
            <a:endParaRPr lang="en-AU" sz="1200"/>
          </a:p>
        </c:rich>
      </c:tx>
      <c:layout>
        <c:manualLayout>
          <c:xMode val="edge"/>
          <c:yMode val="edge"/>
          <c:x val="0.21716728707880587"/>
          <c:y val="3.1098153547133137E-2"/>
        </c:manualLayout>
      </c:layout>
      <c:overlay val="0"/>
    </c:title>
    <c:autoTitleDeleted val="0"/>
    <c:plotArea>
      <c:layout>
        <c:manualLayout>
          <c:layoutTarget val="inner"/>
          <c:xMode val="edge"/>
          <c:yMode val="edge"/>
          <c:x val="9.1216896856965046E-2"/>
          <c:y val="0.14323562780458893"/>
          <c:w val="0.65078875449847118"/>
          <c:h val="0.75351181102362208"/>
        </c:manualLayout>
      </c:layout>
      <c:lineChart>
        <c:grouping val="standard"/>
        <c:varyColors val="0"/>
        <c:ser>
          <c:idx val="0"/>
          <c:order val="0"/>
          <c:tx>
            <c:strRef>
              <c:f>Sheet2!$A$2</c:f>
              <c:strCache>
                <c:ptCount val="1"/>
                <c:pt idx="0">
                  <c:v>Transport &amp; storage</c:v>
                </c:pt>
              </c:strCache>
            </c:strRef>
          </c:tx>
          <c:spPr>
            <a:ln>
              <a:prstDash val="sysDot"/>
            </a:ln>
          </c:spPr>
          <c:marker>
            <c:symbol val="none"/>
          </c:marker>
          <c:cat>
            <c:strRef>
              <c:f>Sheet2!$B$1:$H$1</c:f>
              <c:strCache>
                <c:ptCount val="7"/>
                <c:pt idx="0">
                  <c:v>2000–01</c:v>
                </c:pt>
                <c:pt idx="1">
                  <c:v>2005–06</c:v>
                </c:pt>
                <c:pt idx="2">
                  <c:v>2006–07</c:v>
                </c:pt>
                <c:pt idx="3">
                  <c:v>2007–08</c:v>
                </c:pt>
                <c:pt idx="4">
                  <c:v>2008–09</c:v>
                </c:pt>
                <c:pt idx="5">
                  <c:v>2009–10</c:v>
                </c:pt>
                <c:pt idx="6">
                  <c:v>2010–11p</c:v>
                </c:pt>
              </c:strCache>
            </c:strRef>
          </c:cat>
          <c:val>
            <c:numRef>
              <c:f>Sheet2!$B$2:$H$2</c:f>
              <c:numCache>
                <c:formatCode>General</c:formatCode>
                <c:ptCount val="7"/>
                <c:pt idx="0">
                  <c:v>15.7</c:v>
                </c:pt>
                <c:pt idx="1">
                  <c:v>13.8</c:v>
                </c:pt>
                <c:pt idx="2">
                  <c:v>13.4</c:v>
                </c:pt>
                <c:pt idx="3">
                  <c:v>12.7</c:v>
                </c:pt>
                <c:pt idx="4">
                  <c:v>13.2</c:v>
                </c:pt>
                <c:pt idx="5">
                  <c:v>12.4</c:v>
                </c:pt>
                <c:pt idx="6">
                  <c:v>11.2</c:v>
                </c:pt>
              </c:numCache>
            </c:numRef>
          </c:val>
          <c:smooth val="0"/>
        </c:ser>
        <c:ser>
          <c:idx val="1"/>
          <c:order val="1"/>
          <c:tx>
            <c:strRef>
              <c:f>Sheet2!$A$3</c:f>
              <c:strCache>
                <c:ptCount val="1"/>
                <c:pt idx="0">
                  <c:v>Agriculture, forestry &amp; fishing</c:v>
                </c:pt>
              </c:strCache>
            </c:strRef>
          </c:tx>
          <c:spPr>
            <a:ln>
              <a:prstDash val="sysDash"/>
            </a:ln>
          </c:spPr>
          <c:marker>
            <c:symbol val="none"/>
          </c:marker>
          <c:cat>
            <c:strRef>
              <c:f>Sheet2!$B$1:$H$1</c:f>
              <c:strCache>
                <c:ptCount val="7"/>
                <c:pt idx="0">
                  <c:v>2000–01</c:v>
                </c:pt>
                <c:pt idx="1">
                  <c:v>2005–06</c:v>
                </c:pt>
                <c:pt idx="2">
                  <c:v>2006–07</c:v>
                </c:pt>
                <c:pt idx="3">
                  <c:v>2007–08</c:v>
                </c:pt>
                <c:pt idx="4">
                  <c:v>2008–09</c:v>
                </c:pt>
                <c:pt idx="5">
                  <c:v>2009–10</c:v>
                </c:pt>
                <c:pt idx="6">
                  <c:v>2010–11p</c:v>
                </c:pt>
              </c:strCache>
            </c:strRef>
          </c:cat>
          <c:val>
            <c:numRef>
              <c:f>Sheet2!$B$3:$H$3</c:f>
              <c:numCache>
                <c:formatCode>General</c:formatCode>
                <c:ptCount val="7"/>
                <c:pt idx="0">
                  <c:v>15</c:v>
                </c:pt>
                <c:pt idx="1">
                  <c:v>13.9</c:v>
                </c:pt>
                <c:pt idx="2">
                  <c:v>13.1</c:v>
                </c:pt>
                <c:pt idx="3">
                  <c:v>12.8</c:v>
                </c:pt>
                <c:pt idx="4">
                  <c:v>12.9</c:v>
                </c:pt>
                <c:pt idx="5">
                  <c:v>11.2</c:v>
                </c:pt>
                <c:pt idx="6">
                  <c:v>10.5</c:v>
                </c:pt>
              </c:numCache>
            </c:numRef>
          </c:val>
          <c:smooth val="0"/>
        </c:ser>
        <c:ser>
          <c:idx val="2"/>
          <c:order val="2"/>
          <c:tx>
            <c:strRef>
              <c:f>Sheet2!$A$4</c:f>
              <c:strCache>
                <c:ptCount val="1"/>
                <c:pt idx="0">
                  <c:v>Construction</c:v>
                </c:pt>
              </c:strCache>
            </c:strRef>
          </c:tx>
          <c:spPr>
            <a:ln cap="rnd">
              <a:solidFill>
                <a:srgbClr val="9BBB59">
                  <a:shade val="95000"/>
                  <a:satMod val="105000"/>
                </a:srgbClr>
              </a:solidFill>
              <a:round/>
            </a:ln>
          </c:spPr>
          <c:marker>
            <c:symbol val="none"/>
          </c:marker>
          <c:cat>
            <c:strRef>
              <c:f>Sheet2!$B$1:$H$1</c:f>
              <c:strCache>
                <c:ptCount val="7"/>
                <c:pt idx="0">
                  <c:v>2000–01</c:v>
                </c:pt>
                <c:pt idx="1">
                  <c:v>2005–06</c:v>
                </c:pt>
                <c:pt idx="2">
                  <c:v>2006–07</c:v>
                </c:pt>
                <c:pt idx="3">
                  <c:v>2007–08</c:v>
                </c:pt>
                <c:pt idx="4">
                  <c:v>2008–09</c:v>
                </c:pt>
                <c:pt idx="5">
                  <c:v>2009–10</c:v>
                </c:pt>
                <c:pt idx="6">
                  <c:v>2010–11p</c:v>
                </c:pt>
              </c:strCache>
            </c:strRef>
          </c:cat>
          <c:val>
            <c:numRef>
              <c:f>Sheet2!$B$4:$H$4</c:f>
              <c:numCache>
                <c:formatCode>General</c:formatCode>
                <c:ptCount val="7"/>
                <c:pt idx="0">
                  <c:v>15.1</c:v>
                </c:pt>
                <c:pt idx="1">
                  <c:v>11.5</c:v>
                </c:pt>
                <c:pt idx="2">
                  <c:v>10.4</c:v>
                </c:pt>
                <c:pt idx="3">
                  <c:v>10.6</c:v>
                </c:pt>
                <c:pt idx="4">
                  <c:v>10.7</c:v>
                </c:pt>
                <c:pt idx="5">
                  <c:v>9.6</c:v>
                </c:pt>
                <c:pt idx="6">
                  <c:v>8.9</c:v>
                </c:pt>
              </c:numCache>
            </c:numRef>
          </c:val>
          <c:smooth val="0"/>
        </c:ser>
        <c:ser>
          <c:idx val="3"/>
          <c:order val="3"/>
          <c:tx>
            <c:strRef>
              <c:f>Sheet2!$A$5</c:f>
              <c:strCache>
                <c:ptCount val="1"/>
                <c:pt idx="0">
                  <c:v>Manufacturing</c:v>
                </c:pt>
              </c:strCache>
            </c:strRef>
          </c:tx>
          <c:spPr>
            <a:ln>
              <a:prstDash val="lgDash"/>
            </a:ln>
          </c:spPr>
          <c:marker>
            <c:symbol val="none"/>
          </c:marker>
          <c:cat>
            <c:strRef>
              <c:f>Sheet2!$B$1:$H$1</c:f>
              <c:strCache>
                <c:ptCount val="7"/>
                <c:pt idx="0">
                  <c:v>2000–01</c:v>
                </c:pt>
                <c:pt idx="1">
                  <c:v>2005–06</c:v>
                </c:pt>
                <c:pt idx="2">
                  <c:v>2006–07</c:v>
                </c:pt>
                <c:pt idx="3">
                  <c:v>2007–08</c:v>
                </c:pt>
                <c:pt idx="4">
                  <c:v>2008–09</c:v>
                </c:pt>
                <c:pt idx="5">
                  <c:v>2009–10</c:v>
                </c:pt>
                <c:pt idx="6">
                  <c:v>2010–11p</c:v>
                </c:pt>
              </c:strCache>
            </c:strRef>
          </c:cat>
          <c:val>
            <c:numRef>
              <c:f>Sheet2!$B$5:$H$5</c:f>
              <c:numCache>
                <c:formatCode>General</c:formatCode>
                <c:ptCount val="7"/>
                <c:pt idx="0">
                  <c:v>15</c:v>
                </c:pt>
                <c:pt idx="1">
                  <c:v>14.2</c:v>
                </c:pt>
                <c:pt idx="2">
                  <c:v>14.1</c:v>
                </c:pt>
                <c:pt idx="3">
                  <c:v>13</c:v>
                </c:pt>
                <c:pt idx="4">
                  <c:v>12.6</c:v>
                </c:pt>
                <c:pt idx="5">
                  <c:v>11.7</c:v>
                </c:pt>
                <c:pt idx="6">
                  <c:v>10.9</c:v>
                </c:pt>
              </c:numCache>
            </c:numRef>
          </c:val>
          <c:smooth val="0"/>
        </c:ser>
        <c:dLbls>
          <c:showLegendKey val="0"/>
          <c:showVal val="0"/>
          <c:showCatName val="0"/>
          <c:showSerName val="0"/>
          <c:showPercent val="0"/>
          <c:showBubbleSize val="0"/>
        </c:dLbls>
        <c:marker val="1"/>
        <c:smooth val="0"/>
        <c:axId val="176585728"/>
        <c:axId val="179117056"/>
      </c:lineChart>
      <c:catAx>
        <c:axId val="176585728"/>
        <c:scaling>
          <c:orientation val="minMax"/>
        </c:scaling>
        <c:delete val="0"/>
        <c:axPos val="b"/>
        <c:majorTickMark val="out"/>
        <c:minorTickMark val="none"/>
        <c:tickLblPos val="nextTo"/>
        <c:crossAx val="179117056"/>
        <c:crosses val="autoZero"/>
        <c:auto val="1"/>
        <c:lblAlgn val="ctr"/>
        <c:lblOffset val="100"/>
        <c:noMultiLvlLbl val="0"/>
      </c:catAx>
      <c:valAx>
        <c:axId val="179117056"/>
        <c:scaling>
          <c:orientation val="minMax"/>
          <c:max val="16"/>
          <c:min val="8"/>
        </c:scaling>
        <c:delete val="0"/>
        <c:axPos val="l"/>
        <c:majorGridlines/>
        <c:title>
          <c:tx>
            <c:rich>
              <a:bodyPr rot="-5400000" vert="horz"/>
              <a:lstStyle/>
              <a:p>
                <a:pPr>
                  <a:defRPr/>
                </a:pPr>
                <a:r>
                  <a:rPr lang="en-AU"/>
                  <a:t>Serios claims per million hours worked</a:t>
                </a:r>
              </a:p>
            </c:rich>
          </c:tx>
          <c:layout>
            <c:manualLayout>
              <c:xMode val="edge"/>
              <c:yMode val="edge"/>
              <c:x val="1.0469000653268857E-2"/>
              <c:y val="0.14636559139784946"/>
            </c:manualLayout>
          </c:layout>
          <c:overlay val="0"/>
        </c:title>
        <c:numFmt formatCode="General" sourceLinked="1"/>
        <c:majorTickMark val="out"/>
        <c:minorTickMark val="none"/>
        <c:tickLblPos val="nextTo"/>
        <c:crossAx val="176585728"/>
        <c:crosses val="autoZero"/>
        <c:crossBetween val="between"/>
      </c:valAx>
    </c:plotArea>
    <c:legend>
      <c:legendPos val="r"/>
      <c:layout>
        <c:manualLayout>
          <c:xMode val="edge"/>
          <c:yMode val="edge"/>
          <c:x val="0.75448614165039041"/>
          <c:y val="0.24717833616435458"/>
          <c:w val="0.23303335912964077"/>
          <c:h val="0.5165652064135775"/>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AU" sz="1200"/>
              <a:t>Table 2 - Fatality rate (deaths per 100 000 workers) by industry of employer</a:t>
            </a:r>
          </a:p>
        </c:rich>
      </c:tx>
      <c:layout/>
      <c:overlay val="0"/>
    </c:title>
    <c:autoTitleDeleted val="0"/>
    <c:plotArea>
      <c:layout>
        <c:manualLayout>
          <c:layoutTarget val="inner"/>
          <c:xMode val="edge"/>
          <c:yMode val="edge"/>
          <c:x val="8.2586564434547718E-2"/>
          <c:y val="0.12425260478803785"/>
          <c:w val="0.68960660529678686"/>
          <c:h val="0.77374703035985282"/>
        </c:manualLayout>
      </c:layout>
      <c:lineChart>
        <c:grouping val="standard"/>
        <c:varyColors val="0"/>
        <c:ser>
          <c:idx val="0"/>
          <c:order val="0"/>
          <c:tx>
            <c:strRef>
              <c:f>'Fatality Frequency Rate'!$A$2</c:f>
              <c:strCache>
                <c:ptCount val="1"/>
                <c:pt idx="0">
                  <c:v>Transport, postal &amp; warehousing</c:v>
                </c:pt>
              </c:strCache>
            </c:strRef>
          </c:tx>
          <c:spPr>
            <a:ln>
              <a:prstDash val="sysDot"/>
            </a:ln>
          </c:spPr>
          <c:marker>
            <c:symbol val="none"/>
          </c:marker>
          <c:cat>
            <c:numRef>
              <c:f>'Fatality Frequency Rate'!$B$1:$K$1</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'Fatality Frequency Rate'!$B$2:$K$2</c:f>
              <c:numCache>
                <c:formatCode>General</c:formatCode>
                <c:ptCount val="10"/>
                <c:pt idx="0">
                  <c:v>14.64</c:v>
                </c:pt>
                <c:pt idx="1">
                  <c:v>13.77</c:v>
                </c:pt>
                <c:pt idx="2">
                  <c:v>10.99</c:v>
                </c:pt>
                <c:pt idx="3">
                  <c:v>11.82</c:v>
                </c:pt>
                <c:pt idx="4">
                  <c:v>14.96</c:v>
                </c:pt>
                <c:pt idx="5">
                  <c:v>12.24</c:v>
                </c:pt>
                <c:pt idx="6">
                  <c:v>10.68</c:v>
                </c:pt>
                <c:pt idx="7">
                  <c:v>7.63</c:v>
                </c:pt>
                <c:pt idx="8">
                  <c:v>8.06</c:v>
                </c:pt>
                <c:pt idx="9">
                  <c:v>11.54</c:v>
                </c:pt>
              </c:numCache>
            </c:numRef>
          </c:val>
          <c:smooth val="0"/>
        </c:ser>
        <c:ser>
          <c:idx val="1"/>
          <c:order val="1"/>
          <c:tx>
            <c:strRef>
              <c:f>'Fatality Frequency Rate'!$A$3</c:f>
              <c:strCache>
                <c:ptCount val="1"/>
                <c:pt idx="0">
                  <c:v>Agriculture, forestry &amp; fishing</c:v>
                </c:pt>
              </c:strCache>
            </c:strRef>
          </c:tx>
          <c:spPr>
            <a:ln>
              <a:prstDash val="sysDash"/>
            </a:ln>
          </c:spPr>
          <c:marker>
            <c:symbol val="none"/>
          </c:marker>
          <c:cat>
            <c:numRef>
              <c:f>'Fatality Frequency Rate'!$B$1:$K$1</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'Fatality Frequency Rate'!$B$3:$K$3</c:f>
              <c:numCache>
                <c:formatCode>General</c:formatCode>
                <c:ptCount val="10"/>
                <c:pt idx="0">
                  <c:v>15.85</c:v>
                </c:pt>
                <c:pt idx="1">
                  <c:v>21.28</c:v>
                </c:pt>
                <c:pt idx="2">
                  <c:v>17.170000000000002</c:v>
                </c:pt>
                <c:pt idx="3">
                  <c:v>13.11</c:v>
                </c:pt>
                <c:pt idx="4">
                  <c:v>14.74</c:v>
                </c:pt>
                <c:pt idx="5">
                  <c:v>17.850000000000001</c:v>
                </c:pt>
                <c:pt idx="6">
                  <c:v>16.47</c:v>
                </c:pt>
                <c:pt idx="7">
                  <c:v>14.02</c:v>
                </c:pt>
                <c:pt idx="8">
                  <c:v>18.05</c:v>
                </c:pt>
                <c:pt idx="9">
                  <c:v>15.91</c:v>
                </c:pt>
              </c:numCache>
            </c:numRef>
          </c:val>
          <c:smooth val="0"/>
        </c:ser>
        <c:ser>
          <c:idx val="2"/>
          <c:order val="2"/>
          <c:tx>
            <c:strRef>
              <c:f>'Fatality Frequency Rate'!$A$4</c:f>
              <c:strCache>
                <c:ptCount val="1"/>
                <c:pt idx="0">
                  <c:v>Construction</c:v>
                </c:pt>
              </c:strCache>
            </c:strRef>
          </c:tx>
          <c:marker>
            <c:symbol val="none"/>
          </c:marker>
          <c:cat>
            <c:numRef>
              <c:f>'Fatality Frequency Rate'!$B$1:$K$1</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'Fatality Frequency Rate'!$B$4:$K$4</c:f>
              <c:numCache>
                <c:formatCode>General</c:formatCode>
                <c:ptCount val="10"/>
                <c:pt idx="0">
                  <c:v>5.84</c:v>
                </c:pt>
                <c:pt idx="1">
                  <c:v>4.5</c:v>
                </c:pt>
                <c:pt idx="2">
                  <c:v>3.98</c:v>
                </c:pt>
                <c:pt idx="3">
                  <c:v>5.25</c:v>
                </c:pt>
                <c:pt idx="4">
                  <c:v>5.36</c:v>
                </c:pt>
                <c:pt idx="5">
                  <c:v>4.1100000000000003</c:v>
                </c:pt>
                <c:pt idx="6">
                  <c:v>4.0199999999999996</c:v>
                </c:pt>
                <c:pt idx="7">
                  <c:v>4.33</c:v>
                </c:pt>
                <c:pt idx="8">
                  <c:v>4.07</c:v>
                </c:pt>
                <c:pt idx="9">
                  <c:v>3</c:v>
                </c:pt>
              </c:numCache>
            </c:numRef>
          </c:val>
          <c:smooth val="0"/>
        </c:ser>
        <c:ser>
          <c:idx val="3"/>
          <c:order val="3"/>
          <c:tx>
            <c:strRef>
              <c:f>'Fatality Frequency Rate'!$A$5</c:f>
              <c:strCache>
                <c:ptCount val="1"/>
                <c:pt idx="0">
                  <c:v>Manufacturing</c:v>
                </c:pt>
              </c:strCache>
            </c:strRef>
          </c:tx>
          <c:spPr>
            <a:ln>
              <a:prstDash val="lgDash"/>
            </a:ln>
          </c:spPr>
          <c:marker>
            <c:symbol val="none"/>
          </c:marker>
          <c:cat>
            <c:numRef>
              <c:f>'Fatality Frequency Rate'!$B$1:$K$1</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'Fatality Frequency Rate'!$B$5:$K$5</c:f>
              <c:numCache>
                <c:formatCode>General</c:formatCode>
                <c:ptCount val="10"/>
                <c:pt idx="0">
                  <c:v>1.82</c:v>
                </c:pt>
                <c:pt idx="1">
                  <c:v>2.19</c:v>
                </c:pt>
                <c:pt idx="2">
                  <c:v>2.13</c:v>
                </c:pt>
                <c:pt idx="3">
                  <c:v>2.74</c:v>
                </c:pt>
                <c:pt idx="4">
                  <c:v>2.31</c:v>
                </c:pt>
                <c:pt idx="5">
                  <c:v>2.74</c:v>
                </c:pt>
                <c:pt idx="6">
                  <c:v>2.17</c:v>
                </c:pt>
                <c:pt idx="7">
                  <c:v>2.11</c:v>
                </c:pt>
                <c:pt idx="8">
                  <c:v>2.2799999999999998</c:v>
                </c:pt>
                <c:pt idx="9">
                  <c:v>1.87</c:v>
                </c:pt>
              </c:numCache>
            </c:numRef>
          </c:val>
          <c:smooth val="0"/>
        </c:ser>
        <c:dLbls>
          <c:showLegendKey val="0"/>
          <c:showVal val="0"/>
          <c:showCatName val="0"/>
          <c:showSerName val="0"/>
          <c:showPercent val="0"/>
          <c:showBubbleSize val="0"/>
        </c:dLbls>
        <c:marker val="1"/>
        <c:smooth val="0"/>
        <c:axId val="202229248"/>
        <c:axId val="202575872"/>
      </c:lineChart>
      <c:catAx>
        <c:axId val="202229248"/>
        <c:scaling>
          <c:orientation val="minMax"/>
        </c:scaling>
        <c:delete val="0"/>
        <c:axPos val="b"/>
        <c:numFmt formatCode="General" sourceLinked="1"/>
        <c:majorTickMark val="out"/>
        <c:minorTickMark val="none"/>
        <c:tickLblPos val="nextTo"/>
        <c:crossAx val="202575872"/>
        <c:crosses val="autoZero"/>
        <c:auto val="1"/>
        <c:lblAlgn val="ctr"/>
        <c:lblOffset val="100"/>
        <c:noMultiLvlLbl val="0"/>
      </c:catAx>
      <c:valAx>
        <c:axId val="202575872"/>
        <c:scaling>
          <c:orientation val="minMax"/>
        </c:scaling>
        <c:delete val="0"/>
        <c:axPos val="l"/>
        <c:majorGridlines/>
        <c:title>
          <c:tx>
            <c:rich>
              <a:bodyPr rot="-5400000" vert="horz"/>
              <a:lstStyle/>
              <a:p>
                <a:pPr>
                  <a:defRPr/>
                </a:pPr>
                <a:r>
                  <a:rPr lang="en-AU"/>
                  <a:t>Deaths per 100</a:t>
                </a:r>
                <a:r>
                  <a:rPr lang="en-AU" baseline="0"/>
                  <a:t> </a:t>
                </a:r>
                <a:r>
                  <a:rPr lang="en-AU"/>
                  <a:t>000 workers</a:t>
                </a:r>
              </a:p>
            </c:rich>
          </c:tx>
          <c:layout>
            <c:manualLayout>
              <c:xMode val="edge"/>
              <c:yMode val="edge"/>
              <c:x val="5.8309037900874635E-3"/>
              <c:y val="0.25600000000000001"/>
            </c:manualLayout>
          </c:layout>
          <c:overlay val="0"/>
        </c:title>
        <c:numFmt formatCode="General" sourceLinked="1"/>
        <c:majorTickMark val="out"/>
        <c:minorTickMark val="none"/>
        <c:tickLblPos val="nextTo"/>
        <c:crossAx val="202229248"/>
        <c:crosses val="autoZero"/>
        <c:crossBetween val="between"/>
      </c:valAx>
    </c:plotArea>
    <c:legend>
      <c:legendPos val="r"/>
      <c:layout>
        <c:manualLayout>
          <c:xMode val="edge"/>
          <c:yMode val="edge"/>
          <c:x val="0.77136885310760139"/>
          <c:y val="0.27575899632122169"/>
          <c:w val="0.21601622279575541"/>
          <c:h val="0.51471375169012967"/>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AU" sz="1400"/>
              <a:t>Audit and Accreditation numbers</a:t>
            </a:r>
          </a:p>
        </c:rich>
      </c:tx>
      <c:layout>
        <c:manualLayout>
          <c:xMode val="edge"/>
          <c:yMode val="edge"/>
          <c:x val="0.27321696373486037"/>
          <c:y val="2.1080371822348346E-2"/>
        </c:manualLayout>
      </c:layout>
      <c:overlay val="0"/>
    </c:title>
    <c:autoTitleDeleted val="0"/>
    <c:plotArea>
      <c:layout>
        <c:manualLayout>
          <c:layoutTarget val="inner"/>
          <c:xMode val="edge"/>
          <c:yMode val="edge"/>
          <c:x val="9.0609130220755382E-2"/>
          <c:y val="0.11608508094903978"/>
          <c:w val="0.64001591207349084"/>
          <c:h val="0.6502676645617318"/>
        </c:manualLayout>
      </c:layout>
      <c:barChart>
        <c:barDir val="col"/>
        <c:grouping val="stacked"/>
        <c:varyColors val="0"/>
        <c:ser>
          <c:idx val="0"/>
          <c:order val="0"/>
          <c:tx>
            <c:strRef>
              <c:f>Sheet1!$A$2</c:f>
              <c:strCache>
                <c:ptCount val="1"/>
                <c:pt idx="0">
                  <c:v>Accreditation</c:v>
                </c:pt>
              </c:strCache>
            </c:strRef>
          </c:tx>
          <c:invertIfNegative val="0"/>
          <c:cat>
            <c:strRef>
              <c:f>Sheet1!$B$1:$I$1</c:f>
              <c:strCache>
                <c:ptCount val="8"/>
                <c:pt idx="0">
                  <c:v>2006/07</c:v>
                </c:pt>
                <c:pt idx="1">
                  <c:v>2007/08</c:v>
                </c:pt>
                <c:pt idx="2">
                  <c:v>2008/09</c:v>
                </c:pt>
                <c:pt idx="3">
                  <c:v>2009/10</c:v>
                </c:pt>
                <c:pt idx="4">
                  <c:v>2010/11</c:v>
                </c:pt>
                <c:pt idx="5">
                  <c:v>2011/12</c:v>
                </c:pt>
                <c:pt idx="6">
                  <c:v>2012/13</c:v>
                </c:pt>
                <c:pt idx="7">
                  <c:v>2013/14 year to date</c:v>
                </c:pt>
              </c:strCache>
            </c:strRef>
          </c:cat>
          <c:val>
            <c:numRef>
              <c:f>Sheet1!$B$2:$I$2</c:f>
              <c:numCache>
                <c:formatCode>General</c:formatCode>
                <c:ptCount val="8"/>
                <c:pt idx="0">
                  <c:v>110</c:v>
                </c:pt>
                <c:pt idx="1">
                  <c:v>145</c:v>
                </c:pt>
                <c:pt idx="2">
                  <c:v>164</c:v>
                </c:pt>
                <c:pt idx="3">
                  <c:v>165</c:v>
                </c:pt>
                <c:pt idx="4">
                  <c:v>114</c:v>
                </c:pt>
                <c:pt idx="5">
                  <c:v>144</c:v>
                </c:pt>
                <c:pt idx="6">
                  <c:v>133</c:v>
                </c:pt>
                <c:pt idx="7">
                  <c:v>99</c:v>
                </c:pt>
              </c:numCache>
            </c:numRef>
          </c:val>
        </c:ser>
        <c:ser>
          <c:idx val="1"/>
          <c:order val="1"/>
          <c:tx>
            <c:strRef>
              <c:f>Sheet1!$A$3</c:f>
              <c:strCache>
                <c:ptCount val="1"/>
                <c:pt idx="0">
                  <c:v>Reaccreditation</c:v>
                </c:pt>
              </c:strCache>
            </c:strRef>
          </c:tx>
          <c:invertIfNegative val="0"/>
          <c:cat>
            <c:strRef>
              <c:f>Sheet1!$B$1:$I$1</c:f>
              <c:strCache>
                <c:ptCount val="8"/>
                <c:pt idx="0">
                  <c:v>2006/07</c:v>
                </c:pt>
                <c:pt idx="1">
                  <c:v>2007/08</c:v>
                </c:pt>
                <c:pt idx="2">
                  <c:v>2008/09</c:v>
                </c:pt>
                <c:pt idx="3">
                  <c:v>2009/10</c:v>
                </c:pt>
                <c:pt idx="4">
                  <c:v>2010/11</c:v>
                </c:pt>
                <c:pt idx="5">
                  <c:v>2011/12</c:v>
                </c:pt>
                <c:pt idx="6">
                  <c:v>2012/13</c:v>
                </c:pt>
                <c:pt idx="7">
                  <c:v>2013/14 year to date</c:v>
                </c:pt>
              </c:strCache>
            </c:strRef>
          </c:cat>
          <c:val>
            <c:numRef>
              <c:f>Sheet1!$B$3:$I$3</c:f>
              <c:numCache>
                <c:formatCode>General</c:formatCode>
                <c:ptCount val="8"/>
                <c:pt idx="0">
                  <c:v>0</c:v>
                </c:pt>
                <c:pt idx="1">
                  <c:v>0</c:v>
                </c:pt>
                <c:pt idx="2">
                  <c:v>0</c:v>
                </c:pt>
                <c:pt idx="3">
                  <c:v>49</c:v>
                </c:pt>
                <c:pt idx="4">
                  <c:v>92</c:v>
                </c:pt>
                <c:pt idx="5">
                  <c:v>88</c:v>
                </c:pt>
                <c:pt idx="6">
                  <c:v>128</c:v>
                </c:pt>
                <c:pt idx="7">
                  <c:v>89</c:v>
                </c:pt>
              </c:numCache>
            </c:numRef>
          </c:val>
        </c:ser>
        <c:ser>
          <c:idx val="2"/>
          <c:order val="2"/>
          <c:tx>
            <c:strRef>
              <c:f>Sheet1!$A$4</c:f>
              <c:strCache>
                <c:ptCount val="1"/>
                <c:pt idx="0">
                  <c:v>Maintenance</c:v>
                </c:pt>
              </c:strCache>
            </c:strRef>
          </c:tx>
          <c:invertIfNegative val="0"/>
          <c:cat>
            <c:strRef>
              <c:f>Sheet1!$B$1:$I$1</c:f>
              <c:strCache>
                <c:ptCount val="8"/>
                <c:pt idx="0">
                  <c:v>2006/07</c:v>
                </c:pt>
                <c:pt idx="1">
                  <c:v>2007/08</c:v>
                </c:pt>
                <c:pt idx="2">
                  <c:v>2008/09</c:v>
                </c:pt>
                <c:pt idx="3">
                  <c:v>2009/10</c:v>
                </c:pt>
                <c:pt idx="4">
                  <c:v>2010/11</c:v>
                </c:pt>
                <c:pt idx="5">
                  <c:v>2011/12</c:v>
                </c:pt>
                <c:pt idx="6">
                  <c:v>2012/13</c:v>
                </c:pt>
                <c:pt idx="7">
                  <c:v>2013/14 year to date</c:v>
                </c:pt>
              </c:strCache>
            </c:strRef>
          </c:cat>
          <c:val>
            <c:numRef>
              <c:f>Sheet1!$B$4:$I$4</c:f>
              <c:numCache>
                <c:formatCode>General</c:formatCode>
                <c:ptCount val="8"/>
                <c:pt idx="0">
                  <c:v>39</c:v>
                </c:pt>
                <c:pt idx="1">
                  <c:v>112</c:v>
                </c:pt>
                <c:pt idx="2">
                  <c:v>227</c:v>
                </c:pt>
                <c:pt idx="3">
                  <c:v>119</c:v>
                </c:pt>
                <c:pt idx="4">
                  <c:v>131</c:v>
                </c:pt>
                <c:pt idx="5">
                  <c:v>127</c:v>
                </c:pt>
                <c:pt idx="6">
                  <c:v>85</c:v>
                </c:pt>
                <c:pt idx="7">
                  <c:v>42</c:v>
                </c:pt>
              </c:numCache>
            </c:numRef>
          </c:val>
        </c:ser>
        <c:ser>
          <c:idx val="3"/>
          <c:order val="3"/>
          <c:tx>
            <c:strRef>
              <c:f>Sheet1!$A$5</c:f>
              <c:strCache>
                <c:ptCount val="1"/>
                <c:pt idx="0">
                  <c:v>Compliance</c:v>
                </c:pt>
              </c:strCache>
            </c:strRef>
          </c:tx>
          <c:invertIfNegative val="0"/>
          <c:cat>
            <c:strRef>
              <c:f>Sheet1!$B$1:$I$1</c:f>
              <c:strCache>
                <c:ptCount val="8"/>
                <c:pt idx="0">
                  <c:v>2006/07</c:v>
                </c:pt>
                <c:pt idx="1">
                  <c:v>2007/08</c:v>
                </c:pt>
                <c:pt idx="2">
                  <c:v>2008/09</c:v>
                </c:pt>
                <c:pt idx="3">
                  <c:v>2009/10</c:v>
                </c:pt>
                <c:pt idx="4">
                  <c:v>2010/11</c:v>
                </c:pt>
                <c:pt idx="5">
                  <c:v>2011/12</c:v>
                </c:pt>
                <c:pt idx="6">
                  <c:v>2012/13</c:v>
                </c:pt>
                <c:pt idx="7">
                  <c:v>2013/14 year to date</c:v>
                </c:pt>
              </c:strCache>
            </c:strRef>
          </c:cat>
          <c:val>
            <c:numRef>
              <c:f>Sheet1!$B$5:$I$5</c:f>
              <c:numCache>
                <c:formatCode>General</c:formatCode>
                <c:ptCount val="8"/>
                <c:pt idx="0">
                  <c:v>0</c:v>
                </c:pt>
                <c:pt idx="1">
                  <c:v>0</c:v>
                </c:pt>
                <c:pt idx="2">
                  <c:v>13</c:v>
                </c:pt>
                <c:pt idx="3">
                  <c:v>24</c:v>
                </c:pt>
                <c:pt idx="4">
                  <c:v>21</c:v>
                </c:pt>
                <c:pt idx="5">
                  <c:v>21</c:v>
                </c:pt>
                <c:pt idx="6">
                  <c:v>9</c:v>
                </c:pt>
                <c:pt idx="7">
                  <c:v>6</c:v>
                </c:pt>
              </c:numCache>
            </c:numRef>
          </c:val>
        </c:ser>
        <c:dLbls>
          <c:showLegendKey val="0"/>
          <c:showVal val="0"/>
          <c:showCatName val="0"/>
          <c:showSerName val="0"/>
          <c:showPercent val="0"/>
          <c:showBubbleSize val="0"/>
        </c:dLbls>
        <c:gapWidth val="150"/>
        <c:overlap val="100"/>
        <c:axId val="222649344"/>
        <c:axId val="222664576"/>
      </c:barChart>
      <c:lineChart>
        <c:grouping val="standard"/>
        <c:varyColors val="0"/>
        <c:ser>
          <c:idx val="4"/>
          <c:order val="4"/>
          <c:tx>
            <c:strRef>
              <c:f>Sheet1!$A$6</c:f>
              <c:strCache>
                <c:ptCount val="1"/>
                <c:pt idx="0">
                  <c:v>Accredited Companies</c:v>
                </c:pt>
              </c:strCache>
            </c:strRef>
          </c:tx>
          <c:spPr>
            <a:ln w="22225">
              <a:solidFill>
                <a:srgbClr val="FF0000"/>
              </a:solidFill>
            </a:ln>
          </c:spPr>
          <c:marker>
            <c:spPr>
              <a:ln>
                <a:solidFill>
                  <a:srgbClr val="FF0000"/>
                </a:solidFill>
              </a:ln>
            </c:spPr>
          </c:marker>
          <c:cat>
            <c:strRef>
              <c:f>Sheet1!$B$1:$I$1</c:f>
              <c:strCache>
                <c:ptCount val="8"/>
                <c:pt idx="0">
                  <c:v>2006/07</c:v>
                </c:pt>
                <c:pt idx="1">
                  <c:v>2007/08</c:v>
                </c:pt>
                <c:pt idx="2">
                  <c:v>2008/09</c:v>
                </c:pt>
                <c:pt idx="3">
                  <c:v>2009/10</c:v>
                </c:pt>
                <c:pt idx="4">
                  <c:v>2010/11</c:v>
                </c:pt>
                <c:pt idx="5">
                  <c:v>2011/12</c:v>
                </c:pt>
                <c:pt idx="6">
                  <c:v>2012/13</c:v>
                </c:pt>
                <c:pt idx="7">
                  <c:v>2013/14 year to date</c:v>
                </c:pt>
              </c:strCache>
            </c:strRef>
          </c:cat>
          <c:val>
            <c:numRef>
              <c:f>Sheet1!$B$6:$I$6</c:f>
              <c:numCache>
                <c:formatCode>General</c:formatCode>
                <c:ptCount val="8"/>
                <c:pt idx="0">
                  <c:v>25</c:v>
                </c:pt>
                <c:pt idx="1">
                  <c:v>97</c:v>
                </c:pt>
                <c:pt idx="2">
                  <c:v>147</c:v>
                </c:pt>
                <c:pt idx="3">
                  <c:v>195</c:v>
                </c:pt>
                <c:pt idx="4">
                  <c:v>221</c:v>
                </c:pt>
                <c:pt idx="5">
                  <c:v>253</c:v>
                </c:pt>
                <c:pt idx="6">
                  <c:v>293</c:v>
                </c:pt>
                <c:pt idx="7">
                  <c:v>305</c:v>
                </c:pt>
              </c:numCache>
            </c:numRef>
          </c:val>
          <c:smooth val="0"/>
        </c:ser>
        <c:dLbls>
          <c:showLegendKey val="0"/>
          <c:showVal val="0"/>
          <c:showCatName val="0"/>
          <c:showSerName val="0"/>
          <c:showPercent val="0"/>
          <c:showBubbleSize val="0"/>
        </c:dLbls>
        <c:marker val="1"/>
        <c:smooth val="0"/>
        <c:axId val="222649344"/>
        <c:axId val="222664576"/>
      </c:lineChart>
      <c:catAx>
        <c:axId val="222649344"/>
        <c:scaling>
          <c:orientation val="minMax"/>
        </c:scaling>
        <c:delete val="0"/>
        <c:axPos val="b"/>
        <c:title>
          <c:tx>
            <c:rich>
              <a:bodyPr/>
              <a:lstStyle/>
              <a:p>
                <a:pPr>
                  <a:defRPr/>
                </a:pPr>
                <a:r>
                  <a:rPr lang="en-US"/>
                  <a:t>Year</a:t>
                </a:r>
              </a:p>
            </c:rich>
          </c:tx>
          <c:layout>
            <c:manualLayout>
              <c:xMode val="edge"/>
              <c:yMode val="edge"/>
              <c:x val="0.42561379516186526"/>
              <c:y val="0.83914737297996789"/>
            </c:manualLayout>
          </c:layout>
          <c:overlay val="0"/>
        </c:title>
        <c:majorTickMark val="out"/>
        <c:minorTickMark val="none"/>
        <c:tickLblPos val="nextTo"/>
        <c:crossAx val="222664576"/>
        <c:crosses val="autoZero"/>
        <c:auto val="1"/>
        <c:lblAlgn val="ctr"/>
        <c:lblOffset val="100"/>
        <c:noMultiLvlLbl val="0"/>
      </c:catAx>
      <c:valAx>
        <c:axId val="222664576"/>
        <c:scaling>
          <c:orientation val="minMax"/>
        </c:scaling>
        <c:delete val="0"/>
        <c:axPos val="l"/>
        <c:majorGridlines/>
        <c:title>
          <c:tx>
            <c:rich>
              <a:bodyPr rot="-5400000" vert="horz"/>
              <a:lstStyle/>
              <a:p>
                <a:pPr>
                  <a:defRPr/>
                </a:pPr>
                <a:r>
                  <a:rPr lang="en-AU"/>
                  <a:t>Number of Audits</a:t>
                </a:r>
              </a:p>
            </c:rich>
          </c:tx>
          <c:layout>
            <c:manualLayout>
              <c:xMode val="edge"/>
              <c:yMode val="edge"/>
              <c:x val="0"/>
              <c:y val="0.34595296362892808"/>
            </c:manualLayout>
          </c:layout>
          <c:overlay val="0"/>
        </c:title>
        <c:numFmt formatCode="General" sourceLinked="1"/>
        <c:majorTickMark val="out"/>
        <c:minorTickMark val="none"/>
        <c:tickLblPos val="nextTo"/>
        <c:crossAx val="222649344"/>
        <c:crosses val="autoZero"/>
        <c:crossBetween val="between"/>
      </c:valAx>
      <c:spPr>
        <a:noFill/>
        <a:ln w="25400">
          <a:noFill/>
        </a:ln>
      </c:spPr>
    </c:plotArea>
    <c:legend>
      <c:legendPos val="r"/>
      <c:layout>
        <c:manualLayout>
          <c:xMode val="edge"/>
          <c:yMode val="edge"/>
          <c:x val="0.79339484908136482"/>
          <c:y val="0.39385384995192435"/>
          <c:w val="0.19410515091863517"/>
          <c:h val="0.38420649151529324"/>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0.30339</cdr:x>
      <cdr:y>0.95682</cdr:y>
    </cdr:from>
    <cdr:to>
      <cdr:x>0.42839</cdr:x>
      <cdr:y>1</cdr:y>
    </cdr:to>
    <cdr:sp macro="" textlink="">
      <cdr:nvSpPr>
        <cdr:cNvPr id="2" name="TextBox 1"/>
        <cdr:cNvSpPr txBox="1"/>
      </cdr:nvSpPr>
      <cdr:spPr>
        <a:xfrm xmlns:a="http://schemas.openxmlformats.org/drawingml/2006/main">
          <a:off x="2219327" y="4010024"/>
          <a:ext cx="914400" cy="180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0.17057</cdr:x>
      <cdr:y>0.91079</cdr:y>
    </cdr:from>
    <cdr:to>
      <cdr:x>0.76302</cdr:x>
      <cdr:y>1</cdr:y>
    </cdr:to>
    <cdr:sp macro="" textlink="">
      <cdr:nvSpPr>
        <cdr:cNvPr id="3" name="TextBox 2"/>
        <cdr:cNvSpPr txBox="1"/>
      </cdr:nvSpPr>
      <cdr:spPr>
        <a:xfrm xmlns:a="http://schemas.openxmlformats.org/drawingml/2006/main">
          <a:off x="1247776" y="4181474"/>
          <a:ext cx="4333875" cy="4095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AU"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3.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4B9B466-3DDF-46F1-B434-2B3D9BCC4B75}"/>
</file>

<file path=customXml/itemProps2.xml><?xml version="1.0" encoding="utf-8"?>
<ds:datastoreItem xmlns:ds="http://schemas.openxmlformats.org/officeDocument/2006/customXml" ds:itemID="{596DFF95-1966-4DA3-B389-00C1C3244A6B}"/>
</file>

<file path=customXml/itemProps3.xml><?xml version="1.0" encoding="utf-8"?>
<ds:datastoreItem xmlns:ds="http://schemas.openxmlformats.org/officeDocument/2006/customXml" ds:itemID="{B6F80B8F-D3A0-4BE6-AC98-E23FD0639EC8}"/>
</file>

<file path=customXml/itemProps4.xml><?xml version="1.0" encoding="utf-8"?>
<ds:datastoreItem xmlns:ds="http://schemas.openxmlformats.org/officeDocument/2006/customXml" ds:itemID="{BB202378-97BA-4CE3-837D-F46979CD4175}"/>
</file>

<file path=docProps/app.xml><?xml version="1.0" encoding="utf-8"?>
<Properties xmlns="http://schemas.openxmlformats.org/officeDocument/2006/extended-properties" xmlns:vt="http://schemas.openxmlformats.org/officeDocument/2006/docPropsVTypes">
  <Template>769C7880.dotm</Template>
  <TotalTime>0</TotalTime>
  <Pages>38</Pages>
  <Words>12116</Words>
  <Characters>71077</Characters>
  <Application>Microsoft Office Word</Application>
  <DocSecurity>4</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83027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Scheme Review Discussion Paper</dc:title>
  <dc:creator>Kenneth Bell</dc:creator>
  <cp:lastModifiedBy>Kenneth Bell</cp:lastModifiedBy>
  <cp:revision>2</cp:revision>
  <cp:lastPrinted>2014-02-23T23:24:00Z</cp:lastPrinted>
  <dcterms:created xsi:type="dcterms:W3CDTF">2014-02-25T00:08:00Z</dcterms:created>
  <dcterms:modified xsi:type="dcterms:W3CDTF">2014-02-25T00:08:00Z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9700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