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docProps/app.xml" ContentType="application/vnd.openxmlformats-officedocument.extended-properties+xml"/>
  <Override PartName="/word/webSettings.xml" ContentType="application/vnd.openxmlformats-officedocument.wordprocessingml.webSetting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fontTable.xml" ContentType="application/vnd.openxmlformats-officedocument.wordprocessingml.fontTable+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D8876B" w14:textId="77777777" w:rsidR="002E7BF6" w:rsidRDefault="005A1B69" w:rsidP="002E7BF6">
      <w:pPr>
        <w:jc w:val="center"/>
        <w:rPr>
          <w:lang w:val="en"/>
        </w:rPr>
      </w:pPr>
      <w:r w:rsidRPr="00595EB9">
        <w:rPr>
          <w:rFonts w:cs="Arial"/>
          <w:noProof/>
        </w:rPr>
        <w:drawing>
          <wp:inline distT="0" distB="0" distL="0" distR="0" wp14:anchorId="08D888BC" wp14:editId="53111CAD">
            <wp:extent cx="3212327" cy="745356"/>
            <wp:effectExtent l="0" t="0" r="7620" b="0"/>
            <wp:docPr id="5" name="Picture 5" descr="Australian Government, Department of Em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stralian Government Department of Education, Employment and Workplace Relations"/>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234465" cy="750493"/>
                    </a:xfrm>
                    <a:prstGeom prst="rect">
                      <a:avLst/>
                    </a:prstGeom>
                    <a:noFill/>
                    <a:ln w="9525">
                      <a:noFill/>
                      <a:miter lim="800000"/>
                      <a:headEnd/>
                      <a:tailEnd/>
                    </a:ln>
                  </pic:spPr>
                </pic:pic>
              </a:graphicData>
            </a:graphic>
          </wp:inline>
        </w:drawing>
      </w:r>
    </w:p>
    <w:p w14:paraId="08D88775" w14:textId="77777777" w:rsidR="002E7BF6" w:rsidRDefault="002E7BF6" w:rsidP="00F30549">
      <w:pPr>
        <w:pStyle w:val="Title"/>
        <w:spacing w:before="4920"/>
      </w:pPr>
      <w:r w:rsidRPr="002E7BF6">
        <w:t xml:space="preserve">REPORT </w:t>
      </w:r>
      <w:r w:rsidR="0089481F">
        <w:t>O</w:t>
      </w:r>
      <w:r w:rsidRPr="002E7BF6">
        <w:t xml:space="preserve">N ENTERPRISE BARGAINING </w:t>
      </w:r>
    </w:p>
    <w:p w14:paraId="08D88776" w14:textId="77777777" w:rsidR="0064052C" w:rsidRDefault="0089481F" w:rsidP="00F30549">
      <w:pPr>
        <w:spacing w:after="6000"/>
        <w:jc w:val="center"/>
        <w:rPr>
          <w:b/>
          <w:lang w:val="en"/>
        </w:rPr>
      </w:pPr>
      <w:r>
        <w:rPr>
          <w:b/>
          <w:lang w:val="en"/>
        </w:rPr>
        <w:t xml:space="preserve">FEBRUARY </w:t>
      </w:r>
      <w:r w:rsidR="0064052C">
        <w:rPr>
          <w:b/>
          <w:lang w:val="en"/>
        </w:rPr>
        <w:t>2017</w:t>
      </w:r>
    </w:p>
    <w:p w14:paraId="08D88781" w14:textId="77777777" w:rsidR="00CD7C2D" w:rsidRPr="00CD7C2D" w:rsidRDefault="00CD7C2D" w:rsidP="00995874">
      <w:pPr>
        <w:pBdr>
          <w:top w:val="single" w:sz="4" w:space="1" w:color="auto"/>
          <w:left w:val="single" w:sz="4" w:space="4" w:color="auto"/>
          <w:bottom w:val="single" w:sz="4" w:space="1" w:color="auto"/>
          <w:right w:val="single" w:sz="4" w:space="4" w:color="auto"/>
        </w:pBdr>
        <w:ind w:left="1276" w:right="1274"/>
        <w:jc w:val="center"/>
        <w:rPr>
          <w:b/>
          <w:i/>
          <w:iCs/>
          <w:sz w:val="20"/>
        </w:rPr>
      </w:pPr>
      <w:r w:rsidRPr="00CD7C2D">
        <w:rPr>
          <w:b/>
          <w:i/>
          <w:iCs/>
          <w:sz w:val="20"/>
        </w:rPr>
        <w:t>Data in the Workplace Agreements Database is subject to revision from</w:t>
      </w:r>
      <w:r w:rsidR="00995874">
        <w:rPr>
          <w:b/>
          <w:i/>
          <w:iCs/>
          <w:sz w:val="20"/>
        </w:rPr>
        <w:t xml:space="preserve"> </w:t>
      </w:r>
      <w:r w:rsidRPr="00CD7C2D">
        <w:rPr>
          <w:b/>
          <w:i/>
          <w:iCs/>
          <w:sz w:val="20"/>
        </w:rPr>
        <w:t>time to time</w:t>
      </w:r>
      <w:r w:rsidR="004E16E9">
        <w:rPr>
          <w:b/>
          <w:i/>
          <w:iCs/>
          <w:sz w:val="20"/>
        </w:rPr>
        <w:t xml:space="preserve">, and therefore the </w:t>
      </w:r>
      <w:r w:rsidRPr="00CD7C2D">
        <w:rPr>
          <w:b/>
          <w:i/>
          <w:iCs/>
          <w:sz w:val="20"/>
        </w:rPr>
        <w:t>results from analysis in this report may change.</w:t>
      </w:r>
    </w:p>
    <w:p w14:paraId="08D88783" w14:textId="77777777" w:rsidR="002E7BF6" w:rsidRDefault="002E7BF6" w:rsidP="002E7BF6">
      <w:pPr>
        <w:jc w:val="center"/>
        <w:rPr>
          <w:lang w:val="en"/>
        </w:rPr>
      </w:pPr>
      <w:r>
        <w:rPr>
          <w:lang w:val="en"/>
        </w:rPr>
        <w:br w:type="page"/>
      </w:r>
    </w:p>
    <w:p w14:paraId="08D88784" w14:textId="77777777" w:rsidR="008535AC" w:rsidRDefault="008535AC" w:rsidP="008535AC">
      <w:pPr>
        <w:pStyle w:val="Heading1"/>
        <w:rPr>
          <w:lang w:val="en"/>
        </w:rPr>
      </w:pPr>
      <w:r>
        <w:rPr>
          <w:lang w:val="en"/>
        </w:rPr>
        <w:lastRenderedPageBreak/>
        <w:t>INTRODUCTION</w:t>
      </w:r>
    </w:p>
    <w:p w14:paraId="08D88785" w14:textId="77777777" w:rsidR="0083415A" w:rsidRDefault="0083415A" w:rsidP="0083415A">
      <w:pPr>
        <w:rPr>
          <w:lang w:val="en"/>
        </w:rPr>
      </w:pPr>
      <w:r w:rsidRPr="0083415A">
        <w:rPr>
          <w:lang w:val="en"/>
        </w:rPr>
        <w:t xml:space="preserve">The Workplace Agreements Database (WAD) is </w:t>
      </w:r>
      <w:r w:rsidR="00AC0A24">
        <w:rPr>
          <w:lang w:val="en"/>
        </w:rPr>
        <w:t>maintained by the Department of Employment</w:t>
      </w:r>
      <w:r w:rsidR="00F80701">
        <w:rPr>
          <w:lang w:val="en"/>
        </w:rPr>
        <w:t xml:space="preserve"> and contains </w:t>
      </w:r>
      <w:r w:rsidRPr="0083415A">
        <w:rPr>
          <w:lang w:val="en"/>
        </w:rPr>
        <w:t xml:space="preserve">data on wage increases and conditions of employment in </w:t>
      </w:r>
      <w:r w:rsidR="0017220F">
        <w:rPr>
          <w:lang w:val="en"/>
        </w:rPr>
        <w:t xml:space="preserve">around 150,000 </w:t>
      </w:r>
      <w:r w:rsidRPr="0083415A">
        <w:rPr>
          <w:lang w:val="en"/>
        </w:rPr>
        <w:t>collective agreements</w:t>
      </w:r>
      <w:r w:rsidR="0001767D">
        <w:rPr>
          <w:lang w:val="en"/>
        </w:rPr>
        <w:t>, past and present</w:t>
      </w:r>
      <w:r w:rsidRPr="0083415A">
        <w:rPr>
          <w:lang w:val="en"/>
        </w:rPr>
        <w:t>.</w:t>
      </w:r>
      <w:r>
        <w:rPr>
          <w:lang w:val="en"/>
        </w:rPr>
        <w:t xml:space="preserve"> </w:t>
      </w:r>
      <w:r w:rsidR="00F80701">
        <w:rPr>
          <w:lang w:val="en"/>
        </w:rPr>
        <w:t xml:space="preserve">The department publishes quarterly </w:t>
      </w:r>
      <w:hyperlink r:id="rId13" w:history="1">
        <w:r w:rsidR="00F80701" w:rsidRPr="0017220F">
          <w:rPr>
            <w:rStyle w:val="Hyperlink"/>
            <w:i/>
            <w:lang w:val="en"/>
          </w:rPr>
          <w:t>Trends in Federal Enterprise Bargaining</w:t>
        </w:r>
      </w:hyperlink>
      <w:r w:rsidR="0017220F">
        <w:rPr>
          <w:lang w:val="en"/>
        </w:rPr>
        <w:t xml:space="preserve"> reports derived from this</w:t>
      </w:r>
      <w:r w:rsidR="00F80701">
        <w:rPr>
          <w:lang w:val="en"/>
        </w:rPr>
        <w:t xml:space="preserve"> data. </w:t>
      </w:r>
    </w:p>
    <w:p w14:paraId="08D88786" w14:textId="77777777" w:rsidR="0017220F" w:rsidRPr="0048630D" w:rsidRDefault="00B508A3" w:rsidP="0017220F">
      <w:r w:rsidRPr="0048630D">
        <w:t>As shown in recent</w:t>
      </w:r>
      <w:r w:rsidR="007840D5" w:rsidRPr="0048630D">
        <w:t xml:space="preserve"> Trends reports</w:t>
      </w:r>
      <w:r w:rsidRPr="0048630D">
        <w:t>,</w:t>
      </w:r>
      <w:r w:rsidR="007840D5" w:rsidRPr="0048630D">
        <w:t xml:space="preserve"> the</w:t>
      </w:r>
      <w:r w:rsidR="0089481F" w:rsidRPr="0048630D">
        <w:t>re has been a decline in the</w:t>
      </w:r>
      <w:r w:rsidR="007840D5" w:rsidRPr="0048630D">
        <w:t xml:space="preserve"> number of </w:t>
      </w:r>
      <w:r w:rsidR="00AC0A24" w:rsidRPr="0048630D">
        <w:t xml:space="preserve">private sector </w:t>
      </w:r>
      <w:r w:rsidR="007840D5" w:rsidRPr="0048630D">
        <w:t xml:space="preserve">agreements. </w:t>
      </w:r>
      <w:r w:rsidR="00351C62" w:rsidRPr="0048630D">
        <w:t xml:space="preserve">However, </w:t>
      </w:r>
      <w:r w:rsidR="0017220F" w:rsidRPr="0048630D">
        <w:t xml:space="preserve">coverage </w:t>
      </w:r>
      <w:r w:rsidR="00351C62" w:rsidRPr="0048630D">
        <w:t xml:space="preserve">in </w:t>
      </w:r>
      <w:r w:rsidR="0017220F" w:rsidRPr="0048630D">
        <w:t>the public sector has not changed significantly.</w:t>
      </w:r>
    </w:p>
    <w:p w14:paraId="08D88787" w14:textId="77777777" w:rsidR="0083415A" w:rsidRPr="0048630D" w:rsidRDefault="008D6B2F" w:rsidP="007840D5">
      <w:r w:rsidRPr="0048630D">
        <w:t>This paper focuses on the private sector and reports on th</w:t>
      </w:r>
      <w:r w:rsidR="0017220F" w:rsidRPr="0048630D">
        <w:t>e</w:t>
      </w:r>
      <w:r w:rsidRPr="0048630D">
        <w:t xml:space="preserve"> observed trend in greater detail</w:t>
      </w:r>
      <w:r w:rsidR="0089481F" w:rsidRPr="0048630D">
        <w:t xml:space="preserve"> including by</w:t>
      </w:r>
      <w:r w:rsidR="007840D5" w:rsidRPr="0048630D">
        <w:t xml:space="preserve"> agreement size</w:t>
      </w:r>
      <w:r w:rsidR="00B64669" w:rsidRPr="0048630D">
        <w:t>,</w:t>
      </w:r>
      <w:r w:rsidR="00B6454E" w:rsidRPr="0048630D">
        <w:t xml:space="preserve"> </w:t>
      </w:r>
      <w:r w:rsidR="007840D5" w:rsidRPr="0048630D">
        <w:t>industry</w:t>
      </w:r>
      <w:r w:rsidR="00B64669" w:rsidRPr="0048630D">
        <w:t xml:space="preserve"> and union coverage</w:t>
      </w:r>
      <w:r w:rsidR="007840D5" w:rsidRPr="0048630D">
        <w:t xml:space="preserve">. </w:t>
      </w:r>
    </w:p>
    <w:p w14:paraId="08D88788" w14:textId="77777777" w:rsidR="00677507" w:rsidRDefault="00677507" w:rsidP="00677507">
      <w:pPr>
        <w:pStyle w:val="Heading1"/>
      </w:pPr>
      <w:r>
        <w:t>IMPORTANT NOTE</w:t>
      </w:r>
    </w:p>
    <w:p w14:paraId="08D88789" w14:textId="77777777" w:rsidR="00351C62" w:rsidRDefault="00351C62" w:rsidP="00351C62">
      <w:r>
        <w:t>The expiry date of an enterprise agreement is a notional expiry date. The agreement remains legally operational after expiry until it is either terminated or replaced. However, agreements can also cease to be operational in circumstances where the enterprise has undergone changes such that no employees are covered by the agreement (e.g. the enterprise has ceased to trade, with no transfer of business)</w:t>
      </w:r>
      <w:r w:rsidR="00F6508C">
        <w:t>. T</w:t>
      </w:r>
      <w:r w:rsidR="0001767D">
        <w:t>he</w:t>
      </w:r>
      <w:r w:rsidR="00F6508C">
        <w:t>se</w:t>
      </w:r>
      <w:r w:rsidR="0001767D">
        <w:t xml:space="preserve"> agreement</w:t>
      </w:r>
      <w:r w:rsidR="00F6508C">
        <w:t>s</w:t>
      </w:r>
      <w:r w:rsidR="0001767D">
        <w:t xml:space="preserve"> </w:t>
      </w:r>
      <w:r w:rsidR="00F6508C">
        <w:t xml:space="preserve">and the relevant data including the notional expiry date </w:t>
      </w:r>
      <w:r w:rsidR="0001767D">
        <w:t>still exist</w:t>
      </w:r>
      <w:r w:rsidR="00F6508C">
        <w:t xml:space="preserve"> on the database</w:t>
      </w:r>
      <w:r>
        <w:t>.</w:t>
      </w:r>
    </w:p>
    <w:p w14:paraId="08D8878A" w14:textId="77777777" w:rsidR="00351C62" w:rsidRDefault="00351C62" w:rsidP="00351C62">
      <w:r>
        <w:t>As WAD data</w:t>
      </w:r>
      <w:r w:rsidR="0001767D">
        <w:t xml:space="preserve"> are </w:t>
      </w:r>
      <w:r>
        <w:t>unable to determine the operational status of an expired agreement, the analysis in this paper is based on current</w:t>
      </w:r>
      <w:r w:rsidR="006C04C2">
        <w:t xml:space="preserve"> </w:t>
      </w:r>
      <w:r>
        <w:t xml:space="preserve">agreements that are not expired or terminated. </w:t>
      </w:r>
      <w:r w:rsidR="006C04C2">
        <w:t xml:space="preserve">As at 30 June 2016, there were 13,948 private sector </w:t>
      </w:r>
      <w:r w:rsidR="00F6508C">
        <w:t xml:space="preserve">current </w:t>
      </w:r>
      <w:r w:rsidR="006C04C2">
        <w:t>agreements that had not expired or been terminated.</w:t>
      </w:r>
    </w:p>
    <w:p w14:paraId="08D8878B" w14:textId="77777777" w:rsidR="008535AC" w:rsidRDefault="008535AC" w:rsidP="008535AC">
      <w:pPr>
        <w:pStyle w:val="Heading1"/>
      </w:pPr>
      <w:r>
        <w:t>ANALYSIS</w:t>
      </w:r>
    </w:p>
    <w:p w14:paraId="08D8878C" w14:textId="77777777" w:rsidR="008535AC" w:rsidRPr="008535AC" w:rsidRDefault="008535AC" w:rsidP="008535AC">
      <w:pPr>
        <w:pStyle w:val="Heading2"/>
      </w:pPr>
      <w:r>
        <w:t>OVERALL TRENDS</w:t>
      </w:r>
    </w:p>
    <w:p w14:paraId="08D8878D" w14:textId="77777777" w:rsidR="00282628" w:rsidRDefault="00282628" w:rsidP="007840D5">
      <w:r>
        <w:t xml:space="preserve">As shown in Chart </w:t>
      </w:r>
      <w:r w:rsidR="00ED07E8">
        <w:t>1</w:t>
      </w:r>
      <w:r>
        <w:t>, the number of current (not expired</w:t>
      </w:r>
      <w:r w:rsidR="00AF4738">
        <w:t xml:space="preserve"> or terminated</w:t>
      </w:r>
      <w:r>
        <w:t xml:space="preserve">) agreements peaked in </w:t>
      </w:r>
      <w:r w:rsidR="00FA6D74">
        <w:t>Q4</w:t>
      </w:r>
      <w:r w:rsidR="00FA6D74">
        <w:noBreakHyphen/>
        <w:t>2</w:t>
      </w:r>
      <w:r>
        <w:t xml:space="preserve">010. Between </w:t>
      </w:r>
      <w:r w:rsidR="00FA6D74">
        <w:t>Q2-</w:t>
      </w:r>
      <w:r>
        <w:t xml:space="preserve">2014 and </w:t>
      </w:r>
      <w:r w:rsidR="00FA6D74">
        <w:t>Q2-</w:t>
      </w:r>
      <w:r>
        <w:t xml:space="preserve">2016, the number of agreements declined by 30.8 per cent to 13,955 agreements. </w:t>
      </w:r>
      <w:proofErr w:type="gramStart"/>
      <w:r>
        <w:t>T</w:t>
      </w:r>
      <w:r w:rsidRPr="0096696F">
        <w:t>he number of employees</w:t>
      </w:r>
      <w:r>
        <w:t xml:space="preserve"> covered by these agreements</w:t>
      </w:r>
      <w:r w:rsidRPr="0096696F">
        <w:t xml:space="preserve"> </w:t>
      </w:r>
      <w:r>
        <w:t xml:space="preserve">declined by 13.1 </w:t>
      </w:r>
      <w:r w:rsidRPr="0096696F">
        <w:t>per cent over the same period.</w:t>
      </w:r>
      <w:proofErr w:type="gramEnd"/>
      <w:r w:rsidR="0001767D">
        <w:t xml:space="preserve"> This shows that the decline is skewed toward small and medium agreements (agreements covering from 0-99 employees). </w:t>
      </w:r>
    </w:p>
    <w:p w14:paraId="08D88790" w14:textId="281FB553" w:rsidR="008F6378" w:rsidRDefault="0089481F" w:rsidP="00F30549">
      <w:pPr>
        <w:rPr>
          <w:b/>
        </w:rPr>
      </w:pPr>
      <w:r>
        <w:t>T</w:t>
      </w:r>
      <w:r w:rsidR="006E61F2">
        <w:t xml:space="preserve">he number of agreements in Q2-2016 is </w:t>
      </w:r>
      <w:r>
        <w:t xml:space="preserve">now </w:t>
      </w:r>
      <w:r w:rsidR="006E61F2">
        <w:t xml:space="preserve">slightly higher (by </w:t>
      </w:r>
      <w:r w:rsidR="001E745D">
        <w:t>three</w:t>
      </w:r>
      <w:r w:rsidR="006E61F2">
        <w:t xml:space="preserve"> per cent) than the number of agreements in Q2-2</w:t>
      </w:r>
      <w:r w:rsidR="001E745D">
        <w:t>006, and employee coverage is 36</w:t>
      </w:r>
      <w:r w:rsidR="006E61F2">
        <w:t xml:space="preserve"> per cent higher. </w:t>
      </w:r>
      <w:r w:rsidR="001E745D" w:rsidRPr="001E745D">
        <w:t>Over the same period, the number of employing business in the private sector has been relatively stable (a little over 800,000) and the total employment in the private sector has increased by around 18 per cent.</w:t>
      </w:r>
    </w:p>
    <w:p w14:paraId="08D88791" w14:textId="77777777" w:rsidR="00D16FCF" w:rsidRPr="00282628" w:rsidRDefault="00282628" w:rsidP="00282628">
      <w:pPr>
        <w:keepNext/>
        <w:rPr>
          <w:b/>
        </w:rPr>
      </w:pPr>
      <w:r w:rsidRPr="00A64205">
        <w:rPr>
          <w:b/>
        </w:rPr>
        <w:lastRenderedPageBreak/>
        <w:t xml:space="preserve">Chart </w:t>
      </w:r>
      <w:r w:rsidR="00A57825">
        <w:rPr>
          <w:b/>
        </w:rPr>
        <w:t>1</w:t>
      </w:r>
      <w:r w:rsidRPr="00A64205">
        <w:rPr>
          <w:b/>
        </w:rPr>
        <w:t>: Current private sector agreements and employees</w:t>
      </w:r>
      <w:r w:rsidR="0001767D">
        <w:rPr>
          <w:b/>
        </w:rPr>
        <w:t xml:space="preserve"> covered by these agreements</w:t>
      </w:r>
      <w:r w:rsidRPr="00A64205">
        <w:rPr>
          <w:b/>
        </w:rPr>
        <w:t>, 200</w:t>
      </w:r>
      <w:r>
        <w:rPr>
          <w:b/>
        </w:rPr>
        <w:t>6-2016</w:t>
      </w:r>
    </w:p>
    <w:p w14:paraId="08D88792" w14:textId="66C29654" w:rsidR="00282628" w:rsidRDefault="00F30549">
      <w:r>
        <w:rPr>
          <w:noProof/>
        </w:rPr>
        <w:drawing>
          <wp:inline distT="0" distB="0" distL="0" distR="0" wp14:anchorId="520E007D" wp14:editId="5F14B15E">
            <wp:extent cx="5939790" cy="3077141"/>
            <wp:effectExtent l="0" t="0" r="3810" b="9525"/>
            <wp:docPr id="1" name="Picture 1" descr="Chart 1 - please see text description in document for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39790" cy="3077141"/>
                    </a:xfrm>
                    <a:prstGeom prst="rect">
                      <a:avLst/>
                    </a:prstGeom>
                  </pic:spPr>
                </pic:pic>
              </a:graphicData>
            </a:graphic>
          </wp:inline>
        </w:drawing>
      </w:r>
    </w:p>
    <w:p w14:paraId="08D88794" w14:textId="77777777" w:rsidR="00A55A45" w:rsidRDefault="00A55A45" w:rsidP="00F30549">
      <w:pPr>
        <w:spacing w:before="600"/>
      </w:pPr>
      <w:r>
        <w:t xml:space="preserve">Chart </w:t>
      </w:r>
      <w:r w:rsidR="00A57825">
        <w:t>2</w:t>
      </w:r>
      <w:r w:rsidR="000E7912">
        <w:t xml:space="preserve"> </w:t>
      </w:r>
      <w:r>
        <w:t xml:space="preserve">shows new agreements, disaggregated by the quarter in which they were approved. Although the numbers fluctuate from quarter to quarter, in part due to normal bargaining cycles, the number of new agreements being made is, on average, smaller in 2015 and 2016 than in previous years. </w:t>
      </w:r>
    </w:p>
    <w:p w14:paraId="08D88795" w14:textId="77777777" w:rsidR="00EE26E4" w:rsidRPr="00EE26E4" w:rsidRDefault="00EE26E4" w:rsidP="00EE26E4">
      <w:pPr>
        <w:keepNext/>
        <w:rPr>
          <w:b/>
        </w:rPr>
      </w:pPr>
      <w:r w:rsidRPr="00A64205">
        <w:rPr>
          <w:b/>
        </w:rPr>
        <w:t xml:space="preserve">Chart </w:t>
      </w:r>
      <w:r w:rsidR="00A57825">
        <w:rPr>
          <w:b/>
        </w:rPr>
        <w:t>2</w:t>
      </w:r>
      <w:r w:rsidRPr="00A64205">
        <w:rPr>
          <w:b/>
        </w:rPr>
        <w:t xml:space="preserve">: </w:t>
      </w:r>
      <w:r>
        <w:rPr>
          <w:b/>
        </w:rPr>
        <w:t>P</w:t>
      </w:r>
      <w:r w:rsidRPr="00A64205">
        <w:rPr>
          <w:b/>
        </w:rPr>
        <w:t xml:space="preserve">rivate sector agreements by </w:t>
      </w:r>
      <w:r>
        <w:rPr>
          <w:b/>
        </w:rPr>
        <w:t>quarter of approval</w:t>
      </w:r>
      <w:r w:rsidRPr="00A64205">
        <w:rPr>
          <w:b/>
        </w:rPr>
        <w:t>, 200</w:t>
      </w:r>
      <w:r>
        <w:rPr>
          <w:b/>
        </w:rPr>
        <w:t>6</w:t>
      </w:r>
      <w:r w:rsidRPr="00A64205">
        <w:rPr>
          <w:b/>
        </w:rPr>
        <w:t>-201</w:t>
      </w:r>
      <w:r>
        <w:rPr>
          <w:b/>
        </w:rPr>
        <w:t>6</w:t>
      </w:r>
    </w:p>
    <w:p w14:paraId="08D88796" w14:textId="0CB046B8" w:rsidR="00EE26E4" w:rsidRDefault="00F30549">
      <w:r>
        <w:rPr>
          <w:noProof/>
        </w:rPr>
        <w:drawing>
          <wp:inline distT="0" distB="0" distL="0" distR="0" wp14:anchorId="6195BBBC" wp14:editId="00B43EE5">
            <wp:extent cx="5939790" cy="3494703"/>
            <wp:effectExtent l="0" t="0" r="3810" b="0"/>
            <wp:docPr id="12" name="Picture 12" descr="Chart 2 - please see text description in document for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39790" cy="3494703"/>
                    </a:xfrm>
                    <a:prstGeom prst="rect">
                      <a:avLst/>
                    </a:prstGeom>
                  </pic:spPr>
                </pic:pic>
              </a:graphicData>
            </a:graphic>
          </wp:inline>
        </w:drawing>
      </w:r>
    </w:p>
    <w:p w14:paraId="08D88797" w14:textId="77777777" w:rsidR="00A5707E" w:rsidRDefault="00A5707E" w:rsidP="008535AC">
      <w:pPr>
        <w:pStyle w:val="Heading2"/>
      </w:pPr>
    </w:p>
    <w:p w14:paraId="08D88798" w14:textId="77777777" w:rsidR="008535AC" w:rsidRDefault="008535AC" w:rsidP="00A5707E">
      <w:pPr>
        <w:pStyle w:val="Heading2"/>
      </w:pPr>
      <w:r>
        <w:t>BY AGREEMENT SIZE</w:t>
      </w:r>
    </w:p>
    <w:p w14:paraId="08D88799" w14:textId="77777777" w:rsidR="00282628" w:rsidRDefault="00AC0A24" w:rsidP="00A5707E">
      <w:pPr>
        <w:keepNext/>
      </w:pPr>
      <w:r>
        <w:t xml:space="preserve">Chart </w:t>
      </w:r>
      <w:r w:rsidR="00A57825">
        <w:t>3</w:t>
      </w:r>
      <w:r>
        <w:t xml:space="preserve"> demonstrates that the decline in agreements is primarily driven by small agreements (covering 0</w:t>
      </w:r>
      <w:r w:rsidR="009C0504">
        <w:noBreakHyphen/>
      </w:r>
      <w:r>
        <w:t xml:space="preserve">19 employees) and medium agreements (covering 20-99 employees). </w:t>
      </w:r>
      <w:r w:rsidR="000A439B">
        <w:t xml:space="preserve">Small agreements have had the most significant decline (by 41.6 per cent in the two years to Q2-2016 and by 43.5 per cent since Q2-2009). </w:t>
      </w:r>
    </w:p>
    <w:p w14:paraId="08D8879A" w14:textId="77777777" w:rsidR="00AC6E8C" w:rsidRPr="00313663" w:rsidRDefault="00AC6E8C" w:rsidP="00AC6E8C">
      <w:pPr>
        <w:keepNext/>
        <w:rPr>
          <w:b/>
        </w:rPr>
      </w:pPr>
      <w:r w:rsidRPr="00A64205">
        <w:rPr>
          <w:b/>
        </w:rPr>
        <w:t xml:space="preserve">Chart </w:t>
      </w:r>
      <w:r w:rsidR="00A57825">
        <w:rPr>
          <w:b/>
        </w:rPr>
        <w:t>3</w:t>
      </w:r>
      <w:r w:rsidRPr="00A64205">
        <w:rPr>
          <w:b/>
        </w:rPr>
        <w:t>: Current private sector agreements by agreement size, 200</w:t>
      </w:r>
      <w:r>
        <w:rPr>
          <w:b/>
        </w:rPr>
        <w:t>6</w:t>
      </w:r>
      <w:r w:rsidRPr="00A64205">
        <w:rPr>
          <w:b/>
        </w:rPr>
        <w:t>-201</w:t>
      </w:r>
      <w:r>
        <w:rPr>
          <w:b/>
        </w:rPr>
        <w:t>6</w:t>
      </w:r>
    </w:p>
    <w:p w14:paraId="08D8879B" w14:textId="61E7B53F" w:rsidR="00AC6E8C" w:rsidRDefault="00F30549" w:rsidP="00AC6E8C">
      <w:pPr>
        <w:rPr>
          <w:b/>
        </w:rPr>
      </w:pPr>
      <w:r>
        <w:rPr>
          <w:noProof/>
        </w:rPr>
        <w:drawing>
          <wp:inline distT="0" distB="0" distL="0" distR="0" wp14:anchorId="11210B5B" wp14:editId="3591976A">
            <wp:extent cx="5939790" cy="3442032"/>
            <wp:effectExtent l="0" t="0" r="3810" b="6350"/>
            <wp:docPr id="14" name="Picture 14" descr="Chart 3 - please see text description in document for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39790" cy="3442032"/>
                    </a:xfrm>
                    <a:prstGeom prst="rect">
                      <a:avLst/>
                    </a:prstGeom>
                  </pic:spPr>
                </pic:pic>
              </a:graphicData>
            </a:graphic>
          </wp:inline>
        </w:drawing>
      </w:r>
    </w:p>
    <w:p w14:paraId="08D8879C" w14:textId="77777777" w:rsidR="00EE26E4" w:rsidRDefault="00EE26E4" w:rsidP="00EE26E4">
      <w:pPr>
        <w:keepNext/>
        <w:rPr>
          <w:b/>
        </w:rPr>
      </w:pPr>
    </w:p>
    <w:p w14:paraId="08D8879D" w14:textId="77777777" w:rsidR="00EE26E4" w:rsidRDefault="00EE26E4" w:rsidP="00EE26E4">
      <w:pPr>
        <w:keepNext/>
      </w:pPr>
      <w:r w:rsidRPr="00EE26E4">
        <w:t xml:space="preserve">Chart </w:t>
      </w:r>
      <w:r w:rsidR="00A57825">
        <w:t>4</w:t>
      </w:r>
      <w:r w:rsidRPr="00EE26E4">
        <w:t xml:space="preserve"> confirms that the decline in new private sector agreements is driven primarily by a decline in new agreements covering 0-19 employees. </w:t>
      </w:r>
      <w:r>
        <w:t>In the two years to Q2-2016, the average number of small agreements approved was 595 per quarter. In the two years prior to that (Q3-2012 – Q2-2014), the average was 850 per quarter, and in the two years prior to that (Q3-2010 – Q2-2012), the average was 989.</w:t>
      </w:r>
    </w:p>
    <w:p w14:paraId="08D8879E" w14:textId="77777777" w:rsidR="00AC0A24" w:rsidRPr="00EE26E4" w:rsidRDefault="00EE26E4" w:rsidP="00EE26E4">
      <w:pPr>
        <w:keepNext/>
        <w:rPr>
          <w:b/>
        </w:rPr>
      </w:pPr>
      <w:r w:rsidRPr="00A64205">
        <w:rPr>
          <w:b/>
        </w:rPr>
        <w:t xml:space="preserve">Chart </w:t>
      </w:r>
      <w:r w:rsidR="00A57825">
        <w:rPr>
          <w:b/>
        </w:rPr>
        <w:t>4</w:t>
      </w:r>
      <w:r w:rsidRPr="00A64205">
        <w:rPr>
          <w:b/>
        </w:rPr>
        <w:t xml:space="preserve">: </w:t>
      </w:r>
      <w:r>
        <w:rPr>
          <w:b/>
        </w:rPr>
        <w:t>P</w:t>
      </w:r>
      <w:r w:rsidRPr="00A64205">
        <w:rPr>
          <w:b/>
        </w:rPr>
        <w:t>rivate sector agreements by agreement size</w:t>
      </w:r>
      <w:r>
        <w:rPr>
          <w:b/>
        </w:rPr>
        <w:t xml:space="preserve"> and quarter of approval</w:t>
      </w:r>
      <w:r w:rsidRPr="00A64205">
        <w:rPr>
          <w:b/>
        </w:rPr>
        <w:t>, 200</w:t>
      </w:r>
      <w:r>
        <w:rPr>
          <w:b/>
        </w:rPr>
        <w:t>6</w:t>
      </w:r>
      <w:r w:rsidRPr="00A64205">
        <w:rPr>
          <w:b/>
        </w:rPr>
        <w:t>-201</w:t>
      </w:r>
      <w:r>
        <w:rPr>
          <w:b/>
        </w:rPr>
        <w:t>6</w:t>
      </w:r>
    </w:p>
    <w:p w14:paraId="08D8879F" w14:textId="6F2E2012" w:rsidR="00EE26E4" w:rsidRDefault="00F30549">
      <w:r>
        <w:rPr>
          <w:noProof/>
        </w:rPr>
        <w:drawing>
          <wp:inline distT="0" distB="0" distL="0" distR="0" wp14:anchorId="57913EBC" wp14:editId="7B6A71E5">
            <wp:extent cx="5939790" cy="3585450"/>
            <wp:effectExtent l="0" t="0" r="3810" b="0"/>
            <wp:docPr id="15" name="Picture 15" descr="Chart 4 - please see text description in document for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39790" cy="3585450"/>
                    </a:xfrm>
                    <a:prstGeom prst="rect">
                      <a:avLst/>
                    </a:prstGeom>
                  </pic:spPr>
                </pic:pic>
              </a:graphicData>
            </a:graphic>
          </wp:inline>
        </w:drawing>
      </w:r>
    </w:p>
    <w:p w14:paraId="08D887A0" w14:textId="77777777" w:rsidR="00926FE4" w:rsidRDefault="00926FE4"/>
    <w:p w14:paraId="08D887A1" w14:textId="77777777" w:rsidR="008535AC" w:rsidRDefault="008535AC" w:rsidP="008535AC">
      <w:pPr>
        <w:pStyle w:val="Heading2"/>
      </w:pPr>
      <w:r>
        <w:t>BY INDUSTRY</w:t>
      </w:r>
    </w:p>
    <w:p w14:paraId="08D887A2" w14:textId="77777777" w:rsidR="00997710" w:rsidRPr="00997710" w:rsidRDefault="00997710" w:rsidP="00997710">
      <w:r w:rsidRPr="00997710">
        <w:t xml:space="preserve">Table 1 </w:t>
      </w:r>
      <w:r w:rsidR="000E7912">
        <w:t>c</w:t>
      </w:r>
      <w:r w:rsidRPr="00997710">
        <w:t>ompares the coverage of private sector agreements by industry in the June quarter 2016 with the coverage of agreements at three other points in time: the June quarter 2014</w:t>
      </w:r>
      <w:r w:rsidR="00DE700C">
        <w:t xml:space="preserve"> (two years ago)</w:t>
      </w:r>
      <w:r w:rsidRPr="00997710">
        <w:t>; the June quarter 2009</w:t>
      </w:r>
      <w:r w:rsidR="00DE700C">
        <w:t xml:space="preserve"> (immediately prior to the commencement of the </w:t>
      </w:r>
      <w:r w:rsidR="00DE700C" w:rsidRPr="00DE700C">
        <w:rPr>
          <w:i/>
        </w:rPr>
        <w:t>Fair Work Act 2009</w:t>
      </w:r>
      <w:r w:rsidR="00DE700C">
        <w:t>)</w:t>
      </w:r>
      <w:r w:rsidRPr="00997710">
        <w:t>; and the June quarter 2006</w:t>
      </w:r>
      <w:r w:rsidR="00DE700C">
        <w:t xml:space="preserve"> (ten years ago)</w:t>
      </w:r>
      <w:r w:rsidRPr="00997710">
        <w:t>.</w:t>
      </w:r>
    </w:p>
    <w:p w14:paraId="08D887A3" w14:textId="77777777" w:rsidR="00C550ED" w:rsidRDefault="000E7912" w:rsidP="00997710">
      <w:r>
        <w:t>Retail trade</w:t>
      </w:r>
      <w:r w:rsidR="004D6745">
        <w:t xml:space="preserve"> (see below) </w:t>
      </w:r>
      <w:r>
        <w:t xml:space="preserve">and </w:t>
      </w:r>
      <w:r w:rsidR="00997710" w:rsidRPr="00997710">
        <w:t xml:space="preserve">Construction declined by </w:t>
      </w:r>
      <w:r>
        <w:t xml:space="preserve">49.1 per cent and </w:t>
      </w:r>
      <w:r w:rsidR="00997710" w:rsidRPr="00997710">
        <w:t xml:space="preserve">47.9 per cent respectively. Construction agreements are almost universally small agreements; the decline in Construction represents 57.8 per cent of the total decline in terms of agreement numbers, but only 13.8 per cent in terms of employee coverage. </w:t>
      </w:r>
    </w:p>
    <w:p w14:paraId="08D887A4" w14:textId="493DB2B5" w:rsidR="00E102EB" w:rsidRDefault="004D6745" w:rsidP="00997710">
      <w:r w:rsidRPr="00997710">
        <w:t xml:space="preserve">Electricity, gas, water and waste services industry </w:t>
      </w:r>
      <w:r>
        <w:t xml:space="preserve">had </w:t>
      </w:r>
      <w:r w:rsidR="00997710" w:rsidRPr="00997710">
        <w:t xml:space="preserve">an increase in the number of agreements between June 2014 and June </w:t>
      </w:r>
      <w:r w:rsidR="000A439B" w:rsidRPr="00997710">
        <w:t>2016 rising</w:t>
      </w:r>
      <w:r w:rsidR="00997710" w:rsidRPr="00997710">
        <w:t xml:space="preserve"> by 2 per cent to 396 current agreements.</w:t>
      </w:r>
      <w:r w:rsidR="00EA1BE6">
        <w:t xml:space="preserve"> </w:t>
      </w:r>
    </w:p>
    <w:p w14:paraId="08D887A5" w14:textId="5EFD9FD8" w:rsidR="00997710" w:rsidRDefault="00997710" w:rsidP="00997710"/>
    <w:p w14:paraId="08D887A6" w14:textId="77777777" w:rsidR="008F6378" w:rsidRDefault="008F6378">
      <w:pPr>
        <w:rPr>
          <w:b/>
        </w:rPr>
      </w:pPr>
      <w:r>
        <w:rPr>
          <w:b/>
        </w:rPr>
        <w:br w:type="page"/>
      </w:r>
    </w:p>
    <w:p w14:paraId="08D887A7" w14:textId="77777777" w:rsidR="008F6378" w:rsidRPr="00A64205" w:rsidRDefault="008F6378" w:rsidP="008F6378">
      <w:pPr>
        <w:keepNext/>
        <w:rPr>
          <w:b/>
        </w:rPr>
      </w:pPr>
      <w:r w:rsidRPr="00A64205">
        <w:rPr>
          <w:b/>
        </w:rPr>
        <w:lastRenderedPageBreak/>
        <w:t>Tab</w:t>
      </w:r>
      <w:bookmarkStart w:id="0" w:name="_GoBack"/>
      <w:bookmarkEnd w:id="0"/>
      <w:r w:rsidRPr="00A64205">
        <w:rPr>
          <w:b/>
        </w:rPr>
        <w:t>le 1:</w:t>
      </w:r>
      <w:r w:rsidRPr="00A64205">
        <w:t xml:space="preserve"> </w:t>
      </w:r>
      <w:r w:rsidRPr="00A64205">
        <w:rPr>
          <w:b/>
        </w:rPr>
        <w:t xml:space="preserve">Comparing current </w:t>
      </w:r>
      <w:r w:rsidR="008614B9">
        <w:rPr>
          <w:b/>
        </w:rPr>
        <w:t xml:space="preserve">private sector </w:t>
      </w:r>
      <w:r w:rsidRPr="00A64205">
        <w:rPr>
          <w:b/>
        </w:rPr>
        <w:t>agreements with previous levels, by industry</w:t>
      </w:r>
    </w:p>
    <w:tbl>
      <w:tblPr>
        <w:tblW w:w="9376" w:type="dxa"/>
        <w:tblInd w:w="108" w:type="dxa"/>
        <w:tblCellMar>
          <w:left w:w="0" w:type="dxa"/>
          <w:right w:w="0" w:type="dxa"/>
        </w:tblCellMar>
        <w:tblLook w:val="04A0" w:firstRow="1" w:lastRow="0" w:firstColumn="1" w:lastColumn="0" w:noHBand="0" w:noVBand="1"/>
      </w:tblPr>
      <w:tblGrid>
        <w:gridCol w:w="4460"/>
        <w:gridCol w:w="1210"/>
        <w:gridCol w:w="1236"/>
        <w:gridCol w:w="1192"/>
        <w:gridCol w:w="1278"/>
      </w:tblGrid>
      <w:tr w:rsidR="00021C27" w:rsidRPr="000B0F4A" w14:paraId="08D887AD" w14:textId="77777777" w:rsidTr="00774FF4">
        <w:trPr>
          <w:trHeight w:val="315"/>
          <w:tblHeader/>
        </w:trPr>
        <w:tc>
          <w:tcPr>
            <w:tcW w:w="4460" w:type="dxa"/>
            <w:tcBorders>
              <w:top w:val="single" w:sz="8" w:space="0" w:color="auto"/>
              <w:left w:val="single" w:sz="8" w:space="0" w:color="auto"/>
              <w:bottom w:val="single" w:sz="8" w:space="0" w:color="auto"/>
              <w:right w:val="nil"/>
            </w:tcBorders>
            <w:noWrap/>
            <w:tcMar>
              <w:top w:w="0" w:type="dxa"/>
              <w:left w:w="108" w:type="dxa"/>
              <w:bottom w:w="0" w:type="dxa"/>
              <w:right w:w="108" w:type="dxa"/>
            </w:tcMar>
            <w:vAlign w:val="center"/>
            <w:hideMark/>
          </w:tcPr>
          <w:p w14:paraId="08D887A8" w14:textId="77777777" w:rsidR="00021C27" w:rsidRPr="000B0F4A" w:rsidRDefault="00021C27" w:rsidP="00021C27">
            <w:pPr>
              <w:keepNext/>
              <w:spacing w:after="0" w:line="240" w:lineRule="auto"/>
              <w:jc w:val="center"/>
              <w:rPr>
                <w:b/>
                <w:bCs/>
              </w:rPr>
            </w:pPr>
            <w:r>
              <w:rPr>
                <w:b/>
                <w:bCs/>
              </w:rPr>
              <w:t>Industry</w:t>
            </w:r>
          </w:p>
        </w:tc>
        <w:tc>
          <w:tcPr>
            <w:tcW w:w="121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8D887A9" w14:textId="77777777" w:rsidR="00021C27" w:rsidRPr="000B0F4A" w:rsidRDefault="00021C27" w:rsidP="00021C27">
            <w:pPr>
              <w:keepNext/>
              <w:spacing w:after="0" w:line="240" w:lineRule="auto"/>
              <w:jc w:val="center"/>
              <w:rPr>
                <w:b/>
                <w:bCs/>
              </w:rPr>
            </w:pPr>
            <w:r>
              <w:rPr>
                <w:b/>
                <w:bCs/>
              </w:rPr>
              <w:t>June 20</w:t>
            </w:r>
            <w:r w:rsidRPr="000B0F4A">
              <w:rPr>
                <w:b/>
                <w:bCs/>
              </w:rPr>
              <w:t>1</w:t>
            </w:r>
            <w:r>
              <w:rPr>
                <w:b/>
                <w:bCs/>
              </w:rPr>
              <w:t>6</w:t>
            </w:r>
          </w:p>
        </w:tc>
        <w:tc>
          <w:tcPr>
            <w:tcW w:w="1236" w:type="dxa"/>
            <w:tcBorders>
              <w:top w:val="single" w:sz="8" w:space="0" w:color="auto"/>
              <w:left w:val="nil"/>
              <w:bottom w:val="single" w:sz="8" w:space="0" w:color="auto"/>
              <w:right w:val="nil"/>
            </w:tcBorders>
            <w:noWrap/>
            <w:tcMar>
              <w:top w:w="0" w:type="dxa"/>
              <w:left w:w="108" w:type="dxa"/>
              <w:bottom w:w="0" w:type="dxa"/>
              <w:right w:w="108" w:type="dxa"/>
            </w:tcMar>
            <w:vAlign w:val="center"/>
            <w:hideMark/>
          </w:tcPr>
          <w:p w14:paraId="08D887AA" w14:textId="77777777" w:rsidR="00021C27" w:rsidRPr="000B0F4A" w:rsidRDefault="00021C27" w:rsidP="00021C27">
            <w:pPr>
              <w:keepNext/>
              <w:spacing w:after="0" w:line="240" w:lineRule="auto"/>
              <w:jc w:val="center"/>
              <w:rPr>
                <w:b/>
                <w:bCs/>
              </w:rPr>
            </w:pPr>
            <w:r>
              <w:rPr>
                <w:b/>
                <w:bCs/>
              </w:rPr>
              <w:t>Change since 2014</w:t>
            </w:r>
          </w:p>
        </w:tc>
        <w:tc>
          <w:tcPr>
            <w:tcW w:w="1192" w:type="dxa"/>
            <w:tcBorders>
              <w:top w:val="single" w:sz="8" w:space="0" w:color="auto"/>
              <w:left w:val="nil"/>
              <w:bottom w:val="single" w:sz="8" w:space="0" w:color="auto"/>
              <w:right w:val="nil"/>
            </w:tcBorders>
            <w:noWrap/>
            <w:tcMar>
              <w:top w:w="0" w:type="dxa"/>
              <w:left w:w="108" w:type="dxa"/>
              <w:bottom w:w="0" w:type="dxa"/>
              <w:right w:w="108" w:type="dxa"/>
            </w:tcMar>
            <w:vAlign w:val="center"/>
            <w:hideMark/>
          </w:tcPr>
          <w:p w14:paraId="08D887AB" w14:textId="77777777" w:rsidR="00021C27" w:rsidRPr="000B0F4A" w:rsidRDefault="00021C27" w:rsidP="00021C27">
            <w:pPr>
              <w:keepNext/>
              <w:spacing w:after="0" w:line="240" w:lineRule="auto"/>
              <w:jc w:val="center"/>
              <w:rPr>
                <w:b/>
                <w:bCs/>
              </w:rPr>
            </w:pPr>
            <w:r>
              <w:rPr>
                <w:b/>
                <w:bCs/>
              </w:rPr>
              <w:t>Change since 2009</w:t>
            </w:r>
          </w:p>
        </w:tc>
        <w:tc>
          <w:tcPr>
            <w:tcW w:w="1278"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8D887AC" w14:textId="77777777" w:rsidR="00021C27" w:rsidRPr="000B0F4A" w:rsidRDefault="00021C27" w:rsidP="00021C27">
            <w:pPr>
              <w:keepNext/>
              <w:spacing w:after="0" w:line="240" w:lineRule="auto"/>
              <w:jc w:val="center"/>
              <w:rPr>
                <w:b/>
                <w:bCs/>
              </w:rPr>
            </w:pPr>
            <w:r>
              <w:rPr>
                <w:b/>
                <w:bCs/>
              </w:rPr>
              <w:t>Change since 2006</w:t>
            </w:r>
          </w:p>
        </w:tc>
      </w:tr>
      <w:tr w:rsidR="00021C27" w:rsidRPr="004C324E" w14:paraId="08D887B3" w14:textId="77777777" w:rsidTr="00021C27">
        <w:trPr>
          <w:trHeight w:val="300"/>
        </w:trPr>
        <w:tc>
          <w:tcPr>
            <w:tcW w:w="4460" w:type="dxa"/>
            <w:tcBorders>
              <w:top w:val="nil"/>
              <w:left w:val="single" w:sz="8" w:space="0" w:color="auto"/>
              <w:bottom w:val="nil"/>
              <w:right w:val="nil"/>
            </w:tcBorders>
            <w:noWrap/>
            <w:tcMar>
              <w:top w:w="0" w:type="dxa"/>
              <w:left w:w="108" w:type="dxa"/>
              <w:bottom w:w="0" w:type="dxa"/>
              <w:right w:w="108" w:type="dxa"/>
            </w:tcMar>
            <w:vAlign w:val="bottom"/>
            <w:hideMark/>
          </w:tcPr>
          <w:p w14:paraId="08D887AE" w14:textId="77777777" w:rsidR="00021C27" w:rsidRPr="000B0F4A" w:rsidRDefault="00021C27" w:rsidP="0037203E">
            <w:pPr>
              <w:keepNext/>
              <w:spacing w:after="0" w:line="240" w:lineRule="auto"/>
            </w:pPr>
            <w:r w:rsidRPr="000B0F4A">
              <w:t>Accommodation and Food Services</w:t>
            </w:r>
          </w:p>
        </w:tc>
        <w:tc>
          <w:tcPr>
            <w:tcW w:w="1210" w:type="dxa"/>
            <w:tcBorders>
              <w:top w:val="nil"/>
              <w:left w:val="single" w:sz="8" w:space="0" w:color="auto"/>
              <w:bottom w:val="nil"/>
              <w:right w:val="single" w:sz="8" w:space="0" w:color="auto"/>
            </w:tcBorders>
            <w:noWrap/>
            <w:tcMar>
              <w:top w:w="0" w:type="dxa"/>
              <w:left w:w="108" w:type="dxa"/>
              <w:bottom w:w="0" w:type="dxa"/>
              <w:right w:w="108" w:type="dxa"/>
            </w:tcMar>
            <w:vAlign w:val="center"/>
          </w:tcPr>
          <w:p w14:paraId="08D887AF" w14:textId="77777777" w:rsidR="00021C27" w:rsidRPr="004C324E" w:rsidRDefault="00021C27" w:rsidP="00021C27">
            <w:pPr>
              <w:spacing w:after="0" w:line="240" w:lineRule="auto"/>
              <w:jc w:val="center"/>
            </w:pPr>
            <w:r w:rsidRPr="004C324E">
              <w:t>432</w:t>
            </w:r>
          </w:p>
        </w:tc>
        <w:tc>
          <w:tcPr>
            <w:tcW w:w="1236" w:type="dxa"/>
            <w:noWrap/>
            <w:tcMar>
              <w:top w:w="0" w:type="dxa"/>
              <w:left w:w="108" w:type="dxa"/>
              <w:bottom w:w="0" w:type="dxa"/>
              <w:right w:w="108" w:type="dxa"/>
            </w:tcMar>
            <w:vAlign w:val="center"/>
          </w:tcPr>
          <w:p w14:paraId="08D887B0" w14:textId="77777777" w:rsidR="00021C27" w:rsidRPr="004C324E" w:rsidRDefault="00021C27" w:rsidP="00021C27">
            <w:pPr>
              <w:spacing w:after="0" w:line="240" w:lineRule="auto"/>
              <w:jc w:val="center"/>
            </w:pPr>
            <w:r w:rsidRPr="004C324E">
              <w:t>-23.0%</w:t>
            </w:r>
          </w:p>
        </w:tc>
        <w:tc>
          <w:tcPr>
            <w:tcW w:w="1192" w:type="dxa"/>
            <w:noWrap/>
            <w:tcMar>
              <w:top w:w="0" w:type="dxa"/>
              <w:left w:w="108" w:type="dxa"/>
              <w:bottom w:w="0" w:type="dxa"/>
              <w:right w:w="108" w:type="dxa"/>
            </w:tcMar>
            <w:vAlign w:val="center"/>
          </w:tcPr>
          <w:p w14:paraId="08D887B1" w14:textId="77777777" w:rsidR="00021C27" w:rsidRPr="004C324E" w:rsidRDefault="00021C27" w:rsidP="00021C27">
            <w:pPr>
              <w:spacing w:after="0" w:line="240" w:lineRule="auto"/>
              <w:jc w:val="center"/>
            </w:pPr>
            <w:r w:rsidRPr="004C324E">
              <w:t>-70.6%</w:t>
            </w:r>
          </w:p>
        </w:tc>
        <w:tc>
          <w:tcPr>
            <w:tcW w:w="1278" w:type="dxa"/>
            <w:tcBorders>
              <w:top w:val="nil"/>
              <w:left w:val="nil"/>
              <w:bottom w:val="nil"/>
              <w:right w:val="single" w:sz="8" w:space="0" w:color="auto"/>
            </w:tcBorders>
            <w:noWrap/>
            <w:tcMar>
              <w:top w:w="0" w:type="dxa"/>
              <w:left w:w="108" w:type="dxa"/>
              <w:bottom w:w="0" w:type="dxa"/>
              <w:right w:w="108" w:type="dxa"/>
            </w:tcMar>
            <w:vAlign w:val="center"/>
          </w:tcPr>
          <w:p w14:paraId="08D887B2" w14:textId="77777777" w:rsidR="00021C27" w:rsidRPr="004C324E" w:rsidRDefault="00021C27" w:rsidP="00021C27">
            <w:pPr>
              <w:spacing w:after="0" w:line="240" w:lineRule="auto"/>
              <w:jc w:val="center"/>
            </w:pPr>
            <w:r w:rsidRPr="004C324E">
              <w:t>-38.1%</w:t>
            </w:r>
          </w:p>
        </w:tc>
      </w:tr>
      <w:tr w:rsidR="00021C27" w:rsidRPr="004C324E" w14:paraId="08D887B9" w14:textId="77777777" w:rsidTr="00021C27">
        <w:trPr>
          <w:trHeight w:val="315"/>
        </w:trPr>
        <w:tc>
          <w:tcPr>
            <w:tcW w:w="4460" w:type="dxa"/>
            <w:tcBorders>
              <w:top w:val="nil"/>
              <w:left w:val="single" w:sz="8" w:space="0" w:color="auto"/>
              <w:bottom w:val="single" w:sz="8" w:space="0" w:color="auto"/>
              <w:right w:val="nil"/>
            </w:tcBorders>
            <w:noWrap/>
            <w:tcMar>
              <w:top w:w="0" w:type="dxa"/>
              <w:left w:w="108" w:type="dxa"/>
              <w:bottom w:w="0" w:type="dxa"/>
              <w:right w:w="108" w:type="dxa"/>
            </w:tcMar>
            <w:vAlign w:val="bottom"/>
            <w:hideMark/>
          </w:tcPr>
          <w:p w14:paraId="08D887B4" w14:textId="77777777" w:rsidR="00021C27" w:rsidRPr="000B0F4A" w:rsidRDefault="00021C27" w:rsidP="0037203E">
            <w:pPr>
              <w:keepNext/>
              <w:spacing w:after="0" w:line="240" w:lineRule="auto"/>
            </w:pPr>
            <w:r w:rsidRPr="000B0F4A">
              <w:t>Employees</w:t>
            </w:r>
          </w:p>
        </w:tc>
        <w:tc>
          <w:tcPr>
            <w:tcW w:w="121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14:paraId="08D887B5" w14:textId="77777777" w:rsidR="00021C27" w:rsidRPr="004C324E" w:rsidRDefault="00021C27" w:rsidP="00021C27">
            <w:pPr>
              <w:spacing w:after="0" w:line="240" w:lineRule="auto"/>
              <w:jc w:val="center"/>
            </w:pPr>
            <w:r w:rsidRPr="004C324E">
              <w:t>144</w:t>
            </w:r>
            <w:r w:rsidR="00A55A45">
              <w:t>,</w:t>
            </w:r>
            <w:r w:rsidRPr="004C324E">
              <w:t>996</w:t>
            </w:r>
          </w:p>
        </w:tc>
        <w:tc>
          <w:tcPr>
            <w:tcW w:w="1236" w:type="dxa"/>
            <w:tcBorders>
              <w:top w:val="nil"/>
              <w:left w:val="nil"/>
              <w:bottom w:val="single" w:sz="8" w:space="0" w:color="auto"/>
              <w:right w:val="nil"/>
            </w:tcBorders>
            <w:noWrap/>
            <w:tcMar>
              <w:top w:w="0" w:type="dxa"/>
              <w:left w:w="108" w:type="dxa"/>
              <w:bottom w:w="0" w:type="dxa"/>
              <w:right w:w="108" w:type="dxa"/>
            </w:tcMar>
            <w:vAlign w:val="center"/>
          </w:tcPr>
          <w:p w14:paraId="08D887B6" w14:textId="77777777" w:rsidR="00021C27" w:rsidRPr="004C324E" w:rsidRDefault="00021C27" w:rsidP="00021C27">
            <w:pPr>
              <w:spacing w:after="0" w:line="240" w:lineRule="auto"/>
              <w:jc w:val="center"/>
            </w:pPr>
            <w:r w:rsidRPr="004C324E">
              <w:t>-1.9%</w:t>
            </w:r>
          </w:p>
        </w:tc>
        <w:tc>
          <w:tcPr>
            <w:tcW w:w="1192" w:type="dxa"/>
            <w:tcBorders>
              <w:top w:val="nil"/>
              <w:left w:val="nil"/>
              <w:bottom w:val="single" w:sz="8" w:space="0" w:color="auto"/>
              <w:right w:val="nil"/>
            </w:tcBorders>
            <w:noWrap/>
            <w:tcMar>
              <w:top w:w="0" w:type="dxa"/>
              <w:left w:w="108" w:type="dxa"/>
              <w:bottom w:w="0" w:type="dxa"/>
              <w:right w:w="108" w:type="dxa"/>
            </w:tcMar>
            <w:vAlign w:val="center"/>
          </w:tcPr>
          <w:p w14:paraId="08D887B7" w14:textId="77777777" w:rsidR="00021C27" w:rsidRPr="004C324E" w:rsidRDefault="00021C27" w:rsidP="00021C27">
            <w:pPr>
              <w:spacing w:after="0" w:line="240" w:lineRule="auto"/>
              <w:jc w:val="center"/>
            </w:pPr>
            <w:r w:rsidRPr="004C324E">
              <w:t>159.9%</w:t>
            </w:r>
          </w:p>
        </w:tc>
        <w:tc>
          <w:tcPr>
            <w:tcW w:w="1278"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08D887B8" w14:textId="77777777" w:rsidR="00021C27" w:rsidRPr="004C324E" w:rsidRDefault="00021C27" w:rsidP="00021C27">
            <w:pPr>
              <w:spacing w:after="0" w:line="240" w:lineRule="auto"/>
              <w:jc w:val="center"/>
            </w:pPr>
            <w:r w:rsidRPr="004C324E">
              <w:t>158.4%</w:t>
            </w:r>
          </w:p>
        </w:tc>
      </w:tr>
      <w:tr w:rsidR="00021C27" w:rsidRPr="004C324E" w14:paraId="08D887BF" w14:textId="77777777" w:rsidTr="00021C27">
        <w:trPr>
          <w:trHeight w:val="300"/>
        </w:trPr>
        <w:tc>
          <w:tcPr>
            <w:tcW w:w="4460" w:type="dxa"/>
            <w:tcBorders>
              <w:top w:val="nil"/>
              <w:left w:val="single" w:sz="8" w:space="0" w:color="auto"/>
              <w:bottom w:val="nil"/>
              <w:right w:val="nil"/>
            </w:tcBorders>
            <w:noWrap/>
            <w:tcMar>
              <w:top w:w="0" w:type="dxa"/>
              <w:left w:w="108" w:type="dxa"/>
              <w:bottom w:w="0" w:type="dxa"/>
              <w:right w:w="108" w:type="dxa"/>
            </w:tcMar>
            <w:vAlign w:val="bottom"/>
            <w:hideMark/>
          </w:tcPr>
          <w:p w14:paraId="08D887BA" w14:textId="77777777" w:rsidR="00021C27" w:rsidRPr="000B0F4A" w:rsidRDefault="00021C27" w:rsidP="0037203E">
            <w:pPr>
              <w:keepNext/>
              <w:spacing w:after="0" w:line="240" w:lineRule="auto"/>
            </w:pPr>
            <w:r w:rsidRPr="000B0F4A">
              <w:t>Administrative and Support Services</w:t>
            </w:r>
          </w:p>
        </w:tc>
        <w:tc>
          <w:tcPr>
            <w:tcW w:w="1210" w:type="dxa"/>
            <w:tcBorders>
              <w:top w:val="nil"/>
              <w:left w:val="single" w:sz="8" w:space="0" w:color="auto"/>
              <w:bottom w:val="nil"/>
              <w:right w:val="single" w:sz="8" w:space="0" w:color="auto"/>
            </w:tcBorders>
            <w:noWrap/>
            <w:tcMar>
              <w:top w:w="0" w:type="dxa"/>
              <w:left w:w="108" w:type="dxa"/>
              <w:bottom w:w="0" w:type="dxa"/>
              <w:right w:w="108" w:type="dxa"/>
            </w:tcMar>
            <w:vAlign w:val="center"/>
          </w:tcPr>
          <w:p w14:paraId="08D887BB" w14:textId="77777777" w:rsidR="00021C27" w:rsidRPr="004C324E" w:rsidRDefault="00021C27" w:rsidP="00021C27">
            <w:pPr>
              <w:spacing w:after="0" w:line="240" w:lineRule="auto"/>
              <w:jc w:val="center"/>
            </w:pPr>
            <w:r w:rsidRPr="004C324E">
              <w:t>552</w:t>
            </w:r>
          </w:p>
        </w:tc>
        <w:tc>
          <w:tcPr>
            <w:tcW w:w="1236" w:type="dxa"/>
            <w:noWrap/>
            <w:tcMar>
              <w:top w:w="0" w:type="dxa"/>
              <w:left w:w="108" w:type="dxa"/>
              <w:bottom w:w="0" w:type="dxa"/>
              <w:right w:w="108" w:type="dxa"/>
            </w:tcMar>
            <w:vAlign w:val="center"/>
          </w:tcPr>
          <w:p w14:paraId="08D887BC" w14:textId="77777777" w:rsidR="00021C27" w:rsidRPr="004C324E" w:rsidRDefault="00021C27" w:rsidP="00021C27">
            <w:pPr>
              <w:spacing w:after="0" w:line="240" w:lineRule="auto"/>
              <w:jc w:val="center"/>
            </w:pPr>
            <w:r w:rsidRPr="004C324E">
              <w:t>-25.6%</w:t>
            </w:r>
          </w:p>
        </w:tc>
        <w:tc>
          <w:tcPr>
            <w:tcW w:w="1192" w:type="dxa"/>
            <w:noWrap/>
            <w:tcMar>
              <w:top w:w="0" w:type="dxa"/>
              <w:left w:w="108" w:type="dxa"/>
              <w:bottom w:w="0" w:type="dxa"/>
              <w:right w:w="108" w:type="dxa"/>
            </w:tcMar>
            <w:vAlign w:val="center"/>
          </w:tcPr>
          <w:p w14:paraId="08D887BD" w14:textId="77777777" w:rsidR="00021C27" w:rsidRPr="004C324E" w:rsidRDefault="00021C27" w:rsidP="00021C27">
            <w:pPr>
              <w:spacing w:after="0" w:line="240" w:lineRule="auto"/>
              <w:jc w:val="center"/>
            </w:pPr>
            <w:r w:rsidRPr="004C324E">
              <w:t>-17.0%</w:t>
            </w:r>
          </w:p>
        </w:tc>
        <w:tc>
          <w:tcPr>
            <w:tcW w:w="1278" w:type="dxa"/>
            <w:tcBorders>
              <w:top w:val="nil"/>
              <w:left w:val="nil"/>
              <w:bottom w:val="nil"/>
              <w:right w:val="single" w:sz="8" w:space="0" w:color="auto"/>
            </w:tcBorders>
            <w:noWrap/>
            <w:tcMar>
              <w:top w:w="0" w:type="dxa"/>
              <w:left w:w="108" w:type="dxa"/>
              <w:bottom w:w="0" w:type="dxa"/>
              <w:right w:w="108" w:type="dxa"/>
            </w:tcMar>
            <w:vAlign w:val="center"/>
          </w:tcPr>
          <w:p w14:paraId="08D887BE" w14:textId="77777777" w:rsidR="00021C27" w:rsidRPr="004C324E" w:rsidRDefault="00021C27" w:rsidP="00021C27">
            <w:pPr>
              <w:spacing w:after="0" w:line="240" w:lineRule="auto"/>
              <w:jc w:val="center"/>
            </w:pPr>
            <w:r w:rsidRPr="004C324E">
              <w:t>113.1%</w:t>
            </w:r>
          </w:p>
        </w:tc>
      </w:tr>
      <w:tr w:rsidR="00021C27" w:rsidRPr="004C324E" w14:paraId="08D887C5" w14:textId="77777777" w:rsidTr="00021C27">
        <w:trPr>
          <w:trHeight w:val="315"/>
        </w:trPr>
        <w:tc>
          <w:tcPr>
            <w:tcW w:w="4460" w:type="dxa"/>
            <w:tcBorders>
              <w:top w:val="nil"/>
              <w:left w:val="single" w:sz="8" w:space="0" w:color="auto"/>
              <w:bottom w:val="single" w:sz="8" w:space="0" w:color="auto"/>
              <w:right w:val="nil"/>
            </w:tcBorders>
            <w:noWrap/>
            <w:tcMar>
              <w:top w:w="0" w:type="dxa"/>
              <w:left w:w="108" w:type="dxa"/>
              <w:bottom w:w="0" w:type="dxa"/>
              <w:right w:w="108" w:type="dxa"/>
            </w:tcMar>
            <w:vAlign w:val="bottom"/>
            <w:hideMark/>
          </w:tcPr>
          <w:p w14:paraId="08D887C0" w14:textId="77777777" w:rsidR="00021C27" w:rsidRPr="000B0F4A" w:rsidRDefault="00021C27" w:rsidP="0037203E">
            <w:pPr>
              <w:keepNext/>
              <w:spacing w:after="0" w:line="240" w:lineRule="auto"/>
            </w:pPr>
            <w:r w:rsidRPr="000B0F4A">
              <w:t>Employees</w:t>
            </w:r>
          </w:p>
        </w:tc>
        <w:tc>
          <w:tcPr>
            <w:tcW w:w="121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14:paraId="08D887C1" w14:textId="77777777" w:rsidR="00021C27" w:rsidRPr="004C324E" w:rsidRDefault="00021C27" w:rsidP="00021C27">
            <w:pPr>
              <w:spacing w:after="0" w:line="240" w:lineRule="auto"/>
              <w:jc w:val="center"/>
            </w:pPr>
            <w:r w:rsidRPr="004C324E">
              <w:t>44</w:t>
            </w:r>
            <w:r w:rsidR="00A55A45">
              <w:t>,</w:t>
            </w:r>
            <w:r w:rsidRPr="004C324E">
              <w:t>925</w:t>
            </w:r>
          </w:p>
        </w:tc>
        <w:tc>
          <w:tcPr>
            <w:tcW w:w="1236" w:type="dxa"/>
            <w:tcBorders>
              <w:top w:val="nil"/>
              <w:left w:val="nil"/>
              <w:bottom w:val="single" w:sz="8" w:space="0" w:color="auto"/>
              <w:right w:val="nil"/>
            </w:tcBorders>
            <w:noWrap/>
            <w:tcMar>
              <w:top w:w="0" w:type="dxa"/>
              <w:left w:w="108" w:type="dxa"/>
              <w:bottom w:w="0" w:type="dxa"/>
              <w:right w:w="108" w:type="dxa"/>
            </w:tcMar>
            <w:vAlign w:val="center"/>
          </w:tcPr>
          <w:p w14:paraId="08D887C2" w14:textId="77777777" w:rsidR="00021C27" w:rsidRPr="004C324E" w:rsidRDefault="00021C27" w:rsidP="00021C27">
            <w:pPr>
              <w:spacing w:after="0" w:line="240" w:lineRule="auto"/>
              <w:jc w:val="center"/>
            </w:pPr>
            <w:r w:rsidRPr="004C324E">
              <w:t>-14.2%</w:t>
            </w:r>
          </w:p>
        </w:tc>
        <w:tc>
          <w:tcPr>
            <w:tcW w:w="1192" w:type="dxa"/>
            <w:tcBorders>
              <w:top w:val="nil"/>
              <w:left w:val="nil"/>
              <w:bottom w:val="single" w:sz="8" w:space="0" w:color="auto"/>
              <w:right w:val="nil"/>
            </w:tcBorders>
            <w:noWrap/>
            <w:tcMar>
              <w:top w:w="0" w:type="dxa"/>
              <w:left w:w="108" w:type="dxa"/>
              <w:bottom w:w="0" w:type="dxa"/>
              <w:right w:w="108" w:type="dxa"/>
            </w:tcMar>
            <w:vAlign w:val="center"/>
          </w:tcPr>
          <w:p w14:paraId="08D887C3" w14:textId="77777777" w:rsidR="00021C27" w:rsidRPr="004C324E" w:rsidRDefault="00021C27" w:rsidP="00021C27">
            <w:pPr>
              <w:spacing w:after="0" w:line="240" w:lineRule="auto"/>
              <w:jc w:val="center"/>
            </w:pPr>
            <w:r w:rsidRPr="004C324E">
              <w:t>-23.0%</w:t>
            </w:r>
          </w:p>
        </w:tc>
        <w:tc>
          <w:tcPr>
            <w:tcW w:w="1278"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08D887C4" w14:textId="77777777" w:rsidR="00021C27" w:rsidRPr="004C324E" w:rsidRDefault="00021C27" w:rsidP="00021C27">
            <w:pPr>
              <w:spacing w:after="0" w:line="240" w:lineRule="auto"/>
              <w:jc w:val="center"/>
            </w:pPr>
            <w:r w:rsidRPr="004C324E">
              <w:t>123.3%</w:t>
            </w:r>
          </w:p>
        </w:tc>
      </w:tr>
      <w:tr w:rsidR="00021C27" w:rsidRPr="004C324E" w14:paraId="08D887CB" w14:textId="77777777" w:rsidTr="00021C27">
        <w:trPr>
          <w:trHeight w:val="300"/>
        </w:trPr>
        <w:tc>
          <w:tcPr>
            <w:tcW w:w="4460" w:type="dxa"/>
            <w:tcBorders>
              <w:top w:val="nil"/>
              <w:left w:val="single" w:sz="8" w:space="0" w:color="auto"/>
              <w:bottom w:val="nil"/>
              <w:right w:val="nil"/>
            </w:tcBorders>
            <w:noWrap/>
            <w:tcMar>
              <w:top w:w="0" w:type="dxa"/>
              <w:left w:w="108" w:type="dxa"/>
              <w:bottom w:w="0" w:type="dxa"/>
              <w:right w:w="108" w:type="dxa"/>
            </w:tcMar>
            <w:vAlign w:val="bottom"/>
            <w:hideMark/>
          </w:tcPr>
          <w:p w14:paraId="08D887C6" w14:textId="77777777" w:rsidR="00021C27" w:rsidRPr="000B0F4A" w:rsidRDefault="00021C27" w:rsidP="0037203E">
            <w:pPr>
              <w:keepNext/>
              <w:spacing w:after="0" w:line="240" w:lineRule="auto"/>
            </w:pPr>
            <w:r w:rsidRPr="000B0F4A">
              <w:t>Agriculture, Forestry and Fishing</w:t>
            </w:r>
          </w:p>
        </w:tc>
        <w:tc>
          <w:tcPr>
            <w:tcW w:w="1210" w:type="dxa"/>
            <w:tcBorders>
              <w:top w:val="nil"/>
              <w:left w:val="single" w:sz="8" w:space="0" w:color="auto"/>
              <w:bottom w:val="nil"/>
              <w:right w:val="single" w:sz="8" w:space="0" w:color="auto"/>
            </w:tcBorders>
            <w:noWrap/>
            <w:tcMar>
              <w:top w:w="0" w:type="dxa"/>
              <w:left w:w="108" w:type="dxa"/>
              <w:bottom w:w="0" w:type="dxa"/>
              <w:right w:w="108" w:type="dxa"/>
            </w:tcMar>
            <w:vAlign w:val="center"/>
          </w:tcPr>
          <w:p w14:paraId="08D887C7" w14:textId="77777777" w:rsidR="00021C27" w:rsidRPr="004C324E" w:rsidRDefault="00021C27" w:rsidP="00021C27">
            <w:pPr>
              <w:spacing w:after="0" w:line="240" w:lineRule="auto"/>
              <w:jc w:val="center"/>
            </w:pPr>
            <w:r w:rsidRPr="004C324E">
              <w:t>150</w:t>
            </w:r>
          </w:p>
        </w:tc>
        <w:tc>
          <w:tcPr>
            <w:tcW w:w="1236" w:type="dxa"/>
            <w:noWrap/>
            <w:tcMar>
              <w:top w:w="0" w:type="dxa"/>
              <w:left w:w="108" w:type="dxa"/>
              <w:bottom w:w="0" w:type="dxa"/>
              <w:right w:w="108" w:type="dxa"/>
            </w:tcMar>
            <w:vAlign w:val="center"/>
          </w:tcPr>
          <w:p w14:paraId="08D887C8" w14:textId="77777777" w:rsidR="00021C27" w:rsidRPr="004C324E" w:rsidRDefault="00021C27" w:rsidP="00021C27">
            <w:pPr>
              <w:spacing w:after="0" w:line="240" w:lineRule="auto"/>
              <w:jc w:val="center"/>
            </w:pPr>
            <w:r w:rsidRPr="004C324E">
              <w:t>-29.6%</w:t>
            </w:r>
          </w:p>
        </w:tc>
        <w:tc>
          <w:tcPr>
            <w:tcW w:w="1192" w:type="dxa"/>
            <w:noWrap/>
            <w:tcMar>
              <w:top w:w="0" w:type="dxa"/>
              <w:left w:w="108" w:type="dxa"/>
              <w:bottom w:w="0" w:type="dxa"/>
              <w:right w:w="108" w:type="dxa"/>
            </w:tcMar>
            <w:vAlign w:val="center"/>
          </w:tcPr>
          <w:p w14:paraId="08D887C9" w14:textId="77777777" w:rsidR="00021C27" w:rsidRPr="004C324E" w:rsidRDefault="00021C27" w:rsidP="00021C27">
            <w:pPr>
              <w:spacing w:after="0" w:line="240" w:lineRule="auto"/>
              <w:jc w:val="center"/>
            </w:pPr>
            <w:r w:rsidRPr="004C324E">
              <w:t>-62.2%</w:t>
            </w:r>
          </w:p>
        </w:tc>
        <w:tc>
          <w:tcPr>
            <w:tcW w:w="1278" w:type="dxa"/>
            <w:tcBorders>
              <w:top w:val="nil"/>
              <w:left w:val="nil"/>
              <w:bottom w:val="nil"/>
              <w:right w:val="single" w:sz="8" w:space="0" w:color="auto"/>
            </w:tcBorders>
            <w:noWrap/>
            <w:tcMar>
              <w:top w:w="0" w:type="dxa"/>
              <w:left w:w="108" w:type="dxa"/>
              <w:bottom w:w="0" w:type="dxa"/>
              <w:right w:w="108" w:type="dxa"/>
            </w:tcMar>
            <w:vAlign w:val="center"/>
          </w:tcPr>
          <w:p w14:paraId="08D887CA" w14:textId="77777777" w:rsidR="00021C27" w:rsidRPr="004C324E" w:rsidRDefault="00021C27" w:rsidP="00021C27">
            <w:pPr>
              <w:spacing w:after="0" w:line="240" w:lineRule="auto"/>
              <w:jc w:val="center"/>
            </w:pPr>
            <w:r w:rsidRPr="004C324E">
              <w:t>47.1%</w:t>
            </w:r>
          </w:p>
        </w:tc>
      </w:tr>
      <w:tr w:rsidR="00021C27" w:rsidRPr="004C324E" w14:paraId="08D887D1" w14:textId="77777777" w:rsidTr="00021C27">
        <w:trPr>
          <w:trHeight w:val="315"/>
        </w:trPr>
        <w:tc>
          <w:tcPr>
            <w:tcW w:w="4460" w:type="dxa"/>
            <w:tcBorders>
              <w:top w:val="nil"/>
              <w:left w:val="single" w:sz="8" w:space="0" w:color="auto"/>
              <w:bottom w:val="single" w:sz="8" w:space="0" w:color="auto"/>
              <w:right w:val="nil"/>
            </w:tcBorders>
            <w:noWrap/>
            <w:tcMar>
              <w:top w:w="0" w:type="dxa"/>
              <w:left w:w="108" w:type="dxa"/>
              <w:bottom w:w="0" w:type="dxa"/>
              <w:right w:w="108" w:type="dxa"/>
            </w:tcMar>
            <w:vAlign w:val="bottom"/>
            <w:hideMark/>
          </w:tcPr>
          <w:p w14:paraId="08D887CC" w14:textId="77777777" w:rsidR="00021C27" w:rsidRPr="000B0F4A" w:rsidRDefault="00021C27" w:rsidP="0037203E">
            <w:pPr>
              <w:keepNext/>
              <w:spacing w:after="0" w:line="240" w:lineRule="auto"/>
            </w:pPr>
            <w:r w:rsidRPr="000B0F4A">
              <w:t>Employees</w:t>
            </w:r>
          </w:p>
        </w:tc>
        <w:tc>
          <w:tcPr>
            <w:tcW w:w="121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14:paraId="08D887CD" w14:textId="77777777" w:rsidR="00021C27" w:rsidRPr="004C324E" w:rsidRDefault="00021C27" w:rsidP="00021C27">
            <w:pPr>
              <w:spacing w:after="0" w:line="240" w:lineRule="auto"/>
              <w:jc w:val="center"/>
            </w:pPr>
            <w:r w:rsidRPr="004C324E">
              <w:t>9</w:t>
            </w:r>
            <w:r w:rsidR="00A55A45">
              <w:t>,</w:t>
            </w:r>
            <w:r w:rsidRPr="004C324E">
              <w:t>297</w:t>
            </w:r>
          </w:p>
        </w:tc>
        <w:tc>
          <w:tcPr>
            <w:tcW w:w="1236" w:type="dxa"/>
            <w:tcBorders>
              <w:top w:val="nil"/>
              <w:left w:val="nil"/>
              <w:bottom w:val="single" w:sz="8" w:space="0" w:color="auto"/>
              <w:right w:val="nil"/>
            </w:tcBorders>
            <w:noWrap/>
            <w:tcMar>
              <w:top w:w="0" w:type="dxa"/>
              <w:left w:w="108" w:type="dxa"/>
              <w:bottom w:w="0" w:type="dxa"/>
              <w:right w:w="108" w:type="dxa"/>
            </w:tcMar>
            <w:vAlign w:val="center"/>
          </w:tcPr>
          <w:p w14:paraId="08D887CE" w14:textId="77777777" w:rsidR="00021C27" w:rsidRPr="004C324E" w:rsidRDefault="00021C27" w:rsidP="00021C27">
            <w:pPr>
              <w:spacing w:after="0" w:line="240" w:lineRule="auto"/>
              <w:jc w:val="center"/>
            </w:pPr>
            <w:r w:rsidRPr="004C324E">
              <w:t>24.0%</w:t>
            </w:r>
          </w:p>
        </w:tc>
        <w:tc>
          <w:tcPr>
            <w:tcW w:w="1192" w:type="dxa"/>
            <w:tcBorders>
              <w:top w:val="nil"/>
              <w:left w:val="nil"/>
              <w:bottom w:val="single" w:sz="8" w:space="0" w:color="auto"/>
              <w:right w:val="nil"/>
            </w:tcBorders>
            <w:noWrap/>
            <w:tcMar>
              <w:top w:w="0" w:type="dxa"/>
              <w:left w:w="108" w:type="dxa"/>
              <w:bottom w:w="0" w:type="dxa"/>
              <w:right w:w="108" w:type="dxa"/>
            </w:tcMar>
            <w:vAlign w:val="center"/>
          </w:tcPr>
          <w:p w14:paraId="08D887CF" w14:textId="77777777" w:rsidR="00021C27" w:rsidRPr="004C324E" w:rsidRDefault="00021C27" w:rsidP="00021C27">
            <w:pPr>
              <w:spacing w:after="0" w:line="240" w:lineRule="auto"/>
              <w:jc w:val="center"/>
            </w:pPr>
            <w:r w:rsidRPr="004C324E">
              <w:t>-21.2%</w:t>
            </w:r>
          </w:p>
        </w:tc>
        <w:tc>
          <w:tcPr>
            <w:tcW w:w="1278"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08D887D0" w14:textId="77777777" w:rsidR="00021C27" w:rsidRPr="004C324E" w:rsidRDefault="00021C27" w:rsidP="00021C27">
            <w:pPr>
              <w:spacing w:after="0" w:line="240" w:lineRule="auto"/>
              <w:jc w:val="center"/>
            </w:pPr>
            <w:r w:rsidRPr="004C324E">
              <w:t>99.7%</w:t>
            </w:r>
          </w:p>
        </w:tc>
      </w:tr>
      <w:tr w:rsidR="00021C27" w:rsidRPr="004C324E" w14:paraId="08D887D7" w14:textId="77777777" w:rsidTr="00021C27">
        <w:trPr>
          <w:trHeight w:val="300"/>
        </w:trPr>
        <w:tc>
          <w:tcPr>
            <w:tcW w:w="4460" w:type="dxa"/>
            <w:tcBorders>
              <w:top w:val="nil"/>
              <w:left w:val="single" w:sz="8" w:space="0" w:color="auto"/>
              <w:bottom w:val="nil"/>
              <w:right w:val="nil"/>
            </w:tcBorders>
            <w:noWrap/>
            <w:tcMar>
              <w:top w:w="0" w:type="dxa"/>
              <w:left w:w="108" w:type="dxa"/>
              <w:bottom w:w="0" w:type="dxa"/>
              <w:right w:w="108" w:type="dxa"/>
            </w:tcMar>
            <w:vAlign w:val="bottom"/>
            <w:hideMark/>
          </w:tcPr>
          <w:p w14:paraId="08D887D2" w14:textId="77777777" w:rsidR="00021C27" w:rsidRPr="000B0F4A" w:rsidRDefault="00021C27" w:rsidP="0037203E">
            <w:pPr>
              <w:keepNext/>
              <w:spacing w:after="0" w:line="240" w:lineRule="auto"/>
            </w:pPr>
            <w:r w:rsidRPr="000B0F4A">
              <w:t>Arts and Recreation Services</w:t>
            </w:r>
          </w:p>
        </w:tc>
        <w:tc>
          <w:tcPr>
            <w:tcW w:w="1210" w:type="dxa"/>
            <w:tcBorders>
              <w:top w:val="nil"/>
              <w:left w:val="single" w:sz="8" w:space="0" w:color="auto"/>
              <w:bottom w:val="nil"/>
              <w:right w:val="single" w:sz="8" w:space="0" w:color="auto"/>
            </w:tcBorders>
            <w:noWrap/>
            <w:tcMar>
              <w:top w:w="0" w:type="dxa"/>
              <w:left w:w="108" w:type="dxa"/>
              <w:bottom w:w="0" w:type="dxa"/>
              <w:right w:w="108" w:type="dxa"/>
            </w:tcMar>
            <w:vAlign w:val="center"/>
          </w:tcPr>
          <w:p w14:paraId="08D887D3" w14:textId="77777777" w:rsidR="00021C27" w:rsidRPr="004C324E" w:rsidRDefault="00021C27" w:rsidP="00021C27">
            <w:pPr>
              <w:spacing w:after="0" w:line="240" w:lineRule="auto"/>
              <w:jc w:val="center"/>
            </w:pPr>
            <w:r w:rsidRPr="004C324E">
              <w:t>148</w:t>
            </w:r>
          </w:p>
        </w:tc>
        <w:tc>
          <w:tcPr>
            <w:tcW w:w="1236" w:type="dxa"/>
            <w:noWrap/>
            <w:tcMar>
              <w:top w:w="0" w:type="dxa"/>
              <w:left w:w="108" w:type="dxa"/>
              <w:bottom w:w="0" w:type="dxa"/>
              <w:right w:w="108" w:type="dxa"/>
            </w:tcMar>
            <w:vAlign w:val="center"/>
          </w:tcPr>
          <w:p w14:paraId="08D887D4" w14:textId="77777777" w:rsidR="00021C27" w:rsidRPr="004C324E" w:rsidRDefault="00021C27" w:rsidP="00021C27">
            <w:pPr>
              <w:spacing w:after="0" w:line="240" w:lineRule="auto"/>
              <w:jc w:val="center"/>
            </w:pPr>
            <w:r w:rsidRPr="004C324E">
              <w:t>-9.8%</w:t>
            </w:r>
          </w:p>
        </w:tc>
        <w:tc>
          <w:tcPr>
            <w:tcW w:w="1192" w:type="dxa"/>
            <w:noWrap/>
            <w:tcMar>
              <w:top w:w="0" w:type="dxa"/>
              <w:left w:w="108" w:type="dxa"/>
              <w:bottom w:w="0" w:type="dxa"/>
              <w:right w:w="108" w:type="dxa"/>
            </w:tcMar>
            <w:vAlign w:val="center"/>
          </w:tcPr>
          <w:p w14:paraId="08D887D5" w14:textId="77777777" w:rsidR="00021C27" w:rsidRPr="004C324E" w:rsidRDefault="00021C27" w:rsidP="00021C27">
            <w:pPr>
              <w:spacing w:after="0" w:line="240" w:lineRule="auto"/>
              <w:jc w:val="center"/>
            </w:pPr>
            <w:r w:rsidRPr="004C324E">
              <w:t>-45.0%</w:t>
            </w:r>
          </w:p>
        </w:tc>
        <w:tc>
          <w:tcPr>
            <w:tcW w:w="1278" w:type="dxa"/>
            <w:tcBorders>
              <w:top w:val="nil"/>
              <w:left w:val="nil"/>
              <w:bottom w:val="nil"/>
              <w:right w:val="single" w:sz="8" w:space="0" w:color="auto"/>
            </w:tcBorders>
            <w:noWrap/>
            <w:tcMar>
              <w:top w:w="0" w:type="dxa"/>
              <w:left w:w="108" w:type="dxa"/>
              <w:bottom w:w="0" w:type="dxa"/>
              <w:right w:w="108" w:type="dxa"/>
            </w:tcMar>
            <w:vAlign w:val="center"/>
          </w:tcPr>
          <w:p w14:paraId="08D887D6" w14:textId="77777777" w:rsidR="00021C27" w:rsidRPr="004C324E" w:rsidRDefault="00021C27" w:rsidP="00021C27">
            <w:pPr>
              <w:spacing w:after="0" w:line="240" w:lineRule="auto"/>
              <w:jc w:val="center"/>
            </w:pPr>
            <w:r w:rsidRPr="004C324E">
              <w:t>35.8%</w:t>
            </w:r>
          </w:p>
        </w:tc>
      </w:tr>
      <w:tr w:rsidR="00021C27" w:rsidRPr="004C324E" w14:paraId="08D887DD" w14:textId="77777777" w:rsidTr="00021C27">
        <w:trPr>
          <w:trHeight w:val="315"/>
        </w:trPr>
        <w:tc>
          <w:tcPr>
            <w:tcW w:w="4460" w:type="dxa"/>
            <w:tcBorders>
              <w:top w:val="nil"/>
              <w:left w:val="single" w:sz="8" w:space="0" w:color="auto"/>
              <w:bottom w:val="single" w:sz="8" w:space="0" w:color="auto"/>
              <w:right w:val="nil"/>
            </w:tcBorders>
            <w:noWrap/>
            <w:tcMar>
              <w:top w:w="0" w:type="dxa"/>
              <w:left w:w="108" w:type="dxa"/>
              <w:bottom w:w="0" w:type="dxa"/>
              <w:right w:w="108" w:type="dxa"/>
            </w:tcMar>
            <w:vAlign w:val="bottom"/>
            <w:hideMark/>
          </w:tcPr>
          <w:p w14:paraId="08D887D8" w14:textId="77777777" w:rsidR="00021C27" w:rsidRPr="000B0F4A" w:rsidRDefault="00021C27" w:rsidP="0037203E">
            <w:pPr>
              <w:keepNext/>
              <w:spacing w:after="0" w:line="240" w:lineRule="auto"/>
            </w:pPr>
            <w:r w:rsidRPr="000B0F4A">
              <w:t>Employees</w:t>
            </w:r>
          </w:p>
        </w:tc>
        <w:tc>
          <w:tcPr>
            <w:tcW w:w="121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14:paraId="08D887D9" w14:textId="77777777" w:rsidR="00021C27" w:rsidRPr="004C324E" w:rsidRDefault="00021C27" w:rsidP="00021C27">
            <w:pPr>
              <w:spacing w:after="0" w:line="240" w:lineRule="auto"/>
              <w:jc w:val="center"/>
            </w:pPr>
            <w:r w:rsidRPr="004C324E">
              <w:t>42</w:t>
            </w:r>
            <w:r w:rsidR="00A55A45">
              <w:t>,</w:t>
            </w:r>
            <w:r w:rsidRPr="004C324E">
              <w:t>757</w:t>
            </w:r>
          </w:p>
        </w:tc>
        <w:tc>
          <w:tcPr>
            <w:tcW w:w="1236" w:type="dxa"/>
            <w:tcBorders>
              <w:top w:val="nil"/>
              <w:left w:val="nil"/>
              <w:bottom w:val="single" w:sz="8" w:space="0" w:color="auto"/>
              <w:right w:val="nil"/>
            </w:tcBorders>
            <w:noWrap/>
            <w:tcMar>
              <w:top w:w="0" w:type="dxa"/>
              <w:left w:w="108" w:type="dxa"/>
              <w:bottom w:w="0" w:type="dxa"/>
              <w:right w:w="108" w:type="dxa"/>
            </w:tcMar>
            <w:vAlign w:val="center"/>
          </w:tcPr>
          <w:p w14:paraId="08D887DA" w14:textId="77777777" w:rsidR="00021C27" w:rsidRPr="004C324E" w:rsidRDefault="00021C27" w:rsidP="00021C27">
            <w:pPr>
              <w:spacing w:after="0" w:line="240" w:lineRule="auto"/>
              <w:jc w:val="center"/>
            </w:pPr>
            <w:r w:rsidRPr="004C324E">
              <w:t>10.2%</w:t>
            </w:r>
          </w:p>
        </w:tc>
        <w:tc>
          <w:tcPr>
            <w:tcW w:w="1192" w:type="dxa"/>
            <w:tcBorders>
              <w:top w:val="nil"/>
              <w:left w:val="nil"/>
              <w:bottom w:val="single" w:sz="8" w:space="0" w:color="auto"/>
              <w:right w:val="nil"/>
            </w:tcBorders>
            <w:noWrap/>
            <w:tcMar>
              <w:top w:w="0" w:type="dxa"/>
              <w:left w:w="108" w:type="dxa"/>
              <w:bottom w:w="0" w:type="dxa"/>
              <w:right w:w="108" w:type="dxa"/>
            </w:tcMar>
            <w:vAlign w:val="center"/>
          </w:tcPr>
          <w:p w14:paraId="08D887DB" w14:textId="77777777" w:rsidR="00021C27" w:rsidRPr="004C324E" w:rsidRDefault="00021C27" w:rsidP="00021C27">
            <w:pPr>
              <w:spacing w:after="0" w:line="240" w:lineRule="auto"/>
              <w:jc w:val="center"/>
            </w:pPr>
            <w:r w:rsidRPr="004C324E">
              <w:t>3.2%</w:t>
            </w:r>
          </w:p>
        </w:tc>
        <w:tc>
          <w:tcPr>
            <w:tcW w:w="1278"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08D887DC" w14:textId="77777777" w:rsidR="00021C27" w:rsidRPr="004C324E" w:rsidRDefault="00021C27" w:rsidP="00021C27">
            <w:pPr>
              <w:spacing w:after="0" w:line="240" w:lineRule="auto"/>
              <w:jc w:val="center"/>
            </w:pPr>
            <w:r w:rsidRPr="004C324E">
              <w:t>102.7%</w:t>
            </w:r>
          </w:p>
        </w:tc>
      </w:tr>
      <w:tr w:rsidR="00021C27" w:rsidRPr="004C324E" w14:paraId="08D887E3" w14:textId="77777777" w:rsidTr="00021C27">
        <w:trPr>
          <w:trHeight w:val="300"/>
        </w:trPr>
        <w:tc>
          <w:tcPr>
            <w:tcW w:w="4460" w:type="dxa"/>
            <w:tcBorders>
              <w:top w:val="nil"/>
              <w:left w:val="single" w:sz="8" w:space="0" w:color="auto"/>
              <w:bottom w:val="nil"/>
              <w:right w:val="nil"/>
            </w:tcBorders>
            <w:noWrap/>
            <w:tcMar>
              <w:top w:w="0" w:type="dxa"/>
              <w:left w:w="108" w:type="dxa"/>
              <w:bottom w:w="0" w:type="dxa"/>
              <w:right w:w="108" w:type="dxa"/>
            </w:tcMar>
            <w:vAlign w:val="bottom"/>
            <w:hideMark/>
          </w:tcPr>
          <w:p w14:paraId="08D887DE" w14:textId="77777777" w:rsidR="00021C27" w:rsidRPr="000B0F4A" w:rsidRDefault="00021C27" w:rsidP="0037203E">
            <w:pPr>
              <w:keepNext/>
              <w:spacing w:after="0" w:line="240" w:lineRule="auto"/>
            </w:pPr>
            <w:r w:rsidRPr="000B0F4A">
              <w:t>Construction</w:t>
            </w:r>
          </w:p>
        </w:tc>
        <w:tc>
          <w:tcPr>
            <w:tcW w:w="1210" w:type="dxa"/>
            <w:tcBorders>
              <w:top w:val="nil"/>
              <w:left w:val="single" w:sz="8" w:space="0" w:color="auto"/>
              <w:bottom w:val="nil"/>
              <w:right w:val="single" w:sz="8" w:space="0" w:color="auto"/>
            </w:tcBorders>
            <w:noWrap/>
            <w:tcMar>
              <w:top w:w="0" w:type="dxa"/>
              <w:left w:w="108" w:type="dxa"/>
              <w:bottom w:w="0" w:type="dxa"/>
              <w:right w:w="108" w:type="dxa"/>
            </w:tcMar>
            <w:vAlign w:val="center"/>
          </w:tcPr>
          <w:p w14:paraId="08D887DF" w14:textId="77777777" w:rsidR="00021C27" w:rsidRPr="004C324E" w:rsidRDefault="00021C27" w:rsidP="00021C27">
            <w:pPr>
              <w:spacing w:after="0" w:line="240" w:lineRule="auto"/>
              <w:jc w:val="center"/>
            </w:pPr>
            <w:r w:rsidRPr="004C324E">
              <w:t>3</w:t>
            </w:r>
            <w:r w:rsidR="00A55A45">
              <w:t>,</w:t>
            </w:r>
            <w:r w:rsidRPr="004C324E">
              <w:t>907</w:t>
            </w:r>
          </w:p>
        </w:tc>
        <w:tc>
          <w:tcPr>
            <w:tcW w:w="1236" w:type="dxa"/>
            <w:noWrap/>
            <w:tcMar>
              <w:top w:w="0" w:type="dxa"/>
              <w:left w:w="108" w:type="dxa"/>
              <w:bottom w:w="0" w:type="dxa"/>
              <w:right w:w="108" w:type="dxa"/>
            </w:tcMar>
            <w:vAlign w:val="center"/>
          </w:tcPr>
          <w:p w14:paraId="08D887E0" w14:textId="77777777" w:rsidR="00021C27" w:rsidRPr="004C324E" w:rsidRDefault="00021C27" w:rsidP="00021C27">
            <w:pPr>
              <w:spacing w:after="0" w:line="240" w:lineRule="auto"/>
              <w:jc w:val="center"/>
            </w:pPr>
            <w:r w:rsidRPr="004C324E">
              <w:t>-47.9%</w:t>
            </w:r>
          </w:p>
        </w:tc>
        <w:tc>
          <w:tcPr>
            <w:tcW w:w="1192" w:type="dxa"/>
            <w:noWrap/>
            <w:tcMar>
              <w:top w:w="0" w:type="dxa"/>
              <w:left w:w="108" w:type="dxa"/>
              <w:bottom w:w="0" w:type="dxa"/>
              <w:right w:w="108" w:type="dxa"/>
            </w:tcMar>
            <w:vAlign w:val="center"/>
          </w:tcPr>
          <w:p w14:paraId="08D887E1" w14:textId="77777777" w:rsidR="00021C27" w:rsidRPr="004C324E" w:rsidRDefault="00021C27" w:rsidP="00021C27">
            <w:pPr>
              <w:spacing w:after="0" w:line="240" w:lineRule="auto"/>
              <w:jc w:val="center"/>
            </w:pPr>
            <w:r w:rsidRPr="004C324E">
              <w:t>-44.1%</w:t>
            </w:r>
          </w:p>
        </w:tc>
        <w:tc>
          <w:tcPr>
            <w:tcW w:w="1278" w:type="dxa"/>
            <w:tcBorders>
              <w:top w:val="nil"/>
              <w:left w:val="nil"/>
              <w:bottom w:val="nil"/>
              <w:right w:val="single" w:sz="8" w:space="0" w:color="auto"/>
            </w:tcBorders>
            <w:noWrap/>
            <w:tcMar>
              <w:top w:w="0" w:type="dxa"/>
              <w:left w:w="108" w:type="dxa"/>
              <w:bottom w:w="0" w:type="dxa"/>
              <w:right w:w="108" w:type="dxa"/>
            </w:tcMar>
            <w:vAlign w:val="center"/>
          </w:tcPr>
          <w:p w14:paraId="08D887E2" w14:textId="77777777" w:rsidR="00021C27" w:rsidRPr="004C324E" w:rsidRDefault="00021C27" w:rsidP="00021C27">
            <w:pPr>
              <w:spacing w:after="0" w:line="240" w:lineRule="auto"/>
              <w:jc w:val="center"/>
            </w:pPr>
            <w:r w:rsidRPr="004C324E">
              <w:t>-32.0%</w:t>
            </w:r>
          </w:p>
        </w:tc>
      </w:tr>
      <w:tr w:rsidR="00021C27" w:rsidRPr="004C324E" w14:paraId="08D887E9" w14:textId="77777777" w:rsidTr="00021C27">
        <w:trPr>
          <w:trHeight w:val="315"/>
        </w:trPr>
        <w:tc>
          <w:tcPr>
            <w:tcW w:w="4460" w:type="dxa"/>
            <w:tcBorders>
              <w:top w:val="nil"/>
              <w:left w:val="single" w:sz="8" w:space="0" w:color="auto"/>
              <w:bottom w:val="single" w:sz="8" w:space="0" w:color="auto"/>
              <w:right w:val="nil"/>
            </w:tcBorders>
            <w:noWrap/>
            <w:tcMar>
              <w:top w:w="0" w:type="dxa"/>
              <w:left w:w="108" w:type="dxa"/>
              <w:bottom w:w="0" w:type="dxa"/>
              <w:right w:w="108" w:type="dxa"/>
            </w:tcMar>
            <w:vAlign w:val="bottom"/>
            <w:hideMark/>
          </w:tcPr>
          <w:p w14:paraId="08D887E4" w14:textId="77777777" w:rsidR="00021C27" w:rsidRPr="000B0F4A" w:rsidRDefault="00021C27" w:rsidP="0037203E">
            <w:pPr>
              <w:keepNext/>
              <w:spacing w:after="0" w:line="240" w:lineRule="auto"/>
            </w:pPr>
            <w:r w:rsidRPr="000B0F4A">
              <w:t>Employees</w:t>
            </w:r>
          </w:p>
        </w:tc>
        <w:tc>
          <w:tcPr>
            <w:tcW w:w="121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14:paraId="08D887E5" w14:textId="77777777" w:rsidR="00021C27" w:rsidRPr="004C324E" w:rsidRDefault="00021C27" w:rsidP="00021C27">
            <w:pPr>
              <w:spacing w:after="0" w:line="240" w:lineRule="auto"/>
              <w:jc w:val="center"/>
            </w:pPr>
            <w:r w:rsidRPr="004C324E">
              <w:t>102</w:t>
            </w:r>
            <w:r w:rsidR="00A55A45">
              <w:t>,</w:t>
            </w:r>
            <w:r w:rsidRPr="004C324E">
              <w:t>411</w:t>
            </w:r>
          </w:p>
        </w:tc>
        <w:tc>
          <w:tcPr>
            <w:tcW w:w="1236" w:type="dxa"/>
            <w:tcBorders>
              <w:top w:val="nil"/>
              <w:left w:val="nil"/>
              <w:bottom w:val="single" w:sz="8" w:space="0" w:color="auto"/>
              <w:right w:val="nil"/>
            </w:tcBorders>
            <w:noWrap/>
            <w:tcMar>
              <w:top w:w="0" w:type="dxa"/>
              <w:left w:w="108" w:type="dxa"/>
              <w:bottom w:w="0" w:type="dxa"/>
              <w:right w:w="108" w:type="dxa"/>
            </w:tcMar>
            <w:vAlign w:val="center"/>
          </w:tcPr>
          <w:p w14:paraId="08D887E6" w14:textId="77777777" w:rsidR="00021C27" w:rsidRPr="004C324E" w:rsidRDefault="00021C27" w:rsidP="00021C27">
            <w:pPr>
              <w:spacing w:after="0" w:line="240" w:lineRule="auto"/>
              <w:jc w:val="center"/>
            </w:pPr>
            <w:r w:rsidRPr="004C324E">
              <w:t>-24.3%</w:t>
            </w:r>
          </w:p>
        </w:tc>
        <w:tc>
          <w:tcPr>
            <w:tcW w:w="1192" w:type="dxa"/>
            <w:tcBorders>
              <w:top w:val="nil"/>
              <w:left w:val="nil"/>
              <w:bottom w:val="single" w:sz="8" w:space="0" w:color="auto"/>
              <w:right w:val="nil"/>
            </w:tcBorders>
            <w:noWrap/>
            <w:tcMar>
              <w:top w:w="0" w:type="dxa"/>
              <w:left w:w="108" w:type="dxa"/>
              <w:bottom w:w="0" w:type="dxa"/>
              <w:right w:w="108" w:type="dxa"/>
            </w:tcMar>
            <w:vAlign w:val="center"/>
          </w:tcPr>
          <w:p w14:paraId="08D887E7" w14:textId="77777777" w:rsidR="00021C27" w:rsidRPr="004C324E" w:rsidRDefault="00021C27" w:rsidP="00021C27">
            <w:pPr>
              <w:spacing w:after="0" w:line="240" w:lineRule="auto"/>
              <w:jc w:val="center"/>
            </w:pPr>
            <w:r w:rsidRPr="004C324E">
              <w:t>-30.5%</w:t>
            </w:r>
          </w:p>
        </w:tc>
        <w:tc>
          <w:tcPr>
            <w:tcW w:w="1278"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08D887E8" w14:textId="77777777" w:rsidR="00021C27" w:rsidRPr="004C324E" w:rsidRDefault="00021C27" w:rsidP="00021C27">
            <w:pPr>
              <w:spacing w:after="0" w:line="240" w:lineRule="auto"/>
              <w:jc w:val="center"/>
            </w:pPr>
            <w:r w:rsidRPr="004C324E">
              <w:t>5.1%</w:t>
            </w:r>
          </w:p>
        </w:tc>
      </w:tr>
      <w:tr w:rsidR="00021C27" w:rsidRPr="004C324E" w14:paraId="08D887EF" w14:textId="77777777" w:rsidTr="00021C27">
        <w:trPr>
          <w:trHeight w:val="300"/>
        </w:trPr>
        <w:tc>
          <w:tcPr>
            <w:tcW w:w="4460" w:type="dxa"/>
            <w:tcBorders>
              <w:top w:val="nil"/>
              <w:left w:val="single" w:sz="8" w:space="0" w:color="auto"/>
              <w:bottom w:val="nil"/>
              <w:right w:val="nil"/>
            </w:tcBorders>
            <w:noWrap/>
            <w:tcMar>
              <w:top w:w="0" w:type="dxa"/>
              <w:left w:w="108" w:type="dxa"/>
              <w:bottom w:w="0" w:type="dxa"/>
              <w:right w:w="108" w:type="dxa"/>
            </w:tcMar>
            <w:vAlign w:val="bottom"/>
            <w:hideMark/>
          </w:tcPr>
          <w:p w14:paraId="08D887EA" w14:textId="77777777" w:rsidR="00021C27" w:rsidRPr="000B0F4A" w:rsidRDefault="00021C27" w:rsidP="0037203E">
            <w:pPr>
              <w:keepNext/>
              <w:spacing w:after="0" w:line="240" w:lineRule="auto"/>
            </w:pPr>
            <w:r w:rsidRPr="000B0F4A">
              <w:t>Education and Training</w:t>
            </w:r>
          </w:p>
        </w:tc>
        <w:tc>
          <w:tcPr>
            <w:tcW w:w="1210" w:type="dxa"/>
            <w:tcBorders>
              <w:top w:val="nil"/>
              <w:left w:val="single" w:sz="8" w:space="0" w:color="auto"/>
              <w:bottom w:val="nil"/>
              <w:right w:val="single" w:sz="8" w:space="0" w:color="auto"/>
            </w:tcBorders>
            <w:noWrap/>
            <w:tcMar>
              <w:top w:w="0" w:type="dxa"/>
              <w:left w:w="108" w:type="dxa"/>
              <w:bottom w:w="0" w:type="dxa"/>
              <w:right w:w="108" w:type="dxa"/>
            </w:tcMar>
            <w:vAlign w:val="center"/>
          </w:tcPr>
          <w:p w14:paraId="08D887EB" w14:textId="77777777" w:rsidR="00021C27" w:rsidRPr="004C324E" w:rsidRDefault="00021C27" w:rsidP="00021C27">
            <w:pPr>
              <w:spacing w:after="0" w:line="240" w:lineRule="auto"/>
              <w:jc w:val="center"/>
            </w:pPr>
            <w:r w:rsidRPr="004C324E">
              <w:t>570</w:t>
            </w:r>
          </w:p>
        </w:tc>
        <w:tc>
          <w:tcPr>
            <w:tcW w:w="1236" w:type="dxa"/>
            <w:noWrap/>
            <w:tcMar>
              <w:top w:w="0" w:type="dxa"/>
              <w:left w:w="108" w:type="dxa"/>
              <w:bottom w:w="0" w:type="dxa"/>
              <w:right w:w="108" w:type="dxa"/>
            </w:tcMar>
            <w:vAlign w:val="center"/>
          </w:tcPr>
          <w:p w14:paraId="08D887EC" w14:textId="77777777" w:rsidR="00021C27" w:rsidRPr="004C324E" w:rsidRDefault="00021C27" w:rsidP="00021C27">
            <w:pPr>
              <w:spacing w:after="0" w:line="240" w:lineRule="auto"/>
              <w:jc w:val="center"/>
            </w:pPr>
            <w:r w:rsidRPr="004C324E">
              <w:t>-10.1%</w:t>
            </w:r>
          </w:p>
        </w:tc>
        <w:tc>
          <w:tcPr>
            <w:tcW w:w="1192" w:type="dxa"/>
            <w:noWrap/>
            <w:tcMar>
              <w:top w:w="0" w:type="dxa"/>
              <w:left w:w="108" w:type="dxa"/>
              <w:bottom w:w="0" w:type="dxa"/>
              <w:right w:w="108" w:type="dxa"/>
            </w:tcMar>
            <w:vAlign w:val="center"/>
          </w:tcPr>
          <w:p w14:paraId="08D887ED" w14:textId="77777777" w:rsidR="00021C27" w:rsidRPr="004C324E" w:rsidRDefault="00021C27" w:rsidP="00021C27">
            <w:pPr>
              <w:spacing w:after="0" w:line="240" w:lineRule="auto"/>
              <w:jc w:val="center"/>
            </w:pPr>
            <w:r w:rsidRPr="004C324E">
              <w:t>-18.0%</w:t>
            </w:r>
          </w:p>
        </w:tc>
        <w:tc>
          <w:tcPr>
            <w:tcW w:w="1278" w:type="dxa"/>
            <w:tcBorders>
              <w:top w:val="nil"/>
              <w:left w:val="nil"/>
              <w:bottom w:val="nil"/>
              <w:right w:val="single" w:sz="8" w:space="0" w:color="auto"/>
            </w:tcBorders>
            <w:noWrap/>
            <w:tcMar>
              <w:top w:w="0" w:type="dxa"/>
              <w:left w:w="108" w:type="dxa"/>
              <w:bottom w:w="0" w:type="dxa"/>
              <w:right w:w="108" w:type="dxa"/>
            </w:tcMar>
            <w:vAlign w:val="center"/>
          </w:tcPr>
          <w:p w14:paraId="08D887EE" w14:textId="77777777" w:rsidR="00021C27" w:rsidRPr="004C324E" w:rsidRDefault="00021C27" w:rsidP="00021C27">
            <w:pPr>
              <w:spacing w:after="0" w:line="240" w:lineRule="auto"/>
              <w:jc w:val="center"/>
            </w:pPr>
            <w:r w:rsidRPr="004C324E">
              <w:t>214.9%</w:t>
            </w:r>
          </w:p>
        </w:tc>
      </w:tr>
      <w:tr w:rsidR="00021C27" w:rsidRPr="004C324E" w14:paraId="08D887F5" w14:textId="77777777" w:rsidTr="00021C27">
        <w:trPr>
          <w:trHeight w:val="315"/>
        </w:trPr>
        <w:tc>
          <w:tcPr>
            <w:tcW w:w="4460" w:type="dxa"/>
            <w:tcBorders>
              <w:top w:val="nil"/>
              <w:left w:val="single" w:sz="8" w:space="0" w:color="auto"/>
              <w:bottom w:val="single" w:sz="8" w:space="0" w:color="auto"/>
              <w:right w:val="nil"/>
            </w:tcBorders>
            <w:noWrap/>
            <w:tcMar>
              <w:top w:w="0" w:type="dxa"/>
              <w:left w:w="108" w:type="dxa"/>
              <w:bottom w:w="0" w:type="dxa"/>
              <w:right w:w="108" w:type="dxa"/>
            </w:tcMar>
            <w:vAlign w:val="bottom"/>
            <w:hideMark/>
          </w:tcPr>
          <w:p w14:paraId="08D887F0" w14:textId="77777777" w:rsidR="00021C27" w:rsidRPr="000B0F4A" w:rsidRDefault="00021C27" w:rsidP="0037203E">
            <w:pPr>
              <w:keepNext/>
              <w:spacing w:after="0" w:line="240" w:lineRule="auto"/>
            </w:pPr>
            <w:r w:rsidRPr="000B0F4A">
              <w:t>Employees</w:t>
            </w:r>
          </w:p>
        </w:tc>
        <w:tc>
          <w:tcPr>
            <w:tcW w:w="121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14:paraId="08D887F1" w14:textId="77777777" w:rsidR="00021C27" w:rsidRPr="004C324E" w:rsidRDefault="00021C27" w:rsidP="00021C27">
            <w:pPr>
              <w:spacing w:after="0" w:line="240" w:lineRule="auto"/>
              <w:jc w:val="center"/>
            </w:pPr>
            <w:r w:rsidRPr="004C324E">
              <w:t>137</w:t>
            </w:r>
            <w:r w:rsidR="00A55A45">
              <w:t>,</w:t>
            </w:r>
            <w:r w:rsidRPr="004C324E">
              <w:t>711</w:t>
            </w:r>
          </w:p>
        </w:tc>
        <w:tc>
          <w:tcPr>
            <w:tcW w:w="1236" w:type="dxa"/>
            <w:tcBorders>
              <w:top w:val="nil"/>
              <w:left w:val="nil"/>
              <w:bottom w:val="single" w:sz="8" w:space="0" w:color="auto"/>
              <w:right w:val="nil"/>
            </w:tcBorders>
            <w:noWrap/>
            <w:tcMar>
              <w:top w:w="0" w:type="dxa"/>
              <w:left w:w="108" w:type="dxa"/>
              <w:bottom w:w="0" w:type="dxa"/>
              <w:right w:w="108" w:type="dxa"/>
            </w:tcMar>
            <w:vAlign w:val="center"/>
          </w:tcPr>
          <w:p w14:paraId="08D887F2" w14:textId="77777777" w:rsidR="00021C27" w:rsidRPr="004C324E" w:rsidRDefault="00021C27" w:rsidP="00021C27">
            <w:pPr>
              <w:spacing w:after="0" w:line="240" w:lineRule="auto"/>
              <w:jc w:val="center"/>
            </w:pPr>
            <w:r w:rsidRPr="004C324E">
              <w:t>11.5%</w:t>
            </w:r>
          </w:p>
        </w:tc>
        <w:tc>
          <w:tcPr>
            <w:tcW w:w="1192" w:type="dxa"/>
            <w:tcBorders>
              <w:top w:val="nil"/>
              <w:left w:val="nil"/>
              <w:bottom w:val="single" w:sz="8" w:space="0" w:color="auto"/>
              <w:right w:val="nil"/>
            </w:tcBorders>
            <w:noWrap/>
            <w:tcMar>
              <w:top w:w="0" w:type="dxa"/>
              <w:left w:w="108" w:type="dxa"/>
              <w:bottom w:w="0" w:type="dxa"/>
              <w:right w:w="108" w:type="dxa"/>
            </w:tcMar>
            <w:vAlign w:val="center"/>
          </w:tcPr>
          <w:p w14:paraId="08D887F3" w14:textId="77777777" w:rsidR="00021C27" w:rsidRPr="004C324E" w:rsidRDefault="00021C27" w:rsidP="00021C27">
            <w:pPr>
              <w:spacing w:after="0" w:line="240" w:lineRule="auto"/>
              <w:jc w:val="center"/>
            </w:pPr>
            <w:r w:rsidRPr="004C324E">
              <w:t>124.9%</w:t>
            </w:r>
          </w:p>
        </w:tc>
        <w:tc>
          <w:tcPr>
            <w:tcW w:w="1278"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08D887F4" w14:textId="77777777" w:rsidR="00021C27" w:rsidRPr="004C324E" w:rsidRDefault="00021C27" w:rsidP="00021C27">
            <w:pPr>
              <w:spacing w:after="0" w:line="240" w:lineRule="auto"/>
              <w:jc w:val="center"/>
            </w:pPr>
            <w:r w:rsidRPr="004C324E">
              <w:t>246.8%</w:t>
            </w:r>
          </w:p>
        </w:tc>
      </w:tr>
      <w:tr w:rsidR="00021C27" w:rsidRPr="004C324E" w14:paraId="08D887FB" w14:textId="77777777" w:rsidTr="00021C27">
        <w:trPr>
          <w:trHeight w:val="300"/>
        </w:trPr>
        <w:tc>
          <w:tcPr>
            <w:tcW w:w="4460" w:type="dxa"/>
            <w:tcBorders>
              <w:top w:val="nil"/>
              <w:left w:val="single" w:sz="8" w:space="0" w:color="auto"/>
              <w:bottom w:val="nil"/>
              <w:right w:val="nil"/>
            </w:tcBorders>
            <w:noWrap/>
            <w:tcMar>
              <w:top w:w="0" w:type="dxa"/>
              <w:left w:w="108" w:type="dxa"/>
              <w:bottom w:w="0" w:type="dxa"/>
              <w:right w:w="108" w:type="dxa"/>
            </w:tcMar>
            <w:vAlign w:val="bottom"/>
            <w:hideMark/>
          </w:tcPr>
          <w:p w14:paraId="08D887F6" w14:textId="77777777" w:rsidR="00021C27" w:rsidRPr="000B0F4A" w:rsidRDefault="00021C27" w:rsidP="0037203E">
            <w:pPr>
              <w:keepNext/>
              <w:spacing w:after="0" w:line="240" w:lineRule="auto"/>
            </w:pPr>
            <w:r w:rsidRPr="000B0F4A">
              <w:t>Electricity, Gas, Water and Waste Services</w:t>
            </w:r>
          </w:p>
        </w:tc>
        <w:tc>
          <w:tcPr>
            <w:tcW w:w="1210" w:type="dxa"/>
            <w:tcBorders>
              <w:top w:val="nil"/>
              <w:left w:val="single" w:sz="8" w:space="0" w:color="auto"/>
              <w:bottom w:val="nil"/>
              <w:right w:val="single" w:sz="8" w:space="0" w:color="auto"/>
            </w:tcBorders>
            <w:noWrap/>
            <w:tcMar>
              <w:top w:w="0" w:type="dxa"/>
              <w:left w:w="108" w:type="dxa"/>
              <w:bottom w:w="0" w:type="dxa"/>
              <w:right w:w="108" w:type="dxa"/>
            </w:tcMar>
            <w:vAlign w:val="center"/>
          </w:tcPr>
          <w:p w14:paraId="08D887F7" w14:textId="77777777" w:rsidR="00021C27" w:rsidRPr="004C324E" w:rsidRDefault="00021C27" w:rsidP="00021C27">
            <w:pPr>
              <w:spacing w:after="0" w:line="240" w:lineRule="auto"/>
              <w:jc w:val="center"/>
            </w:pPr>
            <w:r w:rsidRPr="004C324E">
              <w:t>396</w:t>
            </w:r>
          </w:p>
        </w:tc>
        <w:tc>
          <w:tcPr>
            <w:tcW w:w="1236" w:type="dxa"/>
            <w:noWrap/>
            <w:tcMar>
              <w:top w:w="0" w:type="dxa"/>
              <w:left w:w="108" w:type="dxa"/>
              <w:bottom w:w="0" w:type="dxa"/>
              <w:right w:w="108" w:type="dxa"/>
            </w:tcMar>
            <w:vAlign w:val="center"/>
          </w:tcPr>
          <w:p w14:paraId="08D887F8" w14:textId="77777777" w:rsidR="00021C27" w:rsidRPr="004C324E" w:rsidRDefault="00021C27" w:rsidP="00021C27">
            <w:pPr>
              <w:spacing w:after="0" w:line="240" w:lineRule="auto"/>
              <w:jc w:val="center"/>
            </w:pPr>
            <w:r w:rsidRPr="004C324E">
              <w:t>2.1%</w:t>
            </w:r>
          </w:p>
        </w:tc>
        <w:tc>
          <w:tcPr>
            <w:tcW w:w="1192" w:type="dxa"/>
            <w:noWrap/>
            <w:tcMar>
              <w:top w:w="0" w:type="dxa"/>
              <w:left w:w="108" w:type="dxa"/>
              <w:bottom w:w="0" w:type="dxa"/>
              <w:right w:w="108" w:type="dxa"/>
            </w:tcMar>
            <w:vAlign w:val="center"/>
          </w:tcPr>
          <w:p w14:paraId="08D887F9" w14:textId="77777777" w:rsidR="00021C27" w:rsidRPr="004C324E" w:rsidRDefault="00021C27" w:rsidP="00021C27">
            <w:pPr>
              <w:spacing w:after="0" w:line="240" w:lineRule="auto"/>
              <w:jc w:val="center"/>
            </w:pPr>
            <w:r w:rsidRPr="004C324E">
              <w:t>19.3%</w:t>
            </w:r>
          </w:p>
        </w:tc>
        <w:tc>
          <w:tcPr>
            <w:tcW w:w="1278" w:type="dxa"/>
            <w:tcBorders>
              <w:top w:val="nil"/>
              <w:left w:val="nil"/>
              <w:bottom w:val="nil"/>
              <w:right w:val="single" w:sz="8" w:space="0" w:color="auto"/>
            </w:tcBorders>
            <w:noWrap/>
            <w:tcMar>
              <w:top w:w="0" w:type="dxa"/>
              <w:left w:w="108" w:type="dxa"/>
              <w:bottom w:w="0" w:type="dxa"/>
              <w:right w:w="108" w:type="dxa"/>
            </w:tcMar>
            <w:vAlign w:val="center"/>
          </w:tcPr>
          <w:p w14:paraId="08D887FA" w14:textId="77777777" w:rsidR="00021C27" w:rsidRPr="004C324E" w:rsidRDefault="00021C27" w:rsidP="00021C27">
            <w:pPr>
              <w:spacing w:after="0" w:line="240" w:lineRule="auto"/>
              <w:jc w:val="center"/>
            </w:pPr>
            <w:r w:rsidRPr="004C324E">
              <w:t>97.0%</w:t>
            </w:r>
          </w:p>
        </w:tc>
      </w:tr>
      <w:tr w:rsidR="00021C27" w:rsidRPr="004C324E" w14:paraId="08D88801" w14:textId="77777777" w:rsidTr="00021C27">
        <w:trPr>
          <w:trHeight w:val="315"/>
        </w:trPr>
        <w:tc>
          <w:tcPr>
            <w:tcW w:w="4460" w:type="dxa"/>
            <w:tcBorders>
              <w:top w:val="nil"/>
              <w:left w:val="single" w:sz="8" w:space="0" w:color="auto"/>
              <w:bottom w:val="single" w:sz="8" w:space="0" w:color="auto"/>
              <w:right w:val="nil"/>
            </w:tcBorders>
            <w:noWrap/>
            <w:tcMar>
              <w:top w:w="0" w:type="dxa"/>
              <w:left w:w="108" w:type="dxa"/>
              <w:bottom w:w="0" w:type="dxa"/>
              <w:right w:w="108" w:type="dxa"/>
            </w:tcMar>
            <w:vAlign w:val="bottom"/>
            <w:hideMark/>
          </w:tcPr>
          <w:p w14:paraId="08D887FC" w14:textId="77777777" w:rsidR="00021C27" w:rsidRPr="000B0F4A" w:rsidRDefault="00021C27" w:rsidP="0037203E">
            <w:pPr>
              <w:keepNext/>
              <w:spacing w:after="0" w:line="240" w:lineRule="auto"/>
            </w:pPr>
            <w:r w:rsidRPr="000B0F4A">
              <w:t>Employees</w:t>
            </w:r>
          </w:p>
        </w:tc>
        <w:tc>
          <w:tcPr>
            <w:tcW w:w="121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14:paraId="08D887FD" w14:textId="77777777" w:rsidR="00021C27" w:rsidRPr="004C324E" w:rsidRDefault="00021C27" w:rsidP="00021C27">
            <w:pPr>
              <w:spacing w:after="0" w:line="240" w:lineRule="auto"/>
              <w:jc w:val="center"/>
            </w:pPr>
            <w:r w:rsidRPr="004C324E">
              <w:t>25</w:t>
            </w:r>
            <w:r w:rsidR="00A55A45">
              <w:t>,</w:t>
            </w:r>
            <w:r w:rsidRPr="004C324E">
              <w:t>934</w:t>
            </w:r>
          </w:p>
        </w:tc>
        <w:tc>
          <w:tcPr>
            <w:tcW w:w="1236" w:type="dxa"/>
            <w:tcBorders>
              <w:top w:val="nil"/>
              <w:left w:val="nil"/>
              <w:bottom w:val="single" w:sz="8" w:space="0" w:color="auto"/>
              <w:right w:val="nil"/>
            </w:tcBorders>
            <w:noWrap/>
            <w:tcMar>
              <w:top w:w="0" w:type="dxa"/>
              <w:left w:w="108" w:type="dxa"/>
              <w:bottom w:w="0" w:type="dxa"/>
              <w:right w:w="108" w:type="dxa"/>
            </w:tcMar>
            <w:vAlign w:val="center"/>
          </w:tcPr>
          <w:p w14:paraId="08D887FE" w14:textId="77777777" w:rsidR="00021C27" w:rsidRPr="004C324E" w:rsidRDefault="00021C27" w:rsidP="00021C27">
            <w:pPr>
              <w:spacing w:after="0" w:line="240" w:lineRule="auto"/>
              <w:jc w:val="center"/>
            </w:pPr>
            <w:r w:rsidRPr="004C324E">
              <w:t>-14.1%</w:t>
            </w:r>
          </w:p>
        </w:tc>
        <w:tc>
          <w:tcPr>
            <w:tcW w:w="1192" w:type="dxa"/>
            <w:tcBorders>
              <w:top w:val="nil"/>
              <w:left w:val="nil"/>
              <w:bottom w:val="single" w:sz="8" w:space="0" w:color="auto"/>
              <w:right w:val="nil"/>
            </w:tcBorders>
            <w:noWrap/>
            <w:tcMar>
              <w:top w:w="0" w:type="dxa"/>
              <w:left w:w="108" w:type="dxa"/>
              <w:bottom w:w="0" w:type="dxa"/>
              <w:right w:w="108" w:type="dxa"/>
            </w:tcMar>
            <w:vAlign w:val="center"/>
          </w:tcPr>
          <w:p w14:paraId="08D887FF" w14:textId="77777777" w:rsidR="00021C27" w:rsidRPr="004C324E" w:rsidRDefault="00021C27" w:rsidP="00021C27">
            <w:pPr>
              <w:spacing w:after="0" w:line="240" w:lineRule="auto"/>
              <w:jc w:val="center"/>
            </w:pPr>
            <w:r w:rsidRPr="004C324E">
              <w:t>11.8%</w:t>
            </w:r>
          </w:p>
        </w:tc>
        <w:tc>
          <w:tcPr>
            <w:tcW w:w="1278"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08D88800" w14:textId="77777777" w:rsidR="00021C27" w:rsidRPr="004C324E" w:rsidRDefault="00021C27" w:rsidP="00021C27">
            <w:pPr>
              <w:spacing w:after="0" w:line="240" w:lineRule="auto"/>
              <w:jc w:val="center"/>
            </w:pPr>
            <w:r w:rsidRPr="004C324E">
              <w:t>62.5%</w:t>
            </w:r>
          </w:p>
        </w:tc>
      </w:tr>
      <w:tr w:rsidR="00021C27" w:rsidRPr="004C324E" w14:paraId="08D88807" w14:textId="77777777" w:rsidTr="00021C27">
        <w:trPr>
          <w:trHeight w:val="300"/>
        </w:trPr>
        <w:tc>
          <w:tcPr>
            <w:tcW w:w="4460" w:type="dxa"/>
            <w:tcBorders>
              <w:top w:val="nil"/>
              <w:left w:val="single" w:sz="8" w:space="0" w:color="auto"/>
              <w:bottom w:val="nil"/>
              <w:right w:val="nil"/>
            </w:tcBorders>
            <w:noWrap/>
            <w:tcMar>
              <w:top w:w="0" w:type="dxa"/>
              <w:left w:w="108" w:type="dxa"/>
              <w:bottom w:w="0" w:type="dxa"/>
              <w:right w:w="108" w:type="dxa"/>
            </w:tcMar>
            <w:vAlign w:val="bottom"/>
            <w:hideMark/>
          </w:tcPr>
          <w:p w14:paraId="08D88802" w14:textId="77777777" w:rsidR="00021C27" w:rsidRPr="000B0F4A" w:rsidRDefault="00021C27" w:rsidP="0037203E">
            <w:pPr>
              <w:keepNext/>
              <w:spacing w:after="0" w:line="240" w:lineRule="auto"/>
            </w:pPr>
            <w:r w:rsidRPr="000B0F4A">
              <w:t>Financial and Insurance Services</w:t>
            </w:r>
          </w:p>
        </w:tc>
        <w:tc>
          <w:tcPr>
            <w:tcW w:w="1210" w:type="dxa"/>
            <w:tcBorders>
              <w:top w:val="nil"/>
              <w:left w:val="single" w:sz="8" w:space="0" w:color="auto"/>
              <w:bottom w:val="nil"/>
              <w:right w:val="single" w:sz="8" w:space="0" w:color="auto"/>
            </w:tcBorders>
            <w:noWrap/>
            <w:tcMar>
              <w:top w:w="0" w:type="dxa"/>
              <w:left w:w="108" w:type="dxa"/>
              <w:bottom w:w="0" w:type="dxa"/>
              <w:right w:w="108" w:type="dxa"/>
            </w:tcMar>
            <w:vAlign w:val="center"/>
          </w:tcPr>
          <w:p w14:paraId="08D88803" w14:textId="77777777" w:rsidR="00021C27" w:rsidRPr="004C324E" w:rsidRDefault="00021C27" w:rsidP="00021C27">
            <w:pPr>
              <w:spacing w:after="0" w:line="240" w:lineRule="auto"/>
              <w:jc w:val="center"/>
            </w:pPr>
            <w:r w:rsidRPr="004C324E">
              <w:t>129</w:t>
            </w:r>
          </w:p>
        </w:tc>
        <w:tc>
          <w:tcPr>
            <w:tcW w:w="1236" w:type="dxa"/>
            <w:noWrap/>
            <w:tcMar>
              <w:top w:w="0" w:type="dxa"/>
              <w:left w:w="108" w:type="dxa"/>
              <w:bottom w:w="0" w:type="dxa"/>
              <w:right w:w="108" w:type="dxa"/>
            </w:tcMar>
            <w:vAlign w:val="center"/>
          </w:tcPr>
          <w:p w14:paraId="08D88804" w14:textId="77777777" w:rsidR="00021C27" w:rsidRPr="004C324E" w:rsidRDefault="00021C27" w:rsidP="00021C27">
            <w:pPr>
              <w:spacing w:after="0" w:line="240" w:lineRule="auto"/>
              <w:jc w:val="center"/>
            </w:pPr>
            <w:r w:rsidRPr="004C324E">
              <w:t>-23.2%</w:t>
            </w:r>
          </w:p>
        </w:tc>
        <w:tc>
          <w:tcPr>
            <w:tcW w:w="1192" w:type="dxa"/>
            <w:noWrap/>
            <w:tcMar>
              <w:top w:w="0" w:type="dxa"/>
              <w:left w:w="108" w:type="dxa"/>
              <w:bottom w:w="0" w:type="dxa"/>
              <w:right w:w="108" w:type="dxa"/>
            </w:tcMar>
            <w:vAlign w:val="center"/>
          </w:tcPr>
          <w:p w14:paraId="08D88805" w14:textId="77777777" w:rsidR="00021C27" w:rsidRPr="004C324E" w:rsidRDefault="00021C27" w:rsidP="00021C27">
            <w:pPr>
              <w:spacing w:after="0" w:line="240" w:lineRule="auto"/>
              <w:jc w:val="center"/>
            </w:pPr>
            <w:r w:rsidRPr="004C324E">
              <w:t>-48.8%</w:t>
            </w:r>
          </w:p>
        </w:tc>
        <w:tc>
          <w:tcPr>
            <w:tcW w:w="1278" w:type="dxa"/>
            <w:tcBorders>
              <w:top w:val="nil"/>
              <w:left w:val="nil"/>
              <w:bottom w:val="nil"/>
              <w:right w:val="single" w:sz="8" w:space="0" w:color="auto"/>
            </w:tcBorders>
            <w:noWrap/>
            <w:tcMar>
              <w:top w:w="0" w:type="dxa"/>
              <w:left w:w="108" w:type="dxa"/>
              <w:bottom w:w="0" w:type="dxa"/>
              <w:right w:w="108" w:type="dxa"/>
            </w:tcMar>
            <w:vAlign w:val="center"/>
          </w:tcPr>
          <w:p w14:paraId="08D88806" w14:textId="77777777" w:rsidR="00021C27" w:rsidRPr="004C324E" w:rsidRDefault="00021C27" w:rsidP="00021C27">
            <w:pPr>
              <w:spacing w:after="0" w:line="240" w:lineRule="auto"/>
              <w:jc w:val="center"/>
            </w:pPr>
            <w:r w:rsidRPr="004C324E">
              <w:t>17.3%</w:t>
            </w:r>
          </w:p>
        </w:tc>
      </w:tr>
      <w:tr w:rsidR="00021C27" w:rsidRPr="004C324E" w14:paraId="08D8880D" w14:textId="77777777" w:rsidTr="00021C27">
        <w:trPr>
          <w:trHeight w:val="315"/>
        </w:trPr>
        <w:tc>
          <w:tcPr>
            <w:tcW w:w="4460" w:type="dxa"/>
            <w:tcBorders>
              <w:top w:val="nil"/>
              <w:left w:val="single" w:sz="8" w:space="0" w:color="auto"/>
              <w:bottom w:val="single" w:sz="8" w:space="0" w:color="auto"/>
              <w:right w:val="nil"/>
            </w:tcBorders>
            <w:noWrap/>
            <w:tcMar>
              <w:top w:w="0" w:type="dxa"/>
              <w:left w:w="108" w:type="dxa"/>
              <w:bottom w:w="0" w:type="dxa"/>
              <w:right w:w="108" w:type="dxa"/>
            </w:tcMar>
            <w:vAlign w:val="bottom"/>
            <w:hideMark/>
          </w:tcPr>
          <w:p w14:paraId="08D88808" w14:textId="77777777" w:rsidR="00021C27" w:rsidRPr="000B0F4A" w:rsidRDefault="00021C27" w:rsidP="0037203E">
            <w:pPr>
              <w:keepNext/>
              <w:spacing w:after="0" w:line="240" w:lineRule="auto"/>
            </w:pPr>
            <w:r w:rsidRPr="000B0F4A">
              <w:t>Employees</w:t>
            </w:r>
          </w:p>
        </w:tc>
        <w:tc>
          <w:tcPr>
            <w:tcW w:w="121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14:paraId="08D88809" w14:textId="77777777" w:rsidR="00021C27" w:rsidRPr="004C324E" w:rsidRDefault="00021C27" w:rsidP="00021C27">
            <w:pPr>
              <w:spacing w:after="0" w:line="240" w:lineRule="auto"/>
              <w:jc w:val="center"/>
            </w:pPr>
            <w:r w:rsidRPr="004C324E">
              <w:t>99</w:t>
            </w:r>
            <w:r w:rsidR="00A55A45">
              <w:t>,</w:t>
            </w:r>
            <w:r w:rsidRPr="004C324E">
              <w:t>001</w:t>
            </w:r>
          </w:p>
        </w:tc>
        <w:tc>
          <w:tcPr>
            <w:tcW w:w="1236" w:type="dxa"/>
            <w:tcBorders>
              <w:top w:val="nil"/>
              <w:left w:val="nil"/>
              <w:bottom w:val="single" w:sz="8" w:space="0" w:color="auto"/>
              <w:right w:val="nil"/>
            </w:tcBorders>
            <w:noWrap/>
            <w:tcMar>
              <w:top w:w="0" w:type="dxa"/>
              <w:left w:w="108" w:type="dxa"/>
              <w:bottom w:w="0" w:type="dxa"/>
              <w:right w:w="108" w:type="dxa"/>
            </w:tcMar>
            <w:vAlign w:val="center"/>
          </w:tcPr>
          <w:p w14:paraId="08D8880A" w14:textId="77777777" w:rsidR="00021C27" w:rsidRPr="004C324E" w:rsidRDefault="00021C27" w:rsidP="00021C27">
            <w:pPr>
              <w:spacing w:after="0" w:line="240" w:lineRule="auto"/>
              <w:jc w:val="center"/>
            </w:pPr>
            <w:r w:rsidRPr="004C324E">
              <w:t>-26.4%</w:t>
            </w:r>
          </w:p>
        </w:tc>
        <w:tc>
          <w:tcPr>
            <w:tcW w:w="1192" w:type="dxa"/>
            <w:tcBorders>
              <w:top w:val="nil"/>
              <w:left w:val="nil"/>
              <w:bottom w:val="single" w:sz="8" w:space="0" w:color="auto"/>
              <w:right w:val="nil"/>
            </w:tcBorders>
            <w:noWrap/>
            <w:tcMar>
              <w:top w:w="0" w:type="dxa"/>
              <w:left w:w="108" w:type="dxa"/>
              <w:bottom w:w="0" w:type="dxa"/>
              <w:right w:w="108" w:type="dxa"/>
            </w:tcMar>
            <w:vAlign w:val="center"/>
          </w:tcPr>
          <w:p w14:paraId="08D8880B" w14:textId="77777777" w:rsidR="00021C27" w:rsidRPr="004C324E" w:rsidRDefault="00021C27" w:rsidP="00021C27">
            <w:pPr>
              <w:spacing w:after="0" w:line="240" w:lineRule="auto"/>
              <w:jc w:val="center"/>
            </w:pPr>
            <w:r w:rsidRPr="004C324E">
              <w:t>61.7%</w:t>
            </w:r>
          </w:p>
        </w:tc>
        <w:tc>
          <w:tcPr>
            <w:tcW w:w="1278"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08D8880C" w14:textId="77777777" w:rsidR="00021C27" w:rsidRPr="004C324E" w:rsidRDefault="00021C27" w:rsidP="00021C27">
            <w:pPr>
              <w:spacing w:after="0" w:line="240" w:lineRule="auto"/>
              <w:jc w:val="center"/>
            </w:pPr>
            <w:r w:rsidRPr="004C324E">
              <w:t>24.7%</w:t>
            </w:r>
          </w:p>
        </w:tc>
      </w:tr>
      <w:tr w:rsidR="00021C27" w:rsidRPr="004C324E" w14:paraId="08D88813" w14:textId="77777777" w:rsidTr="00021C27">
        <w:trPr>
          <w:trHeight w:val="300"/>
        </w:trPr>
        <w:tc>
          <w:tcPr>
            <w:tcW w:w="4460" w:type="dxa"/>
            <w:tcBorders>
              <w:top w:val="nil"/>
              <w:left w:val="single" w:sz="8" w:space="0" w:color="auto"/>
              <w:bottom w:val="nil"/>
              <w:right w:val="nil"/>
            </w:tcBorders>
            <w:noWrap/>
            <w:tcMar>
              <w:top w:w="0" w:type="dxa"/>
              <w:left w:w="108" w:type="dxa"/>
              <w:bottom w:w="0" w:type="dxa"/>
              <w:right w:w="108" w:type="dxa"/>
            </w:tcMar>
            <w:vAlign w:val="bottom"/>
            <w:hideMark/>
          </w:tcPr>
          <w:p w14:paraId="08D8880E" w14:textId="77777777" w:rsidR="00021C27" w:rsidRPr="000B0F4A" w:rsidRDefault="00021C27" w:rsidP="0037203E">
            <w:pPr>
              <w:keepNext/>
              <w:spacing w:after="0" w:line="240" w:lineRule="auto"/>
            </w:pPr>
            <w:r w:rsidRPr="000B0F4A">
              <w:t>Health Care and Social Assistance</w:t>
            </w:r>
          </w:p>
        </w:tc>
        <w:tc>
          <w:tcPr>
            <w:tcW w:w="1210" w:type="dxa"/>
            <w:tcBorders>
              <w:top w:val="nil"/>
              <w:left w:val="single" w:sz="8" w:space="0" w:color="auto"/>
              <w:bottom w:val="nil"/>
              <w:right w:val="single" w:sz="8" w:space="0" w:color="auto"/>
            </w:tcBorders>
            <w:noWrap/>
            <w:tcMar>
              <w:top w:w="0" w:type="dxa"/>
              <w:left w:w="108" w:type="dxa"/>
              <w:bottom w:w="0" w:type="dxa"/>
              <w:right w:w="108" w:type="dxa"/>
            </w:tcMar>
            <w:vAlign w:val="center"/>
          </w:tcPr>
          <w:p w14:paraId="08D8880F" w14:textId="77777777" w:rsidR="00021C27" w:rsidRPr="004C324E" w:rsidRDefault="00021C27" w:rsidP="00021C27">
            <w:pPr>
              <w:spacing w:after="0" w:line="240" w:lineRule="auto"/>
              <w:jc w:val="center"/>
            </w:pPr>
            <w:r w:rsidRPr="004C324E">
              <w:t>1</w:t>
            </w:r>
            <w:r w:rsidR="00A55A45">
              <w:t>,</w:t>
            </w:r>
            <w:r w:rsidRPr="004C324E">
              <w:t>455</w:t>
            </w:r>
          </w:p>
        </w:tc>
        <w:tc>
          <w:tcPr>
            <w:tcW w:w="1236" w:type="dxa"/>
            <w:noWrap/>
            <w:tcMar>
              <w:top w:w="0" w:type="dxa"/>
              <w:left w:w="108" w:type="dxa"/>
              <w:bottom w:w="0" w:type="dxa"/>
              <w:right w:w="108" w:type="dxa"/>
            </w:tcMar>
            <w:vAlign w:val="center"/>
          </w:tcPr>
          <w:p w14:paraId="08D88810" w14:textId="77777777" w:rsidR="00021C27" w:rsidRPr="004C324E" w:rsidRDefault="00021C27" w:rsidP="00021C27">
            <w:pPr>
              <w:spacing w:after="0" w:line="240" w:lineRule="auto"/>
              <w:jc w:val="center"/>
            </w:pPr>
            <w:r w:rsidRPr="004C324E">
              <w:t>-19.5%</w:t>
            </w:r>
          </w:p>
        </w:tc>
        <w:tc>
          <w:tcPr>
            <w:tcW w:w="1192" w:type="dxa"/>
            <w:noWrap/>
            <w:tcMar>
              <w:top w:w="0" w:type="dxa"/>
              <w:left w:w="108" w:type="dxa"/>
              <w:bottom w:w="0" w:type="dxa"/>
              <w:right w:w="108" w:type="dxa"/>
            </w:tcMar>
            <w:vAlign w:val="center"/>
          </w:tcPr>
          <w:p w14:paraId="08D88811" w14:textId="77777777" w:rsidR="00021C27" w:rsidRPr="004C324E" w:rsidRDefault="00021C27" w:rsidP="00021C27">
            <w:pPr>
              <w:spacing w:after="0" w:line="240" w:lineRule="auto"/>
              <w:jc w:val="center"/>
            </w:pPr>
            <w:r w:rsidRPr="004C324E">
              <w:t>7.9%</w:t>
            </w:r>
          </w:p>
        </w:tc>
        <w:tc>
          <w:tcPr>
            <w:tcW w:w="1278" w:type="dxa"/>
            <w:tcBorders>
              <w:top w:val="nil"/>
              <w:left w:val="nil"/>
              <w:bottom w:val="nil"/>
              <w:right w:val="single" w:sz="8" w:space="0" w:color="auto"/>
            </w:tcBorders>
            <w:noWrap/>
            <w:tcMar>
              <w:top w:w="0" w:type="dxa"/>
              <w:left w:w="108" w:type="dxa"/>
              <w:bottom w:w="0" w:type="dxa"/>
              <w:right w:w="108" w:type="dxa"/>
            </w:tcMar>
            <w:vAlign w:val="center"/>
          </w:tcPr>
          <w:p w14:paraId="08D88812" w14:textId="77777777" w:rsidR="00021C27" w:rsidRPr="004C324E" w:rsidRDefault="00021C27" w:rsidP="00021C27">
            <w:pPr>
              <w:spacing w:after="0" w:line="240" w:lineRule="auto"/>
              <w:jc w:val="center"/>
            </w:pPr>
            <w:r w:rsidRPr="004C324E">
              <w:t>71.6%</w:t>
            </w:r>
          </w:p>
        </w:tc>
      </w:tr>
      <w:tr w:rsidR="00021C27" w:rsidRPr="004C324E" w14:paraId="08D88819" w14:textId="77777777" w:rsidTr="00021C27">
        <w:trPr>
          <w:trHeight w:val="315"/>
        </w:trPr>
        <w:tc>
          <w:tcPr>
            <w:tcW w:w="4460" w:type="dxa"/>
            <w:tcBorders>
              <w:top w:val="nil"/>
              <w:left w:val="single" w:sz="8" w:space="0" w:color="auto"/>
              <w:bottom w:val="single" w:sz="8" w:space="0" w:color="auto"/>
              <w:right w:val="nil"/>
            </w:tcBorders>
            <w:noWrap/>
            <w:tcMar>
              <w:top w:w="0" w:type="dxa"/>
              <w:left w:w="108" w:type="dxa"/>
              <w:bottom w:w="0" w:type="dxa"/>
              <w:right w:w="108" w:type="dxa"/>
            </w:tcMar>
            <w:vAlign w:val="bottom"/>
            <w:hideMark/>
          </w:tcPr>
          <w:p w14:paraId="08D88814" w14:textId="77777777" w:rsidR="00021C27" w:rsidRPr="000B0F4A" w:rsidRDefault="00021C27" w:rsidP="0037203E">
            <w:pPr>
              <w:keepNext/>
              <w:spacing w:after="0" w:line="240" w:lineRule="auto"/>
            </w:pPr>
            <w:r w:rsidRPr="000B0F4A">
              <w:t>Employees</w:t>
            </w:r>
          </w:p>
        </w:tc>
        <w:tc>
          <w:tcPr>
            <w:tcW w:w="121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14:paraId="08D88815" w14:textId="77777777" w:rsidR="00021C27" w:rsidRPr="004C324E" w:rsidRDefault="00021C27" w:rsidP="00021C27">
            <w:pPr>
              <w:spacing w:after="0" w:line="240" w:lineRule="auto"/>
              <w:jc w:val="center"/>
            </w:pPr>
            <w:r w:rsidRPr="004C324E">
              <w:t>302</w:t>
            </w:r>
            <w:r w:rsidR="00A55A45">
              <w:t>,</w:t>
            </w:r>
            <w:r w:rsidRPr="004C324E">
              <w:t>830</w:t>
            </w:r>
          </w:p>
        </w:tc>
        <w:tc>
          <w:tcPr>
            <w:tcW w:w="1236" w:type="dxa"/>
            <w:tcBorders>
              <w:top w:val="nil"/>
              <w:left w:val="nil"/>
              <w:bottom w:val="single" w:sz="8" w:space="0" w:color="auto"/>
              <w:right w:val="nil"/>
            </w:tcBorders>
            <w:noWrap/>
            <w:tcMar>
              <w:top w:w="0" w:type="dxa"/>
              <w:left w:w="108" w:type="dxa"/>
              <w:bottom w:w="0" w:type="dxa"/>
              <w:right w:w="108" w:type="dxa"/>
            </w:tcMar>
            <w:vAlign w:val="center"/>
          </w:tcPr>
          <w:p w14:paraId="08D88816" w14:textId="77777777" w:rsidR="00021C27" w:rsidRPr="004C324E" w:rsidRDefault="00021C27" w:rsidP="00021C27">
            <w:pPr>
              <w:spacing w:after="0" w:line="240" w:lineRule="auto"/>
              <w:jc w:val="center"/>
            </w:pPr>
            <w:r w:rsidRPr="004C324E">
              <w:t>10.2%</w:t>
            </w:r>
          </w:p>
        </w:tc>
        <w:tc>
          <w:tcPr>
            <w:tcW w:w="1192" w:type="dxa"/>
            <w:tcBorders>
              <w:top w:val="nil"/>
              <w:left w:val="nil"/>
              <w:bottom w:val="single" w:sz="8" w:space="0" w:color="auto"/>
              <w:right w:val="nil"/>
            </w:tcBorders>
            <w:noWrap/>
            <w:tcMar>
              <w:top w:w="0" w:type="dxa"/>
              <w:left w:w="108" w:type="dxa"/>
              <w:bottom w:w="0" w:type="dxa"/>
              <w:right w:w="108" w:type="dxa"/>
            </w:tcMar>
            <w:vAlign w:val="center"/>
          </w:tcPr>
          <w:p w14:paraId="08D88817" w14:textId="77777777" w:rsidR="00021C27" w:rsidRPr="004C324E" w:rsidRDefault="00021C27" w:rsidP="00021C27">
            <w:pPr>
              <w:spacing w:after="0" w:line="240" w:lineRule="auto"/>
              <w:jc w:val="center"/>
            </w:pPr>
            <w:r w:rsidRPr="004C324E">
              <w:t>66.4%</w:t>
            </w:r>
          </w:p>
        </w:tc>
        <w:tc>
          <w:tcPr>
            <w:tcW w:w="1278"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08D88818" w14:textId="77777777" w:rsidR="00021C27" w:rsidRPr="004C324E" w:rsidRDefault="00021C27" w:rsidP="00021C27">
            <w:pPr>
              <w:spacing w:after="0" w:line="240" w:lineRule="auto"/>
              <w:jc w:val="center"/>
            </w:pPr>
            <w:r w:rsidRPr="004C324E">
              <w:t>240.6%</w:t>
            </w:r>
          </w:p>
        </w:tc>
      </w:tr>
      <w:tr w:rsidR="00021C27" w:rsidRPr="004C324E" w14:paraId="08D8881F" w14:textId="77777777" w:rsidTr="00021C27">
        <w:trPr>
          <w:trHeight w:val="300"/>
        </w:trPr>
        <w:tc>
          <w:tcPr>
            <w:tcW w:w="4460" w:type="dxa"/>
            <w:tcBorders>
              <w:top w:val="nil"/>
              <w:left w:val="single" w:sz="8" w:space="0" w:color="auto"/>
              <w:bottom w:val="nil"/>
              <w:right w:val="nil"/>
            </w:tcBorders>
            <w:noWrap/>
            <w:tcMar>
              <w:top w:w="0" w:type="dxa"/>
              <w:left w:w="108" w:type="dxa"/>
              <w:bottom w:w="0" w:type="dxa"/>
              <w:right w:w="108" w:type="dxa"/>
            </w:tcMar>
            <w:vAlign w:val="bottom"/>
            <w:hideMark/>
          </w:tcPr>
          <w:p w14:paraId="08D8881A" w14:textId="77777777" w:rsidR="00021C27" w:rsidRPr="000B0F4A" w:rsidRDefault="00021C27" w:rsidP="0037203E">
            <w:pPr>
              <w:keepNext/>
              <w:spacing w:after="0" w:line="240" w:lineRule="auto"/>
            </w:pPr>
            <w:r w:rsidRPr="000B0F4A">
              <w:t>Information Media and Telecommunications</w:t>
            </w:r>
          </w:p>
        </w:tc>
        <w:tc>
          <w:tcPr>
            <w:tcW w:w="1210" w:type="dxa"/>
            <w:tcBorders>
              <w:top w:val="nil"/>
              <w:left w:val="single" w:sz="8" w:space="0" w:color="auto"/>
              <w:bottom w:val="nil"/>
              <w:right w:val="single" w:sz="8" w:space="0" w:color="auto"/>
            </w:tcBorders>
            <w:noWrap/>
            <w:tcMar>
              <w:top w:w="0" w:type="dxa"/>
              <w:left w:w="108" w:type="dxa"/>
              <w:bottom w:w="0" w:type="dxa"/>
              <w:right w:w="108" w:type="dxa"/>
            </w:tcMar>
            <w:vAlign w:val="center"/>
          </w:tcPr>
          <w:p w14:paraId="08D8881B" w14:textId="77777777" w:rsidR="00021C27" w:rsidRPr="004C324E" w:rsidRDefault="00021C27" w:rsidP="00021C27">
            <w:pPr>
              <w:spacing w:after="0" w:line="240" w:lineRule="auto"/>
              <w:jc w:val="center"/>
            </w:pPr>
            <w:r w:rsidRPr="004C324E">
              <w:t>94</w:t>
            </w:r>
          </w:p>
        </w:tc>
        <w:tc>
          <w:tcPr>
            <w:tcW w:w="1236" w:type="dxa"/>
            <w:noWrap/>
            <w:tcMar>
              <w:top w:w="0" w:type="dxa"/>
              <w:left w:w="108" w:type="dxa"/>
              <w:bottom w:w="0" w:type="dxa"/>
              <w:right w:w="108" w:type="dxa"/>
            </w:tcMar>
            <w:vAlign w:val="center"/>
          </w:tcPr>
          <w:p w14:paraId="08D8881C" w14:textId="77777777" w:rsidR="00021C27" w:rsidRPr="004C324E" w:rsidRDefault="00021C27" w:rsidP="00021C27">
            <w:pPr>
              <w:spacing w:after="0" w:line="240" w:lineRule="auto"/>
              <w:jc w:val="center"/>
            </w:pPr>
            <w:r w:rsidRPr="004C324E">
              <w:t>-35.2%</w:t>
            </w:r>
          </w:p>
        </w:tc>
        <w:tc>
          <w:tcPr>
            <w:tcW w:w="1192" w:type="dxa"/>
            <w:noWrap/>
            <w:tcMar>
              <w:top w:w="0" w:type="dxa"/>
              <w:left w:w="108" w:type="dxa"/>
              <w:bottom w:w="0" w:type="dxa"/>
              <w:right w:w="108" w:type="dxa"/>
            </w:tcMar>
            <w:vAlign w:val="center"/>
          </w:tcPr>
          <w:p w14:paraId="08D8881D" w14:textId="77777777" w:rsidR="00021C27" w:rsidRPr="004C324E" w:rsidRDefault="00021C27" w:rsidP="00021C27">
            <w:pPr>
              <w:spacing w:after="0" w:line="240" w:lineRule="auto"/>
              <w:jc w:val="center"/>
            </w:pPr>
            <w:r w:rsidRPr="004C324E">
              <w:t>-62.8%</w:t>
            </w:r>
          </w:p>
        </w:tc>
        <w:tc>
          <w:tcPr>
            <w:tcW w:w="1278" w:type="dxa"/>
            <w:tcBorders>
              <w:top w:val="nil"/>
              <w:left w:val="nil"/>
              <w:bottom w:val="nil"/>
              <w:right w:val="single" w:sz="8" w:space="0" w:color="auto"/>
            </w:tcBorders>
            <w:noWrap/>
            <w:tcMar>
              <w:top w:w="0" w:type="dxa"/>
              <w:left w:w="108" w:type="dxa"/>
              <w:bottom w:w="0" w:type="dxa"/>
              <w:right w:w="108" w:type="dxa"/>
            </w:tcMar>
            <w:vAlign w:val="center"/>
          </w:tcPr>
          <w:p w14:paraId="08D8881E" w14:textId="77777777" w:rsidR="00021C27" w:rsidRPr="004C324E" w:rsidRDefault="00021C27" w:rsidP="00021C27">
            <w:pPr>
              <w:spacing w:after="0" w:line="240" w:lineRule="auto"/>
              <w:jc w:val="center"/>
            </w:pPr>
            <w:r w:rsidRPr="004C324E">
              <w:t>-44.7%</w:t>
            </w:r>
          </w:p>
        </w:tc>
      </w:tr>
      <w:tr w:rsidR="00021C27" w:rsidRPr="004C324E" w14:paraId="08D88825" w14:textId="77777777" w:rsidTr="00021C27">
        <w:trPr>
          <w:trHeight w:val="315"/>
        </w:trPr>
        <w:tc>
          <w:tcPr>
            <w:tcW w:w="4460" w:type="dxa"/>
            <w:tcBorders>
              <w:top w:val="nil"/>
              <w:left w:val="single" w:sz="8" w:space="0" w:color="auto"/>
              <w:bottom w:val="single" w:sz="8" w:space="0" w:color="auto"/>
              <w:right w:val="nil"/>
            </w:tcBorders>
            <w:noWrap/>
            <w:tcMar>
              <w:top w:w="0" w:type="dxa"/>
              <w:left w:w="108" w:type="dxa"/>
              <w:bottom w:w="0" w:type="dxa"/>
              <w:right w:w="108" w:type="dxa"/>
            </w:tcMar>
            <w:vAlign w:val="bottom"/>
            <w:hideMark/>
          </w:tcPr>
          <w:p w14:paraId="08D88820" w14:textId="77777777" w:rsidR="00021C27" w:rsidRPr="000B0F4A" w:rsidRDefault="00021C27" w:rsidP="0037203E">
            <w:pPr>
              <w:keepNext/>
              <w:spacing w:after="0" w:line="240" w:lineRule="auto"/>
            </w:pPr>
            <w:r w:rsidRPr="000B0F4A">
              <w:t>Employees</w:t>
            </w:r>
          </w:p>
        </w:tc>
        <w:tc>
          <w:tcPr>
            <w:tcW w:w="121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14:paraId="08D88821" w14:textId="77777777" w:rsidR="00021C27" w:rsidRPr="004C324E" w:rsidRDefault="00021C27" w:rsidP="00021C27">
            <w:pPr>
              <w:spacing w:after="0" w:line="240" w:lineRule="auto"/>
              <w:jc w:val="center"/>
            </w:pPr>
            <w:r w:rsidRPr="004C324E">
              <w:t>41</w:t>
            </w:r>
            <w:r w:rsidR="00A55A45">
              <w:t>,</w:t>
            </w:r>
            <w:r w:rsidRPr="004C324E">
              <w:t>887</w:t>
            </w:r>
          </w:p>
        </w:tc>
        <w:tc>
          <w:tcPr>
            <w:tcW w:w="1236" w:type="dxa"/>
            <w:tcBorders>
              <w:top w:val="nil"/>
              <w:left w:val="nil"/>
              <w:bottom w:val="single" w:sz="8" w:space="0" w:color="auto"/>
              <w:right w:val="nil"/>
            </w:tcBorders>
            <w:noWrap/>
            <w:tcMar>
              <w:top w:w="0" w:type="dxa"/>
              <w:left w:w="108" w:type="dxa"/>
              <w:bottom w:w="0" w:type="dxa"/>
              <w:right w:w="108" w:type="dxa"/>
            </w:tcMar>
            <w:vAlign w:val="center"/>
          </w:tcPr>
          <w:p w14:paraId="08D88822" w14:textId="77777777" w:rsidR="00021C27" w:rsidRPr="004C324E" w:rsidRDefault="00021C27" w:rsidP="00021C27">
            <w:pPr>
              <w:spacing w:after="0" w:line="240" w:lineRule="auto"/>
              <w:jc w:val="center"/>
            </w:pPr>
            <w:r w:rsidRPr="004C324E">
              <w:t>-14.7%</w:t>
            </w:r>
          </w:p>
        </w:tc>
        <w:tc>
          <w:tcPr>
            <w:tcW w:w="1192" w:type="dxa"/>
            <w:tcBorders>
              <w:top w:val="nil"/>
              <w:left w:val="nil"/>
              <w:bottom w:val="single" w:sz="8" w:space="0" w:color="auto"/>
              <w:right w:val="nil"/>
            </w:tcBorders>
            <w:noWrap/>
            <w:tcMar>
              <w:top w:w="0" w:type="dxa"/>
              <w:left w:w="108" w:type="dxa"/>
              <w:bottom w:w="0" w:type="dxa"/>
              <w:right w:w="108" w:type="dxa"/>
            </w:tcMar>
            <w:vAlign w:val="center"/>
          </w:tcPr>
          <w:p w14:paraId="08D88823" w14:textId="77777777" w:rsidR="00021C27" w:rsidRPr="004C324E" w:rsidRDefault="00021C27" w:rsidP="00021C27">
            <w:pPr>
              <w:spacing w:after="0" w:line="240" w:lineRule="auto"/>
              <w:jc w:val="center"/>
            </w:pPr>
            <w:r w:rsidRPr="004C324E">
              <w:t>19.9%</w:t>
            </w:r>
          </w:p>
        </w:tc>
        <w:tc>
          <w:tcPr>
            <w:tcW w:w="1278"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08D88824" w14:textId="77777777" w:rsidR="00021C27" w:rsidRPr="004C324E" w:rsidRDefault="00021C27" w:rsidP="00021C27">
            <w:pPr>
              <w:spacing w:after="0" w:line="240" w:lineRule="auto"/>
              <w:jc w:val="center"/>
            </w:pPr>
            <w:r w:rsidRPr="004C324E">
              <w:t>19.9%</w:t>
            </w:r>
          </w:p>
        </w:tc>
      </w:tr>
      <w:tr w:rsidR="00021C27" w:rsidRPr="004C324E" w14:paraId="08D8882B" w14:textId="77777777" w:rsidTr="00021C27">
        <w:trPr>
          <w:trHeight w:val="300"/>
        </w:trPr>
        <w:tc>
          <w:tcPr>
            <w:tcW w:w="4460" w:type="dxa"/>
            <w:tcBorders>
              <w:top w:val="nil"/>
              <w:left w:val="single" w:sz="8" w:space="0" w:color="auto"/>
              <w:bottom w:val="nil"/>
              <w:right w:val="nil"/>
            </w:tcBorders>
            <w:noWrap/>
            <w:tcMar>
              <w:top w:w="0" w:type="dxa"/>
              <w:left w:w="108" w:type="dxa"/>
              <w:bottom w:w="0" w:type="dxa"/>
              <w:right w:w="108" w:type="dxa"/>
            </w:tcMar>
            <w:vAlign w:val="bottom"/>
            <w:hideMark/>
          </w:tcPr>
          <w:p w14:paraId="08D88826" w14:textId="77777777" w:rsidR="00021C27" w:rsidRPr="000B0F4A" w:rsidRDefault="00021C27" w:rsidP="0037203E">
            <w:pPr>
              <w:keepNext/>
              <w:spacing w:after="0" w:line="240" w:lineRule="auto"/>
            </w:pPr>
            <w:r w:rsidRPr="000B0F4A">
              <w:t>Manufacturing</w:t>
            </w:r>
          </w:p>
        </w:tc>
        <w:tc>
          <w:tcPr>
            <w:tcW w:w="1210" w:type="dxa"/>
            <w:tcBorders>
              <w:top w:val="nil"/>
              <w:left w:val="single" w:sz="8" w:space="0" w:color="auto"/>
              <w:bottom w:val="nil"/>
              <w:right w:val="single" w:sz="8" w:space="0" w:color="auto"/>
            </w:tcBorders>
            <w:noWrap/>
            <w:tcMar>
              <w:top w:w="0" w:type="dxa"/>
              <w:left w:w="108" w:type="dxa"/>
              <w:bottom w:w="0" w:type="dxa"/>
              <w:right w:w="108" w:type="dxa"/>
            </w:tcMar>
            <w:vAlign w:val="center"/>
          </w:tcPr>
          <w:p w14:paraId="08D88827" w14:textId="77777777" w:rsidR="00021C27" w:rsidRPr="004C324E" w:rsidRDefault="00021C27" w:rsidP="00021C27">
            <w:pPr>
              <w:spacing w:after="0" w:line="240" w:lineRule="auto"/>
              <w:jc w:val="center"/>
            </w:pPr>
            <w:r w:rsidRPr="004C324E">
              <w:t>2</w:t>
            </w:r>
            <w:r w:rsidR="00A55A45">
              <w:t>,</w:t>
            </w:r>
            <w:r w:rsidRPr="004C324E">
              <w:t>437</w:t>
            </w:r>
          </w:p>
        </w:tc>
        <w:tc>
          <w:tcPr>
            <w:tcW w:w="1236" w:type="dxa"/>
            <w:noWrap/>
            <w:tcMar>
              <w:top w:w="0" w:type="dxa"/>
              <w:left w:w="108" w:type="dxa"/>
              <w:bottom w:w="0" w:type="dxa"/>
              <w:right w:w="108" w:type="dxa"/>
            </w:tcMar>
            <w:vAlign w:val="center"/>
          </w:tcPr>
          <w:p w14:paraId="08D88828" w14:textId="77777777" w:rsidR="00021C27" w:rsidRPr="004C324E" w:rsidRDefault="00021C27" w:rsidP="00021C27">
            <w:pPr>
              <w:spacing w:after="0" w:line="240" w:lineRule="auto"/>
              <w:jc w:val="center"/>
            </w:pPr>
            <w:r w:rsidRPr="004C324E">
              <w:t>-21.1%</w:t>
            </w:r>
          </w:p>
        </w:tc>
        <w:tc>
          <w:tcPr>
            <w:tcW w:w="1192" w:type="dxa"/>
            <w:noWrap/>
            <w:tcMar>
              <w:top w:w="0" w:type="dxa"/>
              <w:left w:w="108" w:type="dxa"/>
              <w:bottom w:w="0" w:type="dxa"/>
              <w:right w:w="108" w:type="dxa"/>
            </w:tcMar>
            <w:vAlign w:val="center"/>
          </w:tcPr>
          <w:p w14:paraId="08D88829" w14:textId="77777777" w:rsidR="00021C27" w:rsidRPr="004C324E" w:rsidRDefault="00021C27" w:rsidP="00021C27">
            <w:pPr>
              <w:spacing w:after="0" w:line="240" w:lineRule="auto"/>
              <w:jc w:val="center"/>
            </w:pPr>
            <w:r w:rsidRPr="004C324E">
              <w:t>-33.4%</w:t>
            </w:r>
          </w:p>
        </w:tc>
        <w:tc>
          <w:tcPr>
            <w:tcW w:w="1278" w:type="dxa"/>
            <w:tcBorders>
              <w:top w:val="nil"/>
              <w:left w:val="nil"/>
              <w:bottom w:val="nil"/>
              <w:right w:val="single" w:sz="8" w:space="0" w:color="auto"/>
            </w:tcBorders>
            <w:noWrap/>
            <w:tcMar>
              <w:top w:w="0" w:type="dxa"/>
              <w:left w:w="108" w:type="dxa"/>
              <w:bottom w:w="0" w:type="dxa"/>
              <w:right w:w="108" w:type="dxa"/>
            </w:tcMar>
            <w:vAlign w:val="center"/>
          </w:tcPr>
          <w:p w14:paraId="08D8882A" w14:textId="77777777" w:rsidR="00021C27" w:rsidRPr="004C324E" w:rsidRDefault="00021C27" w:rsidP="00021C27">
            <w:pPr>
              <w:spacing w:after="0" w:line="240" w:lineRule="auto"/>
              <w:jc w:val="center"/>
            </w:pPr>
            <w:r w:rsidRPr="004C324E">
              <w:t>-17.0%</w:t>
            </w:r>
          </w:p>
        </w:tc>
      </w:tr>
      <w:tr w:rsidR="00021C27" w:rsidRPr="004C324E" w14:paraId="08D88831" w14:textId="77777777" w:rsidTr="00021C27">
        <w:trPr>
          <w:trHeight w:val="315"/>
        </w:trPr>
        <w:tc>
          <w:tcPr>
            <w:tcW w:w="4460" w:type="dxa"/>
            <w:tcBorders>
              <w:top w:val="nil"/>
              <w:left w:val="single" w:sz="8" w:space="0" w:color="auto"/>
              <w:bottom w:val="single" w:sz="8" w:space="0" w:color="auto"/>
              <w:right w:val="nil"/>
            </w:tcBorders>
            <w:noWrap/>
            <w:tcMar>
              <w:top w:w="0" w:type="dxa"/>
              <w:left w:w="108" w:type="dxa"/>
              <w:bottom w:w="0" w:type="dxa"/>
              <w:right w:w="108" w:type="dxa"/>
            </w:tcMar>
            <w:vAlign w:val="bottom"/>
            <w:hideMark/>
          </w:tcPr>
          <w:p w14:paraId="08D8882C" w14:textId="77777777" w:rsidR="00021C27" w:rsidRPr="000B0F4A" w:rsidRDefault="00021C27" w:rsidP="0037203E">
            <w:pPr>
              <w:keepNext/>
              <w:spacing w:after="0" w:line="240" w:lineRule="auto"/>
            </w:pPr>
            <w:r w:rsidRPr="000B0F4A">
              <w:t>Employees</w:t>
            </w:r>
          </w:p>
        </w:tc>
        <w:tc>
          <w:tcPr>
            <w:tcW w:w="121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14:paraId="08D8882D" w14:textId="77777777" w:rsidR="00021C27" w:rsidRPr="004C324E" w:rsidRDefault="00021C27" w:rsidP="00021C27">
            <w:pPr>
              <w:spacing w:after="0" w:line="240" w:lineRule="auto"/>
              <w:jc w:val="center"/>
            </w:pPr>
            <w:r w:rsidRPr="004C324E">
              <w:t>162</w:t>
            </w:r>
            <w:r w:rsidR="00A55A45">
              <w:t>,</w:t>
            </w:r>
            <w:r w:rsidRPr="004C324E">
              <w:t>768</w:t>
            </w:r>
          </w:p>
        </w:tc>
        <w:tc>
          <w:tcPr>
            <w:tcW w:w="1236" w:type="dxa"/>
            <w:tcBorders>
              <w:top w:val="nil"/>
              <w:left w:val="nil"/>
              <w:bottom w:val="single" w:sz="8" w:space="0" w:color="auto"/>
              <w:right w:val="nil"/>
            </w:tcBorders>
            <w:noWrap/>
            <w:tcMar>
              <w:top w:w="0" w:type="dxa"/>
              <w:left w:w="108" w:type="dxa"/>
              <w:bottom w:w="0" w:type="dxa"/>
              <w:right w:w="108" w:type="dxa"/>
            </w:tcMar>
            <w:vAlign w:val="center"/>
          </w:tcPr>
          <w:p w14:paraId="08D8882E" w14:textId="77777777" w:rsidR="00021C27" w:rsidRPr="004C324E" w:rsidRDefault="00021C27" w:rsidP="00021C27">
            <w:pPr>
              <w:spacing w:after="0" w:line="240" w:lineRule="auto"/>
              <w:jc w:val="center"/>
            </w:pPr>
            <w:r w:rsidRPr="004C324E">
              <w:t>-18.1%</w:t>
            </w:r>
          </w:p>
        </w:tc>
        <w:tc>
          <w:tcPr>
            <w:tcW w:w="1192" w:type="dxa"/>
            <w:tcBorders>
              <w:top w:val="nil"/>
              <w:left w:val="nil"/>
              <w:bottom w:val="single" w:sz="8" w:space="0" w:color="auto"/>
              <w:right w:val="nil"/>
            </w:tcBorders>
            <w:noWrap/>
            <w:tcMar>
              <w:top w:w="0" w:type="dxa"/>
              <w:left w:w="108" w:type="dxa"/>
              <w:bottom w:w="0" w:type="dxa"/>
              <w:right w:w="108" w:type="dxa"/>
            </w:tcMar>
            <w:vAlign w:val="center"/>
          </w:tcPr>
          <w:p w14:paraId="08D8882F" w14:textId="77777777" w:rsidR="00021C27" w:rsidRPr="004C324E" w:rsidRDefault="00021C27" w:rsidP="00021C27">
            <w:pPr>
              <w:spacing w:after="0" w:line="240" w:lineRule="auto"/>
              <w:jc w:val="center"/>
            </w:pPr>
            <w:r w:rsidRPr="004C324E">
              <w:t>-33.0%</w:t>
            </w:r>
          </w:p>
        </w:tc>
        <w:tc>
          <w:tcPr>
            <w:tcW w:w="1278"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08D88830" w14:textId="77777777" w:rsidR="00021C27" w:rsidRPr="004C324E" w:rsidRDefault="00021C27" w:rsidP="00021C27">
            <w:pPr>
              <w:spacing w:after="0" w:line="240" w:lineRule="auto"/>
              <w:jc w:val="center"/>
            </w:pPr>
            <w:r w:rsidRPr="004C324E">
              <w:t>-28.0%</w:t>
            </w:r>
          </w:p>
        </w:tc>
      </w:tr>
      <w:tr w:rsidR="00021C27" w:rsidRPr="004C324E" w14:paraId="08D88837" w14:textId="77777777" w:rsidTr="00021C27">
        <w:trPr>
          <w:trHeight w:val="300"/>
        </w:trPr>
        <w:tc>
          <w:tcPr>
            <w:tcW w:w="4460" w:type="dxa"/>
            <w:tcBorders>
              <w:top w:val="nil"/>
              <w:left w:val="single" w:sz="8" w:space="0" w:color="auto"/>
              <w:bottom w:val="nil"/>
              <w:right w:val="nil"/>
            </w:tcBorders>
            <w:noWrap/>
            <w:tcMar>
              <w:top w:w="0" w:type="dxa"/>
              <w:left w:w="108" w:type="dxa"/>
              <w:bottom w:w="0" w:type="dxa"/>
              <w:right w:w="108" w:type="dxa"/>
            </w:tcMar>
            <w:vAlign w:val="bottom"/>
            <w:hideMark/>
          </w:tcPr>
          <w:p w14:paraId="08D88832" w14:textId="77777777" w:rsidR="00021C27" w:rsidRPr="000B0F4A" w:rsidRDefault="00021C27" w:rsidP="0037203E">
            <w:pPr>
              <w:keepNext/>
              <w:spacing w:after="0" w:line="240" w:lineRule="auto"/>
            </w:pPr>
            <w:r w:rsidRPr="000B0F4A">
              <w:t>Mining</w:t>
            </w:r>
          </w:p>
        </w:tc>
        <w:tc>
          <w:tcPr>
            <w:tcW w:w="1210" w:type="dxa"/>
            <w:tcBorders>
              <w:top w:val="nil"/>
              <w:left w:val="single" w:sz="8" w:space="0" w:color="auto"/>
              <w:bottom w:val="nil"/>
              <w:right w:val="single" w:sz="8" w:space="0" w:color="auto"/>
            </w:tcBorders>
            <w:noWrap/>
            <w:tcMar>
              <w:top w:w="0" w:type="dxa"/>
              <w:left w:w="108" w:type="dxa"/>
              <w:bottom w:w="0" w:type="dxa"/>
              <w:right w:w="108" w:type="dxa"/>
            </w:tcMar>
            <w:vAlign w:val="center"/>
          </w:tcPr>
          <w:p w14:paraId="08D88833" w14:textId="77777777" w:rsidR="00021C27" w:rsidRPr="004C324E" w:rsidRDefault="00021C27" w:rsidP="00021C27">
            <w:pPr>
              <w:spacing w:after="0" w:line="240" w:lineRule="auto"/>
              <w:jc w:val="center"/>
            </w:pPr>
            <w:r w:rsidRPr="004C324E">
              <w:t>443</w:t>
            </w:r>
          </w:p>
        </w:tc>
        <w:tc>
          <w:tcPr>
            <w:tcW w:w="1236" w:type="dxa"/>
            <w:noWrap/>
            <w:tcMar>
              <w:top w:w="0" w:type="dxa"/>
              <w:left w:w="108" w:type="dxa"/>
              <w:bottom w:w="0" w:type="dxa"/>
              <w:right w:w="108" w:type="dxa"/>
            </w:tcMar>
            <w:vAlign w:val="center"/>
          </w:tcPr>
          <w:p w14:paraId="08D88834" w14:textId="77777777" w:rsidR="00021C27" w:rsidRPr="004C324E" w:rsidRDefault="00021C27" w:rsidP="00021C27">
            <w:pPr>
              <w:spacing w:after="0" w:line="240" w:lineRule="auto"/>
              <w:jc w:val="center"/>
            </w:pPr>
            <w:r w:rsidRPr="004C324E">
              <w:t>-18.4%</w:t>
            </w:r>
          </w:p>
        </w:tc>
        <w:tc>
          <w:tcPr>
            <w:tcW w:w="1192" w:type="dxa"/>
            <w:noWrap/>
            <w:tcMar>
              <w:top w:w="0" w:type="dxa"/>
              <w:left w:w="108" w:type="dxa"/>
              <w:bottom w:w="0" w:type="dxa"/>
              <w:right w:w="108" w:type="dxa"/>
            </w:tcMar>
            <w:vAlign w:val="center"/>
          </w:tcPr>
          <w:p w14:paraId="08D88835" w14:textId="77777777" w:rsidR="00021C27" w:rsidRPr="004C324E" w:rsidRDefault="00021C27" w:rsidP="00021C27">
            <w:pPr>
              <w:spacing w:after="0" w:line="240" w:lineRule="auto"/>
              <w:jc w:val="center"/>
            </w:pPr>
            <w:r w:rsidRPr="004C324E">
              <w:t>-21.6%</w:t>
            </w:r>
          </w:p>
        </w:tc>
        <w:tc>
          <w:tcPr>
            <w:tcW w:w="1278" w:type="dxa"/>
            <w:tcBorders>
              <w:top w:val="nil"/>
              <w:left w:val="nil"/>
              <w:bottom w:val="nil"/>
              <w:right w:val="single" w:sz="8" w:space="0" w:color="auto"/>
            </w:tcBorders>
            <w:noWrap/>
            <w:tcMar>
              <w:top w:w="0" w:type="dxa"/>
              <w:left w:w="108" w:type="dxa"/>
              <w:bottom w:w="0" w:type="dxa"/>
              <w:right w:w="108" w:type="dxa"/>
            </w:tcMar>
            <w:vAlign w:val="center"/>
          </w:tcPr>
          <w:p w14:paraId="08D88836" w14:textId="77777777" w:rsidR="00021C27" w:rsidRPr="004C324E" w:rsidRDefault="00021C27" w:rsidP="00021C27">
            <w:pPr>
              <w:spacing w:after="0" w:line="240" w:lineRule="auto"/>
              <w:jc w:val="center"/>
            </w:pPr>
            <w:r w:rsidRPr="004C324E">
              <w:t>59.4%</w:t>
            </w:r>
          </w:p>
        </w:tc>
      </w:tr>
      <w:tr w:rsidR="00021C27" w:rsidRPr="004C324E" w14:paraId="08D8883D" w14:textId="77777777" w:rsidTr="00021C27">
        <w:trPr>
          <w:trHeight w:val="315"/>
        </w:trPr>
        <w:tc>
          <w:tcPr>
            <w:tcW w:w="4460" w:type="dxa"/>
            <w:tcBorders>
              <w:top w:val="nil"/>
              <w:left w:val="single" w:sz="8" w:space="0" w:color="auto"/>
              <w:bottom w:val="single" w:sz="8" w:space="0" w:color="auto"/>
              <w:right w:val="nil"/>
            </w:tcBorders>
            <w:noWrap/>
            <w:tcMar>
              <w:top w:w="0" w:type="dxa"/>
              <w:left w:w="108" w:type="dxa"/>
              <w:bottom w:w="0" w:type="dxa"/>
              <w:right w:w="108" w:type="dxa"/>
            </w:tcMar>
            <w:vAlign w:val="bottom"/>
            <w:hideMark/>
          </w:tcPr>
          <w:p w14:paraId="08D88838" w14:textId="77777777" w:rsidR="00021C27" w:rsidRPr="000B0F4A" w:rsidRDefault="00021C27" w:rsidP="0037203E">
            <w:pPr>
              <w:keepNext/>
              <w:spacing w:after="0" w:line="240" w:lineRule="auto"/>
            </w:pPr>
            <w:r w:rsidRPr="000B0F4A">
              <w:t>Employees</w:t>
            </w:r>
          </w:p>
        </w:tc>
        <w:tc>
          <w:tcPr>
            <w:tcW w:w="121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14:paraId="08D88839" w14:textId="77777777" w:rsidR="00021C27" w:rsidRPr="004C324E" w:rsidRDefault="00021C27" w:rsidP="00021C27">
            <w:pPr>
              <w:spacing w:after="0" w:line="240" w:lineRule="auto"/>
              <w:jc w:val="center"/>
            </w:pPr>
            <w:r w:rsidRPr="004C324E">
              <w:t>49</w:t>
            </w:r>
            <w:r w:rsidR="00A55A45">
              <w:t>,</w:t>
            </w:r>
            <w:r w:rsidRPr="004C324E">
              <w:t>962</w:t>
            </w:r>
          </w:p>
        </w:tc>
        <w:tc>
          <w:tcPr>
            <w:tcW w:w="1236" w:type="dxa"/>
            <w:tcBorders>
              <w:top w:val="nil"/>
              <w:left w:val="nil"/>
              <w:bottom w:val="single" w:sz="8" w:space="0" w:color="auto"/>
              <w:right w:val="nil"/>
            </w:tcBorders>
            <w:noWrap/>
            <w:tcMar>
              <w:top w:w="0" w:type="dxa"/>
              <w:left w:w="108" w:type="dxa"/>
              <w:bottom w:w="0" w:type="dxa"/>
              <w:right w:w="108" w:type="dxa"/>
            </w:tcMar>
            <w:vAlign w:val="center"/>
          </w:tcPr>
          <w:p w14:paraId="08D8883A" w14:textId="77777777" w:rsidR="00021C27" w:rsidRPr="004C324E" w:rsidRDefault="00021C27" w:rsidP="00021C27">
            <w:pPr>
              <w:spacing w:after="0" w:line="240" w:lineRule="auto"/>
              <w:jc w:val="center"/>
            </w:pPr>
            <w:r w:rsidRPr="004C324E">
              <w:t>-13.6%</w:t>
            </w:r>
          </w:p>
        </w:tc>
        <w:tc>
          <w:tcPr>
            <w:tcW w:w="1192" w:type="dxa"/>
            <w:tcBorders>
              <w:top w:val="nil"/>
              <w:left w:val="nil"/>
              <w:bottom w:val="single" w:sz="8" w:space="0" w:color="auto"/>
              <w:right w:val="nil"/>
            </w:tcBorders>
            <w:noWrap/>
            <w:tcMar>
              <w:top w:w="0" w:type="dxa"/>
              <w:left w:w="108" w:type="dxa"/>
              <w:bottom w:w="0" w:type="dxa"/>
              <w:right w:w="108" w:type="dxa"/>
            </w:tcMar>
            <w:vAlign w:val="center"/>
          </w:tcPr>
          <w:p w14:paraId="08D8883B" w14:textId="77777777" w:rsidR="00021C27" w:rsidRPr="004C324E" w:rsidRDefault="00021C27" w:rsidP="00021C27">
            <w:pPr>
              <w:spacing w:after="0" w:line="240" w:lineRule="auto"/>
              <w:jc w:val="center"/>
            </w:pPr>
            <w:r w:rsidRPr="004C324E">
              <w:t>20.0%</w:t>
            </w:r>
          </w:p>
        </w:tc>
        <w:tc>
          <w:tcPr>
            <w:tcW w:w="1278"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08D8883C" w14:textId="77777777" w:rsidR="00021C27" w:rsidRPr="004C324E" w:rsidRDefault="00021C27" w:rsidP="00021C27">
            <w:pPr>
              <w:spacing w:after="0" w:line="240" w:lineRule="auto"/>
              <w:jc w:val="center"/>
            </w:pPr>
            <w:r w:rsidRPr="004C324E">
              <w:t>107.9%</w:t>
            </w:r>
          </w:p>
        </w:tc>
      </w:tr>
      <w:tr w:rsidR="00021C27" w:rsidRPr="004C324E" w14:paraId="08D88843" w14:textId="77777777" w:rsidTr="00021C27">
        <w:trPr>
          <w:trHeight w:val="300"/>
        </w:trPr>
        <w:tc>
          <w:tcPr>
            <w:tcW w:w="4460" w:type="dxa"/>
            <w:tcBorders>
              <w:top w:val="nil"/>
              <w:left w:val="single" w:sz="8" w:space="0" w:color="auto"/>
              <w:bottom w:val="nil"/>
              <w:right w:val="nil"/>
            </w:tcBorders>
            <w:noWrap/>
            <w:tcMar>
              <w:top w:w="0" w:type="dxa"/>
              <w:left w:w="108" w:type="dxa"/>
              <w:bottom w:w="0" w:type="dxa"/>
              <w:right w:w="108" w:type="dxa"/>
            </w:tcMar>
            <w:vAlign w:val="bottom"/>
            <w:hideMark/>
          </w:tcPr>
          <w:p w14:paraId="08D8883E" w14:textId="77777777" w:rsidR="00021C27" w:rsidRPr="000B0F4A" w:rsidRDefault="00021C27" w:rsidP="0037203E">
            <w:pPr>
              <w:keepNext/>
              <w:spacing w:after="0" w:line="240" w:lineRule="auto"/>
            </w:pPr>
            <w:r w:rsidRPr="000B0F4A">
              <w:t>Other Services</w:t>
            </w:r>
          </w:p>
        </w:tc>
        <w:tc>
          <w:tcPr>
            <w:tcW w:w="1210" w:type="dxa"/>
            <w:tcBorders>
              <w:top w:val="nil"/>
              <w:left w:val="single" w:sz="8" w:space="0" w:color="auto"/>
              <w:bottom w:val="nil"/>
              <w:right w:val="single" w:sz="8" w:space="0" w:color="auto"/>
            </w:tcBorders>
            <w:noWrap/>
            <w:tcMar>
              <w:top w:w="0" w:type="dxa"/>
              <w:left w:w="108" w:type="dxa"/>
              <w:bottom w:w="0" w:type="dxa"/>
              <w:right w:w="108" w:type="dxa"/>
            </w:tcMar>
            <w:vAlign w:val="center"/>
          </w:tcPr>
          <w:p w14:paraId="08D8883F" w14:textId="77777777" w:rsidR="00021C27" w:rsidRPr="004C324E" w:rsidRDefault="00021C27" w:rsidP="00021C27">
            <w:pPr>
              <w:spacing w:after="0" w:line="240" w:lineRule="auto"/>
              <w:jc w:val="center"/>
            </w:pPr>
            <w:r w:rsidRPr="004C324E">
              <w:t>384</w:t>
            </w:r>
          </w:p>
        </w:tc>
        <w:tc>
          <w:tcPr>
            <w:tcW w:w="1236" w:type="dxa"/>
            <w:noWrap/>
            <w:tcMar>
              <w:top w:w="0" w:type="dxa"/>
              <w:left w:w="108" w:type="dxa"/>
              <w:bottom w:w="0" w:type="dxa"/>
              <w:right w:w="108" w:type="dxa"/>
            </w:tcMar>
            <w:vAlign w:val="center"/>
          </w:tcPr>
          <w:p w14:paraId="08D88840" w14:textId="77777777" w:rsidR="00021C27" w:rsidRPr="004C324E" w:rsidRDefault="00021C27" w:rsidP="00021C27">
            <w:pPr>
              <w:spacing w:after="0" w:line="240" w:lineRule="auto"/>
              <w:jc w:val="center"/>
            </w:pPr>
            <w:r w:rsidRPr="004C324E">
              <w:t>-20.2%</w:t>
            </w:r>
          </w:p>
        </w:tc>
        <w:tc>
          <w:tcPr>
            <w:tcW w:w="1192" w:type="dxa"/>
            <w:noWrap/>
            <w:tcMar>
              <w:top w:w="0" w:type="dxa"/>
              <w:left w:w="108" w:type="dxa"/>
              <w:bottom w:w="0" w:type="dxa"/>
              <w:right w:w="108" w:type="dxa"/>
            </w:tcMar>
            <w:vAlign w:val="center"/>
          </w:tcPr>
          <w:p w14:paraId="08D88841" w14:textId="77777777" w:rsidR="00021C27" w:rsidRPr="004C324E" w:rsidRDefault="00021C27" w:rsidP="00021C27">
            <w:pPr>
              <w:spacing w:after="0" w:line="240" w:lineRule="auto"/>
              <w:jc w:val="center"/>
            </w:pPr>
            <w:r w:rsidRPr="004C324E">
              <w:t>-7.0%</w:t>
            </w:r>
          </w:p>
        </w:tc>
        <w:tc>
          <w:tcPr>
            <w:tcW w:w="1278" w:type="dxa"/>
            <w:tcBorders>
              <w:top w:val="nil"/>
              <w:left w:val="nil"/>
              <w:bottom w:val="nil"/>
              <w:right w:val="single" w:sz="8" w:space="0" w:color="auto"/>
            </w:tcBorders>
            <w:noWrap/>
            <w:tcMar>
              <w:top w:w="0" w:type="dxa"/>
              <w:left w:w="108" w:type="dxa"/>
              <w:bottom w:w="0" w:type="dxa"/>
              <w:right w:w="108" w:type="dxa"/>
            </w:tcMar>
            <w:vAlign w:val="center"/>
          </w:tcPr>
          <w:p w14:paraId="08D88842" w14:textId="77777777" w:rsidR="00021C27" w:rsidRPr="004C324E" w:rsidRDefault="00021C27" w:rsidP="00021C27">
            <w:pPr>
              <w:spacing w:after="0" w:line="240" w:lineRule="auto"/>
              <w:jc w:val="center"/>
            </w:pPr>
            <w:r w:rsidRPr="004C324E">
              <w:t>116.9%</w:t>
            </w:r>
          </w:p>
        </w:tc>
      </w:tr>
      <w:tr w:rsidR="00021C27" w:rsidRPr="004C324E" w14:paraId="08D88849" w14:textId="77777777" w:rsidTr="00021C27">
        <w:trPr>
          <w:trHeight w:val="315"/>
        </w:trPr>
        <w:tc>
          <w:tcPr>
            <w:tcW w:w="4460" w:type="dxa"/>
            <w:tcBorders>
              <w:top w:val="nil"/>
              <w:left w:val="single" w:sz="8" w:space="0" w:color="auto"/>
              <w:bottom w:val="single" w:sz="8" w:space="0" w:color="auto"/>
              <w:right w:val="nil"/>
            </w:tcBorders>
            <w:noWrap/>
            <w:tcMar>
              <w:top w:w="0" w:type="dxa"/>
              <w:left w:w="108" w:type="dxa"/>
              <w:bottom w:w="0" w:type="dxa"/>
              <w:right w:w="108" w:type="dxa"/>
            </w:tcMar>
            <w:vAlign w:val="bottom"/>
            <w:hideMark/>
          </w:tcPr>
          <w:p w14:paraId="08D88844" w14:textId="77777777" w:rsidR="00021C27" w:rsidRPr="000B0F4A" w:rsidRDefault="00021C27" w:rsidP="0037203E">
            <w:pPr>
              <w:keepNext/>
              <w:spacing w:after="0" w:line="240" w:lineRule="auto"/>
            </w:pPr>
            <w:r w:rsidRPr="000B0F4A">
              <w:t>Employees</w:t>
            </w:r>
          </w:p>
        </w:tc>
        <w:tc>
          <w:tcPr>
            <w:tcW w:w="121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14:paraId="08D88845" w14:textId="77777777" w:rsidR="00021C27" w:rsidRPr="004C324E" w:rsidRDefault="00021C27" w:rsidP="00021C27">
            <w:pPr>
              <w:spacing w:after="0" w:line="240" w:lineRule="auto"/>
              <w:jc w:val="center"/>
            </w:pPr>
            <w:r w:rsidRPr="004C324E">
              <w:t>48</w:t>
            </w:r>
            <w:r w:rsidR="00A55A45">
              <w:t>,</w:t>
            </w:r>
            <w:r w:rsidRPr="004C324E">
              <w:t>499</w:t>
            </w:r>
          </w:p>
        </w:tc>
        <w:tc>
          <w:tcPr>
            <w:tcW w:w="1236" w:type="dxa"/>
            <w:tcBorders>
              <w:top w:val="nil"/>
              <w:left w:val="nil"/>
              <w:bottom w:val="single" w:sz="8" w:space="0" w:color="auto"/>
              <w:right w:val="nil"/>
            </w:tcBorders>
            <w:noWrap/>
            <w:tcMar>
              <w:top w:w="0" w:type="dxa"/>
              <w:left w:w="108" w:type="dxa"/>
              <w:bottom w:w="0" w:type="dxa"/>
              <w:right w:w="108" w:type="dxa"/>
            </w:tcMar>
            <w:vAlign w:val="center"/>
          </w:tcPr>
          <w:p w14:paraId="08D88846" w14:textId="77777777" w:rsidR="00021C27" w:rsidRPr="004C324E" w:rsidRDefault="00021C27" w:rsidP="00021C27">
            <w:pPr>
              <w:spacing w:after="0" w:line="240" w:lineRule="auto"/>
              <w:jc w:val="center"/>
            </w:pPr>
            <w:r w:rsidRPr="004C324E">
              <w:t>22.1%</w:t>
            </w:r>
          </w:p>
        </w:tc>
        <w:tc>
          <w:tcPr>
            <w:tcW w:w="1192" w:type="dxa"/>
            <w:tcBorders>
              <w:top w:val="nil"/>
              <w:left w:val="nil"/>
              <w:bottom w:val="single" w:sz="8" w:space="0" w:color="auto"/>
              <w:right w:val="nil"/>
            </w:tcBorders>
            <w:noWrap/>
            <w:tcMar>
              <w:top w:w="0" w:type="dxa"/>
              <w:left w:w="108" w:type="dxa"/>
              <w:bottom w:w="0" w:type="dxa"/>
              <w:right w:w="108" w:type="dxa"/>
            </w:tcMar>
            <w:vAlign w:val="center"/>
          </w:tcPr>
          <w:p w14:paraId="08D88847" w14:textId="77777777" w:rsidR="00021C27" w:rsidRPr="004C324E" w:rsidRDefault="00021C27" w:rsidP="00021C27">
            <w:pPr>
              <w:spacing w:after="0" w:line="240" w:lineRule="auto"/>
              <w:jc w:val="center"/>
            </w:pPr>
            <w:r w:rsidRPr="004C324E">
              <w:t>160.0%</w:t>
            </w:r>
          </w:p>
        </w:tc>
        <w:tc>
          <w:tcPr>
            <w:tcW w:w="1278"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08D88848" w14:textId="77777777" w:rsidR="00021C27" w:rsidRPr="004C324E" w:rsidRDefault="00021C27" w:rsidP="00021C27">
            <w:pPr>
              <w:spacing w:after="0" w:line="240" w:lineRule="auto"/>
              <w:jc w:val="center"/>
            </w:pPr>
            <w:r w:rsidRPr="004C324E">
              <w:t>301.8%</w:t>
            </w:r>
          </w:p>
        </w:tc>
      </w:tr>
      <w:tr w:rsidR="00021C27" w:rsidRPr="004C324E" w14:paraId="08D8884F" w14:textId="77777777" w:rsidTr="00021C27">
        <w:trPr>
          <w:trHeight w:val="300"/>
        </w:trPr>
        <w:tc>
          <w:tcPr>
            <w:tcW w:w="4460" w:type="dxa"/>
            <w:tcBorders>
              <w:top w:val="nil"/>
              <w:left w:val="single" w:sz="8" w:space="0" w:color="auto"/>
              <w:bottom w:val="nil"/>
              <w:right w:val="nil"/>
            </w:tcBorders>
            <w:noWrap/>
            <w:tcMar>
              <w:top w:w="0" w:type="dxa"/>
              <w:left w:w="108" w:type="dxa"/>
              <w:bottom w:w="0" w:type="dxa"/>
              <w:right w:w="108" w:type="dxa"/>
            </w:tcMar>
            <w:vAlign w:val="bottom"/>
            <w:hideMark/>
          </w:tcPr>
          <w:p w14:paraId="08D8884A" w14:textId="77777777" w:rsidR="00021C27" w:rsidRPr="000B0F4A" w:rsidRDefault="00021C27" w:rsidP="0037203E">
            <w:pPr>
              <w:keepNext/>
              <w:spacing w:after="0" w:line="240" w:lineRule="auto"/>
            </w:pPr>
            <w:r w:rsidRPr="000B0F4A">
              <w:t>Professional, Scientific and Technical Services</w:t>
            </w:r>
          </w:p>
        </w:tc>
        <w:tc>
          <w:tcPr>
            <w:tcW w:w="1210" w:type="dxa"/>
            <w:tcBorders>
              <w:top w:val="nil"/>
              <w:left w:val="single" w:sz="8" w:space="0" w:color="auto"/>
              <w:bottom w:val="nil"/>
              <w:right w:val="single" w:sz="8" w:space="0" w:color="auto"/>
            </w:tcBorders>
            <w:noWrap/>
            <w:tcMar>
              <w:top w:w="0" w:type="dxa"/>
              <w:left w:w="108" w:type="dxa"/>
              <w:bottom w:w="0" w:type="dxa"/>
              <w:right w:w="108" w:type="dxa"/>
            </w:tcMar>
            <w:vAlign w:val="center"/>
          </w:tcPr>
          <w:p w14:paraId="08D8884B" w14:textId="77777777" w:rsidR="00021C27" w:rsidRPr="004C324E" w:rsidRDefault="00021C27" w:rsidP="00021C27">
            <w:pPr>
              <w:spacing w:after="0" w:line="240" w:lineRule="auto"/>
              <w:jc w:val="center"/>
            </w:pPr>
            <w:r w:rsidRPr="004C324E">
              <w:t>397</w:t>
            </w:r>
          </w:p>
        </w:tc>
        <w:tc>
          <w:tcPr>
            <w:tcW w:w="1236" w:type="dxa"/>
            <w:noWrap/>
            <w:tcMar>
              <w:top w:w="0" w:type="dxa"/>
              <w:left w:w="108" w:type="dxa"/>
              <w:bottom w:w="0" w:type="dxa"/>
              <w:right w:w="108" w:type="dxa"/>
            </w:tcMar>
            <w:vAlign w:val="center"/>
          </w:tcPr>
          <w:p w14:paraId="08D8884C" w14:textId="77777777" w:rsidR="00021C27" w:rsidRPr="004C324E" w:rsidRDefault="00021C27" w:rsidP="00021C27">
            <w:pPr>
              <w:spacing w:after="0" w:line="240" w:lineRule="auto"/>
              <w:jc w:val="center"/>
            </w:pPr>
            <w:r w:rsidRPr="004C324E">
              <w:t>-32.0%</w:t>
            </w:r>
          </w:p>
        </w:tc>
        <w:tc>
          <w:tcPr>
            <w:tcW w:w="1192" w:type="dxa"/>
            <w:noWrap/>
            <w:tcMar>
              <w:top w:w="0" w:type="dxa"/>
              <w:left w:w="108" w:type="dxa"/>
              <w:bottom w:w="0" w:type="dxa"/>
              <w:right w:w="108" w:type="dxa"/>
            </w:tcMar>
            <w:vAlign w:val="center"/>
          </w:tcPr>
          <w:p w14:paraId="08D8884D" w14:textId="77777777" w:rsidR="00021C27" w:rsidRPr="004C324E" w:rsidRDefault="00021C27" w:rsidP="00021C27">
            <w:pPr>
              <w:spacing w:after="0" w:line="240" w:lineRule="auto"/>
              <w:jc w:val="center"/>
            </w:pPr>
            <w:r w:rsidRPr="004C324E">
              <w:t>22.2%</w:t>
            </w:r>
          </w:p>
        </w:tc>
        <w:tc>
          <w:tcPr>
            <w:tcW w:w="1278" w:type="dxa"/>
            <w:tcBorders>
              <w:top w:val="nil"/>
              <w:left w:val="nil"/>
              <w:bottom w:val="nil"/>
              <w:right w:val="single" w:sz="8" w:space="0" w:color="auto"/>
            </w:tcBorders>
            <w:noWrap/>
            <w:tcMar>
              <w:top w:w="0" w:type="dxa"/>
              <w:left w:w="108" w:type="dxa"/>
              <w:bottom w:w="0" w:type="dxa"/>
              <w:right w:w="108" w:type="dxa"/>
            </w:tcMar>
            <w:vAlign w:val="center"/>
          </w:tcPr>
          <w:p w14:paraId="08D8884E" w14:textId="77777777" w:rsidR="00021C27" w:rsidRPr="004C324E" w:rsidRDefault="00021C27" w:rsidP="00021C27">
            <w:pPr>
              <w:spacing w:after="0" w:line="240" w:lineRule="auto"/>
              <w:jc w:val="center"/>
            </w:pPr>
            <w:r w:rsidRPr="004C324E">
              <w:t>331.5%</w:t>
            </w:r>
          </w:p>
        </w:tc>
      </w:tr>
      <w:tr w:rsidR="00021C27" w:rsidRPr="004C324E" w14:paraId="08D88855" w14:textId="77777777" w:rsidTr="00021C27">
        <w:trPr>
          <w:trHeight w:val="315"/>
        </w:trPr>
        <w:tc>
          <w:tcPr>
            <w:tcW w:w="4460" w:type="dxa"/>
            <w:tcBorders>
              <w:top w:val="nil"/>
              <w:left w:val="single" w:sz="8" w:space="0" w:color="auto"/>
              <w:bottom w:val="single" w:sz="8" w:space="0" w:color="auto"/>
              <w:right w:val="nil"/>
            </w:tcBorders>
            <w:noWrap/>
            <w:tcMar>
              <w:top w:w="0" w:type="dxa"/>
              <w:left w:w="108" w:type="dxa"/>
              <w:bottom w:w="0" w:type="dxa"/>
              <w:right w:w="108" w:type="dxa"/>
            </w:tcMar>
            <w:vAlign w:val="bottom"/>
            <w:hideMark/>
          </w:tcPr>
          <w:p w14:paraId="08D88850" w14:textId="77777777" w:rsidR="00021C27" w:rsidRPr="000B0F4A" w:rsidRDefault="00021C27" w:rsidP="0037203E">
            <w:pPr>
              <w:keepNext/>
              <w:spacing w:after="0" w:line="240" w:lineRule="auto"/>
            </w:pPr>
            <w:r w:rsidRPr="000B0F4A">
              <w:t>Employees</w:t>
            </w:r>
          </w:p>
        </w:tc>
        <w:tc>
          <w:tcPr>
            <w:tcW w:w="121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14:paraId="08D88851" w14:textId="77777777" w:rsidR="00021C27" w:rsidRPr="004C324E" w:rsidRDefault="00021C27" w:rsidP="00021C27">
            <w:pPr>
              <w:spacing w:after="0" w:line="240" w:lineRule="auto"/>
              <w:jc w:val="center"/>
            </w:pPr>
            <w:r w:rsidRPr="004C324E">
              <w:t>36</w:t>
            </w:r>
            <w:r w:rsidR="00A55A45">
              <w:t>,</w:t>
            </w:r>
            <w:r w:rsidRPr="004C324E">
              <w:t>372</w:t>
            </w:r>
          </w:p>
        </w:tc>
        <w:tc>
          <w:tcPr>
            <w:tcW w:w="1236" w:type="dxa"/>
            <w:tcBorders>
              <w:top w:val="nil"/>
              <w:left w:val="nil"/>
              <w:bottom w:val="single" w:sz="8" w:space="0" w:color="auto"/>
              <w:right w:val="nil"/>
            </w:tcBorders>
            <w:noWrap/>
            <w:tcMar>
              <w:top w:w="0" w:type="dxa"/>
              <w:left w:w="108" w:type="dxa"/>
              <w:bottom w:w="0" w:type="dxa"/>
              <w:right w:w="108" w:type="dxa"/>
            </w:tcMar>
            <w:vAlign w:val="center"/>
          </w:tcPr>
          <w:p w14:paraId="08D88852" w14:textId="77777777" w:rsidR="00021C27" w:rsidRPr="004C324E" w:rsidRDefault="00021C27" w:rsidP="00021C27">
            <w:pPr>
              <w:spacing w:after="0" w:line="240" w:lineRule="auto"/>
              <w:jc w:val="center"/>
            </w:pPr>
            <w:r w:rsidRPr="004C324E">
              <w:t>3.6%</w:t>
            </w:r>
          </w:p>
        </w:tc>
        <w:tc>
          <w:tcPr>
            <w:tcW w:w="1192" w:type="dxa"/>
            <w:tcBorders>
              <w:top w:val="nil"/>
              <w:left w:val="nil"/>
              <w:bottom w:val="single" w:sz="8" w:space="0" w:color="auto"/>
              <w:right w:val="nil"/>
            </w:tcBorders>
            <w:noWrap/>
            <w:tcMar>
              <w:top w:w="0" w:type="dxa"/>
              <w:left w:w="108" w:type="dxa"/>
              <w:bottom w:w="0" w:type="dxa"/>
              <w:right w:w="108" w:type="dxa"/>
            </w:tcMar>
            <w:vAlign w:val="center"/>
          </w:tcPr>
          <w:p w14:paraId="08D88853" w14:textId="77777777" w:rsidR="00021C27" w:rsidRPr="004C324E" w:rsidRDefault="00021C27" w:rsidP="00021C27">
            <w:pPr>
              <w:spacing w:after="0" w:line="240" w:lineRule="auto"/>
              <w:jc w:val="center"/>
            </w:pPr>
            <w:r w:rsidRPr="004C324E">
              <w:t>90.5%</w:t>
            </w:r>
          </w:p>
        </w:tc>
        <w:tc>
          <w:tcPr>
            <w:tcW w:w="1278"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08D88854" w14:textId="77777777" w:rsidR="00021C27" w:rsidRPr="004C324E" w:rsidRDefault="00021C27" w:rsidP="00021C27">
            <w:pPr>
              <w:spacing w:after="0" w:line="240" w:lineRule="auto"/>
              <w:jc w:val="center"/>
            </w:pPr>
            <w:r w:rsidRPr="004C324E">
              <w:t>346.4%</w:t>
            </w:r>
          </w:p>
        </w:tc>
      </w:tr>
      <w:tr w:rsidR="00021C27" w:rsidRPr="004C324E" w14:paraId="08D8885B" w14:textId="77777777" w:rsidTr="00021C27">
        <w:trPr>
          <w:trHeight w:val="300"/>
        </w:trPr>
        <w:tc>
          <w:tcPr>
            <w:tcW w:w="4460" w:type="dxa"/>
            <w:tcBorders>
              <w:top w:val="nil"/>
              <w:left w:val="single" w:sz="8" w:space="0" w:color="auto"/>
              <w:bottom w:val="nil"/>
              <w:right w:val="nil"/>
            </w:tcBorders>
            <w:noWrap/>
            <w:tcMar>
              <w:top w:w="0" w:type="dxa"/>
              <w:left w:w="108" w:type="dxa"/>
              <w:bottom w:w="0" w:type="dxa"/>
              <w:right w:w="108" w:type="dxa"/>
            </w:tcMar>
            <w:vAlign w:val="bottom"/>
            <w:hideMark/>
          </w:tcPr>
          <w:p w14:paraId="08D88856" w14:textId="77777777" w:rsidR="00021C27" w:rsidRPr="000B0F4A" w:rsidRDefault="00021C27" w:rsidP="0037203E">
            <w:pPr>
              <w:keepNext/>
              <w:spacing w:after="0" w:line="240" w:lineRule="auto"/>
            </w:pPr>
            <w:r w:rsidRPr="000B0F4A">
              <w:t>Public Administration and Safety</w:t>
            </w:r>
          </w:p>
        </w:tc>
        <w:tc>
          <w:tcPr>
            <w:tcW w:w="1210" w:type="dxa"/>
            <w:tcBorders>
              <w:top w:val="nil"/>
              <w:left w:val="single" w:sz="8" w:space="0" w:color="auto"/>
              <w:bottom w:val="nil"/>
              <w:right w:val="single" w:sz="8" w:space="0" w:color="auto"/>
            </w:tcBorders>
            <w:noWrap/>
            <w:tcMar>
              <w:top w:w="0" w:type="dxa"/>
              <w:left w:w="108" w:type="dxa"/>
              <w:bottom w:w="0" w:type="dxa"/>
              <w:right w:w="108" w:type="dxa"/>
            </w:tcMar>
            <w:vAlign w:val="center"/>
          </w:tcPr>
          <w:p w14:paraId="08D88857" w14:textId="77777777" w:rsidR="00021C27" w:rsidRPr="004C324E" w:rsidRDefault="00021C27" w:rsidP="00021C27">
            <w:pPr>
              <w:spacing w:after="0" w:line="240" w:lineRule="auto"/>
              <w:jc w:val="center"/>
            </w:pPr>
            <w:r w:rsidRPr="004C324E">
              <w:t>212</w:t>
            </w:r>
          </w:p>
        </w:tc>
        <w:tc>
          <w:tcPr>
            <w:tcW w:w="1236" w:type="dxa"/>
            <w:noWrap/>
            <w:tcMar>
              <w:top w:w="0" w:type="dxa"/>
              <w:left w:w="108" w:type="dxa"/>
              <w:bottom w:w="0" w:type="dxa"/>
              <w:right w:w="108" w:type="dxa"/>
            </w:tcMar>
            <w:vAlign w:val="center"/>
          </w:tcPr>
          <w:p w14:paraId="08D88858" w14:textId="77777777" w:rsidR="00021C27" w:rsidRPr="004C324E" w:rsidRDefault="00021C27" w:rsidP="00021C27">
            <w:pPr>
              <w:spacing w:after="0" w:line="240" w:lineRule="auto"/>
              <w:jc w:val="center"/>
            </w:pPr>
            <w:r w:rsidRPr="004C324E">
              <w:t>-24.3%</w:t>
            </w:r>
          </w:p>
        </w:tc>
        <w:tc>
          <w:tcPr>
            <w:tcW w:w="1192" w:type="dxa"/>
            <w:noWrap/>
            <w:tcMar>
              <w:top w:w="0" w:type="dxa"/>
              <w:left w:w="108" w:type="dxa"/>
              <w:bottom w:w="0" w:type="dxa"/>
              <w:right w:w="108" w:type="dxa"/>
            </w:tcMar>
            <w:vAlign w:val="center"/>
          </w:tcPr>
          <w:p w14:paraId="08D88859" w14:textId="77777777" w:rsidR="00021C27" w:rsidRPr="004C324E" w:rsidRDefault="00021C27" w:rsidP="00021C27">
            <w:pPr>
              <w:spacing w:after="0" w:line="240" w:lineRule="auto"/>
              <w:jc w:val="center"/>
            </w:pPr>
            <w:r w:rsidRPr="004C324E">
              <w:t>-35.2%</w:t>
            </w:r>
          </w:p>
        </w:tc>
        <w:tc>
          <w:tcPr>
            <w:tcW w:w="1278" w:type="dxa"/>
            <w:tcBorders>
              <w:top w:val="nil"/>
              <w:left w:val="nil"/>
              <w:bottom w:val="nil"/>
              <w:right w:val="single" w:sz="8" w:space="0" w:color="auto"/>
            </w:tcBorders>
            <w:noWrap/>
            <w:tcMar>
              <w:top w:w="0" w:type="dxa"/>
              <w:left w:w="108" w:type="dxa"/>
              <w:bottom w:w="0" w:type="dxa"/>
              <w:right w:w="108" w:type="dxa"/>
            </w:tcMar>
            <w:vAlign w:val="center"/>
          </w:tcPr>
          <w:p w14:paraId="08D8885A" w14:textId="77777777" w:rsidR="00021C27" w:rsidRPr="004C324E" w:rsidRDefault="00021C27" w:rsidP="00021C27">
            <w:pPr>
              <w:spacing w:after="0" w:line="240" w:lineRule="auto"/>
              <w:jc w:val="center"/>
            </w:pPr>
            <w:r w:rsidRPr="004C324E">
              <w:t>73.8%</w:t>
            </w:r>
          </w:p>
        </w:tc>
      </w:tr>
      <w:tr w:rsidR="00021C27" w:rsidRPr="004C324E" w14:paraId="08D88861" w14:textId="77777777" w:rsidTr="00021C27">
        <w:trPr>
          <w:trHeight w:val="315"/>
        </w:trPr>
        <w:tc>
          <w:tcPr>
            <w:tcW w:w="4460" w:type="dxa"/>
            <w:tcBorders>
              <w:top w:val="nil"/>
              <w:left w:val="single" w:sz="8" w:space="0" w:color="auto"/>
              <w:bottom w:val="single" w:sz="8" w:space="0" w:color="auto"/>
              <w:right w:val="nil"/>
            </w:tcBorders>
            <w:noWrap/>
            <w:tcMar>
              <w:top w:w="0" w:type="dxa"/>
              <w:left w:w="108" w:type="dxa"/>
              <w:bottom w:w="0" w:type="dxa"/>
              <w:right w:w="108" w:type="dxa"/>
            </w:tcMar>
            <w:vAlign w:val="bottom"/>
            <w:hideMark/>
          </w:tcPr>
          <w:p w14:paraId="08D8885C" w14:textId="77777777" w:rsidR="00021C27" w:rsidRPr="000B0F4A" w:rsidRDefault="00021C27" w:rsidP="0037203E">
            <w:pPr>
              <w:keepNext/>
              <w:spacing w:after="0" w:line="240" w:lineRule="auto"/>
            </w:pPr>
            <w:r w:rsidRPr="000B0F4A">
              <w:t>Employees</w:t>
            </w:r>
          </w:p>
        </w:tc>
        <w:tc>
          <w:tcPr>
            <w:tcW w:w="121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14:paraId="08D8885D" w14:textId="77777777" w:rsidR="00021C27" w:rsidRPr="004C324E" w:rsidRDefault="00021C27" w:rsidP="00021C27">
            <w:pPr>
              <w:spacing w:after="0" w:line="240" w:lineRule="auto"/>
              <w:jc w:val="center"/>
            </w:pPr>
            <w:r w:rsidRPr="004C324E">
              <w:t>17</w:t>
            </w:r>
            <w:r w:rsidR="00A55A45">
              <w:t>,</w:t>
            </w:r>
            <w:r w:rsidRPr="004C324E">
              <w:t>568</w:t>
            </w:r>
          </w:p>
        </w:tc>
        <w:tc>
          <w:tcPr>
            <w:tcW w:w="1236" w:type="dxa"/>
            <w:tcBorders>
              <w:top w:val="nil"/>
              <w:left w:val="nil"/>
              <w:bottom w:val="single" w:sz="8" w:space="0" w:color="auto"/>
              <w:right w:val="nil"/>
            </w:tcBorders>
            <w:noWrap/>
            <w:tcMar>
              <w:top w:w="0" w:type="dxa"/>
              <w:left w:w="108" w:type="dxa"/>
              <w:bottom w:w="0" w:type="dxa"/>
              <w:right w:w="108" w:type="dxa"/>
            </w:tcMar>
            <w:vAlign w:val="center"/>
          </w:tcPr>
          <w:p w14:paraId="08D8885E" w14:textId="77777777" w:rsidR="00021C27" w:rsidRPr="004C324E" w:rsidRDefault="00021C27" w:rsidP="00021C27">
            <w:pPr>
              <w:spacing w:after="0" w:line="240" w:lineRule="auto"/>
              <w:jc w:val="center"/>
            </w:pPr>
            <w:r w:rsidRPr="004C324E">
              <w:t>3.8%</w:t>
            </w:r>
          </w:p>
        </w:tc>
        <w:tc>
          <w:tcPr>
            <w:tcW w:w="1192" w:type="dxa"/>
            <w:tcBorders>
              <w:top w:val="nil"/>
              <w:left w:val="nil"/>
              <w:bottom w:val="single" w:sz="8" w:space="0" w:color="auto"/>
              <w:right w:val="nil"/>
            </w:tcBorders>
            <w:noWrap/>
            <w:tcMar>
              <w:top w:w="0" w:type="dxa"/>
              <w:left w:w="108" w:type="dxa"/>
              <w:bottom w:w="0" w:type="dxa"/>
              <w:right w:w="108" w:type="dxa"/>
            </w:tcMar>
            <w:vAlign w:val="center"/>
          </w:tcPr>
          <w:p w14:paraId="08D8885F" w14:textId="77777777" w:rsidR="00021C27" w:rsidRPr="004C324E" w:rsidRDefault="00021C27" w:rsidP="00021C27">
            <w:pPr>
              <w:spacing w:after="0" w:line="240" w:lineRule="auto"/>
              <w:jc w:val="center"/>
            </w:pPr>
            <w:r w:rsidRPr="004C324E">
              <w:t>-15.5%</w:t>
            </w:r>
          </w:p>
        </w:tc>
        <w:tc>
          <w:tcPr>
            <w:tcW w:w="1278"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08D88860" w14:textId="77777777" w:rsidR="00021C27" w:rsidRPr="004C324E" w:rsidRDefault="00021C27" w:rsidP="00021C27">
            <w:pPr>
              <w:spacing w:after="0" w:line="240" w:lineRule="auto"/>
              <w:jc w:val="center"/>
            </w:pPr>
            <w:r w:rsidRPr="004C324E">
              <w:t>78.1%</w:t>
            </w:r>
          </w:p>
        </w:tc>
      </w:tr>
      <w:tr w:rsidR="00021C27" w:rsidRPr="004C324E" w14:paraId="08D88867" w14:textId="77777777" w:rsidTr="00021C27">
        <w:trPr>
          <w:trHeight w:val="300"/>
        </w:trPr>
        <w:tc>
          <w:tcPr>
            <w:tcW w:w="4460" w:type="dxa"/>
            <w:tcBorders>
              <w:top w:val="nil"/>
              <w:left w:val="single" w:sz="8" w:space="0" w:color="auto"/>
              <w:bottom w:val="nil"/>
              <w:right w:val="nil"/>
            </w:tcBorders>
            <w:noWrap/>
            <w:tcMar>
              <w:top w:w="0" w:type="dxa"/>
              <w:left w:w="108" w:type="dxa"/>
              <w:bottom w:w="0" w:type="dxa"/>
              <w:right w:w="108" w:type="dxa"/>
            </w:tcMar>
            <w:vAlign w:val="bottom"/>
            <w:hideMark/>
          </w:tcPr>
          <w:p w14:paraId="08D88862" w14:textId="77777777" w:rsidR="00021C27" w:rsidRPr="000B0F4A" w:rsidRDefault="00021C27" w:rsidP="0037203E">
            <w:pPr>
              <w:keepNext/>
              <w:spacing w:after="0" w:line="240" w:lineRule="auto"/>
            </w:pPr>
            <w:r w:rsidRPr="000B0F4A">
              <w:t>Rental, Hiring and Real Estate Services</w:t>
            </w:r>
          </w:p>
        </w:tc>
        <w:tc>
          <w:tcPr>
            <w:tcW w:w="1210" w:type="dxa"/>
            <w:tcBorders>
              <w:top w:val="nil"/>
              <w:left w:val="single" w:sz="8" w:space="0" w:color="auto"/>
              <w:bottom w:val="nil"/>
              <w:right w:val="single" w:sz="8" w:space="0" w:color="auto"/>
            </w:tcBorders>
            <w:noWrap/>
            <w:tcMar>
              <w:top w:w="0" w:type="dxa"/>
              <w:left w:w="108" w:type="dxa"/>
              <w:bottom w:w="0" w:type="dxa"/>
              <w:right w:w="108" w:type="dxa"/>
            </w:tcMar>
            <w:vAlign w:val="center"/>
          </w:tcPr>
          <w:p w14:paraId="08D88863" w14:textId="77777777" w:rsidR="00021C27" w:rsidRPr="004C324E" w:rsidRDefault="00021C27" w:rsidP="00021C27">
            <w:pPr>
              <w:spacing w:after="0" w:line="240" w:lineRule="auto"/>
              <w:jc w:val="center"/>
            </w:pPr>
            <w:r w:rsidRPr="004C324E">
              <w:t>268</w:t>
            </w:r>
          </w:p>
        </w:tc>
        <w:tc>
          <w:tcPr>
            <w:tcW w:w="1236" w:type="dxa"/>
            <w:noWrap/>
            <w:tcMar>
              <w:top w:w="0" w:type="dxa"/>
              <w:left w:w="108" w:type="dxa"/>
              <w:bottom w:w="0" w:type="dxa"/>
              <w:right w:w="108" w:type="dxa"/>
            </w:tcMar>
            <w:vAlign w:val="center"/>
          </w:tcPr>
          <w:p w14:paraId="08D88864" w14:textId="77777777" w:rsidR="00021C27" w:rsidRPr="004C324E" w:rsidRDefault="00021C27" w:rsidP="00021C27">
            <w:pPr>
              <w:spacing w:after="0" w:line="240" w:lineRule="auto"/>
              <w:jc w:val="center"/>
            </w:pPr>
            <w:r w:rsidRPr="004C324E">
              <w:t>-31.1%</w:t>
            </w:r>
          </w:p>
        </w:tc>
        <w:tc>
          <w:tcPr>
            <w:tcW w:w="1192" w:type="dxa"/>
            <w:noWrap/>
            <w:tcMar>
              <w:top w:w="0" w:type="dxa"/>
              <w:left w:w="108" w:type="dxa"/>
              <w:bottom w:w="0" w:type="dxa"/>
              <w:right w:w="108" w:type="dxa"/>
            </w:tcMar>
            <w:vAlign w:val="center"/>
          </w:tcPr>
          <w:p w14:paraId="08D88865" w14:textId="77777777" w:rsidR="00021C27" w:rsidRPr="004C324E" w:rsidRDefault="00021C27" w:rsidP="00021C27">
            <w:pPr>
              <w:spacing w:after="0" w:line="240" w:lineRule="auto"/>
              <w:jc w:val="center"/>
            </w:pPr>
            <w:r w:rsidRPr="004C324E">
              <w:t>-2.5%</w:t>
            </w:r>
          </w:p>
        </w:tc>
        <w:tc>
          <w:tcPr>
            <w:tcW w:w="1278" w:type="dxa"/>
            <w:tcBorders>
              <w:top w:val="nil"/>
              <w:left w:val="nil"/>
              <w:bottom w:val="nil"/>
              <w:right w:val="single" w:sz="8" w:space="0" w:color="auto"/>
            </w:tcBorders>
            <w:noWrap/>
            <w:tcMar>
              <w:top w:w="0" w:type="dxa"/>
              <w:left w:w="108" w:type="dxa"/>
              <w:bottom w:w="0" w:type="dxa"/>
              <w:right w:w="108" w:type="dxa"/>
            </w:tcMar>
            <w:vAlign w:val="center"/>
          </w:tcPr>
          <w:p w14:paraId="08D88866" w14:textId="77777777" w:rsidR="00021C27" w:rsidRPr="004C324E" w:rsidRDefault="00021C27" w:rsidP="00021C27">
            <w:pPr>
              <w:spacing w:after="0" w:line="240" w:lineRule="auto"/>
              <w:jc w:val="center"/>
            </w:pPr>
            <w:r w:rsidRPr="004C324E">
              <w:t>170.7%</w:t>
            </w:r>
          </w:p>
        </w:tc>
      </w:tr>
      <w:tr w:rsidR="00021C27" w:rsidRPr="004C324E" w14:paraId="08D8886D" w14:textId="77777777" w:rsidTr="00021C27">
        <w:trPr>
          <w:trHeight w:val="315"/>
        </w:trPr>
        <w:tc>
          <w:tcPr>
            <w:tcW w:w="4460" w:type="dxa"/>
            <w:tcBorders>
              <w:top w:val="nil"/>
              <w:left w:val="single" w:sz="8" w:space="0" w:color="auto"/>
              <w:bottom w:val="single" w:sz="8" w:space="0" w:color="auto"/>
              <w:right w:val="nil"/>
            </w:tcBorders>
            <w:noWrap/>
            <w:tcMar>
              <w:top w:w="0" w:type="dxa"/>
              <w:left w:w="108" w:type="dxa"/>
              <w:bottom w:w="0" w:type="dxa"/>
              <w:right w:w="108" w:type="dxa"/>
            </w:tcMar>
            <w:vAlign w:val="bottom"/>
            <w:hideMark/>
          </w:tcPr>
          <w:p w14:paraId="08D88868" w14:textId="77777777" w:rsidR="00021C27" w:rsidRPr="000B0F4A" w:rsidRDefault="00021C27" w:rsidP="0037203E">
            <w:pPr>
              <w:keepNext/>
              <w:spacing w:after="0" w:line="240" w:lineRule="auto"/>
            </w:pPr>
            <w:r w:rsidRPr="000B0F4A">
              <w:t>Employees</w:t>
            </w:r>
          </w:p>
        </w:tc>
        <w:tc>
          <w:tcPr>
            <w:tcW w:w="121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14:paraId="08D88869" w14:textId="77777777" w:rsidR="00021C27" w:rsidRPr="004C324E" w:rsidRDefault="00021C27" w:rsidP="00021C27">
            <w:pPr>
              <w:spacing w:after="0" w:line="240" w:lineRule="auto"/>
              <w:jc w:val="center"/>
            </w:pPr>
            <w:r w:rsidRPr="004C324E">
              <w:t>8</w:t>
            </w:r>
            <w:r w:rsidR="00A55A45">
              <w:t>,</w:t>
            </w:r>
            <w:r w:rsidRPr="004C324E">
              <w:t>086</w:t>
            </w:r>
          </w:p>
        </w:tc>
        <w:tc>
          <w:tcPr>
            <w:tcW w:w="1236" w:type="dxa"/>
            <w:tcBorders>
              <w:top w:val="nil"/>
              <w:left w:val="nil"/>
              <w:bottom w:val="single" w:sz="8" w:space="0" w:color="auto"/>
              <w:right w:val="nil"/>
            </w:tcBorders>
            <w:noWrap/>
            <w:tcMar>
              <w:top w:w="0" w:type="dxa"/>
              <w:left w:w="108" w:type="dxa"/>
              <w:bottom w:w="0" w:type="dxa"/>
              <w:right w:w="108" w:type="dxa"/>
            </w:tcMar>
            <w:vAlign w:val="center"/>
          </w:tcPr>
          <w:p w14:paraId="08D8886A" w14:textId="77777777" w:rsidR="00021C27" w:rsidRPr="004C324E" w:rsidRDefault="00021C27" w:rsidP="00021C27">
            <w:pPr>
              <w:spacing w:after="0" w:line="240" w:lineRule="auto"/>
              <w:jc w:val="center"/>
            </w:pPr>
            <w:r w:rsidRPr="004C324E">
              <w:t>-11.8%</w:t>
            </w:r>
          </w:p>
        </w:tc>
        <w:tc>
          <w:tcPr>
            <w:tcW w:w="1192" w:type="dxa"/>
            <w:tcBorders>
              <w:top w:val="nil"/>
              <w:left w:val="nil"/>
              <w:bottom w:val="single" w:sz="8" w:space="0" w:color="auto"/>
              <w:right w:val="nil"/>
            </w:tcBorders>
            <w:noWrap/>
            <w:tcMar>
              <w:top w:w="0" w:type="dxa"/>
              <w:left w:w="108" w:type="dxa"/>
              <w:bottom w:w="0" w:type="dxa"/>
              <w:right w:w="108" w:type="dxa"/>
            </w:tcMar>
            <w:vAlign w:val="center"/>
          </w:tcPr>
          <w:p w14:paraId="08D8886B" w14:textId="77777777" w:rsidR="00021C27" w:rsidRPr="004C324E" w:rsidRDefault="00021C27" w:rsidP="00021C27">
            <w:pPr>
              <w:spacing w:after="0" w:line="240" w:lineRule="auto"/>
              <w:jc w:val="center"/>
            </w:pPr>
            <w:r w:rsidRPr="004C324E">
              <w:t>62.8%</w:t>
            </w:r>
          </w:p>
        </w:tc>
        <w:tc>
          <w:tcPr>
            <w:tcW w:w="1278"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08D8886C" w14:textId="77777777" w:rsidR="00021C27" w:rsidRPr="004C324E" w:rsidRDefault="00021C27" w:rsidP="00021C27">
            <w:pPr>
              <w:spacing w:after="0" w:line="240" w:lineRule="auto"/>
              <w:jc w:val="center"/>
            </w:pPr>
            <w:r w:rsidRPr="004C324E">
              <w:t>270.1%</w:t>
            </w:r>
          </w:p>
        </w:tc>
      </w:tr>
      <w:tr w:rsidR="00021C27" w:rsidRPr="004C324E" w14:paraId="08D88873" w14:textId="77777777" w:rsidTr="00021C27">
        <w:trPr>
          <w:trHeight w:val="300"/>
        </w:trPr>
        <w:tc>
          <w:tcPr>
            <w:tcW w:w="4460" w:type="dxa"/>
            <w:tcBorders>
              <w:top w:val="nil"/>
              <w:left w:val="single" w:sz="8" w:space="0" w:color="auto"/>
              <w:bottom w:val="nil"/>
              <w:right w:val="nil"/>
            </w:tcBorders>
            <w:noWrap/>
            <w:tcMar>
              <w:top w:w="0" w:type="dxa"/>
              <w:left w:w="108" w:type="dxa"/>
              <w:bottom w:w="0" w:type="dxa"/>
              <w:right w:w="108" w:type="dxa"/>
            </w:tcMar>
            <w:vAlign w:val="bottom"/>
            <w:hideMark/>
          </w:tcPr>
          <w:p w14:paraId="08D8886E" w14:textId="77777777" w:rsidR="00021C27" w:rsidRPr="000B0F4A" w:rsidRDefault="00021C27" w:rsidP="0037203E">
            <w:pPr>
              <w:keepNext/>
              <w:spacing w:after="0" w:line="240" w:lineRule="auto"/>
            </w:pPr>
            <w:r w:rsidRPr="000B0F4A">
              <w:t>Retail Trade</w:t>
            </w:r>
          </w:p>
        </w:tc>
        <w:tc>
          <w:tcPr>
            <w:tcW w:w="1210" w:type="dxa"/>
            <w:tcBorders>
              <w:top w:val="nil"/>
              <w:left w:val="single" w:sz="8" w:space="0" w:color="auto"/>
              <w:bottom w:val="nil"/>
              <w:right w:val="single" w:sz="8" w:space="0" w:color="auto"/>
            </w:tcBorders>
            <w:noWrap/>
            <w:tcMar>
              <w:top w:w="0" w:type="dxa"/>
              <w:left w:w="108" w:type="dxa"/>
              <w:bottom w:w="0" w:type="dxa"/>
              <w:right w:w="108" w:type="dxa"/>
            </w:tcMar>
            <w:vAlign w:val="center"/>
          </w:tcPr>
          <w:p w14:paraId="08D8886F" w14:textId="77777777" w:rsidR="00021C27" w:rsidRPr="004C324E" w:rsidRDefault="00021C27" w:rsidP="00021C27">
            <w:pPr>
              <w:spacing w:after="0" w:line="240" w:lineRule="auto"/>
              <w:jc w:val="center"/>
            </w:pPr>
            <w:r w:rsidRPr="004C324E">
              <w:t>259</w:t>
            </w:r>
          </w:p>
        </w:tc>
        <w:tc>
          <w:tcPr>
            <w:tcW w:w="1236" w:type="dxa"/>
            <w:noWrap/>
            <w:tcMar>
              <w:top w:w="0" w:type="dxa"/>
              <w:left w:w="108" w:type="dxa"/>
              <w:bottom w:w="0" w:type="dxa"/>
              <w:right w:w="108" w:type="dxa"/>
            </w:tcMar>
            <w:vAlign w:val="center"/>
          </w:tcPr>
          <w:p w14:paraId="08D88870" w14:textId="77777777" w:rsidR="00021C27" w:rsidRPr="004C324E" w:rsidRDefault="00021C27" w:rsidP="00021C27">
            <w:pPr>
              <w:spacing w:after="0" w:line="240" w:lineRule="auto"/>
              <w:jc w:val="center"/>
            </w:pPr>
            <w:r w:rsidRPr="004C324E">
              <w:t>-49.1%</w:t>
            </w:r>
          </w:p>
        </w:tc>
        <w:tc>
          <w:tcPr>
            <w:tcW w:w="1192" w:type="dxa"/>
            <w:noWrap/>
            <w:tcMar>
              <w:top w:w="0" w:type="dxa"/>
              <w:left w:w="108" w:type="dxa"/>
              <w:bottom w:w="0" w:type="dxa"/>
              <w:right w:w="108" w:type="dxa"/>
            </w:tcMar>
            <w:vAlign w:val="center"/>
          </w:tcPr>
          <w:p w14:paraId="08D88871" w14:textId="77777777" w:rsidR="00021C27" w:rsidRPr="004C324E" w:rsidRDefault="00021C27" w:rsidP="00021C27">
            <w:pPr>
              <w:spacing w:after="0" w:line="240" w:lineRule="auto"/>
              <w:jc w:val="center"/>
            </w:pPr>
            <w:r w:rsidRPr="004C324E">
              <w:t>-84.4%</w:t>
            </w:r>
          </w:p>
        </w:tc>
        <w:tc>
          <w:tcPr>
            <w:tcW w:w="1278" w:type="dxa"/>
            <w:tcBorders>
              <w:top w:val="nil"/>
              <w:left w:val="nil"/>
              <w:bottom w:val="nil"/>
              <w:right w:val="single" w:sz="8" w:space="0" w:color="auto"/>
            </w:tcBorders>
            <w:noWrap/>
            <w:tcMar>
              <w:top w:w="0" w:type="dxa"/>
              <w:left w:w="108" w:type="dxa"/>
              <w:bottom w:w="0" w:type="dxa"/>
              <w:right w:w="108" w:type="dxa"/>
            </w:tcMar>
            <w:vAlign w:val="center"/>
          </w:tcPr>
          <w:p w14:paraId="08D88872" w14:textId="77777777" w:rsidR="00021C27" w:rsidRPr="004C324E" w:rsidRDefault="00021C27" w:rsidP="00021C27">
            <w:pPr>
              <w:spacing w:after="0" w:line="240" w:lineRule="auto"/>
              <w:jc w:val="center"/>
            </w:pPr>
            <w:r w:rsidRPr="004C324E">
              <w:t>-23.8%</w:t>
            </w:r>
          </w:p>
        </w:tc>
      </w:tr>
      <w:tr w:rsidR="00021C27" w:rsidRPr="004C324E" w14:paraId="08D88879" w14:textId="77777777" w:rsidTr="00021C27">
        <w:trPr>
          <w:trHeight w:val="315"/>
        </w:trPr>
        <w:tc>
          <w:tcPr>
            <w:tcW w:w="4460" w:type="dxa"/>
            <w:tcBorders>
              <w:top w:val="nil"/>
              <w:left w:val="single" w:sz="8" w:space="0" w:color="auto"/>
              <w:bottom w:val="single" w:sz="8" w:space="0" w:color="auto"/>
              <w:right w:val="nil"/>
            </w:tcBorders>
            <w:noWrap/>
            <w:tcMar>
              <w:top w:w="0" w:type="dxa"/>
              <w:left w:w="108" w:type="dxa"/>
              <w:bottom w:w="0" w:type="dxa"/>
              <w:right w:w="108" w:type="dxa"/>
            </w:tcMar>
            <w:vAlign w:val="bottom"/>
            <w:hideMark/>
          </w:tcPr>
          <w:p w14:paraId="08D88874" w14:textId="77777777" w:rsidR="00021C27" w:rsidRPr="000B0F4A" w:rsidRDefault="00021C27" w:rsidP="0037203E">
            <w:pPr>
              <w:keepNext/>
              <w:spacing w:after="0" w:line="240" w:lineRule="auto"/>
            </w:pPr>
            <w:r w:rsidRPr="000B0F4A">
              <w:t>Employees</w:t>
            </w:r>
          </w:p>
        </w:tc>
        <w:tc>
          <w:tcPr>
            <w:tcW w:w="121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14:paraId="08D88875" w14:textId="77777777" w:rsidR="00021C27" w:rsidRPr="004C324E" w:rsidRDefault="00021C27" w:rsidP="00021C27">
            <w:pPr>
              <w:spacing w:after="0" w:line="240" w:lineRule="auto"/>
              <w:jc w:val="center"/>
            </w:pPr>
            <w:r w:rsidRPr="004C324E">
              <w:t>126</w:t>
            </w:r>
            <w:r w:rsidR="00A55A45">
              <w:t>,</w:t>
            </w:r>
            <w:r w:rsidRPr="004C324E">
              <w:t>632</w:t>
            </w:r>
          </w:p>
        </w:tc>
        <w:tc>
          <w:tcPr>
            <w:tcW w:w="1236" w:type="dxa"/>
            <w:tcBorders>
              <w:top w:val="nil"/>
              <w:left w:val="nil"/>
              <w:bottom w:val="single" w:sz="8" w:space="0" w:color="auto"/>
              <w:right w:val="nil"/>
            </w:tcBorders>
            <w:noWrap/>
            <w:tcMar>
              <w:top w:w="0" w:type="dxa"/>
              <w:left w:w="108" w:type="dxa"/>
              <w:bottom w:w="0" w:type="dxa"/>
              <w:right w:w="108" w:type="dxa"/>
            </w:tcMar>
            <w:vAlign w:val="center"/>
          </w:tcPr>
          <w:p w14:paraId="08D88876" w14:textId="77777777" w:rsidR="00021C27" w:rsidRPr="004C324E" w:rsidRDefault="00021C27" w:rsidP="00021C27">
            <w:pPr>
              <w:spacing w:after="0" w:line="240" w:lineRule="auto"/>
              <w:jc w:val="center"/>
            </w:pPr>
            <w:r w:rsidRPr="004C324E">
              <w:t>-57.1%</w:t>
            </w:r>
          </w:p>
        </w:tc>
        <w:tc>
          <w:tcPr>
            <w:tcW w:w="1192" w:type="dxa"/>
            <w:tcBorders>
              <w:top w:val="nil"/>
              <w:left w:val="nil"/>
              <w:bottom w:val="single" w:sz="8" w:space="0" w:color="auto"/>
              <w:right w:val="nil"/>
            </w:tcBorders>
            <w:noWrap/>
            <w:tcMar>
              <w:top w:w="0" w:type="dxa"/>
              <w:left w:w="108" w:type="dxa"/>
              <w:bottom w:w="0" w:type="dxa"/>
              <w:right w:w="108" w:type="dxa"/>
            </w:tcMar>
            <w:vAlign w:val="center"/>
          </w:tcPr>
          <w:p w14:paraId="08D88877" w14:textId="77777777" w:rsidR="00021C27" w:rsidRPr="004C324E" w:rsidRDefault="00021C27" w:rsidP="00021C27">
            <w:pPr>
              <w:spacing w:after="0" w:line="240" w:lineRule="auto"/>
              <w:jc w:val="center"/>
            </w:pPr>
            <w:r w:rsidRPr="004C324E">
              <w:t>-67.5%</w:t>
            </w:r>
          </w:p>
        </w:tc>
        <w:tc>
          <w:tcPr>
            <w:tcW w:w="1278"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08D88878" w14:textId="77777777" w:rsidR="00021C27" w:rsidRPr="004C324E" w:rsidRDefault="00021C27" w:rsidP="00021C27">
            <w:pPr>
              <w:spacing w:after="0" w:line="240" w:lineRule="auto"/>
              <w:jc w:val="center"/>
            </w:pPr>
            <w:r w:rsidRPr="004C324E">
              <w:t>-60.4%</w:t>
            </w:r>
          </w:p>
        </w:tc>
      </w:tr>
      <w:tr w:rsidR="00021C27" w:rsidRPr="004C324E" w14:paraId="08D8887F" w14:textId="77777777" w:rsidTr="00021C27">
        <w:trPr>
          <w:trHeight w:val="300"/>
        </w:trPr>
        <w:tc>
          <w:tcPr>
            <w:tcW w:w="4460" w:type="dxa"/>
            <w:tcBorders>
              <w:top w:val="nil"/>
              <w:left w:val="single" w:sz="8" w:space="0" w:color="auto"/>
              <w:bottom w:val="nil"/>
              <w:right w:val="nil"/>
            </w:tcBorders>
            <w:noWrap/>
            <w:tcMar>
              <w:top w:w="0" w:type="dxa"/>
              <w:left w:w="108" w:type="dxa"/>
              <w:bottom w:w="0" w:type="dxa"/>
              <w:right w:w="108" w:type="dxa"/>
            </w:tcMar>
            <w:vAlign w:val="center"/>
            <w:hideMark/>
          </w:tcPr>
          <w:p w14:paraId="08D8887A" w14:textId="77777777" w:rsidR="00021C27" w:rsidRPr="000B0F4A" w:rsidRDefault="00021C27" w:rsidP="0037203E">
            <w:pPr>
              <w:keepNext/>
              <w:spacing w:after="0" w:line="240" w:lineRule="auto"/>
            </w:pPr>
            <w:r w:rsidRPr="000B0F4A">
              <w:t>Transport, Postal and Warehousing</w:t>
            </w:r>
          </w:p>
        </w:tc>
        <w:tc>
          <w:tcPr>
            <w:tcW w:w="1210" w:type="dxa"/>
            <w:tcBorders>
              <w:top w:val="nil"/>
              <w:left w:val="single" w:sz="8" w:space="0" w:color="auto"/>
              <w:bottom w:val="nil"/>
              <w:right w:val="single" w:sz="8" w:space="0" w:color="auto"/>
            </w:tcBorders>
            <w:noWrap/>
            <w:tcMar>
              <w:top w:w="0" w:type="dxa"/>
              <w:left w:w="108" w:type="dxa"/>
              <w:bottom w:w="0" w:type="dxa"/>
              <w:right w:w="108" w:type="dxa"/>
            </w:tcMar>
            <w:vAlign w:val="center"/>
          </w:tcPr>
          <w:p w14:paraId="08D8887B" w14:textId="77777777" w:rsidR="00021C27" w:rsidRPr="004C324E" w:rsidRDefault="00021C27" w:rsidP="00021C27">
            <w:pPr>
              <w:spacing w:after="0" w:line="240" w:lineRule="auto"/>
              <w:jc w:val="center"/>
            </w:pPr>
            <w:r w:rsidRPr="004C324E">
              <w:t>1</w:t>
            </w:r>
            <w:r w:rsidR="00A55A45">
              <w:t>,</w:t>
            </w:r>
            <w:r w:rsidRPr="004C324E">
              <w:t>213</w:t>
            </w:r>
          </w:p>
        </w:tc>
        <w:tc>
          <w:tcPr>
            <w:tcW w:w="1236" w:type="dxa"/>
            <w:noWrap/>
            <w:tcMar>
              <w:top w:w="0" w:type="dxa"/>
              <w:left w:w="108" w:type="dxa"/>
              <w:bottom w:w="0" w:type="dxa"/>
              <w:right w:w="108" w:type="dxa"/>
            </w:tcMar>
            <w:vAlign w:val="center"/>
          </w:tcPr>
          <w:p w14:paraId="08D8887C" w14:textId="77777777" w:rsidR="00021C27" w:rsidRPr="004C324E" w:rsidRDefault="00021C27" w:rsidP="00021C27">
            <w:pPr>
              <w:spacing w:after="0" w:line="240" w:lineRule="auto"/>
              <w:jc w:val="center"/>
            </w:pPr>
            <w:r w:rsidRPr="004C324E">
              <w:t>-14.9%</w:t>
            </w:r>
          </w:p>
        </w:tc>
        <w:tc>
          <w:tcPr>
            <w:tcW w:w="1192" w:type="dxa"/>
            <w:noWrap/>
            <w:tcMar>
              <w:top w:w="0" w:type="dxa"/>
              <w:left w:w="108" w:type="dxa"/>
              <w:bottom w:w="0" w:type="dxa"/>
              <w:right w:w="108" w:type="dxa"/>
            </w:tcMar>
            <w:vAlign w:val="center"/>
          </w:tcPr>
          <w:p w14:paraId="08D8887D" w14:textId="77777777" w:rsidR="00021C27" w:rsidRPr="004C324E" w:rsidRDefault="00021C27" w:rsidP="00021C27">
            <w:pPr>
              <w:spacing w:after="0" w:line="240" w:lineRule="auto"/>
              <w:jc w:val="center"/>
            </w:pPr>
            <w:r w:rsidRPr="004C324E">
              <w:t>-15.5%</w:t>
            </w:r>
          </w:p>
        </w:tc>
        <w:tc>
          <w:tcPr>
            <w:tcW w:w="1278" w:type="dxa"/>
            <w:tcBorders>
              <w:top w:val="nil"/>
              <w:left w:val="nil"/>
              <w:bottom w:val="nil"/>
              <w:right w:val="single" w:sz="8" w:space="0" w:color="auto"/>
            </w:tcBorders>
            <w:noWrap/>
            <w:tcMar>
              <w:top w:w="0" w:type="dxa"/>
              <w:left w:w="108" w:type="dxa"/>
              <w:bottom w:w="0" w:type="dxa"/>
              <w:right w:w="108" w:type="dxa"/>
            </w:tcMar>
            <w:vAlign w:val="center"/>
          </w:tcPr>
          <w:p w14:paraId="08D8887E" w14:textId="77777777" w:rsidR="00021C27" w:rsidRPr="004C324E" w:rsidRDefault="00021C27" w:rsidP="00021C27">
            <w:pPr>
              <w:spacing w:after="0" w:line="240" w:lineRule="auto"/>
              <w:jc w:val="center"/>
            </w:pPr>
            <w:r w:rsidRPr="004C324E">
              <w:t>24.7%</w:t>
            </w:r>
          </w:p>
        </w:tc>
      </w:tr>
      <w:tr w:rsidR="00021C27" w:rsidRPr="004C324E" w14:paraId="08D88885" w14:textId="77777777" w:rsidTr="00021C27">
        <w:trPr>
          <w:trHeight w:val="315"/>
        </w:trPr>
        <w:tc>
          <w:tcPr>
            <w:tcW w:w="4460" w:type="dxa"/>
            <w:tcBorders>
              <w:top w:val="nil"/>
              <w:left w:val="single" w:sz="8" w:space="0" w:color="auto"/>
              <w:bottom w:val="single" w:sz="8" w:space="0" w:color="auto"/>
              <w:right w:val="nil"/>
            </w:tcBorders>
            <w:noWrap/>
            <w:tcMar>
              <w:top w:w="0" w:type="dxa"/>
              <w:left w:w="108" w:type="dxa"/>
              <w:bottom w:w="0" w:type="dxa"/>
              <w:right w:w="108" w:type="dxa"/>
            </w:tcMar>
            <w:vAlign w:val="center"/>
            <w:hideMark/>
          </w:tcPr>
          <w:p w14:paraId="08D88880" w14:textId="77777777" w:rsidR="00021C27" w:rsidRPr="000B0F4A" w:rsidRDefault="00021C27" w:rsidP="0037203E">
            <w:pPr>
              <w:keepNext/>
              <w:spacing w:after="0" w:line="240" w:lineRule="auto"/>
            </w:pPr>
            <w:r w:rsidRPr="000B0F4A">
              <w:t>Employees</w:t>
            </w:r>
          </w:p>
        </w:tc>
        <w:tc>
          <w:tcPr>
            <w:tcW w:w="121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14:paraId="08D88881" w14:textId="77777777" w:rsidR="00021C27" w:rsidRPr="004C324E" w:rsidRDefault="00021C27" w:rsidP="00021C27">
            <w:pPr>
              <w:spacing w:after="0" w:line="240" w:lineRule="auto"/>
              <w:jc w:val="center"/>
            </w:pPr>
            <w:r w:rsidRPr="004C324E">
              <w:t>132</w:t>
            </w:r>
            <w:r w:rsidR="00A55A45">
              <w:t>,</w:t>
            </w:r>
            <w:r w:rsidRPr="004C324E">
              <w:t>586</w:t>
            </w:r>
          </w:p>
        </w:tc>
        <w:tc>
          <w:tcPr>
            <w:tcW w:w="1236" w:type="dxa"/>
            <w:tcBorders>
              <w:top w:val="nil"/>
              <w:left w:val="nil"/>
              <w:bottom w:val="single" w:sz="8" w:space="0" w:color="auto"/>
              <w:right w:val="nil"/>
            </w:tcBorders>
            <w:noWrap/>
            <w:tcMar>
              <w:top w:w="0" w:type="dxa"/>
              <w:left w:w="108" w:type="dxa"/>
              <w:bottom w:w="0" w:type="dxa"/>
              <w:right w:w="108" w:type="dxa"/>
            </w:tcMar>
            <w:vAlign w:val="center"/>
          </w:tcPr>
          <w:p w14:paraId="08D88882" w14:textId="77777777" w:rsidR="00021C27" w:rsidRPr="004C324E" w:rsidRDefault="00021C27" w:rsidP="00021C27">
            <w:pPr>
              <w:spacing w:after="0" w:line="240" w:lineRule="auto"/>
              <w:jc w:val="center"/>
            </w:pPr>
            <w:r w:rsidRPr="004C324E">
              <w:t>2.5%</w:t>
            </w:r>
          </w:p>
        </w:tc>
        <w:tc>
          <w:tcPr>
            <w:tcW w:w="1192" w:type="dxa"/>
            <w:tcBorders>
              <w:top w:val="nil"/>
              <w:left w:val="nil"/>
              <w:bottom w:val="single" w:sz="8" w:space="0" w:color="auto"/>
              <w:right w:val="nil"/>
            </w:tcBorders>
            <w:noWrap/>
            <w:tcMar>
              <w:top w:w="0" w:type="dxa"/>
              <w:left w:w="108" w:type="dxa"/>
              <w:bottom w:w="0" w:type="dxa"/>
              <w:right w:w="108" w:type="dxa"/>
            </w:tcMar>
            <w:vAlign w:val="center"/>
          </w:tcPr>
          <w:p w14:paraId="08D88883" w14:textId="77777777" w:rsidR="00021C27" w:rsidRPr="004C324E" w:rsidRDefault="00021C27" w:rsidP="00021C27">
            <w:pPr>
              <w:spacing w:after="0" w:line="240" w:lineRule="auto"/>
              <w:jc w:val="center"/>
            </w:pPr>
            <w:r w:rsidRPr="004C324E">
              <w:t>14.6%</w:t>
            </w:r>
          </w:p>
        </w:tc>
        <w:tc>
          <w:tcPr>
            <w:tcW w:w="1278"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08D88884" w14:textId="77777777" w:rsidR="00021C27" w:rsidRPr="004C324E" w:rsidRDefault="00021C27" w:rsidP="00021C27">
            <w:pPr>
              <w:spacing w:after="0" w:line="240" w:lineRule="auto"/>
              <w:jc w:val="center"/>
            </w:pPr>
            <w:r w:rsidRPr="004C324E">
              <w:t>46.8%</w:t>
            </w:r>
          </w:p>
        </w:tc>
      </w:tr>
      <w:tr w:rsidR="00021C27" w:rsidRPr="004C324E" w14:paraId="08D8888B" w14:textId="77777777" w:rsidTr="00021C27">
        <w:trPr>
          <w:trHeight w:val="300"/>
        </w:trPr>
        <w:tc>
          <w:tcPr>
            <w:tcW w:w="4460" w:type="dxa"/>
            <w:tcBorders>
              <w:top w:val="nil"/>
              <w:left w:val="single" w:sz="8" w:space="0" w:color="auto"/>
              <w:bottom w:val="nil"/>
              <w:right w:val="nil"/>
            </w:tcBorders>
            <w:noWrap/>
            <w:tcMar>
              <w:top w:w="0" w:type="dxa"/>
              <w:left w:w="108" w:type="dxa"/>
              <w:bottom w:w="0" w:type="dxa"/>
              <w:right w:w="108" w:type="dxa"/>
            </w:tcMar>
            <w:vAlign w:val="center"/>
            <w:hideMark/>
          </w:tcPr>
          <w:p w14:paraId="08D88886" w14:textId="77777777" w:rsidR="00021C27" w:rsidRPr="000B0F4A" w:rsidRDefault="00021C27" w:rsidP="0037203E">
            <w:pPr>
              <w:keepNext/>
              <w:spacing w:after="0" w:line="240" w:lineRule="auto"/>
            </w:pPr>
            <w:r w:rsidRPr="000B0F4A">
              <w:t>Wholesale Trade</w:t>
            </w:r>
          </w:p>
        </w:tc>
        <w:tc>
          <w:tcPr>
            <w:tcW w:w="1210" w:type="dxa"/>
            <w:tcBorders>
              <w:top w:val="nil"/>
              <w:left w:val="single" w:sz="8" w:space="0" w:color="auto"/>
              <w:bottom w:val="nil"/>
              <w:right w:val="single" w:sz="8" w:space="0" w:color="auto"/>
            </w:tcBorders>
            <w:noWrap/>
            <w:tcMar>
              <w:top w:w="0" w:type="dxa"/>
              <w:left w:w="108" w:type="dxa"/>
              <w:bottom w:w="0" w:type="dxa"/>
              <w:right w:w="108" w:type="dxa"/>
            </w:tcMar>
            <w:vAlign w:val="center"/>
          </w:tcPr>
          <w:p w14:paraId="08D88887" w14:textId="77777777" w:rsidR="00021C27" w:rsidRPr="004C324E" w:rsidRDefault="00021C27" w:rsidP="00021C27">
            <w:pPr>
              <w:spacing w:after="0" w:line="240" w:lineRule="auto"/>
              <w:jc w:val="center"/>
            </w:pPr>
            <w:r w:rsidRPr="004C324E">
              <w:t>507</w:t>
            </w:r>
          </w:p>
        </w:tc>
        <w:tc>
          <w:tcPr>
            <w:tcW w:w="1236" w:type="dxa"/>
            <w:noWrap/>
            <w:tcMar>
              <w:top w:w="0" w:type="dxa"/>
              <w:left w:w="108" w:type="dxa"/>
              <w:bottom w:w="0" w:type="dxa"/>
              <w:right w:w="108" w:type="dxa"/>
            </w:tcMar>
            <w:vAlign w:val="center"/>
          </w:tcPr>
          <w:p w14:paraId="08D88888" w14:textId="77777777" w:rsidR="00021C27" w:rsidRPr="004C324E" w:rsidRDefault="00021C27" w:rsidP="00021C27">
            <w:pPr>
              <w:spacing w:after="0" w:line="240" w:lineRule="auto"/>
              <w:jc w:val="center"/>
            </w:pPr>
            <w:r w:rsidRPr="004C324E">
              <w:t>-7.7%</w:t>
            </w:r>
          </w:p>
        </w:tc>
        <w:tc>
          <w:tcPr>
            <w:tcW w:w="1192" w:type="dxa"/>
            <w:noWrap/>
            <w:tcMar>
              <w:top w:w="0" w:type="dxa"/>
              <w:left w:w="108" w:type="dxa"/>
              <w:bottom w:w="0" w:type="dxa"/>
              <w:right w:w="108" w:type="dxa"/>
            </w:tcMar>
            <w:vAlign w:val="center"/>
          </w:tcPr>
          <w:p w14:paraId="08D88889" w14:textId="77777777" w:rsidR="00021C27" w:rsidRPr="004C324E" w:rsidRDefault="00021C27" w:rsidP="00021C27">
            <w:pPr>
              <w:spacing w:after="0" w:line="240" w:lineRule="auto"/>
              <w:jc w:val="center"/>
            </w:pPr>
            <w:r w:rsidRPr="004C324E">
              <w:t>53.6%</w:t>
            </w:r>
          </w:p>
        </w:tc>
        <w:tc>
          <w:tcPr>
            <w:tcW w:w="1278" w:type="dxa"/>
            <w:tcBorders>
              <w:top w:val="nil"/>
              <w:left w:val="nil"/>
              <w:bottom w:val="nil"/>
              <w:right w:val="single" w:sz="8" w:space="0" w:color="auto"/>
            </w:tcBorders>
            <w:noWrap/>
            <w:tcMar>
              <w:top w:w="0" w:type="dxa"/>
              <w:left w:w="108" w:type="dxa"/>
              <w:bottom w:w="0" w:type="dxa"/>
              <w:right w:w="108" w:type="dxa"/>
            </w:tcMar>
            <w:vAlign w:val="center"/>
          </w:tcPr>
          <w:p w14:paraId="08D8888A" w14:textId="77777777" w:rsidR="00021C27" w:rsidRPr="004C324E" w:rsidRDefault="00021C27" w:rsidP="00021C27">
            <w:pPr>
              <w:spacing w:after="0" w:line="240" w:lineRule="auto"/>
              <w:jc w:val="center"/>
            </w:pPr>
            <w:r w:rsidRPr="004C324E">
              <w:t>302.4%</w:t>
            </w:r>
          </w:p>
        </w:tc>
      </w:tr>
      <w:tr w:rsidR="00021C27" w14:paraId="08D88891" w14:textId="77777777" w:rsidTr="00021C27">
        <w:trPr>
          <w:trHeight w:val="315"/>
        </w:trPr>
        <w:tc>
          <w:tcPr>
            <w:tcW w:w="4460" w:type="dxa"/>
            <w:tcBorders>
              <w:top w:val="nil"/>
              <w:left w:val="single" w:sz="8" w:space="0" w:color="auto"/>
              <w:bottom w:val="single" w:sz="8" w:space="0" w:color="auto"/>
              <w:right w:val="nil"/>
            </w:tcBorders>
            <w:noWrap/>
            <w:tcMar>
              <w:top w:w="0" w:type="dxa"/>
              <w:left w:w="108" w:type="dxa"/>
              <w:bottom w:w="0" w:type="dxa"/>
              <w:right w:w="108" w:type="dxa"/>
            </w:tcMar>
            <w:vAlign w:val="center"/>
            <w:hideMark/>
          </w:tcPr>
          <w:p w14:paraId="08D8888C" w14:textId="77777777" w:rsidR="00021C27" w:rsidRPr="000B0F4A" w:rsidRDefault="00021C27" w:rsidP="0037203E">
            <w:pPr>
              <w:keepNext/>
              <w:spacing w:after="0" w:line="240" w:lineRule="auto"/>
            </w:pPr>
            <w:r w:rsidRPr="000B0F4A">
              <w:t>Employees</w:t>
            </w:r>
          </w:p>
        </w:tc>
        <w:tc>
          <w:tcPr>
            <w:tcW w:w="121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14:paraId="08D8888D" w14:textId="77777777" w:rsidR="00021C27" w:rsidRPr="004C324E" w:rsidRDefault="00021C27" w:rsidP="00021C27">
            <w:pPr>
              <w:spacing w:after="0" w:line="240" w:lineRule="auto"/>
              <w:jc w:val="center"/>
            </w:pPr>
            <w:r w:rsidRPr="004C324E">
              <w:t>36</w:t>
            </w:r>
            <w:r w:rsidR="00A55A45">
              <w:t>,</w:t>
            </w:r>
            <w:r w:rsidRPr="004C324E">
              <w:t>158</w:t>
            </w:r>
          </w:p>
        </w:tc>
        <w:tc>
          <w:tcPr>
            <w:tcW w:w="1236" w:type="dxa"/>
            <w:tcBorders>
              <w:top w:val="nil"/>
              <w:left w:val="nil"/>
              <w:bottom w:val="single" w:sz="8" w:space="0" w:color="auto"/>
              <w:right w:val="nil"/>
            </w:tcBorders>
            <w:noWrap/>
            <w:tcMar>
              <w:top w:w="0" w:type="dxa"/>
              <w:left w:w="108" w:type="dxa"/>
              <w:bottom w:w="0" w:type="dxa"/>
              <w:right w:w="108" w:type="dxa"/>
            </w:tcMar>
            <w:vAlign w:val="center"/>
          </w:tcPr>
          <w:p w14:paraId="08D8888E" w14:textId="77777777" w:rsidR="00021C27" w:rsidRPr="004C324E" w:rsidRDefault="00021C27" w:rsidP="00021C27">
            <w:pPr>
              <w:spacing w:after="0" w:line="240" w:lineRule="auto"/>
              <w:jc w:val="center"/>
            </w:pPr>
            <w:r w:rsidRPr="004C324E">
              <w:t>9.7%</w:t>
            </w:r>
          </w:p>
        </w:tc>
        <w:tc>
          <w:tcPr>
            <w:tcW w:w="1192" w:type="dxa"/>
            <w:tcBorders>
              <w:top w:val="nil"/>
              <w:left w:val="nil"/>
              <w:bottom w:val="single" w:sz="8" w:space="0" w:color="auto"/>
              <w:right w:val="nil"/>
            </w:tcBorders>
            <w:noWrap/>
            <w:tcMar>
              <w:top w:w="0" w:type="dxa"/>
              <w:left w:w="108" w:type="dxa"/>
              <w:bottom w:w="0" w:type="dxa"/>
              <w:right w:w="108" w:type="dxa"/>
            </w:tcMar>
            <w:vAlign w:val="center"/>
          </w:tcPr>
          <w:p w14:paraId="08D8888F" w14:textId="77777777" w:rsidR="00021C27" w:rsidRPr="004C324E" w:rsidRDefault="00021C27" w:rsidP="00021C27">
            <w:pPr>
              <w:spacing w:after="0" w:line="240" w:lineRule="auto"/>
              <w:jc w:val="center"/>
            </w:pPr>
            <w:r w:rsidRPr="004C324E">
              <w:t>137.3%</w:t>
            </w:r>
          </w:p>
        </w:tc>
        <w:tc>
          <w:tcPr>
            <w:tcW w:w="1278"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08D88890" w14:textId="77777777" w:rsidR="00021C27" w:rsidRDefault="00021C27" w:rsidP="00021C27">
            <w:pPr>
              <w:spacing w:after="0" w:line="240" w:lineRule="auto"/>
              <w:jc w:val="center"/>
            </w:pPr>
            <w:r w:rsidRPr="004C324E">
              <w:t>384.1%</w:t>
            </w:r>
          </w:p>
        </w:tc>
      </w:tr>
      <w:tr w:rsidR="00021C27" w:rsidRPr="00CB2805" w14:paraId="08D88897" w14:textId="77777777" w:rsidTr="00021C27">
        <w:trPr>
          <w:trHeight w:val="300"/>
        </w:trPr>
        <w:tc>
          <w:tcPr>
            <w:tcW w:w="4460" w:type="dxa"/>
            <w:tcBorders>
              <w:top w:val="nil"/>
              <w:left w:val="single" w:sz="8" w:space="0" w:color="auto"/>
              <w:bottom w:val="nil"/>
              <w:right w:val="nil"/>
            </w:tcBorders>
            <w:noWrap/>
            <w:tcMar>
              <w:top w:w="0" w:type="dxa"/>
              <w:left w:w="108" w:type="dxa"/>
              <w:bottom w:w="0" w:type="dxa"/>
              <w:right w:w="108" w:type="dxa"/>
            </w:tcMar>
            <w:vAlign w:val="center"/>
            <w:hideMark/>
          </w:tcPr>
          <w:p w14:paraId="08D88892" w14:textId="77777777" w:rsidR="00021C27" w:rsidRPr="000B0F4A" w:rsidRDefault="00021C27" w:rsidP="0037203E">
            <w:pPr>
              <w:spacing w:after="0" w:line="240" w:lineRule="auto"/>
            </w:pPr>
            <w:r w:rsidRPr="000B0F4A">
              <w:t>Total</w:t>
            </w:r>
          </w:p>
        </w:tc>
        <w:tc>
          <w:tcPr>
            <w:tcW w:w="1210" w:type="dxa"/>
            <w:tcBorders>
              <w:top w:val="nil"/>
              <w:left w:val="single" w:sz="8" w:space="0" w:color="auto"/>
              <w:bottom w:val="nil"/>
              <w:right w:val="single" w:sz="8" w:space="0" w:color="auto"/>
            </w:tcBorders>
            <w:noWrap/>
            <w:tcMar>
              <w:top w:w="0" w:type="dxa"/>
              <w:left w:w="108" w:type="dxa"/>
              <w:bottom w:w="0" w:type="dxa"/>
              <w:right w:w="108" w:type="dxa"/>
            </w:tcMar>
            <w:vAlign w:val="center"/>
          </w:tcPr>
          <w:p w14:paraId="08D88893" w14:textId="77777777" w:rsidR="00021C27" w:rsidRPr="00CB2805" w:rsidRDefault="00021C27" w:rsidP="00021C27">
            <w:pPr>
              <w:spacing w:after="0" w:line="240" w:lineRule="auto"/>
              <w:jc w:val="center"/>
            </w:pPr>
            <w:r w:rsidRPr="00CB2805">
              <w:t>13</w:t>
            </w:r>
            <w:r w:rsidR="00A55A45">
              <w:t>,</w:t>
            </w:r>
            <w:r w:rsidRPr="00CB2805">
              <w:t>953</w:t>
            </w:r>
          </w:p>
        </w:tc>
        <w:tc>
          <w:tcPr>
            <w:tcW w:w="1236" w:type="dxa"/>
            <w:noWrap/>
            <w:tcMar>
              <w:top w:w="0" w:type="dxa"/>
              <w:left w:w="108" w:type="dxa"/>
              <w:bottom w:w="0" w:type="dxa"/>
              <w:right w:w="108" w:type="dxa"/>
            </w:tcMar>
            <w:vAlign w:val="center"/>
          </w:tcPr>
          <w:p w14:paraId="08D88894" w14:textId="77777777" w:rsidR="00021C27" w:rsidRPr="00CB2805" w:rsidRDefault="00021C27" w:rsidP="00021C27">
            <w:pPr>
              <w:spacing w:after="0" w:line="240" w:lineRule="auto"/>
              <w:jc w:val="center"/>
            </w:pPr>
            <w:r w:rsidRPr="00CB2805">
              <w:t>-30.8%</w:t>
            </w:r>
          </w:p>
        </w:tc>
        <w:tc>
          <w:tcPr>
            <w:tcW w:w="1192" w:type="dxa"/>
            <w:noWrap/>
            <w:tcMar>
              <w:top w:w="0" w:type="dxa"/>
              <w:left w:w="108" w:type="dxa"/>
              <w:bottom w:w="0" w:type="dxa"/>
              <w:right w:w="108" w:type="dxa"/>
            </w:tcMar>
            <w:vAlign w:val="center"/>
          </w:tcPr>
          <w:p w14:paraId="08D88895" w14:textId="77777777" w:rsidR="00021C27" w:rsidRPr="00CB2805" w:rsidRDefault="00021C27" w:rsidP="00021C27">
            <w:pPr>
              <w:spacing w:after="0" w:line="240" w:lineRule="auto"/>
              <w:jc w:val="center"/>
            </w:pPr>
            <w:r w:rsidRPr="00CB2805">
              <w:t>-35.6%</w:t>
            </w:r>
          </w:p>
        </w:tc>
        <w:tc>
          <w:tcPr>
            <w:tcW w:w="1278" w:type="dxa"/>
            <w:tcBorders>
              <w:top w:val="nil"/>
              <w:left w:val="nil"/>
              <w:bottom w:val="nil"/>
              <w:right w:val="single" w:sz="8" w:space="0" w:color="auto"/>
            </w:tcBorders>
            <w:noWrap/>
            <w:tcMar>
              <w:top w:w="0" w:type="dxa"/>
              <w:left w:w="108" w:type="dxa"/>
              <w:bottom w:w="0" w:type="dxa"/>
              <w:right w:w="108" w:type="dxa"/>
            </w:tcMar>
            <w:vAlign w:val="center"/>
          </w:tcPr>
          <w:p w14:paraId="08D88896" w14:textId="77777777" w:rsidR="00021C27" w:rsidRPr="00CB2805" w:rsidRDefault="00021C27" w:rsidP="00021C27">
            <w:pPr>
              <w:spacing w:after="0" w:line="240" w:lineRule="auto"/>
              <w:jc w:val="center"/>
            </w:pPr>
            <w:r w:rsidRPr="00CB2805">
              <w:t>2.8%</w:t>
            </w:r>
          </w:p>
        </w:tc>
      </w:tr>
      <w:tr w:rsidR="00021C27" w14:paraId="08D8889D" w14:textId="77777777" w:rsidTr="00021C27">
        <w:trPr>
          <w:trHeight w:val="315"/>
        </w:trPr>
        <w:tc>
          <w:tcPr>
            <w:tcW w:w="4460" w:type="dxa"/>
            <w:tcBorders>
              <w:top w:val="nil"/>
              <w:left w:val="single" w:sz="8" w:space="0" w:color="auto"/>
              <w:bottom w:val="single" w:sz="8" w:space="0" w:color="auto"/>
              <w:right w:val="nil"/>
            </w:tcBorders>
            <w:noWrap/>
            <w:tcMar>
              <w:top w:w="0" w:type="dxa"/>
              <w:left w:w="108" w:type="dxa"/>
              <w:bottom w:w="0" w:type="dxa"/>
              <w:right w:w="108" w:type="dxa"/>
            </w:tcMar>
            <w:vAlign w:val="center"/>
            <w:hideMark/>
          </w:tcPr>
          <w:p w14:paraId="08D88898" w14:textId="77777777" w:rsidR="00021C27" w:rsidRPr="000B0F4A" w:rsidRDefault="00021C27" w:rsidP="0037203E">
            <w:pPr>
              <w:spacing w:after="0" w:line="240" w:lineRule="auto"/>
            </w:pPr>
            <w:r w:rsidRPr="000B0F4A">
              <w:t>Employees</w:t>
            </w:r>
          </w:p>
        </w:tc>
        <w:tc>
          <w:tcPr>
            <w:tcW w:w="121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14:paraId="08D88899" w14:textId="77777777" w:rsidR="00021C27" w:rsidRPr="00CB2805" w:rsidRDefault="00021C27" w:rsidP="00021C27">
            <w:pPr>
              <w:spacing w:after="0" w:line="240" w:lineRule="auto"/>
              <w:jc w:val="center"/>
            </w:pPr>
            <w:r w:rsidRPr="00CB2805">
              <w:t>1</w:t>
            </w:r>
            <w:r w:rsidR="00A55A45">
              <w:t>,</w:t>
            </w:r>
            <w:r w:rsidRPr="00CB2805">
              <w:t>570</w:t>
            </w:r>
            <w:r w:rsidR="00A55A45">
              <w:t>,</w:t>
            </w:r>
            <w:r w:rsidRPr="00CB2805">
              <w:t>380</w:t>
            </w:r>
          </w:p>
        </w:tc>
        <w:tc>
          <w:tcPr>
            <w:tcW w:w="1236" w:type="dxa"/>
            <w:tcBorders>
              <w:top w:val="nil"/>
              <w:left w:val="nil"/>
              <w:bottom w:val="single" w:sz="8" w:space="0" w:color="auto"/>
              <w:right w:val="nil"/>
            </w:tcBorders>
            <w:noWrap/>
            <w:tcMar>
              <w:top w:w="0" w:type="dxa"/>
              <w:left w:w="108" w:type="dxa"/>
              <w:bottom w:w="0" w:type="dxa"/>
              <w:right w:w="108" w:type="dxa"/>
            </w:tcMar>
            <w:vAlign w:val="center"/>
          </w:tcPr>
          <w:p w14:paraId="08D8889A" w14:textId="77777777" w:rsidR="00021C27" w:rsidRPr="00CB2805" w:rsidRDefault="00021C27" w:rsidP="00021C27">
            <w:pPr>
              <w:spacing w:after="0" w:line="240" w:lineRule="auto"/>
              <w:jc w:val="center"/>
            </w:pPr>
            <w:r w:rsidRPr="00CB2805">
              <w:t>-13.2%</w:t>
            </w:r>
          </w:p>
        </w:tc>
        <w:tc>
          <w:tcPr>
            <w:tcW w:w="1192" w:type="dxa"/>
            <w:tcBorders>
              <w:top w:val="nil"/>
              <w:left w:val="nil"/>
              <w:bottom w:val="single" w:sz="8" w:space="0" w:color="auto"/>
              <w:right w:val="nil"/>
            </w:tcBorders>
            <w:noWrap/>
            <w:tcMar>
              <w:top w:w="0" w:type="dxa"/>
              <w:left w:w="108" w:type="dxa"/>
              <w:bottom w:w="0" w:type="dxa"/>
              <w:right w:w="108" w:type="dxa"/>
            </w:tcMar>
            <w:vAlign w:val="center"/>
          </w:tcPr>
          <w:p w14:paraId="08D8889B" w14:textId="77777777" w:rsidR="00021C27" w:rsidRPr="00CB2805" w:rsidRDefault="00021C27" w:rsidP="00021C27">
            <w:pPr>
              <w:spacing w:after="0" w:line="240" w:lineRule="auto"/>
              <w:jc w:val="center"/>
            </w:pPr>
            <w:r w:rsidRPr="00CB2805">
              <w:t>1.6%</w:t>
            </w:r>
          </w:p>
        </w:tc>
        <w:tc>
          <w:tcPr>
            <w:tcW w:w="1278"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08D8889C" w14:textId="77777777" w:rsidR="00021C27" w:rsidRDefault="00021C27" w:rsidP="00021C27">
            <w:pPr>
              <w:spacing w:after="0" w:line="240" w:lineRule="auto"/>
              <w:jc w:val="center"/>
            </w:pPr>
            <w:r w:rsidRPr="00CB2805">
              <w:t>35.6%</w:t>
            </w:r>
          </w:p>
        </w:tc>
      </w:tr>
    </w:tbl>
    <w:p w14:paraId="08D8889E" w14:textId="77777777" w:rsidR="00997710" w:rsidRDefault="00021C27">
      <w:r>
        <w:t xml:space="preserve"> </w:t>
      </w:r>
    </w:p>
    <w:p w14:paraId="08D8889F" w14:textId="77777777" w:rsidR="008E71CA" w:rsidRPr="000670F8" w:rsidRDefault="008E71CA" w:rsidP="000670F8">
      <w:pPr>
        <w:pStyle w:val="Heading3"/>
        <w:rPr>
          <w:i/>
        </w:rPr>
      </w:pPr>
      <w:r w:rsidRPr="000670F8">
        <w:rPr>
          <w:i/>
        </w:rPr>
        <w:lastRenderedPageBreak/>
        <w:t xml:space="preserve">RETAIL </w:t>
      </w:r>
      <w:r w:rsidR="00DE700C" w:rsidRPr="000670F8">
        <w:rPr>
          <w:i/>
        </w:rPr>
        <w:t>TRADE AGREEMENTS</w:t>
      </w:r>
    </w:p>
    <w:p w14:paraId="08D888A0" w14:textId="77777777" w:rsidR="006B37D5" w:rsidRDefault="00DE700C" w:rsidP="006B37D5">
      <w:r>
        <w:t xml:space="preserve">Chart </w:t>
      </w:r>
      <w:r w:rsidR="00A57825">
        <w:t>5</w:t>
      </w:r>
      <w:r>
        <w:t xml:space="preserve"> shows that a</w:t>
      </w:r>
      <w:r w:rsidR="006B37D5" w:rsidRPr="00997710">
        <w:t>greement numbers in the Retail trade industry have been declining since 2011, down to 259 agreements from a peak of 2</w:t>
      </w:r>
      <w:r>
        <w:t>,</w:t>
      </w:r>
      <w:r w:rsidR="006B37D5" w:rsidRPr="00997710">
        <w:t xml:space="preserve">015 agreements in </w:t>
      </w:r>
      <w:r>
        <w:t>Q1-</w:t>
      </w:r>
      <w:r w:rsidR="006B37D5" w:rsidRPr="00997710">
        <w:t>2011.</w:t>
      </w:r>
      <w:r w:rsidR="006B37D5">
        <w:t xml:space="preserve"> </w:t>
      </w:r>
    </w:p>
    <w:p w14:paraId="08D888A1" w14:textId="77777777" w:rsidR="006B37D5" w:rsidRDefault="006B37D5" w:rsidP="006B37D5">
      <w:r>
        <w:t xml:space="preserve">Employee coverage in the Retail trade industry declined significantly in 2014 and 2015, due to the expiry of some large Retail trade agreements that have not yet been replaced. </w:t>
      </w:r>
    </w:p>
    <w:p w14:paraId="08D888A2" w14:textId="77777777" w:rsidR="00DE700C" w:rsidRDefault="004D6745" w:rsidP="006B37D5">
      <w:r>
        <w:t>Some</w:t>
      </w:r>
      <w:r w:rsidR="00DE700C">
        <w:t xml:space="preserve"> of these large agreements </w:t>
      </w:r>
      <w:r>
        <w:t xml:space="preserve">may </w:t>
      </w:r>
      <w:r w:rsidR="00DE700C">
        <w:t>still</w:t>
      </w:r>
      <w:r>
        <w:t xml:space="preserve"> be</w:t>
      </w:r>
      <w:r w:rsidR="00DE700C">
        <w:t xml:space="preserve"> operational, despite having expired</w:t>
      </w:r>
      <w:r w:rsidR="00A429D4">
        <w:t xml:space="preserve"> (as stated in the Important Note</w:t>
      </w:r>
      <w:r w:rsidR="00A57825">
        <w:t>s</w:t>
      </w:r>
      <w:r w:rsidR="0001767D">
        <w:t xml:space="preserve"> section earlier</w:t>
      </w:r>
      <w:r w:rsidR="00A429D4">
        <w:t>)</w:t>
      </w:r>
      <w:r>
        <w:t xml:space="preserve"> meaning </w:t>
      </w:r>
      <w:r w:rsidR="00DE700C">
        <w:t xml:space="preserve">the number of employees covered by enterprise agreements (both current and expired but still operational) </w:t>
      </w:r>
      <w:r>
        <w:t>is likely to</w:t>
      </w:r>
      <w:r w:rsidR="00DE700C">
        <w:t xml:space="preserve"> be higher than </w:t>
      </w:r>
      <w:r w:rsidR="0048630D">
        <w:t>the figures in Chart 5</w:t>
      </w:r>
      <w:r w:rsidR="00DE700C">
        <w:t>.</w:t>
      </w:r>
    </w:p>
    <w:p w14:paraId="08D888A3" w14:textId="77777777" w:rsidR="0057115A" w:rsidRPr="00282628" w:rsidRDefault="0057115A" w:rsidP="0057115A">
      <w:pPr>
        <w:keepNext/>
        <w:rPr>
          <w:b/>
        </w:rPr>
      </w:pPr>
      <w:r w:rsidRPr="00A64205">
        <w:rPr>
          <w:b/>
        </w:rPr>
        <w:t xml:space="preserve">Chart </w:t>
      </w:r>
      <w:r w:rsidR="00A57825">
        <w:rPr>
          <w:b/>
        </w:rPr>
        <w:t>5</w:t>
      </w:r>
      <w:r w:rsidRPr="00A64205">
        <w:rPr>
          <w:b/>
        </w:rPr>
        <w:t>: Current private sector agreements and employees</w:t>
      </w:r>
      <w:r w:rsidR="0001767D">
        <w:rPr>
          <w:b/>
        </w:rPr>
        <w:t xml:space="preserve"> </w:t>
      </w:r>
      <w:r>
        <w:rPr>
          <w:b/>
        </w:rPr>
        <w:t>in the Retail trade industry</w:t>
      </w:r>
      <w:r w:rsidRPr="00A64205">
        <w:rPr>
          <w:b/>
        </w:rPr>
        <w:t>, 200</w:t>
      </w:r>
      <w:r>
        <w:rPr>
          <w:b/>
        </w:rPr>
        <w:t>6-2016</w:t>
      </w:r>
    </w:p>
    <w:p w14:paraId="08D888A4" w14:textId="21EC994D" w:rsidR="008E71CA" w:rsidRDefault="00F30549" w:rsidP="008E71CA">
      <w:r>
        <w:rPr>
          <w:noProof/>
        </w:rPr>
        <w:drawing>
          <wp:inline distT="0" distB="0" distL="0" distR="0" wp14:anchorId="0CC1E9E8" wp14:editId="4C57875C">
            <wp:extent cx="5939790" cy="3681908"/>
            <wp:effectExtent l="0" t="0" r="3810" b="0"/>
            <wp:docPr id="16" name="Picture 16" descr="Chart 5 - please see text description in document for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39790" cy="3681908"/>
                    </a:xfrm>
                    <a:prstGeom prst="rect">
                      <a:avLst/>
                    </a:prstGeom>
                  </pic:spPr>
                </pic:pic>
              </a:graphicData>
            </a:graphic>
          </wp:inline>
        </w:drawing>
      </w:r>
    </w:p>
    <w:p w14:paraId="08D888A5" w14:textId="77777777" w:rsidR="006B37D5" w:rsidRDefault="006B37D5" w:rsidP="008E71CA"/>
    <w:p w14:paraId="08D888A6" w14:textId="77777777" w:rsidR="008E71CA" w:rsidRDefault="008E71CA" w:rsidP="00DE700C">
      <w:pPr>
        <w:pStyle w:val="Heading4"/>
      </w:pPr>
      <w:r>
        <w:lastRenderedPageBreak/>
        <w:t>ACCOMMODATION AND FOOD SERVICES</w:t>
      </w:r>
      <w:r w:rsidR="00DE700C">
        <w:t xml:space="preserve"> AGREEMENTS</w:t>
      </w:r>
    </w:p>
    <w:p w14:paraId="08D888A7" w14:textId="77777777" w:rsidR="00A52A3B" w:rsidRDefault="00DE700C" w:rsidP="00DE700C">
      <w:pPr>
        <w:keepNext/>
      </w:pPr>
      <w:r>
        <w:t xml:space="preserve">As Chart </w:t>
      </w:r>
      <w:r w:rsidR="00A57825">
        <w:t>6</w:t>
      </w:r>
      <w:r>
        <w:t xml:space="preserve"> shows, t</w:t>
      </w:r>
      <w:r w:rsidR="00B76318" w:rsidRPr="000B0F4A">
        <w:t>he number of current Accommodation and food services agreements</w:t>
      </w:r>
      <w:r w:rsidR="00B76318">
        <w:t xml:space="preserve"> has </w:t>
      </w:r>
      <w:r w:rsidR="00A52A3B">
        <w:t>been declining since 2011, down to 432 agreements from a peak of 1</w:t>
      </w:r>
      <w:r>
        <w:t>,</w:t>
      </w:r>
      <w:r w:rsidR="00A52A3B">
        <w:t xml:space="preserve">833 agreements in </w:t>
      </w:r>
      <w:r w:rsidR="00FD003E">
        <w:t>Q1-2</w:t>
      </w:r>
      <w:r w:rsidR="00A52A3B">
        <w:t>011</w:t>
      </w:r>
      <w:r w:rsidR="00B76318">
        <w:t xml:space="preserve">. </w:t>
      </w:r>
    </w:p>
    <w:p w14:paraId="08D888A8" w14:textId="77777777" w:rsidR="00DE700C" w:rsidRDefault="004D6745" w:rsidP="00DE700C">
      <w:pPr>
        <w:keepNext/>
      </w:pPr>
      <w:r>
        <w:t>The variation in Q1 2013</w:t>
      </w:r>
      <w:r w:rsidR="00A52A3B">
        <w:t xml:space="preserve"> </w:t>
      </w:r>
      <w:r>
        <w:t xml:space="preserve">is </w:t>
      </w:r>
      <w:r w:rsidR="00A52A3B">
        <w:t xml:space="preserve">primarily due to </w:t>
      </w:r>
      <w:r w:rsidR="00B76318" w:rsidRPr="000B0F4A">
        <w:t xml:space="preserve">the </w:t>
      </w:r>
      <w:r w:rsidR="00B76318" w:rsidRPr="000B0F4A">
        <w:rPr>
          <w:i/>
          <w:iCs/>
        </w:rPr>
        <w:t>McDonald's Australia Enterprise Agreement 2013</w:t>
      </w:r>
      <w:r w:rsidR="00B76318" w:rsidRPr="000B0F4A">
        <w:t xml:space="preserve">, which covers </w:t>
      </w:r>
      <w:r w:rsidR="00A52A3B">
        <w:t xml:space="preserve">almost half of all employees </w:t>
      </w:r>
      <w:r w:rsidR="00DE700C">
        <w:t xml:space="preserve">covered by agreements </w:t>
      </w:r>
      <w:r w:rsidR="00A52A3B">
        <w:t>in the industry</w:t>
      </w:r>
      <w:r w:rsidR="00B76318" w:rsidRPr="000B0F4A">
        <w:t>.</w:t>
      </w:r>
    </w:p>
    <w:p w14:paraId="08D888A9" w14:textId="77777777" w:rsidR="0057115A" w:rsidRPr="0057115A" w:rsidRDefault="0057115A" w:rsidP="0057115A">
      <w:pPr>
        <w:keepNext/>
        <w:rPr>
          <w:b/>
        </w:rPr>
      </w:pPr>
      <w:r w:rsidRPr="00A64205">
        <w:rPr>
          <w:b/>
        </w:rPr>
        <w:t xml:space="preserve">Chart </w:t>
      </w:r>
      <w:r w:rsidR="00A57825">
        <w:rPr>
          <w:b/>
        </w:rPr>
        <w:t>6</w:t>
      </w:r>
      <w:r w:rsidRPr="00A64205">
        <w:rPr>
          <w:b/>
        </w:rPr>
        <w:t>: Current private sector agreements and employees</w:t>
      </w:r>
      <w:r w:rsidR="0001767D">
        <w:rPr>
          <w:b/>
        </w:rPr>
        <w:t xml:space="preserve"> </w:t>
      </w:r>
      <w:r>
        <w:rPr>
          <w:b/>
        </w:rPr>
        <w:t>in the Accommodation and food services industry</w:t>
      </w:r>
      <w:r w:rsidRPr="00A64205">
        <w:rPr>
          <w:b/>
        </w:rPr>
        <w:t>, 200</w:t>
      </w:r>
      <w:r>
        <w:rPr>
          <w:b/>
        </w:rPr>
        <w:t>6-2016</w:t>
      </w:r>
    </w:p>
    <w:p w14:paraId="08D888AA" w14:textId="1C3E554A" w:rsidR="008E71CA" w:rsidRDefault="00F30549" w:rsidP="008E71CA">
      <w:r>
        <w:rPr>
          <w:noProof/>
        </w:rPr>
        <w:drawing>
          <wp:inline distT="0" distB="0" distL="0" distR="0" wp14:anchorId="1E5ABE51" wp14:editId="50714422">
            <wp:extent cx="5939790" cy="3797404"/>
            <wp:effectExtent l="0" t="0" r="3810" b="0"/>
            <wp:docPr id="17" name="Picture 17" descr="Chart 6 - please see text description in document for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39790" cy="3797404"/>
                    </a:xfrm>
                    <a:prstGeom prst="rect">
                      <a:avLst/>
                    </a:prstGeom>
                  </pic:spPr>
                </pic:pic>
              </a:graphicData>
            </a:graphic>
          </wp:inline>
        </w:drawing>
      </w:r>
    </w:p>
    <w:p w14:paraId="08D888AB" w14:textId="77777777" w:rsidR="008E71CA" w:rsidRDefault="00627620" w:rsidP="008E71CA">
      <w:pPr>
        <w:pStyle w:val="Heading4"/>
      </w:pPr>
      <w:r>
        <w:lastRenderedPageBreak/>
        <w:t xml:space="preserve">HEALTH CARE AND SOCIAL ASSISTANCE </w:t>
      </w:r>
      <w:r w:rsidR="008E71CA">
        <w:t>AGREEMENTS</w:t>
      </w:r>
    </w:p>
    <w:p w14:paraId="08D888AC" w14:textId="77777777" w:rsidR="00771BBC" w:rsidRDefault="00771BBC" w:rsidP="00771BBC">
      <w:pPr>
        <w:keepNext/>
      </w:pPr>
      <w:r>
        <w:t xml:space="preserve">Health care and social assistance </w:t>
      </w:r>
      <w:r w:rsidR="004D6745">
        <w:t>has seen</w:t>
      </w:r>
      <w:r w:rsidR="00483AE1">
        <w:t xml:space="preserve"> ongoing growth in </w:t>
      </w:r>
      <w:r w:rsidR="00DE700C">
        <w:t xml:space="preserve">collective agreement </w:t>
      </w:r>
      <w:r w:rsidR="00483AE1">
        <w:t xml:space="preserve">coverage. Despite a number of agreements </w:t>
      </w:r>
      <w:r w:rsidR="004D6745">
        <w:t xml:space="preserve">expiring </w:t>
      </w:r>
      <w:r w:rsidR="00483AE1">
        <w:t xml:space="preserve">in 2015, </w:t>
      </w:r>
      <w:r w:rsidR="00DE700C">
        <w:t xml:space="preserve">Chart </w:t>
      </w:r>
      <w:r w:rsidR="00A57825">
        <w:t>7</w:t>
      </w:r>
      <w:r w:rsidR="00DE700C">
        <w:t xml:space="preserve"> shows that </w:t>
      </w:r>
      <w:r w:rsidR="00483AE1">
        <w:t xml:space="preserve">employee coverage has been consistently trending up for most of the last ten years. </w:t>
      </w:r>
    </w:p>
    <w:p w14:paraId="08D888AD" w14:textId="77777777" w:rsidR="00771BBC" w:rsidRPr="0057115A" w:rsidRDefault="00771BBC" w:rsidP="00771BBC">
      <w:pPr>
        <w:keepNext/>
        <w:rPr>
          <w:b/>
        </w:rPr>
      </w:pPr>
      <w:r w:rsidRPr="00A64205">
        <w:rPr>
          <w:b/>
        </w:rPr>
        <w:t xml:space="preserve">Chart </w:t>
      </w:r>
      <w:r w:rsidR="00A57825">
        <w:rPr>
          <w:b/>
        </w:rPr>
        <w:t>7</w:t>
      </w:r>
      <w:r w:rsidRPr="00A64205">
        <w:rPr>
          <w:b/>
        </w:rPr>
        <w:t>: Current private sector agreements and employees</w:t>
      </w:r>
      <w:r>
        <w:rPr>
          <w:b/>
        </w:rPr>
        <w:t xml:space="preserve"> in the Health care and social assistance industry</w:t>
      </w:r>
      <w:r w:rsidRPr="00A64205">
        <w:rPr>
          <w:b/>
        </w:rPr>
        <w:t>, 200</w:t>
      </w:r>
      <w:r>
        <w:rPr>
          <w:b/>
        </w:rPr>
        <w:t>6-2016</w:t>
      </w:r>
    </w:p>
    <w:p w14:paraId="08D888AE" w14:textId="7F644954" w:rsidR="008E71CA" w:rsidRDefault="006069A7">
      <w:r>
        <w:rPr>
          <w:noProof/>
        </w:rPr>
        <w:drawing>
          <wp:inline distT="0" distB="0" distL="0" distR="0" wp14:anchorId="455E1367" wp14:editId="504DCF95">
            <wp:extent cx="5939790" cy="3452186"/>
            <wp:effectExtent l="0" t="0" r="3810" b="0"/>
            <wp:docPr id="18" name="Picture 18" descr="Chart 7 - please see text description in document for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39790" cy="3452186"/>
                    </a:xfrm>
                    <a:prstGeom prst="rect">
                      <a:avLst/>
                    </a:prstGeom>
                  </pic:spPr>
                </pic:pic>
              </a:graphicData>
            </a:graphic>
          </wp:inline>
        </w:drawing>
      </w:r>
    </w:p>
    <w:p w14:paraId="08D888AF" w14:textId="77777777" w:rsidR="000D618C" w:rsidRDefault="00771BBC" w:rsidP="00DE700C">
      <w:pPr>
        <w:keepNext/>
      </w:pPr>
      <w:r>
        <w:lastRenderedPageBreak/>
        <w:t xml:space="preserve">Chart </w:t>
      </w:r>
      <w:r w:rsidR="00A57825">
        <w:t>8</w:t>
      </w:r>
      <w:r>
        <w:t xml:space="preserve"> demonstrates that </w:t>
      </w:r>
      <w:r w:rsidR="000D618C">
        <w:t>t</w:t>
      </w:r>
      <w:r w:rsidR="000D618C" w:rsidRPr="00A64205">
        <w:t>his growth is al</w:t>
      </w:r>
      <w:r w:rsidR="000D618C">
        <w:t>most entirely due to growth in</w:t>
      </w:r>
      <w:r w:rsidR="000D618C" w:rsidRPr="00A64205">
        <w:t xml:space="preserve"> Residential care services </w:t>
      </w:r>
      <w:r w:rsidR="000D618C">
        <w:t xml:space="preserve">(a </w:t>
      </w:r>
      <w:r w:rsidR="000D618C" w:rsidRPr="00A64205">
        <w:t>sub-division</w:t>
      </w:r>
      <w:r w:rsidR="000D618C">
        <w:t xml:space="preserve"> of the Health care and social assistance industry</w:t>
      </w:r>
      <w:r w:rsidR="004D6745">
        <w:t xml:space="preserve"> which </w:t>
      </w:r>
      <w:r w:rsidR="004D6745" w:rsidRPr="00A64205">
        <w:t>primarily covers aged-care facilities</w:t>
      </w:r>
      <w:r w:rsidR="000D618C">
        <w:t>)</w:t>
      </w:r>
      <w:r w:rsidR="004D6745">
        <w:t>.</w:t>
      </w:r>
      <w:r w:rsidR="000D618C" w:rsidRPr="00A64205">
        <w:t xml:space="preserve"> </w:t>
      </w:r>
      <w:r w:rsidR="000A439B">
        <w:t xml:space="preserve">This </w:t>
      </w:r>
      <w:r w:rsidR="000D618C" w:rsidRPr="00A64205">
        <w:t>has been trending upwards for almost a decade, with significant spikes in employee coverag</w:t>
      </w:r>
      <w:r w:rsidR="000A439B">
        <w:t xml:space="preserve">e in 2010/2011 and 2014/2015. </w:t>
      </w:r>
    </w:p>
    <w:p w14:paraId="08D888B0" w14:textId="77777777" w:rsidR="00771BBC" w:rsidRDefault="00771BBC" w:rsidP="00771BBC">
      <w:pPr>
        <w:keepNext/>
        <w:rPr>
          <w:b/>
        </w:rPr>
      </w:pPr>
      <w:r w:rsidRPr="00A64205">
        <w:rPr>
          <w:b/>
        </w:rPr>
        <w:t xml:space="preserve">Chart </w:t>
      </w:r>
      <w:r w:rsidR="00A57825">
        <w:rPr>
          <w:b/>
        </w:rPr>
        <w:t>8</w:t>
      </w:r>
      <w:r w:rsidRPr="00A64205">
        <w:rPr>
          <w:b/>
        </w:rPr>
        <w:t xml:space="preserve">: </w:t>
      </w:r>
      <w:r>
        <w:rPr>
          <w:b/>
        </w:rPr>
        <w:t>Employee</w:t>
      </w:r>
      <w:r w:rsidR="0001767D">
        <w:rPr>
          <w:b/>
        </w:rPr>
        <w:t>s</w:t>
      </w:r>
      <w:r>
        <w:rPr>
          <w:b/>
        </w:rPr>
        <w:t xml:space="preserve"> </w:t>
      </w:r>
      <w:r w:rsidR="0001767D">
        <w:rPr>
          <w:b/>
        </w:rPr>
        <w:t>covered by private sector enterprise agreements</w:t>
      </w:r>
      <w:r>
        <w:rPr>
          <w:b/>
        </w:rPr>
        <w:t xml:space="preserve"> in the Health care and social assistance industry</w:t>
      </w:r>
      <w:r w:rsidRPr="00A64205">
        <w:rPr>
          <w:b/>
        </w:rPr>
        <w:t xml:space="preserve">, </w:t>
      </w:r>
      <w:r>
        <w:rPr>
          <w:b/>
        </w:rPr>
        <w:t xml:space="preserve">by ANZSIC sub-division, </w:t>
      </w:r>
      <w:r w:rsidRPr="00A64205">
        <w:rPr>
          <w:b/>
        </w:rPr>
        <w:t>200</w:t>
      </w:r>
      <w:r>
        <w:rPr>
          <w:b/>
        </w:rPr>
        <w:t>6-2016</w:t>
      </w:r>
    </w:p>
    <w:p w14:paraId="542174C0" w14:textId="2F098D90" w:rsidR="006069A7" w:rsidRPr="0057115A" w:rsidRDefault="006069A7" w:rsidP="00771BBC">
      <w:pPr>
        <w:keepNext/>
        <w:rPr>
          <w:b/>
        </w:rPr>
      </w:pPr>
      <w:r>
        <w:rPr>
          <w:noProof/>
        </w:rPr>
        <w:drawing>
          <wp:inline distT="0" distB="0" distL="0" distR="0" wp14:anchorId="1C88A954" wp14:editId="0AEA4482">
            <wp:extent cx="5939790" cy="3721888"/>
            <wp:effectExtent l="0" t="0" r="3810" b="0"/>
            <wp:docPr id="19" name="Picture 19" descr="Chart 8 - please see text description in document for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39790" cy="3721888"/>
                    </a:xfrm>
                    <a:prstGeom prst="rect">
                      <a:avLst/>
                    </a:prstGeom>
                  </pic:spPr>
                </pic:pic>
              </a:graphicData>
            </a:graphic>
          </wp:inline>
        </w:drawing>
      </w:r>
    </w:p>
    <w:p w14:paraId="08D888B1" w14:textId="5997CF88" w:rsidR="00627620" w:rsidRDefault="00627620"/>
    <w:p w14:paraId="08D888B2" w14:textId="77777777" w:rsidR="008535AC" w:rsidRDefault="008535AC" w:rsidP="00DE700C">
      <w:pPr>
        <w:pStyle w:val="Heading2"/>
      </w:pPr>
      <w:r>
        <w:lastRenderedPageBreak/>
        <w:t>BY UNION COVERAGE</w:t>
      </w:r>
    </w:p>
    <w:p w14:paraId="08D888B3" w14:textId="77777777" w:rsidR="00F61666" w:rsidRDefault="00F61666" w:rsidP="00DE700C">
      <w:pPr>
        <w:keepNext/>
      </w:pPr>
      <w:r>
        <w:t xml:space="preserve">Chart </w:t>
      </w:r>
      <w:r w:rsidR="00A57825">
        <w:t>9</w:t>
      </w:r>
      <w:r>
        <w:t xml:space="preserve"> shows that agreements that cover unions and agreements that do not cover a union have both declined in recent years. Agreements that cover a union peaked in 2014, and have </w:t>
      </w:r>
      <w:r w:rsidR="001003C9">
        <w:t xml:space="preserve">since </w:t>
      </w:r>
      <w:r>
        <w:t xml:space="preserve">declined. Agreements that do not cover a union declined between 2010 and 2014, and have been reasonably stable since then. </w:t>
      </w:r>
    </w:p>
    <w:p w14:paraId="08D888B4" w14:textId="77777777" w:rsidR="00F61666" w:rsidRDefault="00F61666" w:rsidP="00F61666">
      <w:pPr>
        <w:keepNext/>
        <w:rPr>
          <w:b/>
        </w:rPr>
      </w:pPr>
      <w:r w:rsidRPr="00A64205">
        <w:rPr>
          <w:b/>
        </w:rPr>
        <w:t xml:space="preserve">Chart </w:t>
      </w:r>
      <w:r w:rsidR="00A57825">
        <w:rPr>
          <w:b/>
        </w:rPr>
        <w:t>9</w:t>
      </w:r>
      <w:r w:rsidRPr="00A64205">
        <w:rPr>
          <w:b/>
        </w:rPr>
        <w:t xml:space="preserve">: Current private sector agreements by </w:t>
      </w:r>
      <w:r>
        <w:rPr>
          <w:b/>
        </w:rPr>
        <w:t>union coverage</w:t>
      </w:r>
      <w:r w:rsidRPr="00A64205">
        <w:rPr>
          <w:b/>
        </w:rPr>
        <w:t>, 200</w:t>
      </w:r>
      <w:r>
        <w:rPr>
          <w:b/>
        </w:rPr>
        <w:t>6</w:t>
      </w:r>
      <w:r w:rsidRPr="00A64205">
        <w:rPr>
          <w:b/>
        </w:rPr>
        <w:t>-201</w:t>
      </w:r>
      <w:r>
        <w:rPr>
          <w:b/>
        </w:rPr>
        <w:t>6</w:t>
      </w:r>
    </w:p>
    <w:p w14:paraId="1E973573" w14:textId="00D92DCB" w:rsidR="00EA1BE6" w:rsidRPr="00313663" w:rsidRDefault="00EA1BE6" w:rsidP="00F61666">
      <w:pPr>
        <w:keepNext/>
        <w:rPr>
          <w:b/>
        </w:rPr>
      </w:pPr>
      <w:r>
        <w:rPr>
          <w:b/>
          <w:noProof/>
        </w:rPr>
        <w:drawing>
          <wp:inline distT="0" distB="0" distL="0" distR="0" wp14:anchorId="112591AF" wp14:editId="0E781EC3">
            <wp:extent cx="5949950" cy="3529965"/>
            <wp:effectExtent l="0" t="0" r="0" b="0"/>
            <wp:docPr id="20" name="Picture 20" descr="Chart 9 - please see text description in document for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9950" cy="3529965"/>
                    </a:xfrm>
                    <a:prstGeom prst="rect">
                      <a:avLst/>
                    </a:prstGeom>
                    <a:noFill/>
                  </pic:spPr>
                </pic:pic>
              </a:graphicData>
            </a:graphic>
          </wp:inline>
        </w:drawing>
      </w:r>
    </w:p>
    <w:p w14:paraId="08D888B5" w14:textId="7134359D" w:rsidR="00F61666" w:rsidRDefault="00F61666"/>
    <w:p w14:paraId="08D888B6" w14:textId="77777777" w:rsidR="007E0B6D" w:rsidRDefault="007E0B6D" w:rsidP="00C550ED">
      <w:pPr>
        <w:pStyle w:val="Heading2"/>
      </w:pPr>
      <w:r>
        <w:lastRenderedPageBreak/>
        <w:t>REPLACEMENT AGREEMENTS</w:t>
      </w:r>
    </w:p>
    <w:p w14:paraId="08D888B7" w14:textId="77777777" w:rsidR="00A429D4" w:rsidRDefault="007E0B6D" w:rsidP="00C550ED">
      <w:pPr>
        <w:keepNext/>
      </w:pPr>
      <w:r>
        <w:t>Chart 1</w:t>
      </w:r>
      <w:r w:rsidR="00A57825">
        <w:t>0</w:t>
      </w:r>
      <w:r>
        <w:t xml:space="preserve"> </w:t>
      </w:r>
      <w:r w:rsidR="001003C9">
        <w:t>shows the</w:t>
      </w:r>
      <w:r>
        <w:t xml:space="preserve"> proportion of agreements that are being replaced after expiry. </w:t>
      </w:r>
    </w:p>
    <w:p w14:paraId="08D888B8" w14:textId="77777777" w:rsidR="007E0B6D" w:rsidRDefault="00A429D4" w:rsidP="00C550ED">
      <w:pPr>
        <w:keepNext/>
      </w:pPr>
      <w:r>
        <w:t xml:space="preserve">Around 35 per cent of agreements that expired </w:t>
      </w:r>
      <w:r w:rsidR="007E0B6D">
        <w:t xml:space="preserve">in </w:t>
      </w:r>
      <w:r>
        <w:t>12 months</w:t>
      </w:r>
      <w:r w:rsidR="007E0B6D">
        <w:t xml:space="preserve"> to Q3-2015</w:t>
      </w:r>
      <w:r>
        <w:t xml:space="preserve"> have been replaced, </w:t>
      </w:r>
      <w:r w:rsidR="007E0B6D">
        <w:t xml:space="preserve">compared to an average rate of </w:t>
      </w:r>
      <w:r>
        <w:t>around 50</w:t>
      </w:r>
      <w:r w:rsidR="007E0B6D">
        <w:t xml:space="preserve"> per cent from Q1-2011 to Q4-2011. </w:t>
      </w:r>
    </w:p>
    <w:p w14:paraId="08D888B9" w14:textId="77777777" w:rsidR="0001767D" w:rsidRDefault="0001767D" w:rsidP="00C550ED">
      <w:pPr>
        <w:keepNext/>
      </w:pPr>
      <w:r>
        <w:t xml:space="preserve">As stated earlier, a lack of replacement could be due to </w:t>
      </w:r>
      <w:r w:rsidR="002C70B9">
        <w:t xml:space="preserve">reasons such as </w:t>
      </w:r>
      <w:r>
        <w:t xml:space="preserve">the enterprise ceasing to </w:t>
      </w:r>
      <w:proofErr w:type="gramStart"/>
      <w:r>
        <w:t>exist,</w:t>
      </w:r>
      <w:proofErr w:type="gramEnd"/>
      <w:r>
        <w:t xml:space="preserve"> or because the agreeme</w:t>
      </w:r>
      <w:r w:rsidR="002C70B9">
        <w:t>nt continues to operate after its notional expiry date and has no</w:t>
      </w:r>
      <w:r>
        <w:t>t yet been replaced.</w:t>
      </w:r>
    </w:p>
    <w:p w14:paraId="08D888BA" w14:textId="77777777" w:rsidR="007E0B6D" w:rsidRPr="00313663" w:rsidRDefault="007E0B6D" w:rsidP="007E0B6D">
      <w:pPr>
        <w:keepNext/>
        <w:rPr>
          <w:b/>
        </w:rPr>
      </w:pPr>
      <w:r w:rsidRPr="00A64205">
        <w:rPr>
          <w:b/>
        </w:rPr>
        <w:t>Chart</w:t>
      </w:r>
      <w:r>
        <w:rPr>
          <w:b/>
        </w:rPr>
        <w:t xml:space="preserve"> 1</w:t>
      </w:r>
      <w:r w:rsidR="00A57825">
        <w:rPr>
          <w:b/>
        </w:rPr>
        <w:t>0</w:t>
      </w:r>
      <w:r w:rsidRPr="00A64205">
        <w:rPr>
          <w:b/>
        </w:rPr>
        <w:t xml:space="preserve">: </w:t>
      </w:r>
      <w:r>
        <w:rPr>
          <w:b/>
        </w:rPr>
        <w:t xml:space="preserve">Replacement rate of expired </w:t>
      </w:r>
      <w:r w:rsidRPr="00A64205">
        <w:rPr>
          <w:b/>
        </w:rPr>
        <w:t>private sector agreements</w:t>
      </w:r>
      <w:r>
        <w:rPr>
          <w:b/>
        </w:rPr>
        <w:t>, by quarter of expiry, 2011-2015</w:t>
      </w:r>
      <w:r w:rsidRPr="00A64205">
        <w:rPr>
          <w:b/>
        </w:rPr>
        <w:t xml:space="preserve"> </w:t>
      </w:r>
    </w:p>
    <w:p w14:paraId="08D888BB" w14:textId="685D72F1" w:rsidR="007E0B6D" w:rsidRDefault="00EA1BE6" w:rsidP="007E0B6D">
      <w:r>
        <w:rPr>
          <w:noProof/>
        </w:rPr>
        <w:drawing>
          <wp:inline distT="0" distB="0" distL="0" distR="0" wp14:anchorId="0893A2EA" wp14:editId="670A432B">
            <wp:extent cx="5956300" cy="2432685"/>
            <wp:effectExtent l="0" t="0" r="6350" b="5715"/>
            <wp:docPr id="21" name="Picture 21" descr="Chart 10 - please see text description in document for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56300" cy="2432685"/>
                    </a:xfrm>
                    <a:prstGeom prst="rect">
                      <a:avLst/>
                    </a:prstGeom>
                    <a:noFill/>
                  </pic:spPr>
                </pic:pic>
              </a:graphicData>
            </a:graphic>
          </wp:inline>
        </w:drawing>
      </w:r>
    </w:p>
    <w:sectPr w:rsidR="007E0B6D" w:rsidSect="000E7912">
      <w:headerReference w:type="even" r:id="rId24"/>
      <w:headerReference w:type="default" r:id="rId25"/>
      <w:footerReference w:type="even" r:id="rId26"/>
      <w:footerReference w:type="default" r:id="rId27"/>
      <w:headerReference w:type="first" r:id="rId28"/>
      <w:footerReference w:type="first" r:id="rId29"/>
      <w:pgSz w:w="11906" w:h="16838" w:code="9"/>
      <w:pgMar w:top="1418" w:right="1134" w:bottom="1418" w:left="1418"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D888D4" w14:textId="77777777" w:rsidR="002C2D02" w:rsidRDefault="002C2D02" w:rsidP="000E7912">
      <w:pPr>
        <w:spacing w:after="0" w:line="240" w:lineRule="auto"/>
      </w:pPr>
      <w:r>
        <w:separator/>
      </w:r>
    </w:p>
  </w:endnote>
  <w:endnote w:type="continuationSeparator" w:id="0">
    <w:p w14:paraId="08D888D5" w14:textId="77777777" w:rsidR="002C2D02" w:rsidRDefault="002C2D02" w:rsidP="000E79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888D8" w14:textId="77777777" w:rsidR="0015644C" w:rsidRDefault="0015644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3121073"/>
      <w:docPartObj>
        <w:docPartGallery w:val="Page Numbers (Bottom of Page)"/>
        <w:docPartUnique/>
      </w:docPartObj>
    </w:sdtPr>
    <w:sdtEndPr>
      <w:rPr>
        <w:color w:val="808080" w:themeColor="background1" w:themeShade="80"/>
        <w:spacing w:val="60"/>
      </w:rPr>
    </w:sdtEndPr>
    <w:sdtContent>
      <w:p w14:paraId="08D888D9" w14:textId="77777777" w:rsidR="000E7912" w:rsidRDefault="000E7912">
        <w:pPr>
          <w:pStyle w:val="Footer"/>
          <w:pBdr>
            <w:top w:val="single" w:sz="4" w:space="1" w:color="D9D9D9" w:themeColor="background1" w:themeShade="D9"/>
          </w:pBdr>
          <w:jc w:val="right"/>
        </w:pPr>
        <w:r>
          <w:fldChar w:fldCharType="begin"/>
        </w:r>
        <w:r>
          <w:instrText xml:space="preserve"> PAGE   \* MERGEFORMAT </w:instrText>
        </w:r>
        <w:r>
          <w:fldChar w:fldCharType="separate"/>
        </w:r>
        <w:r w:rsidR="000670F8">
          <w:rPr>
            <w:noProof/>
          </w:rPr>
          <w:t>2</w:t>
        </w:r>
        <w:r>
          <w:rPr>
            <w:noProof/>
          </w:rPr>
          <w:fldChar w:fldCharType="end"/>
        </w:r>
        <w:r>
          <w:t xml:space="preserve"> | </w:t>
        </w:r>
        <w:r>
          <w:rPr>
            <w:color w:val="808080" w:themeColor="background1" w:themeShade="80"/>
            <w:spacing w:val="60"/>
          </w:rPr>
          <w:t>Page</w:t>
        </w:r>
      </w:p>
    </w:sdtContent>
  </w:sdt>
  <w:p w14:paraId="08D888DA" w14:textId="77777777" w:rsidR="000E7912" w:rsidRDefault="000E791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888DC" w14:textId="77777777" w:rsidR="0015644C" w:rsidRDefault="001564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D888D2" w14:textId="77777777" w:rsidR="002C2D02" w:rsidRDefault="002C2D02" w:rsidP="000E7912">
      <w:pPr>
        <w:spacing w:after="0" w:line="240" w:lineRule="auto"/>
      </w:pPr>
      <w:r>
        <w:separator/>
      </w:r>
    </w:p>
  </w:footnote>
  <w:footnote w:type="continuationSeparator" w:id="0">
    <w:p w14:paraId="08D888D3" w14:textId="77777777" w:rsidR="002C2D02" w:rsidRDefault="002C2D02" w:rsidP="000E79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888D6" w14:textId="77777777" w:rsidR="0015644C" w:rsidRDefault="0015644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888D7" w14:textId="77777777" w:rsidR="0015644C" w:rsidRDefault="0015644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888DB" w14:textId="77777777" w:rsidR="0015644C" w:rsidRDefault="001564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C316D"/>
    <w:multiLevelType w:val="hybridMultilevel"/>
    <w:tmpl w:val="AC04AA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F746D59"/>
    <w:multiLevelType w:val="hybridMultilevel"/>
    <w:tmpl w:val="6EB0F2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ReportControlsVisible" w:val="Empty"/>
    <w:docVar w:name="_AMO_UniqueIdentifier" w:val="87b5d59b-3f79-4437-a733-770400bae81a"/>
  </w:docVars>
  <w:rsids>
    <w:rsidRoot w:val="0083415A"/>
    <w:rsid w:val="00000063"/>
    <w:rsid w:val="00004782"/>
    <w:rsid w:val="00016392"/>
    <w:rsid w:val="00016F79"/>
    <w:rsid w:val="0001757D"/>
    <w:rsid w:val="0001767D"/>
    <w:rsid w:val="00017BE4"/>
    <w:rsid w:val="00021C27"/>
    <w:rsid w:val="00053A6F"/>
    <w:rsid w:val="000564E7"/>
    <w:rsid w:val="0006043A"/>
    <w:rsid w:val="000670F8"/>
    <w:rsid w:val="000716B0"/>
    <w:rsid w:val="00077AE2"/>
    <w:rsid w:val="00086594"/>
    <w:rsid w:val="00096C29"/>
    <w:rsid w:val="000A439B"/>
    <w:rsid w:val="000C0D6B"/>
    <w:rsid w:val="000D35D2"/>
    <w:rsid w:val="000D618C"/>
    <w:rsid w:val="000E074C"/>
    <w:rsid w:val="000E7912"/>
    <w:rsid w:val="000F50E1"/>
    <w:rsid w:val="001003C9"/>
    <w:rsid w:val="00107056"/>
    <w:rsid w:val="001128B8"/>
    <w:rsid w:val="001315E0"/>
    <w:rsid w:val="00140705"/>
    <w:rsid w:val="00152948"/>
    <w:rsid w:val="0015644C"/>
    <w:rsid w:val="00171000"/>
    <w:rsid w:val="0017220F"/>
    <w:rsid w:val="001A58B3"/>
    <w:rsid w:val="001B17C0"/>
    <w:rsid w:val="001D7ACD"/>
    <w:rsid w:val="001E71FB"/>
    <w:rsid w:val="001E745D"/>
    <w:rsid w:val="001E7D0B"/>
    <w:rsid w:val="002127F6"/>
    <w:rsid w:val="002145A7"/>
    <w:rsid w:val="00237993"/>
    <w:rsid w:val="00271585"/>
    <w:rsid w:val="00273258"/>
    <w:rsid w:val="00277F55"/>
    <w:rsid w:val="00282628"/>
    <w:rsid w:val="0029069B"/>
    <w:rsid w:val="00291B37"/>
    <w:rsid w:val="002924CA"/>
    <w:rsid w:val="00294579"/>
    <w:rsid w:val="002948D2"/>
    <w:rsid w:val="002B5B1B"/>
    <w:rsid w:val="002C07BD"/>
    <w:rsid w:val="002C2D02"/>
    <w:rsid w:val="002C559E"/>
    <w:rsid w:val="002C70B9"/>
    <w:rsid w:val="002C71E4"/>
    <w:rsid w:val="002E7BF6"/>
    <w:rsid w:val="0030278C"/>
    <w:rsid w:val="00323616"/>
    <w:rsid w:val="00326E21"/>
    <w:rsid w:val="0034693B"/>
    <w:rsid w:val="00351C62"/>
    <w:rsid w:val="003557D6"/>
    <w:rsid w:val="0035774D"/>
    <w:rsid w:val="00375BBE"/>
    <w:rsid w:val="003843DE"/>
    <w:rsid w:val="0039073A"/>
    <w:rsid w:val="003954F6"/>
    <w:rsid w:val="003962E5"/>
    <w:rsid w:val="003B6573"/>
    <w:rsid w:val="003C4050"/>
    <w:rsid w:val="003C60A0"/>
    <w:rsid w:val="003D476A"/>
    <w:rsid w:val="003F6B7F"/>
    <w:rsid w:val="00424C37"/>
    <w:rsid w:val="0044203F"/>
    <w:rsid w:val="00443A1A"/>
    <w:rsid w:val="00456ED4"/>
    <w:rsid w:val="00460B40"/>
    <w:rsid w:val="0046160A"/>
    <w:rsid w:val="00462950"/>
    <w:rsid w:val="004710BB"/>
    <w:rsid w:val="004746FA"/>
    <w:rsid w:val="00482C3F"/>
    <w:rsid w:val="00483AE1"/>
    <w:rsid w:val="0048630D"/>
    <w:rsid w:val="00497039"/>
    <w:rsid w:val="004C1A26"/>
    <w:rsid w:val="004C2B37"/>
    <w:rsid w:val="004D6745"/>
    <w:rsid w:val="004D7963"/>
    <w:rsid w:val="004E16E9"/>
    <w:rsid w:val="004E7CEC"/>
    <w:rsid w:val="004E7DA4"/>
    <w:rsid w:val="00500F96"/>
    <w:rsid w:val="00510A98"/>
    <w:rsid w:val="00512CE7"/>
    <w:rsid w:val="005416B6"/>
    <w:rsid w:val="0054237E"/>
    <w:rsid w:val="00547F80"/>
    <w:rsid w:val="00566240"/>
    <w:rsid w:val="005710AE"/>
    <w:rsid w:val="0057115A"/>
    <w:rsid w:val="00572500"/>
    <w:rsid w:val="0057625E"/>
    <w:rsid w:val="005924DC"/>
    <w:rsid w:val="0059389B"/>
    <w:rsid w:val="005A12C3"/>
    <w:rsid w:val="005A1B69"/>
    <w:rsid w:val="005B697F"/>
    <w:rsid w:val="005D0677"/>
    <w:rsid w:val="005F3C56"/>
    <w:rsid w:val="00601511"/>
    <w:rsid w:val="006069A7"/>
    <w:rsid w:val="0060769C"/>
    <w:rsid w:val="00611FF4"/>
    <w:rsid w:val="00612E6B"/>
    <w:rsid w:val="006136A1"/>
    <w:rsid w:val="00614B03"/>
    <w:rsid w:val="00627620"/>
    <w:rsid w:val="00630662"/>
    <w:rsid w:val="006332DC"/>
    <w:rsid w:val="0064052C"/>
    <w:rsid w:val="006470BD"/>
    <w:rsid w:val="00653D02"/>
    <w:rsid w:val="0065685E"/>
    <w:rsid w:val="00661754"/>
    <w:rsid w:val="006640A1"/>
    <w:rsid w:val="006710D0"/>
    <w:rsid w:val="00673938"/>
    <w:rsid w:val="00677507"/>
    <w:rsid w:val="00694E76"/>
    <w:rsid w:val="006976F2"/>
    <w:rsid w:val="006A693C"/>
    <w:rsid w:val="006A7D67"/>
    <w:rsid w:val="006B37D5"/>
    <w:rsid w:val="006C04C2"/>
    <w:rsid w:val="006D0F5D"/>
    <w:rsid w:val="006E0BBF"/>
    <w:rsid w:val="006E61F2"/>
    <w:rsid w:val="00710227"/>
    <w:rsid w:val="00724AB6"/>
    <w:rsid w:val="007317E1"/>
    <w:rsid w:val="00733752"/>
    <w:rsid w:val="00733F8C"/>
    <w:rsid w:val="00736773"/>
    <w:rsid w:val="007451B9"/>
    <w:rsid w:val="00751045"/>
    <w:rsid w:val="00756348"/>
    <w:rsid w:val="00763E1B"/>
    <w:rsid w:val="00771BBC"/>
    <w:rsid w:val="00774FF4"/>
    <w:rsid w:val="00776B30"/>
    <w:rsid w:val="007840D5"/>
    <w:rsid w:val="00793714"/>
    <w:rsid w:val="00797F0B"/>
    <w:rsid w:val="007A732A"/>
    <w:rsid w:val="007E0B6D"/>
    <w:rsid w:val="007E0CE9"/>
    <w:rsid w:val="007E3554"/>
    <w:rsid w:val="007E450C"/>
    <w:rsid w:val="007F51A5"/>
    <w:rsid w:val="00804E43"/>
    <w:rsid w:val="008153DD"/>
    <w:rsid w:val="008165E2"/>
    <w:rsid w:val="008316D6"/>
    <w:rsid w:val="0083415A"/>
    <w:rsid w:val="008535AC"/>
    <w:rsid w:val="008550C1"/>
    <w:rsid w:val="00855450"/>
    <w:rsid w:val="008614B9"/>
    <w:rsid w:val="008627BF"/>
    <w:rsid w:val="00875040"/>
    <w:rsid w:val="00875B3E"/>
    <w:rsid w:val="008763FD"/>
    <w:rsid w:val="00877AD8"/>
    <w:rsid w:val="008928EC"/>
    <w:rsid w:val="0089481F"/>
    <w:rsid w:val="008B15D8"/>
    <w:rsid w:val="008C05A0"/>
    <w:rsid w:val="008D5BB9"/>
    <w:rsid w:val="008D6B2F"/>
    <w:rsid w:val="008E71CA"/>
    <w:rsid w:val="008F2DB2"/>
    <w:rsid w:val="008F6378"/>
    <w:rsid w:val="009001A5"/>
    <w:rsid w:val="00902DFB"/>
    <w:rsid w:val="009210C0"/>
    <w:rsid w:val="00922BF2"/>
    <w:rsid w:val="00926FE4"/>
    <w:rsid w:val="0093789B"/>
    <w:rsid w:val="00944FA2"/>
    <w:rsid w:val="009609DE"/>
    <w:rsid w:val="009874D0"/>
    <w:rsid w:val="00994695"/>
    <w:rsid w:val="00995874"/>
    <w:rsid w:val="00997710"/>
    <w:rsid w:val="009A0318"/>
    <w:rsid w:val="009B5F26"/>
    <w:rsid w:val="009C0504"/>
    <w:rsid w:val="009C11DB"/>
    <w:rsid w:val="009D3E8A"/>
    <w:rsid w:val="009D59D4"/>
    <w:rsid w:val="009E0CBB"/>
    <w:rsid w:val="009F4743"/>
    <w:rsid w:val="009F63E5"/>
    <w:rsid w:val="00A0044F"/>
    <w:rsid w:val="00A232EB"/>
    <w:rsid w:val="00A32D1E"/>
    <w:rsid w:val="00A429D4"/>
    <w:rsid w:val="00A52A3B"/>
    <w:rsid w:val="00A5497E"/>
    <w:rsid w:val="00A55A45"/>
    <w:rsid w:val="00A5707E"/>
    <w:rsid w:val="00A57825"/>
    <w:rsid w:val="00A606EA"/>
    <w:rsid w:val="00A655BA"/>
    <w:rsid w:val="00A80CDE"/>
    <w:rsid w:val="00A9016D"/>
    <w:rsid w:val="00A968DD"/>
    <w:rsid w:val="00AA1BD6"/>
    <w:rsid w:val="00AB70C3"/>
    <w:rsid w:val="00AB794C"/>
    <w:rsid w:val="00AC0A24"/>
    <w:rsid w:val="00AC1B19"/>
    <w:rsid w:val="00AC6E8C"/>
    <w:rsid w:val="00AD5A24"/>
    <w:rsid w:val="00AE5878"/>
    <w:rsid w:val="00AF049F"/>
    <w:rsid w:val="00AF4738"/>
    <w:rsid w:val="00B10D76"/>
    <w:rsid w:val="00B15D21"/>
    <w:rsid w:val="00B324EB"/>
    <w:rsid w:val="00B37001"/>
    <w:rsid w:val="00B508A3"/>
    <w:rsid w:val="00B55A43"/>
    <w:rsid w:val="00B56A2E"/>
    <w:rsid w:val="00B6454E"/>
    <w:rsid w:val="00B64669"/>
    <w:rsid w:val="00B65557"/>
    <w:rsid w:val="00B728C9"/>
    <w:rsid w:val="00B76318"/>
    <w:rsid w:val="00B9418B"/>
    <w:rsid w:val="00BA3354"/>
    <w:rsid w:val="00BD30A2"/>
    <w:rsid w:val="00BD4948"/>
    <w:rsid w:val="00BD763C"/>
    <w:rsid w:val="00BE06B1"/>
    <w:rsid w:val="00BF0529"/>
    <w:rsid w:val="00BF338B"/>
    <w:rsid w:val="00C10580"/>
    <w:rsid w:val="00C24410"/>
    <w:rsid w:val="00C31539"/>
    <w:rsid w:val="00C3749E"/>
    <w:rsid w:val="00C3753E"/>
    <w:rsid w:val="00C45AE3"/>
    <w:rsid w:val="00C47603"/>
    <w:rsid w:val="00C550ED"/>
    <w:rsid w:val="00C80457"/>
    <w:rsid w:val="00C909FE"/>
    <w:rsid w:val="00C91422"/>
    <w:rsid w:val="00CA0EF4"/>
    <w:rsid w:val="00CA7A6F"/>
    <w:rsid w:val="00CB1E86"/>
    <w:rsid w:val="00CB2B20"/>
    <w:rsid w:val="00CB4152"/>
    <w:rsid w:val="00CC3A9C"/>
    <w:rsid w:val="00CC6416"/>
    <w:rsid w:val="00CD2572"/>
    <w:rsid w:val="00CD7C2D"/>
    <w:rsid w:val="00CE107A"/>
    <w:rsid w:val="00CE6A97"/>
    <w:rsid w:val="00CE6B71"/>
    <w:rsid w:val="00CF08DE"/>
    <w:rsid w:val="00D11BA5"/>
    <w:rsid w:val="00D14A00"/>
    <w:rsid w:val="00D16FCF"/>
    <w:rsid w:val="00D40A42"/>
    <w:rsid w:val="00D46EDA"/>
    <w:rsid w:val="00D52DE8"/>
    <w:rsid w:val="00D6073D"/>
    <w:rsid w:val="00D64FA6"/>
    <w:rsid w:val="00D6516E"/>
    <w:rsid w:val="00D7052E"/>
    <w:rsid w:val="00D73C97"/>
    <w:rsid w:val="00D744BF"/>
    <w:rsid w:val="00D771F4"/>
    <w:rsid w:val="00D8127F"/>
    <w:rsid w:val="00DA79FA"/>
    <w:rsid w:val="00DB631D"/>
    <w:rsid w:val="00DC0C6E"/>
    <w:rsid w:val="00DC47F9"/>
    <w:rsid w:val="00DC7976"/>
    <w:rsid w:val="00DE31F4"/>
    <w:rsid w:val="00DE700C"/>
    <w:rsid w:val="00DF0D0C"/>
    <w:rsid w:val="00E102EB"/>
    <w:rsid w:val="00E12283"/>
    <w:rsid w:val="00E15041"/>
    <w:rsid w:val="00E200D1"/>
    <w:rsid w:val="00E3191C"/>
    <w:rsid w:val="00E8259C"/>
    <w:rsid w:val="00E87D9F"/>
    <w:rsid w:val="00E9260A"/>
    <w:rsid w:val="00EA1BE6"/>
    <w:rsid w:val="00EA2C64"/>
    <w:rsid w:val="00EA67BB"/>
    <w:rsid w:val="00EB0C37"/>
    <w:rsid w:val="00EB400C"/>
    <w:rsid w:val="00EC53AC"/>
    <w:rsid w:val="00ED07E8"/>
    <w:rsid w:val="00ED5CC9"/>
    <w:rsid w:val="00ED7B00"/>
    <w:rsid w:val="00EE0106"/>
    <w:rsid w:val="00EE26E4"/>
    <w:rsid w:val="00EE2C85"/>
    <w:rsid w:val="00EE6A21"/>
    <w:rsid w:val="00F006F1"/>
    <w:rsid w:val="00F031FB"/>
    <w:rsid w:val="00F06DB3"/>
    <w:rsid w:val="00F11A23"/>
    <w:rsid w:val="00F30549"/>
    <w:rsid w:val="00F61666"/>
    <w:rsid w:val="00F61FCF"/>
    <w:rsid w:val="00F6508C"/>
    <w:rsid w:val="00F73343"/>
    <w:rsid w:val="00F77744"/>
    <w:rsid w:val="00F80701"/>
    <w:rsid w:val="00F830AB"/>
    <w:rsid w:val="00F90731"/>
    <w:rsid w:val="00F9621D"/>
    <w:rsid w:val="00FA6D74"/>
    <w:rsid w:val="00FB1416"/>
    <w:rsid w:val="00FB6474"/>
    <w:rsid w:val="00FC28C6"/>
    <w:rsid w:val="00FC28F0"/>
    <w:rsid w:val="00FC6BE9"/>
    <w:rsid w:val="00FC70D0"/>
    <w:rsid w:val="00FD003E"/>
    <w:rsid w:val="00FD772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08D88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AU" w:eastAsia="en-AU"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1511"/>
  </w:style>
  <w:style w:type="paragraph" w:styleId="Heading1">
    <w:name w:val="heading 1"/>
    <w:basedOn w:val="Normal"/>
    <w:next w:val="Normal"/>
    <w:link w:val="Heading1Char"/>
    <w:qFormat/>
    <w:rsid w:val="001E7D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8535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73677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73677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2826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282628"/>
    <w:rPr>
      <w:rFonts w:ascii="Tahoma" w:hAnsi="Tahoma" w:cs="Tahoma"/>
      <w:sz w:val="16"/>
      <w:szCs w:val="16"/>
    </w:rPr>
  </w:style>
  <w:style w:type="character" w:customStyle="1" w:styleId="Heading1Char">
    <w:name w:val="Heading 1 Char"/>
    <w:basedOn w:val="DefaultParagraphFont"/>
    <w:link w:val="Heading1"/>
    <w:rsid w:val="001E7D0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4052C"/>
    <w:pPr>
      <w:ind w:left="720"/>
      <w:contextualSpacing/>
    </w:pPr>
  </w:style>
  <w:style w:type="character" w:customStyle="1" w:styleId="Heading2Char">
    <w:name w:val="Heading 2 Char"/>
    <w:basedOn w:val="DefaultParagraphFont"/>
    <w:link w:val="Heading2"/>
    <w:rsid w:val="008535A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73677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736773"/>
    <w:rPr>
      <w:rFonts w:asciiTheme="majorHAnsi" w:eastAsiaTheme="majorEastAsia" w:hAnsiTheme="majorHAnsi" w:cstheme="majorBidi"/>
      <w:b/>
      <w:bCs/>
      <w:i/>
      <w:iCs/>
      <w:color w:val="4F81BD" w:themeColor="accent1"/>
    </w:rPr>
  </w:style>
  <w:style w:type="character" w:styleId="Hyperlink">
    <w:name w:val="Hyperlink"/>
    <w:basedOn w:val="DefaultParagraphFont"/>
    <w:rsid w:val="0017220F"/>
    <w:rPr>
      <w:color w:val="0000FF" w:themeColor="hyperlink"/>
      <w:u w:val="single"/>
    </w:rPr>
  </w:style>
  <w:style w:type="character" w:styleId="CommentReference">
    <w:name w:val="annotation reference"/>
    <w:basedOn w:val="DefaultParagraphFont"/>
    <w:rsid w:val="00926FE4"/>
    <w:rPr>
      <w:sz w:val="16"/>
      <w:szCs w:val="16"/>
    </w:rPr>
  </w:style>
  <w:style w:type="paragraph" w:styleId="CommentText">
    <w:name w:val="annotation text"/>
    <w:basedOn w:val="Normal"/>
    <w:link w:val="CommentTextChar"/>
    <w:rsid w:val="00926FE4"/>
    <w:pPr>
      <w:spacing w:line="240" w:lineRule="auto"/>
    </w:pPr>
    <w:rPr>
      <w:sz w:val="20"/>
      <w:szCs w:val="20"/>
    </w:rPr>
  </w:style>
  <w:style w:type="character" w:customStyle="1" w:styleId="CommentTextChar">
    <w:name w:val="Comment Text Char"/>
    <w:basedOn w:val="DefaultParagraphFont"/>
    <w:link w:val="CommentText"/>
    <w:rsid w:val="00926FE4"/>
    <w:rPr>
      <w:sz w:val="20"/>
      <w:szCs w:val="20"/>
    </w:rPr>
  </w:style>
  <w:style w:type="paragraph" w:styleId="CommentSubject">
    <w:name w:val="annotation subject"/>
    <w:basedOn w:val="CommentText"/>
    <w:next w:val="CommentText"/>
    <w:link w:val="CommentSubjectChar"/>
    <w:rsid w:val="00926FE4"/>
    <w:rPr>
      <w:b/>
      <w:bCs/>
    </w:rPr>
  </w:style>
  <w:style w:type="character" w:customStyle="1" w:styleId="CommentSubjectChar">
    <w:name w:val="Comment Subject Char"/>
    <w:basedOn w:val="CommentTextChar"/>
    <w:link w:val="CommentSubject"/>
    <w:rsid w:val="00926FE4"/>
    <w:rPr>
      <w:b/>
      <w:bCs/>
      <w:sz w:val="20"/>
      <w:szCs w:val="20"/>
    </w:rPr>
  </w:style>
  <w:style w:type="paragraph" w:styleId="Header">
    <w:name w:val="header"/>
    <w:basedOn w:val="Normal"/>
    <w:link w:val="HeaderChar"/>
    <w:rsid w:val="000E7912"/>
    <w:pPr>
      <w:tabs>
        <w:tab w:val="center" w:pos="4513"/>
        <w:tab w:val="right" w:pos="9026"/>
      </w:tabs>
      <w:spacing w:after="0" w:line="240" w:lineRule="auto"/>
    </w:pPr>
  </w:style>
  <w:style w:type="character" w:customStyle="1" w:styleId="HeaderChar">
    <w:name w:val="Header Char"/>
    <w:basedOn w:val="DefaultParagraphFont"/>
    <w:link w:val="Header"/>
    <w:rsid w:val="000E7912"/>
  </w:style>
  <w:style w:type="paragraph" w:styleId="Footer">
    <w:name w:val="footer"/>
    <w:basedOn w:val="Normal"/>
    <w:link w:val="FooterChar"/>
    <w:uiPriority w:val="99"/>
    <w:rsid w:val="000E79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7912"/>
  </w:style>
  <w:style w:type="paragraph" w:styleId="FootnoteText">
    <w:name w:val="footnote text"/>
    <w:basedOn w:val="Normal"/>
    <w:link w:val="FootnoteTextChar"/>
    <w:rsid w:val="00733F8C"/>
    <w:pPr>
      <w:spacing w:after="0" w:line="240" w:lineRule="auto"/>
    </w:pPr>
    <w:rPr>
      <w:sz w:val="20"/>
      <w:szCs w:val="20"/>
    </w:rPr>
  </w:style>
  <w:style w:type="character" w:customStyle="1" w:styleId="FootnoteTextChar">
    <w:name w:val="Footnote Text Char"/>
    <w:basedOn w:val="DefaultParagraphFont"/>
    <w:link w:val="FootnoteText"/>
    <w:rsid w:val="00733F8C"/>
    <w:rPr>
      <w:sz w:val="20"/>
      <w:szCs w:val="20"/>
    </w:rPr>
  </w:style>
  <w:style w:type="character" w:styleId="FootnoteReference">
    <w:name w:val="footnote reference"/>
    <w:basedOn w:val="DefaultParagraphFont"/>
    <w:rsid w:val="00733F8C"/>
    <w:rPr>
      <w:vertAlign w:val="superscript"/>
    </w:rPr>
  </w:style>
  <w:style w:type="paragraph" w:styleId="Title">
    <w:name w:val="Title"/>
    <w:basedOn w:val="Normal"/>
    <w:next w:val="Normal"/>
    <w:link w:val="TitleChar"/>
    <w:qFormat/>
    <w:rsid w:val="00F30549"/>
    <w:pPr>
      <w:jc w:val="center"/>
    </w:pPr>
    <w:rPr>
      <w:b/>
      <w:lang w:val="en"/>
    </w:rPr>
  </w:style>
  <w:style w:type="character" w:customStyle="1" w:styleId="TitleChar">
    <w:name w:val="Title Char"/>
    <w:basedOn w:val="DefaultParagraphFont"/>
    <w:link w:val="Title"/>
    <w:rsid w:val="00F30549"/>
    <w:rPr>
      <w:b/>
      <w:lang w:val="e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AU" w:eastAsia="en-AU"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1511"/>
  </w:style>
  <w:style w:type="paragraph" w:styleId="Heading1">
    <w:name w:val="heading 1"/>
    <w:basedOn w:val="Normal"/>
    <w:next w:val="Normal"/>
    <w:link w:val="Heading1Char"/>
    <w:qFormat/>
    <w:rsid w:val="001E7D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8535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73677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73677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2826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282628"/>
    <w:rPr>
      <w:rFonts w:ascii="Tahoma" w:hAnsi="Tahoma" w:cs="Tahoma"/>
      <w:sz w:val="16"/>
      <w:szCs w:val="16"/>
    </w:rPr>
  </w:style>
  <w:style w:type="character" w:customStyle="1" w:styleId="Heading1Char">
    <w:name w:val="Heading 1 Char"/>
    <w:basedOn w:val="DefaultParagraphFont"/>
    <w:link w:val="Heading1"/>
    <w:rsid w:val="001E7D0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4052C"/>
    <w:pPr>
      <w:ind w:left="720"/>
      <w:contextualSpacing/>
    </w:pPr>
  </w:style>
  <w:style w:type="character" w:customStyle="1" w:styleId="Heading2Char">
    <w:name w:val="Heading 2 Char"/>
    <w:basedOn w:val="DefaultParagraphFont"/>
    <w:link w:val="Heading2"/>
    <w:rsid w:val="008535A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73677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736773"/>
    <w:rPr>
      <w:rFonts w:asciiTheme="majorHAnsi" w:eastAsiaTheme="majorEastAsia" w:hAnsiTheme="majorHAnsi" w:cstheme="majorBidi"/>
      <w:b/>
      <w:bCs/>
      <w:i/>
      <w:iCs/>
      <w:color w:val="4F81BD" w:themeColor="accent1"/>
    </w:rPr>
  </w:style>
  <w:style w:type="character" w:styleId="Hyperlink">
    <w:name w:val="Hyperlink"/>
    <w:basedOn w:val="DefaultParagraphFont"/>
    <w:rsid w:val="0017220F"/>
    <w:rPr>
      <w:color w:val="0000FF" w:themeColor="hyperlink"/>
      <w:u w:val="single"/>
    </w:rPr>
  </w:style>
  <w:style w:type="character" w:styleId="CommentReference">
    <w:name w:val="annotation reference"/>
    <w:basedOn w:val="DefaultParagraphFont"/>
    <w:rsid w:val="00926FE4"/>
    <w:rPr>
      <w:sz w:val="16"/>
      <w:szCs w:val="16"/>
    </w:rPr>
  </w:style>
  <w:style w:type="paragraph" w:styleId="CommentText">
    <w:name w:val="annotation text"/>
    <w:basedOn w:val="Normal"/>
    <w:link w:val="CommentTextChar"/>
    <w:rsid w:val="00926FE4"/>
    <w:pPr>
      <w:spacing w:line="240" w:lineRule="auto"/>
    </w:pPr>
    <w:rPr>
      <w:sz w:val="20"/>
      <w:szCs w:val="20"/>
    </w:rPr>
  </w:style>
  <w:style w:type="character" w:customStyle="1" w:styleId="CommentTextChar">
    <w:name w:val="Comment Text Char"/>
    <w:basedOn w:val="DefaultParagraphFont"/>
    <w:link w:val="CommentText"/>
    <w:rsid w:val="00926FE4"/>
    <w:rPr>
      <w:sz w:val="20"/>
      <w:szCs w:val="20"/>
    </w:rPr>
  </w:style>
  <w:style w:type="paragraph" w:styleId="CommentSubject">
    <w:name w:val="annotation subject"/>
    <w:basedOn w:val="CommentText"/>
    <w:next w:val="CommentText"/>
    <w:link w:val="CommentSubjectChar"/>
    <w:rsid w:val="00926FE4"/>
    <w:rPr>
      <w:b/>
      <w:bCs/>
    </w:rPr>
  </w:style>
  <w:style w:type="character" w:customStyle="1" w:styleId="CommentSubjectChar">
    <w:name w:val="Comment Subject Char"/>
    <w:basedOn w:val="CommentTextChar"/>
    <w:link w:val="CommentSubject"/>
    <w:rsid w:val="00926FE4"/>
    <w:rPr>
      <w:b/>
      <w:bCs/>
      <w:sz w:val="20"/>
      <w:szCs w:val="20"/>
    </w:rPr>
  </w:style>
  <w:style w:type="paragraph" w:styleId="Header">
    <w:name w:val="header"/>
    <w:basedOn w:val="Normal"/>
    <w:link w:val="HeaderChar"/>
    <w:rsid w:val="000E7912"/>
    <w:pPr>
      <w:tabs>
        <w:tab w:val="center" w:pos="4513"/>
        <w:tab w:val="right" w:pos="9026"/>
      </w:tabs>
      <w:spacing w:after="0" w:line="240" w:lineRule="auto"/>
    </w:pPr>
  </w:style>
  <w:style w:type="character" w:customStyle="1" w:styleId="HeaderChar">
    <w:name w:val="Header Char"/>
    <w:basedOn w:val="DefaultParagraphFont"/>
    <w:link w:val="Header"/>
    <w:rsid w:val="000E7912"/>
  </w:style>
  <w:style w:type="paragraph" w:styleId="Footer">
    <w:name w:val="footer"/>
    <w:basedOn w:val="Normal"/>
    <w:link w:val="FooterChar"/>
    <w:uiPriority w:val="99"/>
    <w:rsid w:val="000E79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7912"/>
  </w:style>
  <w:style w:type="paragraph" w:styleId="FootnoteText">
    <w:name w:val="footnote text"/>
    <w:basedOn w:val="Normal"/>
    <w:link w:val="FootnoteTextChar"/>
    <w:rsid w:val="00733F8C"/>
    <w:pPr>
      <w:spacing w:after="0" w:line="240" w:lineRule="auto"/>
    </w:pPr>
    <w:rPr>
      <w:sz w:val="20"/>
      <w:szCs w:val="20"/>
    </w:rPr>
  </w:style>
  <w:style w:type="character" w:customStyle="1" w:styleId="FootnoteTextChar">
    <w:name w:val="Footnote Text Char"/>
    <w:basedOn w:val="DefaultParagraphFont"/>
    <w:link w:val="FootnoteText"/>
    <w:rsid w:val="00733F8C"/>
    <w:rPr>
      <w:sz w:val="20"/>
      <w:szCs w:val="20"/>
    </w:rPr>
  </w:style>
  <w:style w:type="character" w:styleId="FootnoteReference">
    <w:name w:val="footnote reference"/>
    <w:basedOn w:val="DefaultParagraphFont"/>
    <w:rsid w:val="00733F8C"/>
    <w:rPr>
      <w:vertAlign w:val="superscript"/>
    </w:rPr>
  </w:style>
  <w:style w:type="paragraph" w:styleId="Title">
    <w:name w:val="Title"/>
    <w:basedOn w:val="Normal"/>
    <w:next w:val="Normal"/>
    <w:link w:val="TitleChar"/>
    <w:qFormat/>
    <w:rsid w:val="00F30549"/>
    <w:pPr>
      <w:jc w:val="center"/>
    </w:pPr>
    <w:rPr>
      <w:b/>
      <w:lang w:val="en"/>
    </w:rPr>
  </w:style>
  <w:style w:type="character" w:customStyle="1" w:styleId="TitleChar">
    <w:name w:val="Title Char"/>
    <w:basedOn w:val="DefaultParagraphFont"/>
    <w:link w:val="Title"/>
    <w:rsid w:val="00F30549"/>
    <w:rPr>
      <w:b/>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14495">
      <w:bodyDiv w:val="1"/>
      <w:marLeft w:val="0"/>
      <w:marRight w:val="0"/>
      <w:marTop w:val="0"/>
      <w:marBottom w:val="0"/>
      <w:divBdr>
        <w:top w:val="none" w:sz="0" w:space="0" w:color="auto"/>
        <w:left w:val="none" w:sz="0" w:space="0" w:color="auto"/>
        <w:bottom w:val="none" w:sz="0" w:space="0" w:color="auto"/>
        <w:right w:val="none" w:sz="0" w:space="0" w:color="auto"/>
      </w:divBdr>
    </w:div>
    <w:div w:id="509371441">
      <w:bodyDiv w:val="1"/>
      <w:marLeft w:val="0"/>
      <w:marRight w:val="0"/>
      <w:marTop w:val="0"/>
      <w:marBottom w:val="0"/>
      <w:divBdr>
        <w:top w:val="none" w:sz="0" w:space="0" w:color="auto"/>
        <w:left w:val="none" w:sz="0" w:space="0" w:color="auto"/>
        <w:bottom w:val="none" w:sz="0" w:space="0" w:color="auto"/>
        <w:right w:val="none" w:sz="0" w:space="0" w:color="auto"/>
      </w:divBdr>
    </w:div>
    <w:div w:id="699168956">
      <w:bodyDiv w:val="1"/>
      <w:marLeft w:val="0"/>
      <w:marRight w:val="0"/>
      <w:marTop w:val="0"/>
      <w:marBottom w:val="0"/>
      <w:divBdr>
        <w:top w:val="none" w:sz="0" w:space="0" w:color="auto"/>
        <w:left w:val="none" w:sz="0" w:space="0" w:color="auto"/>
        <w:bottom w:val="none" w:sz="0" w:space="0" w:color="auto"/>
        <w:right w:val="none" w:sz="0" w:space="0" w:color="auto"/>
      </w:divBdr>
    </w:div>
    <w:div w:id="961575185">
      <w:bodyDiv w:val="1"/>
      <w:marLeft w:val="0"/>
      <w:marRight w:val="0"/>
      <w:marTop w:val="0"/>
      <w:marBottom w:val="0"/>
      <w:divBdr>
        <w:top w:val="none" w:sz="0" w:space="0" w:color="auto"/>
        <w:left w:val="none" w:sz="0" w:space="0" w:color="auto"/>
        <w:bottom w:val="none" w:sz="0" w:space="0" w:color="auto"/>
        <w:right w:val="none" w:sz="0" w:space="0" w:color="auto"/>
      </w:divBdr>
    </w:div>
    <w:div w:id="1077094339">
      <w:bodyDiv w:val="1"/>
      <w:marLeft w:val="0"/>
      <w:marRight w:val="0"/>
      <w:marTop w:val="0"/>
      <w:marBottom w:val="0"/>
      <w:divBdr>
        <w:top w:val="none" w:sz="0" w:space="0" w:color="auto"/>
        <w:left w:val="none" w:sz="0" w:space="0" w:color="auto"/>
        <w:bottom w:val="none" w:sz="0" w:space="0" w:color="auto"/>
        <w:right w:val="none" w:sz="0" w:space="0" w:color="auto"/>
      </w:divBdr>
    </w:div>
    <w:div w:id="1452746712">
      <w:bodyDiv w:val="1"/>
      <w:marLeft w:val="0"/>
      <w:marRight w:val="0"/>
      <w:marTop w:val="0"/>
      <w:marBottom w:val="0"/>
      <w:divBdr>
        <w:top w:val="none" w:sz="0" w:space="0" w:color="auto"/>
        <w:left w:val="none" w:sz="0" w:space="0" w:color="auto"/>
        <w:bottom w:val="none" w:sz="0" w:space="0" w:color="auto"/>
        <w:right w:val="none" w:sz="0" w:space="0" w:color="auto"/>
      </w:divBdr>
    </w:div>
    <w:div w:id="1485313435">
      <w:bodyDiv w:val="1"/>
      <w:marLeft w:val="0"/>
      <w:marRight w:val="0"/>
      <w:marTop w:val="0"/>
      <w:marBottom w:val="0"/>
      <w:divBdr>
        <w:top w:val="none" w:sz="0" w:space="0" w:color="auto"/>
        <w:left w:val="none" w:sz="0" w:space="0" w:color="auto"/>
        <w:bottom w:val="none" w:sz="0" w:space="0" w:color="auto"/>
        <w:right w:val="none" w:sz="0" w:space="0" w:color="auto"/>
      </w:divBdr>
      <w:divsChild>
        <w:div w:id="2020085636">
          <w:marLeft w:val="0"/>
          <w:marRight w:val="0"/>
          <w:marTop w:val="0"/>
          <w:marBottom w:val="0"/>
          <w:divBdr>
            <w:top w:val="none" w:sz="0" w:space="0" w:color="auto"/>
            <w:left w:val="none" w:sz="0" w:space="0" w:color="auto"/>
            <w:bottom w:val="none" w:sz="0" w:space="0" w:color="auto"/>
            <w:right w:val="none" w:sz="0" w:space="0" w:color="auto"/>
          </w:divBdr>
          <w:divsChild>
            <w:div w:id="507018015">
              <w:marLeft w:val="0"/>
              <w:marRight w:val="0"/>
              <w:marTop w:val="0"/>
              <w:marBottom w:val="0"/>
              <w:divBdr>
                <w:top w:val="none" w:sz="0" w:space="0" w:color="auto"/>
                <w:left w:val="none" w:sz="0" w:space="0" w:color="auto"/>
                <w:bottom w:val="none" w:sz="0" w:space="0" w:color="auto"/>
                <w:right w:val="none" w:sz="0" w:space="0" w:color="auto"/>
              </w:divBdr>
              <w:divsChild>
                <w:div w:id="968163653">
                  <w:marLeft w:val="0"/>
                  <w:marRight w:val="0"/>
                  <w:marTop w:val="0"/>
                  <w:marBottom w:val="0"/>
                  <w:divBdr>
                    <w:top w:val="none" w:sz="0" w:space="0" w:color="auto"/>
                    <w:left w:val="none" w:sz="0" w:space="0" w:color="auto"/>
                    <w:bottom w:val="none" w:sz="0" w:space="0" w:color="auto"/>
                    <w:right w:val="none" w:sz="0" w:space="0" w:color="auto"/>
                  </w:divBdr>
                  <w:divsChild>
                    <w:div w:id="1510484096">
                      <w:marLeft w:val="0"/>
                      <w:marRight w:val="0"/>
                      <w:marTop w:val="0"/>
                      <w:marBottom w:val="0"/>
                      <w:divBdr>
                        <w:top w:val="none" w:sz="0" w:space="0" w:color="auto"/>
                        <w:left w:val="none" w:sz="0" w:space="0" w:color="auto"/>
                        <w:bottom w:val="none" w:sz="0" w:space="0" w:color="auto"/>
                        <w:right w:val="none" w:sz="0" w:space="0" w:color="auto"/>
                      </w:divBdr>
                      <w:divsChild>
                        <w:div w:id="1425301893">
                          <w:marLeft w:val="0"/>
                          <w:marRight w:val="0"/>
                          <w:marTop w:val="0"/>
                          <w:marBottom w:val="0"/>
                          <w:divBdr>
                            <w:top w:val="none" w:sz="0" w:space="0" w:color="auto"/>
                            <w:left w:val="none" w:sz="0" w:space="0" w:color="auto"/>
                            <w:bottom w:val="none" w:sz="0" w:space="0" w:color="auto"/>
                            <w:right w:val="none" w:sz="0" w:space="0" w:color="auto"/>
                          </w:divBdr>
                          <w:divsChild>
                            <w:div w:id="131814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307474">
                  <w:marLeft w:val="0"/>
                  <w:marRight w:val="0"/>
                  <w:marTop w:val="0"/>
                  <w:marBottom w:val="0"/>
                  <w:divBdr>
                    <w:top w:val="none" w:sz="0" w:space="0" w:color="auto"/>
                    <w:left w:val="none" w:sz="0" w:space="0" w:color="auto"/>
                    <w:bottom w:val="none" w:sz="0" w:space="0" w:color="auto"/>
                    <w:right w:val="none" w:sz="0" w:space="0" w:color="auto"/>
                  </w:divBdr>
                  <w:divsChild>
                    <w:div w:id="2127507271">
                      <w:marLeft w:val="0"/>
                      <w:marRight w:val="0"/>
                      <w:marTop w:val="0"/>
                      <w:marBottom w:val="0"/>
                      <w:divBdr>
                        <w:top w:val="none" w:sz="0" w:space="0" w:color="auto"/>
                        <w:left w:val="none" w:sz="0" w:space="0" w:color="auto"/>
                        <w:bottom w:val="none" w:sz="0" w:space="0" w:color="auto"/>
                        <w:right w:val="none" w:sz="0" w:space="0" w:color="auto"/>
                      </w:divBdr>
                      <w:divsChild>
                        <w:div w:id="335041565">
                          <w:marLeft w:val="0"/>
                          <w:marRight w:val="0"/>
                          <w:marTop w:val="0"/>
                          <w:marBottom w:val="0"/>
                          <w:divBdr>
                            <w:top w:val="none" w:sz="0" w:space="0" w:color="auto"/>
                            <w:left w:val="none" w:sz="0" w:space="0" w:color="auto"/>
                            <w:bottom w:val="none" w:sz="0" w:space="0" w:color="auto"/>
                            <w:right w:val="none" w:sz="0" w:space="0" w:color="auto"/>
                          </w:divBdr>
                          <w:divsChild>
                            <w:div w:id="775059882">
                              <w:marLeft w:val="0"/>
                              <w:marRight w:val="0"/>
                              <w:marTop w:val="0"/>
                              <w:marBottom w:val="0"/>
                              <w:divBdr>
                                <w:top w:val="none" w:sz="0" w:space="0" w:color="auto"/>
                                <w:left w:val="none" w:sz="0" w:space="0" w:color="auto"/>
                                <w:bottom w:val="none" w:sz="0" w:space="0" w:color="auto"/>
                                <w:right w:val="none" w:sz="0" w:space="0" w:color="auto"/>
                              </w:divBdr>
                              <w:divsChild>
                                <w:div w:id="87851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employment.gov.au/trends-federal-enterprise-bargaining" TargetMode="External"/><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9.png"/><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image" Target="media/image5.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F44B46CD48E7D439D0376E9A76A2E31" ma:contentTypeVersion="2" ma:contentTypeDescription="Create a new document." ma:contentTypeScope="" ma:versionID="165a45e2c905b319c790719ca812c696">
  <xsd:schema xmlns:xsd="http://www.w3.org/2001/XMLSchema" xmlns:xs="http://www.w3.org/2001/XMLSchema" xmlns:p="http://schemas.microsoft.com/office/2006/metadata/properties" xmlns:ns1="http://schemas.microsoft.com/sharepoint/v3" targetNamespace="http://schemas.microsoft.com/office/2006/metadata/properties" ma:root="true" ma:fieldsID="6f9746fe128b0ca74698fd9d7c13d39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AE7F265-7381-432E-AB2B-6BC985EB68EE}"/>
</file>

<file path=customXml/itemProps2.xml><?xml version="1.0" encoding="utf-8"?>
<ds:datastoreItem xmlns:ds="http://schemas.openxmlformats.org/officeDocument/2006/customXml" ds:itemID="{E26BC36D-7B08-4FB4-87C6-BB7E66590903}"/>
</file>

<file path=customXml/itemProps3.xml><?xml version="1.0" encoding="utf-8"?>
<ds:datastoreItem xmlns:ds="http://schemas.openxmlformats.org/officeDocument/2006/customXml" ds:itemID="{15AC1C44-E2F7-4A30-AC88-F7437FFAC9D1}"/>
</file>

<file path=customXml/itemProps4.xml><?xml version="1.0" encoding="utf-8"?>
<ds:datastoreItem xmlns:ds="http://schemas.openxmlformats.org/officeDocument/2006/customXml" ds:itemID="{1DA5552C-F5DB-4948-90E7-B9EC895C4093}"/>
</file>

<file path=docProps/app.xml><?xml version="1.0" encoding="utf-8"?>
<Properties xmlns="http://schemas.openxmlformats.org/officeDocument/2006/extended-properties" xmlns:vt="http://schemas.openxmlformats.org/officeDocument/2006/docPropsVTypes">
  <Template>DC789A35.dotm</Template>
  <TotalTime>29</TotalTime>
  <Pages>12</Pages>
  <Words>1512</Words>
  <Characters>8416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Australian Government</Company>
  <LinksUpToDate>false</LinksUpToDate>
  <CharactersWithSpaces>9909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Enterprise Bargaining - February 2017</dc:title>
  <dc:creator>WALSH-SMITH,Shane</dc:creator>
  <cp:lastModifiedBy>Creator</cp:lastModifiedBy>
  <cp:revision>4</cp:revision>
  <dcterms:created xsi:type="dcterms:W3CDTF">2017-03-02T22:12:00Z</dcterms:created>
  <dcterms:modified xsi:type="dcterms:W3CDTF">2017-03-07T22:06:00Z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0x0101006F44B46CD48E7D439D0376E9A76A2E31</vt:lpwstr>
  </property>
  <property fmtid="{D5CDD505-2E9C-101B-9397-08002B2CF9AE}" pid="3" name="TemplateUrl">
    <vt:lpwstr/>
  </property>
  <property fmtid="{D5CDD505-2E9C-101B-9397-08002B2CF9AE}" pid="4" name="Order">
    <vt:r8>19500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ies>
</file>