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923" w:rsidRDefault="00130923" w:rsidP="00CB2F7F">
      <w:pPr>
        <w:sectPr w:rsidR="00130923" w:rsidSect="00113FDB">
          <w:headerReference w:type="default" r:id="rId8"/>
          <w:footerReference w:type="default" r:id="rId9"/>
          <w:pgSz w:w="11906" w:h="16838"/>
          <w:pgMar w:top="851" w:right="1274" w:bottom="1134" w:left="1440" w:header="708" w:footer="708" w:gutter="0"/>
          <w:cols w:space="708"/>
          <w:docGrid w:linePitch="360"/>
        </w:sectPr>
      </w:pPr>
      <w:bookmarkStart w:id="0" w:name="_GoBack"/>
      <w:bookmarkEnd w:id="0"/>
    </w:p>
    <w:p w:rsidR="00A35435" w:rsidRPr="00B544E5" w:rsidRDefault="00E45F6D" w:rsidP="00E45F6D">
      <w:pPr>
        <w:pStyle w:val="Title"/>
        <w:spacing w:before="1080"/>
        <w:jc w:val="center"/>
        <w:rPr>
          <w:color w:val="688496"/>
          <w:sz w:val="44"/>
          <w:szCs w:val="44"/>
        </w:rPr>
      </w:pPr>
      <w:r w:rsidRPr="00B544E5">
        <w:rPr>
          <w:color w:val="688496"/>
          <w:sz w:val="44"/>
          <w:szCs w:val="44"/>
        </w:rPr>
        <w:lastRenderedPageBreak/>
        <w:t>Trends in Federal Enterprise Bargaining – Technical Notes</w:t>
      </w:r>
    </w:p>
    <w:p w:rsidR="00E45F6D" w:rsidRPr="00B544E5" w:rsidRDefault="00E45F6D" w:rsidP="00AC65DA">
      <w:pPr>
        <w:pStyle w:val="Heading1"/>
        <w:rPr>
          <w:color w:val="688496"/>
          <w:sz w:val="28"/>
        </w:rPr>
      </w:pPr>
    </w:p>
    <w:p w:rsidR="00C10C19" w:rsidRPr="00B544E5" w:rsidRDefault="00E45F6D" w:rsidP="00AC65DA">
      <w:pPr>
        <w:pStyle w:val="Heading1"/>
        <w:rPr>
          <w:color w:val="688496"/>
          <w:sz w:val="32"/>
          <w:szCs w:val="32"/>
        </w:rPr>
      </w:pPr>
      <w:r w:rsidRPr="00B544E5">
        <w:rPr>
          <w:color w:val="688496"/>
          <w:sz w:val="32"/>
          <w:szCs w:val="32"/>
        </w:rPr>
        <w:t>The Workplace agreements Database</w:t>
      </w:r>
    </w:p>
    <w:p w:rsidR="00E45F6D" w:rsidRPr="00882E94" w:rsidRDefault="00E45F6D" w:rsidP="00E45F6D">
      <w:bookmarkStart w:id="1" w:name="_Toc364946115"/>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rsidR="0059228A">
        <w:t>Industrial Relations Policy Division</w:t>
      </w:r>
      <w:r w:rsidRPr="00882E94">
        <w:t xml:space="preserve"> of the </w:t>
      </w:r>
      <w:r w:rsidR="0059228A">
        <w:t>Attorney-General’s Department</w:t>
      </w:r>
      <w:r w:rsidRPr="00882E94">
        <w:t xml:space="preserve">. The WAD contains information on all known federal enterprise agreements that have operated since the introduction of the Enterprise Bargaining Principle in October 1991 and that have been subsequently provided to the Department of Jobs and Small Business. The WAD covers general details (such as sector, ANZSIC, duration, employees covered), wage details (quantum and timing of increases) and a range of </w:t>
      </w:r>
      <w:r w:rsidR="00B567C4">
        <w:t>employment</w:t>
      </w:r>
      <w:r>
        <w:t xml:space="preserve"> conditions.</w:t>
      </w:r>
    </w:p>
    <w:bookmarkEnd w:id="1"/>
    <w:p w:rsidR="00E45F6D" w:rsidRPr="00E45F6D" w:rsidRDefault="00E45F6D" w:rsidP="00E45F6D">
      <w:pPr>
        <w:pStyle w:val="Heading2"/>
        <w:rPr>
          <w:sz w:val="26"/>
        </w:rPr>
      </w:pPr>
      <w:r w:rsidRPr="00E45F6D">
        <w:rPr>
          <w:sz w:val="26"/>
        </w:rPr>
        <w:t>Agreements included in the WAD</w:t>
      </w:r>
    </w:p>
    <w:p w:rsidR="00E45F6D" w:rsidRPr="00882E94" w:rsidRDefault="00E45F6D" w:rsidP="00E45F6D">
      <w:r w:rsidRPr="00882E94">
        <w:t>The following agreements are included in the WAD and thus in Trends:</w:t>
      </w:r>
    </w:p>
    <w:p w:rsidR="00E45F6D" w:rsidRPr="00882E94" w:rsidRDefault="00E45F6D" w:rsidP="00E45F6D">
      <w:pPr>
        <w:pStyle w:val="ListParagraph"/>
        <w:keepNext/>
        <w:keepLines/>
        <w:numPr>
          <w:ilvl w:val="0"/>
          <w:numId w:val="25"/>
        </w:numPr>
        <w:spacing w:after="120" w:line="240" w:lineRule="auto"/>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w:t>
      </w:r>
      <w:r>
        <w:t>the Fair Work Commission (FWC).</w:t>
      </w:r>
    </w:p>
    <w:p w:rsidR="00E45F6D" w:rsidRPr="00882E94" w:rsidRDefault="00E45F6D" w:rsidP="00E45F6D">
      <w:pPr>
        <w:pStyle w:val="ListParagraph"/>
        <w:keepNext/>
        <w:keepLines/>
        <w:numPr>
          <w:ilvl w:val="0"/>
          <w:numId w:val="25"/>
        </w:numPr>
        <w:spacing w:after="120" w:line="240" w:lineRule="auto"/>
        <w:contextualSpacing w:val="0"/>
      </w:pPr>
      <w:r w:rsidRPr="00882E94">
        <w:t>For agreements made under the Work Choices amendments but before the introduction of the Fairness Test, those that were lodged with the Office of the Employment Advocate (OEA).</w:t>
      </w:r>
    </w:p>
    <w:p w:rsidR="00E45F6D" w:rsidRPr="00882E94" w:rsidRDefault="00E45F6D" w:rsidP="00E45F6D">
      <w:pPr>
        <w:pStyle w:val="ListParagraph"/>
        <w:keepNext/>
        <w:keepLines/>
        <w:numPr>
          <w:ilvl w:val="0"/>
          <w:numId w:val="25"/>
        </w:numPr>
        <w:spacing w:after="120" w:line="240" w:lineRule="auto"/>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w:t>
      </w:r>
      <w:r>
        <w:t>did not pass the fairness test.</w:t>
      </w:r>
    </w:p>
    <w:p w:rsidR="00E45F6D" w:rsidRPr="00882E94" w:rsidRDefault="00E45F6D" w:rsidP="00E45F6D">
      <w:pPr>
        <w:pStyle w:val="ListParagraph"/>
        <w:keepNext/>
        <w:keepLines/>
        <w:numPr>
          <w:ilvl w:val="0"/>
          <w:numId w:val="25"/>
        </w:numPr>
        <w:spacing w:after="120" w:line="240" w:lineRule="auto"/>
        <w:contextualSpacing w:val="0"/>
      </w:pPr>
      <w:r w:rsidRPr="00882E94">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rsidR="00E45F6D" w:rsidRPr="00E45F6D" w:rsidRDefault="00E45F6D" w:rsidP="00E45F6D">
      <w:pPr>
        <w:pStyle w:val="Heading2"/>
        <w:rPr>
          <w:sz w:val="26"/>
        </w:rPr>
      </w:pPr>
      <w:r w:rsidRPr="00E45F6D">
        <w:rPr>
          <w:sz w:val="26"/>
        </w:rPr>
        <w:t>Wider context for Trends data</w:t>
      </w:r>
    </w:p>
    <w:p w:rsidR="00E45F6D" w:rsidRPr="00882E94" w:rsidRDefault="00E45F6D" w:rsidP="00E45F6D">
      <w:r w:rsidRPr="00882E94">
        <w:t>About one third of all employees in the Australian labour mar</w:t>
      </w:r>
      <w:r w:rsidR="0059228A">
        <w:t>ket (as measured by the ABS 2018</w:t>
      </w:r>
      <w:r w:rsidRPr="00882E94">
        <w:t xml:space="preserve"> Employee Earnings and Hours survey) are covered by enterprise agreements. The table below shows the coverage by </w:t>
      </w:r>
      <w:r w:rsidR="0059228A">
        <w:t>method of setting pay</w:t>
      </w:r>
      <w:r w:rsidRPr="00882E94">
        <w:t>.</w:t>
      </w:r>
    </w:p>
    <w:p w:rsidR="00E45F6D" w:rsidRDefault="00E45F6D" w:rsidP="00E45F6D">
      <w:pPr>
        <w:rPr>
          <w:rFonts w:ascii="Calibri" w:eastAsiaTheme="majorEastAsia" w:hAnsi="Calibri" w:cstheme="majorBidi"/>
          <w:b/>
          <w:bCs/>
          <w:sz w:val="28"/>
          <w:szCs w:val="26"/>
        </w:rPr>
      </w:pPr>
      <w:bookmarkStart w:id="2" w:name="_Toc490038400"/>
      <w:r>
        <w:br w:type="page"/>
      </w:r>
    </w:p>
    <w:p w:rsidR="00E45F6D" w:rsidRPr="00E45F6D" w:rsidRDefault="00E45F6D" w:rsidP="00E45F6D">
      <w:pPr>
        <w:pStyle w:val="Heading2"/>
        <w:rPr>
          <w:sz w:val="26"/>
        </w:rPr>
      </w:pPr>
      <w:r w:rsidRPr="00E45F6D">
        <w:rPr>
          <w:sz w:val="26"/>
        </w:rPr>
        <w:lastRenderedPageBreak/>
        <w:t>Technical Notes Table - Instrument providing rate of pay for all employees, 2010-201</w:t>
      </w:r>
      <w:bookmarkEnd w:id="2"/>
      <w:r w:rsidR="0059228A">
        <w:rPr>
          <w:sz w:val="26"/>
        </w:rPr>
        <w:t>8</w:t>
      </w:r>
    </w:p>
    <w:tbl>
      <w:tblPr>
        <w:tblStyle w:val="Trends"/>
        <w:tblW w:w="10258" w:type="dxa"/>
        <w:tblInd w:w="-284" w:type="dxa"/>
        <w:tblLook w:val="04A0" w:firstRow="1" w:lastRow="0" w:firstColumn="1" w:lastColumn="0" w:noHBand="0" w:noVBand="1"/>
      </w:tblPr>
      <w:tblGrid>
        <w:gridCol w:w="5581"/>
        <w:gridCol w:w="1009"/>
        <w:gridCol w:w="825"/>
        <w:gridCol w:w="825"/>
        <w:gridCol w:w="1345"/>
        <w:gridCol w:w="825"/>
      </w:tblGrid>
      <w:tr w:rsidR="00B544E5" w:rsidRPr="00B544E5" w:rsidTr="00B544E5">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5581" w:type="dxa"/>
            <w:shd w:val="clear" w:color="auto" w:fill="385065"/>
            <w:hideMark/>
          </w:tcPr>
          <w:p w:rsidR="00B544E5" w:rsidRPr="00B544E5" w:rsidRDefault="00B544E5" w:rsidP="00B544E5">
            <w:pPr>
              <w:rPr>
                <w:color w:val="FFFFFF" w:themeColor="background2"/>
                <w:sz w:val="18"/>
              </w:rPr>
            </w:pPr>
            <w:r w:rsidRPr="00B544E5">
              <w:rPr>
                <w:color w:val="FFFFFF" w:themeColor="background2"/>
                <w:sz w:val="18"/>
              </w:rPr>
              <w:t>Instrument providing rate of pay </w:t>
            </w:r>
          </w:p>
        </w:tc>
        <w:tc>
          <w:tcPr>
            <w:tcW w:w="1009" w:type="dxa"/>
            <w:shd w:val="clear" w:color="auto" w:fill="385065"/>
            <w:noWrap/>
            <w:hideMark/>
          </w:tcPr>
          <w:p w:rsidR="00B544E5" w:rsidRPr="00B544E5" w:rsidRDefault="00B544E5" w:rsidP="00B544E5">
            <w:pPr>
              <w:cnfStyle w:val="100000000000" w:firstRow="1" w:lastRow="0" w:firstColumn="0" w:lastColumn="0" w:oddVBand="0" w:evenVBand="0" w:oddHBand="0" w:evenHBand="0" w:firstRowFirstColumn="0" w:firstRowLastColumn="0" w:lastRowFirstColumn="0" w:lastRowLastColumn="0"/>
              <w:rPr>
                <w:color w:val="FFFFFF" w:themeColor="background2"/>
                <w:sz w:val="18"/>
              </w:rPr>
            </w:pPr>
            <w:r w:rsidRPr="00B544E5">
              <w:rPr>
                <w:color w:val="FFFFFF" w:themeColor="background2"/>
                <w:sz w:val="18"/>
              </w:rPr>
              <w:t>2010 (%)</w:t>
            </w:r>
          </w:p>
        </w:tc>
        <w:tc>
          <w:tcPr>
            <w:tcW w:w="792" w:type="dxa"/>
            <w:shd w:val="clear" w:color="auto" w:fill="385065"/>
            <w:hideMark/>
          </w:tcPr>
          <w:p w:rsidR="00B544E5" w:rsidRPr="00B544E5" w:rsidRDefault="00B544E5" w:rsidP="00B544E5">
            <w:pPr>
              <w:cnfStyle w:val="100000000000" w:firstRow="1" w:lastRow="0" w:firstColumn="0" w:lastColumn="0" w:oddVBand="0" w:evenVBand="0" w:oddHBand="0" w:evenHBand="0" w:firstRowFirstColumn="0" w:firstRowLastColumn="0" w:lastRowFirstColumn="0" w:lastRowLastColumn="0"/>
              <w:rPr>
                <w:color w:val="FFFFFF" w:themeColor="background2"/>
                <w:sz w:val="18"/>
              </w:rPr>
            </w:pPr>
            <w:r w:rsidRPr="00B544E5">
              <w:rPr>
                <w:color w:val="FFFFFF" w:themeColor="background2"/>
                <w:sz w:val="18"/>
              </w:rPr>
              <w:t>2012(%)</w:t>
            </w:r>
          </w:p>
        </w:tc>
        <w:tc>
          <w:tcPr>
            <w:tcW w:w="792" w:type="dxa"/>
            <w:shd w:val="clear" w:color="auto" w:fill="385065"/>
            <w:hideMark/>
          </w:tcPr>
          <w:p w:rsidR="00B544E5" w:rsidRPr="00B544E5" w:rsidRDefault="00B544E5" w:rsidP="00B544E5">
            <w:pPr>
              <w:cnfStyle w:val="100000000000" w:firstRow="1" w:lastRow="0" w:firstColumn="0" w:lastColumn="0" w:oddVBand="0" w:evenVBand="0" w:oddHBand="0" w:evenHBand="0" w:firstRowFirstColumn="0" w:firstRowLastColumn="0" w:lastRowFirstColumn="0" w:lastRowLastColumn="0"/>
              <w:rPr>
                <w:color w:val="FFFFFF" w:themeColor="background2"/>
                <w:sz w:val="18"/>
              </w:rPr>
            </w:pPr>
            <w:r w:rsidRPr="00B544E5">
              <w:rPr>
                <w:color w:val="FFFFFF" w:themeColor="background2"/>
                <w:sz w:val="18"/>
              </w:rPr>
              <w:t>2014(%)</w:t>
            </w:r>
          </w:p>
        </w:tc>
        <w:tc>
          <w:tcPr>
            <w:tcW w:w="1292" w:type="dxa"/>
            <w:shd w:val="clear" w:color="auto" w:fill="385065"/>
          </w:tcPr>
          <w:p w:rsidR="00B544E5" w:rsidRPr="00B544E5" w:rsidRDefault="00B544E5" w:rsidP="00B544E5">
            <w:pPr>
              <w:cnfStyle w:val="100000000000" w:firstRow="1" w:lastRow="0" w:firstColumn="0" w:lastColumn="0" w:oddVBand="0" w:evenVBand="0" w:oddHBand="0" w:evenHBand="0" w:firstRowFirstColumn="0" w:firstRowLastColumn="0" w:lastRowFirstColumn="0" w:lastRowLastColumn="0"/>
              <w:rPr>
                <w:color w:val="FFFFFF" w:themeColor="background2"/>
                <w:sz w:val="18"/>
              </w:rPr>
            </w:pPr>
            <w:r w:rsidRPr="00B544E5">
              <w:rPr>
                <w:color w:val="FFFFFF" w:themeColor="background2"/>
                <w:sz w:val="18"/>
              </w:rPr>
              <w:t>2016(%)</w:t>
            </w:r>
          </w:p>
        </w:tc>
        <w:tc>
          <w:tcPr>
            <w:tcW w:w="792" w:type="dxa"/>
            <w:shd w:val="clear" w:color="auto" w:fill="385065"/>
          </w:tcPr>
          <w:p w:rsidR="00B544E5" w:rsidRPr="00B544E5" w:rsidRDefault="00B544E5" w:rsidP="00B544E5">
            <w:pPr>
              <w:cnfStyle w:val="100000000000" w:firstRow="1" w:lastRow="0" w:firstColumn="0" w:lastColumn="0" w:oddVBand="0" w:evenVBand="0" w:oddHBand="0" w:evenHBand="0" w:firstRowFirstColumn="0" w:firstRowLastColumn="0" w:lastRowFirstColumn="0" w:lastRowLastColumn="0"/>
              <w:rPr>
                <w:color w:val="FFFFFF" w:themeColor="background2"/>
                <w:sz w:val="18"/>
              </w:rPr>
            </w:pPr>
            <w:r w:rsidRPr="00B544E5">
              <w:rPr>
                <w:color w:val="FFFFFF" w:themeColor="background2"/>
                <w:sz w:val="18"/>
              </w:rPr>
              <w:t>2018(%)</w:t>
            </w:r>
          </w:p>
        </w:tc>
      </w:tr>
      <w:tr w:rsidR="00B544E5" w:rsidRPr="00B544E5" w:rsidTr="00B544E5">
        <w:trPr>
          <w:trHeight w:val="310"/>
        </w:trPr>
        <w:tc>
          <w:tcPr>
            <w:cnfStyle w:val="001000000000" w:firstRow="0" w:lastRow="0" w:firstColumn="1" w:lastColumn="0" w:oddVBand="0" w:evenVBand="0" w:oddHBand="0" w:evenHBand="0" w:firstRowFirstColumn="0" w:firstRowLastColumn="0" w:lastRowFirstColumn="0" w:lastRowLastColumn="0"/>
            <w:tcW w:w="5581" w:type="dxa"/>
            <w:noWrap/>
            <w:hideMark/>
          </w:tcPr>
          <w:p w:rsidR="00B544E5" w:rsidRPr="00B544E5" w:rsidRDefault="00B544E5" w:rsidP="00B544E5">
            <w:pPr>
              <w:rPr>
                <w:sz w:val="18"/>
              </w:rPr>
            </w:pPr>
            <w:r w:rsidRPr="00B544E5">
              <w:t>Award</w:t>
            </w:r>
          </w:p>
        </w:tc>
        <w:tc>
          <w:tcPr>
            <w:tcW w:w="1009" w:type="dxa"/>
            <w:noWrap/>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15.2</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16.1</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18.8</w:t>
            </w:r>
          </w:p>
        </w:tc>
        <w:tc>
          <w:tcPr>
            <w:tcW w:w="1292" w:type="dxa"/>
            <w:shd w:val="clear" w:color="auto" w:fill="FFFFFF"/>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20.6</w:t>
            </w:r>
          </w:p>
        </w:tc>
        <w:tc>
          <w:tcPr>
            <w:tcW w:w="792" w:type="dxa"/>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21.0</w:t>
            </w:r>
          </w:p>
        </w:tc>
      </w:tr>
      <w:tr w:rsidR="00B544E5" w:rsidRPr="00B544E5" w:rsidTr="00B544E5">
        <w:trPr>
          <w:trHeight w:val="310"/>
        </w:trPr>
        <w:tc>
          <w:tcPr>
            <w:cnfStyle w:val="001000000000" w:firstRow="0" w:lastRow="0" w:firstColumn="1" w:lastColumn="0" w:oddVBand="0" w:evenVBand="0" w:oddHBand="0" w:evenHBand="0" w:firstRowFirstColumn="0" w:firstRowLastColumn="0" w:lastRowFirstColumn="0" w:lastRowLastColumn="0"/>
            <w:tcW w:w="5581" w:type="dxa"/>
            <w:noWrap/>
            <w:hideMark/>
          </w:tcPr>
          <w:p w:rsidR="00B544E5" w:rsidRPr="00B544E5" w:rsidRDefault="00B544E5" w:rsidP="00B544E5">
            <w:pPr>
              <w:rPr>
                <w:sz w:val="18"/>
              </w:rPr>
            </w:pPr>
            <w:r w:rsidRPr="00B544E5">
              <w:t>Collective Agreement (Federally Registered)</w:t>
            </w:r>
          </w:p>
        </w:tc>
        <w:tc>
          <w:tcPr>
            <w:tcW w:w="1009" w:type="dxa"/>
            <w:noWrap/>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31.5</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32.0</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32.6</w:t>
            </w:r>
          </w:p>
        </w:tc>
        <w:tc>
          <w:tcPr>
            <w:tcW w:w="1292" w:type="dxa"/>
            <w:vMerge w:val="restart"/>
            <w:shd w:val="clear" w:color="auto" w:fill="FFFFFF"/>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38.5 (across all collective agreements)*</w:t>
            </w:r>
          </w:p>
        </w:tc>
        <w:tc>
          <w:tcPr>
            <w:tcW w:w="792" w:type="dxa"/>
            <w:shd w:val="clear" w:color="auto" w:fill="FFFFFF"/>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30.4</w:t>
            </w:r>
          </w:p>
        </w:tc>
      </w:tr>
      <w:tr w:rsidR="00B544E5" w:rsidRPr="00B544E5" w:rsidTr="00B544E5">
        <w:trPr>
          <w:trHeight w:val="310"/>
        </w:trPr>
        <w:tc>
          <w:tcPr>
            <w:cnfStyle w:val="001000000000" w:firstRow="0" w:lastRow="0" w:firstColumn="1" w:lastColumn="0" w:oddVBand="0" w:evenVBand="0" w:oddHBand="0" w:evenHBand="0" w:firstRowFirstColumn="0" w:firstRowLastColumn="0" w:lastRowFirstColumn="0" w:lastRowLastColumn="0"/>
            <w:tcW w:w="5581" w:type="dxa"/>
            <w:noWrap/>
            <w:hideMark/>
          </w:tcPr>
          <w:p w:rsidR="00B544E5" w:rsidRPr="00B544E5" w:rsidRDefault="00B544E5" w:rsidP="00B544E5">
            <w:pPr>
              <w:rPr>
                <w:sz w:val="18"/>
              </w:rPr>
            </w:pPr>
            <w:r w:rsidRPr="00B544E5">
              <w:t>Collective Agreement (State Registered)</w:t>
            </w:r>
          </w:p>
        </w:tc>
        <w:tc>
          <w:tcPr>
            <w:tcW w:w="1009" w:type="dxa"/>
            <w:noWrap/>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11.9</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9.8</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8.6</w:t>
            </w:r>
          </w:p>
        </w:tc>
        <w:tc>
          <w:tcPr>
            <w:tcW w:w="1292" w:type="dxa"/>
            <w:vMerge/>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p>
        </w:tc>
        <w:tc>
          <w:tcPr>
            <w:tcW w:w="792" w:type="dxa"/>
            <w:shd w:val="clear" w:color="auto" w:fill="FFFFFF"/>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7.4</w:t>
            </w:r>
          </w:p>
        </w:tc>
      </w:tr>
      <w:tr w:rsidR="00B544E5" w:rsidRPr="00B544E5" w:rsidTr="00B544E5">
        <w:trPr>
          <w:trHeight w:val="310"/>
        </w:trPr>
        <w:tc>
          <w:tcPr>
            <w:cnfStyle w:val="001000000000" w:firstRow="0" w:lastRow="0" w:firstColumn="1" w:lastColumn="0" w:oddVBand="0" w:evenVBand="0" w:oddHBand="0" w:evenHBand="0" w:firstRowFirstColumn="0" w:firstRowLastColumn="0" w:lastRowFirstColumn="0" w:lastRowLastColumn="0"/>
            <w:tcW w:w="5581" w:type="dxa"/>
            <w:noWrap/>
            <w:hideMark/>
          </w:tcPr>
          <w:p w:rsidR="00B544E5" w:rsidRPr="00B544E5" w:rsidRDefault="00B544E5" w:rsidP="00B544E5">
            <w:pPr>
              <w:rPr>
                <w:sz w:val="18"/>
              </w:rPr>
            </w:pPr>
            <w:r w:rsidRPr="00B544E5">
              <w:t>Collective Agreement (Unregistered)</w:t>
            </w:r>
          </w:p>
        </w:tc>
        <w:tc>
          <w:tcPr>
            <w:tcW w:w="1009" w:type="dxa"/>
            <w:noWrap/>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0.1</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0.2</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0.2</w:t>
            </w:r>
          </w:p>
        </w:tc>
        <w:tc>
          <w:tcPr>
            <w:tcW w:w="1292" w:type="dxa"/>
            <w:vMerge/>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p>
        </w:tc>
        <w:tc>
          <w:tcPr>
            <w:tcW w:w="792" w:type="dxa"/>
            <w:shd w:val="clear" w:color="auto" w:fill="FFFFFF"/>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0.0</w:t>
            </w:r>
          </w:p>
        </w:tc>
      </w:tr>
      <w:tr w:rsidR="00B544E5" w:rsidRPr="00B544E5" w:rsidTr="00B544E5">
        <w:trPr>
          <w:trHeight w:val="310"/>
        </w:trPr>
        <w:tc>
          <w:tcPr>
            <w:cnfStyle w:val="001000000000" w:firstRow="0" w:lastRow="0" w:firstColumn="1" w:lastColumn="0" w:oddVBand="0" w:evenVBand="0" w:oddHBand="0" w:evenHBand="0" w:firstRowFirstColumn="0" w:firstRowLastColumn="0" w:lastRowFirstColumn="0" w:lastRowLastColumn="0"/>
            <w:tcW w:w="5581" w:type="dxa"/>
            <w:noWrap/>
            <w:hideMark/>
          </w:tcPr>
          <w:p w:rsidR="00B544E5" w:rsidRPr="00B544E5" w:rsidRDefault="00B544E5" w:rsidP="00B544E5">
            <w:pPr>
              <w:rPr>
                <w:sz w:val="18"/>
              </w:rPr>
            </w:pPr>
            <w:r w:rsidRPr="00B544E5">
              <w:t>Individual Agreement such as common law contracts or over-award payments (Registered and unregistered)</w:t>
            </w:r>
          </w:p>
        </w:tc>
        <w:tc>
          <w:tcPr>
            <w:tcW w:w="1009" w:type="dxa"/>
            <w:noWrap/>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37.3</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38.7</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36.4</w:t>
            </w:r>
          </w:p>
        </w:tc>
        <w:tc>
          <w:tcPr>
            <w:tcW w:w="1292" w:type="dxa"/>
            <w:shd w:val="clear" w:color="auto" w:fill="FFFFFF"/>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37.3</w:t>
            </w:r>
          </w:p>
        </w:tc>
        <w:tc>
          <w:tcPr>
            <w:tcW w:w="792" w:type="dxa"/>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37.3</w:t>
            </w:r>
          </w:p>
        </w:tc>
      </w:tr>
      <w:tr w:rsidR="00B544E5" w:rsidRPr="00B544E5" w:rsidTr="00B544E5">
        <w:trPr>
          <w:trHeight w:val="295"/>
        </w:trPr>
        <w:tc>
          <w:tcPr>
            <w:cnfStyle w:val="001000000000" w:firstRow="0" w:lastRow="0" w:firstColumn="1" w:lastColumn="0" w:oddVBand="0" w:evenVBand="0" w:oddHBand="0" w:evenHBand="0" w:firstRowFirstColumn="0" w:firstRowLastColumn="0" w:lastRowFirstColumn="0" w:lastRowLastColumn="0"/>
            <w:tcW w:w="5581" w:type="dxa"/>
            <w:noWrap/>
            <w:hideMark/>
          </w:tcPr>
          <w:p w:rsidR="00B544E5" w:rsidRPr="00B544E5" w:rsidRDefault="00B544E5" w:rsidP="00B544E5">
            <w:pPr>
              <w:rPr>
                <w:color w:val="1F497D"/>
                <w:sz w:val="18"/>
              </w:rPr>
            </w:pPr>
            <w:r w:rsidRPr="00B544E5">
              <w:t xml:space="preserve">Owner/managers of incorporated enterprises  </w:t>
            </w:r>
          </w:p>
        </w:tc>
        <w:tc>
          <w:tcPr>
            <w:tcW w:w="1009" w:type="dxa"/>
            <w:noWrap/>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4.1</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3.3</w:t>
            </w:r>
          </w:p>
        </w:tc>
        <w:tc>
          <w:tcPr>
            <w:tcW w:w="792" w:type="dxa"/>
            <w:hideMark/>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3.4</w:t>
            </w:r>
          </w:p>
        </w:tc>
        <w:tc>
          <w:tcPr>
            <w:tcW w:w="1292" w:type="dxa"/>
            <w:tcBorders>
              <w:top w:val="nil"/>
              <w:left w:val="nil"/>
              <w:bottom w:val="single" w:sz="8" w:space="0" w:color="auto"/>
              <w:right w:val="nil"/>
            </w:tcBorders>
            <w:shd w:val="clear" w:color="auto" w:fill="FFFFFF"/>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3.6</w:t>
            </w:r>
          </w:p>
        </w:tc>
        <w:tc>
          <w:tcPr>
            <w:tcW w:w="792" w:type="dxa"/>
            <w:tcBorders>
              <w:top w:val="nil"/>
              <w:left w:val="nil"/>
              <w:bottom w:val="single" w:sz="8" w:space="0" w:color="auto"/>
              <w:right w:val="nil"/>
            </w:tcBorders>
          </w:tcPr>
          <w:p w:rsidR="00B544E5" w:rsidRPr="00B544E5" w:rsidRDefault="00B544E5" w:rsidP="00B544E5">
            <w:pPr>
              <w:cnfStyle w:val="000000000000" w:firstRow="0" w:lastRow="0" w:firstColumn="0" w:lastColumn="0" w:oddVBand="0" w:evenVBand="0" w:oddHBand="0" w:evenHBand="0" w:firstRowFirstColumn="0" w:firstRowLastColumn="0" w:lastRowFirstColumn="0" w:lastRowLastColumn="0"/>
              <w:rPr>
                <w:sz w:val="18"/>
              </w:rPr>
            </w:pPr>
            <w:r w:rsidRPr="00B544E5">
              <w:t>3.8</w:t>
            </w:r>
          </w:p>
        </w:tc>
      </w:tr>
    </w:tbl>
    <w:p w:rsidR="00E45F6D" w:rsidRPr="00882E94" w:rsidRDefault="00E45F6D" w:rsidP="00E45F6D">
      <w:pPr>
        <w:rPr>
          <w:rStyle w:val="SubtleEmphasis"/>
        </w:rPr>
      </w:pPr>
      <w:r w:rsidRPr="002A41FA">
        <w:rPr>
          <w:rStyle w:val="SubtleEmphasis"/>
          <w:b/>
          <w:i w:val="0"/>
        </w:rPr>
        <w:t>Source:</w:t>
      </w:r>
      <w:r w:rsidRPr="00882E94">
        <w:rPr>
          <w:rStyle w:val="SubtleEmphasis"/>
        </w:rPr>
        <w:t xml:space="preserve"> Australian Bureau of Statistics Employee Earnings and Hours, Cat. No. 6306.0 (May 2010, May 2012, May 2014, May 2016</w:t>
      </w:r>
      <w:r w:rsidR="0059228A">
        <w:rPr>
          <w:rStyle w:val="SubtleEmphasis"/>
        </w:rPr>
        <w:t>, May 2018</w:t>
      </w:r>
      <w:r w:rsidRPr="00882E94">
        <w:rPr>
          <w:rStyle w:val="SubtleEmphasis"/>
        </w:rPr>
        <w:t>), unpublished data – all employees. Please note that this is not intended to be analysed as a time series.</w:t>
      </w:r>
    </w:p>
    <w:p w:rsidR="00E45F6D" w:rsidRPr="00882E94" w:rsidRDefault="00E45F6D" w:rsidP="00E45F6D">
      <w:pPr>
        <w:pStyle w:val="ListParagraph"/>
        <w:ind w:left="0"/>
        <w:rPr>
          <w:rStyle w:val="SubtleEmphasis"/>
        </w:rPr>
      </w:pPr>
      <w:r w:rsidRPr="002A41FA">
        <w:rPr>
          <w:rStyle w:val="SubtleEmphasis"/>
          <w:b/>
          <w:i w:val="0"/>
        </w:rPr>
        <w:t>Note:</w:t>
      </w:r>
      <w:r w:rsidRPr="00882E94">
        <w:rPr>
          <w:rStyle w:val="SubtleEmphasis"/>
        </w:rPr>
        <w:t xml:space="preserve"> This table has been revised to include managerial-level employees. This accounts for all differences between this table and tables publis</w:t>
      </w:r>
      <w:r>
        <w:rPr>
          <w:rStyle w:val="SubtleEmphasis"/>
        </w:rPr>
        <w:t>hed in previous Trends reports.</w:t>
      </w:r>
    </w:p>
    <w:p w:rsidR="00E45F6D" w:rsidRPr="00E45F6D" w:rsidRDefault="00E45F6D" w:rsidP="00E45F6D">
      <w:pPr>
        <w:pStyle w:val="Heading2"/>
        <w:rPr>
          <w:sz w:val="26"/>
        </w:rPr>
      </w:pPr>
      <w:r w:rsidRPr="00E45F6D">
        <w:rPr>
          <w:sz w:val="26"/>
        </w:rPr>
        <w:t>Presentation of Trends in Federal Enterprise Bargaining data</w:t>
      </w:r>
    </w:p>
    <w:p w:rsidR="00E45F6D" w:rsidRPr="00882E94" w:rsidRDefault="00E45F6D" w:rsidP="00E45F6D">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E45F6D" w:rsidRPr="00882E94" w:rsidTr="00FF4A72">
        <w:trPr>
          <w:trHeight w:val="255"/>
          <w:tblHeader/>
        </w:trPr>
        <w:tc>
          <w:tcPr>
            <w:tcW w:w="2238" w:type="dxa"/>
            <w:tcBorders>
              <w:top w:val="single" w:sz="4" w:space="0" w:color="auto"/>
              <w:left w:val="single" w:sz="4" w:space="0" w:color="auto"/>
              <w:bottom w:val="single" w:sz="4" w:space="0" w:color="auto"/>
              <w:right w:val="single" w:sz="4" w:space="0" w:color="auto"/>
            </w:tcBorders>
            <w:noWrap/>
          </w:tcPr>
          <w:p w:rsidR="00E45F6D" w:rsidRPr="00882E94" w:rsidRDefault="00E45F6D" w:rsidP="00FF4A72">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rsidR="00E45F6D" w:rsidRPr="00882E94" w:rsidRDefault="00E45F6D" w:rsidP="00FF4A72">
            <w:pPr>
              <w:rPr>
                <w:b/>
                <w:sz w:val="18"/>
              </w:rPr>
            </w:pPr>
            <w:r w:rsidRPr="00882E94">
              <w:rPr>
                <w:b/>
                <w:sz w:val="18"/>
              </w:rPr>
              <w:t>Description</w:t>
            </w:r>
          </w:p>
        </w:tc>
      </w:tr>
      <w:tr w:rsidR="00E45F6D" w:rsidRPr="00882E94" w:rsidTr="00FF4A72">
        <w:trPr>
          <w:trHeight w:val="255"/>
        </w:trPr>
        <w:tc>
          <w:tcPr>
            <w:tcW w:w="2238" w:type="dxa"/>
            <w:tcBorders>
              <w:top w:val="single" w:sz="4" w:space="0" w:color="auto"/>
              <w:left w:val="single" w:sz="4" w:space="0" w:color="auto"/>
              <w:right w:val="single" w:sz="4" w:space="0" w:color="auto"/>
            </w:tcBorders>
            <w:noWrap/>
          </w:tcPr>
          <w:p w:rsidR="00E45F6D" w:rsidRPr="00882E94" w:rsidRDefault="00E45F6D" w:rsidP="00FF4A72">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rsidR="00E45F6D" w:rsidRPr="00882E94" w:rsidRDefault="00E45F6D" w:rsidP="00FF4A72">
            <w:pPr>
              <w:rPr>
                <w:sz w:val="18"/>
              </w:rPr>
            </w:pPr>
            <w:r w:rsidRPr="00882E94">
              <w:rPr>
                <w:sz w:val="18"/>
              </w:rPr>
              <w:t>Total number of agreements for a given quarter</w:t>
            </w:r>
          </w:p>
        </w:tc>
      </w:tr>
      <w:tr w:rsidR="00E45F6D" w:rsidRPr="00882E94" w:rsidTr="00FF4A72">
        <w:trPr>
          <w:trHeight w:val="255"/>
        </w:trPr>
        <w:tc>
          <w:tcPr>
            <w:tcW w:w="2238" w:type="dxa"/>
            <w:tcBorders>
              <w:left w:val="single" w:sz="4" w:space="0" w:color="auto"/>
              <w:right w:val="single" w:sz="4" w:space="0" w:color="auto"/>
            </w:tcBorders>
            <w:noWrap/>
          </w:tcPr>
          <w:p w:rsidR="00E45F6D" w:rsidRPr="00882E94" w:rsidRDefault="00E45F6D" w:rsidP="00FF4A72">
            <w:pPr>
              <w:rPr>
                <w:sz w:val="18"/>
              </w:rPr>
            </w:pPr>
            <w:r w:rsidRPr="00882E94">
              <w:rPr>
                <w:sz w:val="18"/>
              </w:rPr>
              <w:t>AAWI (%)</w:t>
            </w:r>
          </w:p>
        </w:tc>
        <w:tc>
          <w:tcPr>
            <w:tcW w:w="6555" w:type="dxa"/>
            <w:tcBorders>
              <w:left w:val="single" w:sz="4" w:space="0" w:color="auto"/>
              <w:right w:val="single" w:sz="4" w:space="0" w:color="auto"/>
            </w:tcBorders>
          </w:tcPr>
          <w:p w:rsidR="00E45F6D" w:rsidRPr="00882E94" w:rsidRDefault="00E45F6D" w:rsidP="00FF4A72">
            <w:pPr>
              <w:rPr>
                <w:sz w:val="18"/>
              </w:rPr>
            </w:pPr>
            <w:r w:rsidRPr="00882E94">
              <w:rPr>
                <w:sz w:val="18"/>
              </w:rPr>
              <w:t>Average Annualised Wage Increase for the quarter</w:t>
            </w:r>
          </w:p>
        </w:tc>
      </w:tr>
      <w:tr w:rsidR="00E45F6D" w:rsidRPr="00882E94" w:rsidTr="00FF4A72">
        <w:trPr>
          <w:trHeight w:val="255"/>
        </w:trPr>
        <w:tc>
          <w:tcPr>
            <w:tcW w:w="2238" w:type="dxa"/>
            <w:tcBorders>
              <w:left w:val="single" w:sz="4" w:space="0" w:color="auto"/>
              <w:right w:val="single" w:sz="4" w:space="0" w:color="auto"/>
            </w:tcBorders>
            <w:noWrap/>
          </w:tcPr>
          <w:p w:rsidR="00E45F6D" w:rsidRPr="00882E94" w:rsidRDefault="00E45F6D" w:rsidP="00FF4A72">
            <w:pPr>
              <w:rPr>
                <w:sz w:val="18"/>
              </w:rPr>
            </w:pPr>
            <w:r w:rsidRPr="00882E94">
              <w:rPr>
                <w:sz w:val="18"/>
              </w:rPr>
              <w:t>Duration (</w:t>
            </w:r>
            <w:proofErr w:type="spellStart"/>
            <w:r w:rsidRPr="00882E94">
              <w:rPr>
                <w:sz w:val="18"/>
              </w:rPr>
              <w:t>yrs</w:t>
            </w:r>
            <w:proofErr w:type="spellEnd"/>
            <w:r w:rsidRPr="00882E94">
              <w:rPr>
                <w:sz w:val="18"/>
              </w:rPr>
              <w:t>)</w:t>
            </w:r>
          </w:p>
        </w:tc>
        <w:tc>
          <w:tcPr>
            <w:tcW w:w="6555" w:type="dxa"/>
            <w:tcBorders>
              <w:left w:val="single" w:sz="4" w:space="0" w:color="auto"/>
              <w:right w:val="single" w:sz="4" w:space="0" w:color="auto"/>
            </w:tcBorders>
          </w:tcPr>
          <w:p w:rsidR="00E45F6D" w:rsidRPr="00882E94" w:rsidRDefault="00E45F6D" w:rsidP="00FF4A72">
            <w:pPr>
              <w:rPr>
                <w:sz w:val="18"/>
              </w:rPr>
            </w:pPr>
            <w:r w:rsidRPr="00882E94">
              <w:rPr>
                <w:sz w:val="18"/>
              </w:rPr>
              <w:t>Average formal duration per employee for the quarter</w:t>
            </w:r>
          </w:p>
        </w:tc>
      </w:tr>
      <w:tr w:rsidR="00E45F6D" w:rsidRPr="00882E94" w:rsidTr="00FF4A72">
        <w:trPr>
          <w:trHeight w:val="255"/>
        </w:trPr>
        <w:tc>
          <w:tcPr>
            <w:tcW w:w="2238" w:type="dxa"/>
            <w:tcBorders>
              <w:left w:val="single" w:sz="4" w:space="0" w:color="auto"/>
              <w:bottom w:val="single" w:sz="4" w:space="0" w:color="auto"/>
              <w:right w:val="single" w:sz="4" w:space="0" w:color="auto"/>
            </w:tcBorders>
            <w:noWrap/>
          </w:tcPr>
          <w:p w:rsidR="00E45F6D" w:rsidRPr="00882E94" w:rsidRDefault="00E45F6D" w:rsidP="00FF4A72">
            <w:pPr>
              <w:rPr>
                <w:sz w:val="18"/>
              </w:rPr>
            </w:pPr>
            <w:r w:rsidRPr="00882E94">
              <w:rPr>
                <w:sz w:val="18"/>
              </w:rPr>
              <w:t>Employees ('000)</w:t>
            </w:r>
          </w:p>
        </w:tc>
        <w:tc>
          <w:tcPr>
            <w:tcW w:w="6555" w:type="dxa"/>
            <w:tcBorders>
              <w:left w:val="single" w:sz="4" w:space="0" w:color="auto"/>
              <w:bottom w:val="single" w:sz="4" w:space="0" w:color="auto"/>
              <w:right w:val="single" w:sz="4" w:space="0" w:color="auto"/>
            </w:tcBorders>
          </w:tcPr>
          <w:p w:rsidR="00E45F6D" w:rsidRPr="00882E94" w:rsidRDefault="00E45F6D" w:rsidP="00FF4A72">
            <w:pPr>
              <w:rPr>
                <w:sz w:val="18"/>
              </w:rPr>
            </w:pPr>
            <w:r w:rsidRPr="00882E94">
              <w:rPr>
                <w:sz w:val="18"/>
              </w:rPr>
              <w:t>Estimated total number of employees covered by the number of agreements in the first row</w:t>
            </w:r>
          </w:p>
        </w:tc>
      </w:tr>
    </w:tbl>
    <w:p w:rsidR="00E45F6D" w:rsidRPr="00882E94" w:rsidRDefault="00E45F6D" w:rsidP="00E45F6D">
      <w:pPr>
        <w:pBdr>
          <w:top w:val="single" w:sz="4" w:space="1" w:color="auto"/>
          <w:left w:val="single" w:sz="4" w:space="0" w:color="auto"/>
          <w:bottom w:val="single" w:sz="4" w:space="1" w:color="auto"/>
          <w:right w:val="single" w:sz="4" w:space="4" w:color="auto"/>
        </w:pBdr>
        <w:spacing w:before="240"/>
      </w:pPr>
      <w:r w:rsidRPr="00882E94">
        <w:t xml:space="preserve">It is important to note that not all agreements contain quantifiable wage increases and in most cases the AAWI is not derived from the total number of agreements shown in the first row or the total number of employees shown in the third row. A more detailed explanation of why this is the case is provided below under </w:t>
      </w:r>
      <w:r w:rsidRPr="00882E94">
        <w:rPr>
          <w:b/>
        </w:rPr>
        <w:t>Average annualised wage increases</w:t>
      </w:r>
      <w:r w:rsidRPr="00882E94">
        <w:t>.</w:t>
      </w:r>
    </w:p>
    <w:p w:rsidR="00E45F6D" w:rsidRDefault="00E45F6D" w:rsidP="00E45F6D">
      <w:pPr>
        <w:rPr>
          <w:rFonts w:ascii="Calibri" w:eastAsiaTheme="majorEastAsia" w:hAnsi="Calibri" w:cstheme="majorBidi"/>
          <w:b/>
          <w:bCs/>
          <w:sz w:val="28"/>
          <w:szCs w:val="26"/>
        </w:rPr>
      </w:pPr>
      <w:r>
        <w:br w:type="page"/>
      </w:r>
    </w:p>
    <w:p w:rsidR="00E45F6D" w:rsidRPr="00E45F6D" w:rsidRDefault="00E45F6D" w:rsidP="00E45F6D">
      <w:pPr>
        <w:pStyle w:val="Heading2"/>
        <w:rPr>
          <w:sz w:val="26"/>
        </w:rPr>
      </w:pPr>
      <w:r w:rsidRPr="00E45F6D">
        <w:rPr>
          <w:sz w:val="26"/>
        </w:rPr>
        <w:lastRenderedPageBreak/>
        <w:t>Employee coverage</w:t>
      </w:r>
    </w:p>
    <w:p w:rsidR="00E45F6D" w:rsidRPr="00882E94" w:rsidRDefault="00E45F6D" w:rsidP="00E45F6D">
      <w:r w:rsidRPr="00882E94">
        <w:t>Information on the number of employees covered by an agreement is drawn from the information provided to FWC (Fair Work Commission)</w:t>
      </w:r>
      <w:r w:rsidR="0059228A">
        <w:t xml:space="preserve"> or its predecessors</w:t>
      </w:r>
      <w:r w:rsidRPr="00882E94">
        <w:t xml:space="preserve"> by the employer who lodges</w:t>
      </w:r>
      <w:r>
        <w:t xml:space="preserve"> the agreement.</w:t>
      </w:r>
    </w:p>
    <w:p w:rsidR="00E45F6D" w:rsidRPr="00882E94" w:rsidRDefault="00E45F6D" w:rsidP="00E45F6D">
      <w:r w:rsidRPr="00882E94">
        <w:t>In the Trends data, the number of employees covered by agreements is presented as an estimated figure, as employee coverage figures are not always provid</w:t>
      </w:r>
      <w:r>
        <w:t>ed when an agreement is lodged.</w:t>
      </w:r>
    </w:p>
    <w:p w:rsidR="00E45F6D" w:rsidRPr="00882E94" w:rsidRDefault="00E45F6D" w:rsidP="00E45F6D">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rsidR="00E45F6D" w:rsidRPr="00882E94" w:rsidRDefault="00E45F6D" w:rsidP="00E45F6D">
      <w:r w:rsidRPr="00882E94">
        <w:t>As the number of employees covered by an enterprise agreement frequently changes during the life of an agreement due to workforce fluctuations, the total number of employees covered is not necessarily indicative of the total current coverage of enterprise agreements.</w:t>
      </w:r>
    </w:p>
    <w:p w:rsidR="00E45F6D" w:rsidRPr="00E45F6D" w:rsidRDefault="00E45F6D" w:rsidP="00E45F6D">
      <w:pPr>
        <w:pStyle w:val="Heading2"/>
        <w:rPr>
          <w:sz w:val="26"/>
        </w:rPr>
      </w:pPr>
      <w:r w:rsidRPr="00E45F6D">
        <w:rPr>
          <w:sz w:val="26"/>
        </w:rPr>
        <w:t>Duration of agreements</w:t>
      </w:r>
    </w:p>
    <w:p w:rsidR="00E45F6D" w:rsidRPr="00882E94" w:rsidRDefault="00E45F6D" w:rsidP="00E45F6D">
      <w:r w:rsidRPr="00882E94">
        <w:t>‘Formal duration’ is the period from certification to expiry in years.</w:t>
      </w:r>
    </w:p>
    <w:p w:rsidR="00E45F6D" w:rsidRPr="00882E94" w:rsidRDefault="00E45F6D" w:rsidP="00E45F6D">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rsidR="00E45F6D" w:rsidRPr="00E45F6D" w:rsidRDefault="00E45F6D" w:rsidP="00E45F6D">
      <w:pPr>
        <w:pStyle w:val="Heading2"/>
        <w:rPr>
          <w:sz w:val="26"/>
        </w:rPr>
      </w:pPr>
      <w:r w:rsidRPr="00E45F6D">
        <w:rPr>
          <w:sz w:val="26"/>
        </w:rPr>
        <w:t>Average annualised wage increases</w:t>
      </w:r>
    </w:p>
    <w:p w:rsidR="00E45F6D" w:rsidRPr="00882E94" w:rsidRDefault="00E45F6D" w:rsidP="00E45F6D">
      <w:r w:rsidRPr="00882E94">
        <w:t>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w:t>
      </w:r>
      <w:r>
        <w:t>timates.</w:t>
      </w:r>
    </w:p>
    <w:p w:rsidR="00E45F6D" w:rsidRPr="00882E94" w:rsidRDefault="00E45F6D" w:rsidP="00E45F6D">
      <w:r w:rsidRPr="00882E94">
        <w:t>AAWI data examine only increases to the base rate of pay, and do not take into account allowances and bonus payments that are paid separate to the base wage. The ABS produces a more comprehensive dataset on total labour costs (</w:t>
      </w:r>
      <w:hyperlink r:id="rId10" w:history="1">
        <w:r w:rsidRPr="00882E94">
          <w:rPr>
            <w:rStyle w:val="Hyperlink"/>
            <w:rFonts w:ascii="Calibri" w:hAnsi="Calibri" w:cs="Arial"/>
            <w:bCs/>
          </w:rPr>
          <w:t>Labour Price Index</w:t>
        </w:r>
      </w:hyperlink>
      <w:r w:rsidRPr="00882E94">
        <w:t>): http://www.abs.gov</w:t>
      </w:r>
      <w:r>
        <w:t>.au/ausstats/abs@.nsf/mf/6345.0</w:t>
      </w:r>
    </w:p>
    <w:p w:rsidR="00E45F6D" w:rsidRPr="00882E94" w:rsidRDefault="00E45F6D" w:rsidP="00E45F6D">
      <w:r w:rsidRPr="00882E94">
        <w:t>For agreements with quantifiable wage increases, the average annualised wage increase (AAWI) per agreement is calculated using the following formula:</w:t>
      </w:r>
    </w:p>
    <w:p w:rsidR="00E45F6D" w:rsidRPr="00882E94" w:rsidRDefault="00E45F6D" w:rsidP="00E45F6D">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rsidR="00E45F6D" w:rsidRPr="00882E94" w:rsidRDefault="00E45F6D" w:rsidP="00E45F6D">
      <w:pPr>
        <w:pBdr>
          <w:top w:val="single" w:sz="4" w:space="1" w:color="auto"/>
          <w:left w:val="single" w:sz="4" w:space="4" w:color="auto"/>
          <w:bottom w:val="single" w:sz="4" w:space="1" w:color="auto"/>
          <w:right w:val="single" w:sz="4" w:space="4" w:color="auto"/>
        </w:pBdr>
      </w:pPr>
      <w:proofErr w:type="gramStart"/>
      <w:r w:rsidRPr="00882E94">
        <w:lastRenderedPageBreak/>
        <w:t>r</w:t>
      </w:r>
      <w:r w:rsidRPr="00882E94">
        <w:rPr>
          <w:vertAlign w:val="subscript"/>
        </w:rPr>
        <w:t>i</w:t>
      </w:r>
      <w:proofErr w:type="gramEnd"/>
      <w:r w:rsidRPr="00882E94">
        <w:t xml:space="preserve"> = % increases of the </w:t>
      </w:r>
      <w:r w:rsidRPr="00882E94">
        <w:rPr>
          <w:i/>
        </w:rPr>
        <w:t>i</w:t>
      </w:r>
      <w:r w:rsidRPr="00882E94">
        <w:rPr>
          <w:vertAlign w:val="superscript"/>
        </w:rPr>
        <w:t>th</w:t>
      </w:r>
      <w:r w:rsidRPr="00882E94">
        <w:t xml:space="preserve"> time*</w:t>
      </w:r>
    </w:p>
    <w:p w:rsidR="00E45F6D" w:rsidRPr="00882E94" w:rsidRDefault="00E45F6D" w:rsidP="00E45F6D">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rsidR="00E45F6D" w:rsidRPr="00882E94" w:rsidRDefault="00E45F6D" w:rsidP="00E45F6D">
      <w:pPr>
        <w:pBdr>
          <w:top w:val="single" w:sz="4" w:space="1" w:color="auto"/>
          <w:left w:val="single" w:sz="4" w:space="4" w:color="auto"/>
          <w:bottom w:val="single" w:sz="4" w:space="1" w:color="auto"/>
          <w:right w:val="single" w:sz="4" w:space="4" w:color="auto"/>
        </w:pBdr>
      </w:pPr>
      <w:r w:rsidRPr="00882E94">
        <w:t>d = the effective duration of the agreement in years</w:t>
      </w:r>
    </w:p>
    <w:p w:rsidR="00E45F6D" w:rsidRPr="00882E94" w:rsidRDefault="00E45F6D" w:rsidP="00E45F6D">
      <w:r w:rsidRPr="00882E94">
        <w:t xml:space="preserve">*(Flat dollar increases are converted to a percentage using average weekly ordinary time earnings (AWOTE), drawn from </w:t>
      </w:r>
      <w:hyperlink r:id="rId11" w:history="1">
        <w:r w:rsidRPr="00882E94">
          <w:rPr>
            <w:rStyle w:val="Hyperlink"/>
            <w:rFonts w:ascii="Calibri" w:hAnsi="Calibri" w:cs="Arial"/>
            <w:bCs/>
          </w:rPr>
          <w:t>ABS, 6302.0 - Average Weekly Earnings, Australia</w:t>
        </w:r>
      </w:hyperlink>
      <w:r w:rsidRPr="00882E94">
        <w:t>) for the relevant ANZSIC industry division and quarter)</w:t>
      </w:r>
    </w:p>
    <w:p w:rsidR="00E45F6D" w:rsidRPr="00882E94" w:rsidRDefault="00E45F6D" w:rsidP="00E45F6D">
      <w:r w:rsidRPr="00882E94">
        <w:t>AAWI per agreement provides only a simple unweighted average and tends to overstate the average wage increase received by employees. For this reason Trends reports the AAWI per employee, which is calculated by weighting AAWI per agreement by the number of emplo</w:t>
      </w:r>
      <w:r>
        <w:t>yees covered by that agreement.</w:t>
      </w:r>
    </w:p>
    <w:p w:rsidR="00E45F6D" w:rsidRPr="00882E94" w:rsidRDefault="00E45F6D" w:rsidP="00E45F6D">
      <w:r w:rsidRPr="00882E94">
        <w:t>The “all current wage” estimates are the AAWI per employee for all quantifiable federal wage agreements that are current on the last day of the quarter. Current agreements are those agreements that have been approved and have commenced, but have neither been terminated nor nominally expired at a given point in time. An agreement is deemed to be current on its nominal expiry date.</w:t>
      </w:r>
    </w:p>
    <w:p w:rsidR="00E45F6D" w:rsidRPr="00882E94" w:rsidRDefault="00E45F6D" w:rsidP="00E45F6D">
      <w:r w:rsidRPr="00882E94">
        <w:t>Estimates of AAWI generally exclude increases paid in the form of conditional performance pay, one-off bonuses, profit sharing or share acquisition, as these data cannot readily be either quantified or annualised.</w:t>
      </w:r>
    </w:p>
    <w:p w:rsidR="00E45F6D" w:rsidRPr="00E45F6D" w:rsidRDefault="00E45F6D" w:rsidP="00E45F6D">
      <w:pPr>
        <w:pStyle w:val="Heading2"/>
        <w:rPr>
          <w:sz w:val="26"/>
        </w:rPr>
      </w:pPr>
      <w:r w:rsidRPr="00E45F6D">
        <w:rPr>
          <w:sz w:val="26"/>
        </w:rPr>
        <w:t>Australian and New Zealand Standard Industrial Classification (ANZSIC)</w:t>
      </w:r>
    </w:p>
    <w:p w:rsidR="00E45F6D" w:rsidRPr="00882E94" w:rsidRDefault="00E45F6D" w:rsidP="00E45F6D">
      <w:r w:rsidRPr="00882E94">
        <w:t xml:space="preserve">From the June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rsidR="00E45F6D" w:rsidRPr="00882E94" w:rsidRDefault="00E45F6D" w:rsidP="00E45F6D">
      <w:r w:rsidRPr="00882E94">
        <w:t>From the June quarter 2009, historical industry data contained in the Trends report have also been produc</w:t>
      </w:r>
      <w:r>
        <w:t>ed using ANZSIC 2006 divisions.</w:t>
      </w:r>
    </w:p>
    <w:p w:rsidR="00E45F6D" w:rsidRPr="00E45F6D" w:rsidRDefault="00E45F6D" w:rsidP="00E45F6D">
      <w:pPr>
        <w:pStyle w:val="Heading2"/>
        <w:rPr>
          <w:sz w:val="26"/>
        </w:rPr>
      </w:pPr>
      <w:r w:rsidRPr="00E45F6D">
        <w:rPr>
          <w:sz w:val="26"/>
        </w:rPr>
        <w:t>Union Coverage</w:t>
      </w:r>
    </w:p>
    <w:p w:rsidR="00E45F6D" w:rsidRPr="00882E94" w:rsidRDefault="00E45F6D" w:rsidP="00E45F6D">
      <w:r w:rsidRPr="00882E94">
        <w:t>Care should be taken when analysing data in tables 13 and 14, in comparing agreements that cover</w:t>
      </w:r>
      <w:r>
        <w:t xml:space="preserve"> a union and those that do not.</w:t>
      </w:r>
    </w:p>
    <w:p w:rsidR="00E45F6D" w:rsidRPr="00882E94" w:rsidRDefault="00E45F6D" w:rsidP="00E45F6D">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rsidR="00E45F6D" w:rsidRPr="00882E94" w:rsidRDefault="00E45F6D" w:rsidP="00E45F6D">
      <w:r w:rsidRPr="00882E94">
        <w:t xml:space="preserve">Further, data about non-greenfields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t>
      </w:r>
      <w:r w:rsidRPr="00882E94">
        <w:lastRenderedPageBreak/>
        <w:t xml:space="preserve">While a union may be a bargaining representative, there is no capacity under the </w:t>
      </w:r>
      <w:r w:rsidRPr="00882E94">
        <w:rPr>
          <w:i/>
        </w:rPr>
        <w:t>Fair Work Act 2009</w:t>
      </w:r>
      <w:r w:rsidRPr="00882E94">
        <w:t xml:space="preserve"> for agreements (other than greenfields agreements) to be made with a union.</w:t>
      </w:r>
    </w:p>
    <w:p w:rsidR="00E45F6D" w:rsidRPr="00E45F6D" w:rsidRDefault="00E45F6D" w:rsidP="00E45F6D">
      <w:pPr>
        <w:pStyle w:val="Heading2"/>
        <w:rPr>
          <w:sz w:val="26"/>
        </w:rPr>
      </w:pPr>
      <w:r w:rsidRPr="00E45F6D">
        <w:rPr>
          <w:sz w:val="26"/>
        </w:rPr>
        <w:t>Non-quantifiable wage increases</w:t>
      </w:r>
    </w:p>
    <w:p w:rsidR="00E45F6D" w:rsidRPr="00882E94" w:rsidRDefault="00E45F6D" w:rsidP="00E45F6D">
      <w:r w:rsidRPr="00882E94">
        <w:t>Wage increases are only recorded in the WAD if the same percentage wage increase that applies to all employees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79"/>
        <w:gridCol w:w="4593"/>
      </w:tblGrid>
      <w:tr w:rsidR="00E45F6D" w:rsidRPr="00882E94" w:rsidTr="00FF4A72">
        <w:trPr>
          <w:tblHeader/>
        </w:trPr>
        <w:tc>
          <w:tcPr>
            <w:tcW w:w="4891" w:type="dxa"/>
          </w:tcPr>
          <w:p w:rsidR="00E45F6D" w:rsidRPr="00882E94" w:rsidRDefault="00E45F6D" w:rsidP="00FF4A72">
            <w:pPr>
              <w:rPr>
                <w:b/>
              </w:rPr>
            </w:pPr>
            <w:r w:rsidRPr="00882E94">
              <w:rPr>
                <w:b/>
              </w:rPr>
              <w:t>Reason</w:t>
            </w:r>
          </w:p>
        </w:tc>
        <w:tc>
          <w:tcPr>
            <w:tcW w:w="4893" w:type="dxa"/>
          </w:tcPr>
          <w:p w:rsidR="00E45F6D" w:rsidRPr="00882E94" w:rsidRDefault="00E45F6D" w:rsidP="00FF4A72">
            <w:pPr>
              <w:rPr>
                <w:b/>
              </w:rPr>
            </w:pPr>
            <w:r w:rsidRPr="00882E94">
              <w:rPr>
                <w:b/>
              </w:rPr>
              <w:t>Definition</w:t>
            </w:r>
          </w:p>
        </w:tc>
      </w:tr>
      <w:tr w:rsidR="00E45F6D" w:rsidRPr="00882E94" w:rsidTr="00FF4A72">
        <w:tc>
          <w:tcPr>
            <w:tcW w:w="4891" w:type="dxa"/>
          </w:tcPr>
          <w:p w:rsidR="00E45F6D" w:rsidRPr="00882E94" w:rsidRDefault="00E45F6D" w:rsidP="00FF4A72">
            <w:r>
              <w:t>Inconsistent Increase</w:t>
            </w:r>
          </w:p>
        </w:tc>
        <w:tc>
          <w:tcPr>
            <w:tcW w:w="4893" w:type="dxa"/>
          </w:tcPr>
          <w:p w:rsidR="00E45F6D" w:rsidRPr="00882E94" w:rsidRDefault="00E45F6D" w:rsidP="00FF4A72">
            <w:r w:rsidRPr="00882E94">
              <w:t>Percentage wage increases vary between classifications in the agreement.</w:t>
            </w:r>
          </w:p>
        </w:tc>
      </w:tr>
      <w:tr w:rsidR="00E45F6D" w:rsidRPr="00882E94" w:rsidTr="00FF4A72">
        <w:tc>
          <w:tcPr>
            <w:tcW w:w="4891" w:type="dxa"/>
          </w:tcPr>
          <w:p w:rsidR="00E45F6D" w:rsidRPr="00882E94" w:rsidRDefault="00E45F6D" w:rsidP="00FF4A72">
            <w:r>
              <w:t>Performance Linked</w:t>
            </w:r>
          </w:p>
        </w:tc>
        <w:tc>
          <w:tcPr>
            <w:tcW w:w="4893" w:type="dxa"/>
          </w:tcPr>
          <w:p w:rsidR="00E45F6D" w:rsidRPr="00882E94" w:rsidRDefault="00E45F6D" w:rsidP="00FF4A72">
            <w:r w:rsidRPr="00882E94">
              <w:t>Wage increases are awarded only if certain productivity improvements are made, or if wage increases are dependent upon individual or company performance.</w:t>
            </w:r>
          </w:p>
        </w:tc>
      </w:tr>
      <w:tr w:rsidR="00E45F6D" w:rsidRPr="00882E94" w:rsidTr="00FF4A72">
        <w:tc>
          <w:tcPr>
            <w:tcW w:w="4891" w:type="dxa"/>
          </w:tcPr>
          <w:p w:rsidR="00E45F6D" w:rsidRPr="00882E94" w:rsidRDefault="00E45F6D" w:rsidP="00FF4A72">
            <w:r>
              <w:t>Linked to CPI</w:t>
            </w:r>
          </w:p>
        </w:tc>
        <w:tc>
          <w:tcPr>
            <w:tcW w:w="4893" w:type="dxa"/>
          </w:tcPr>
          <w:p w:rsidR="00E45F6D" w:rsidRPr="00882E94" w:rsidRDefault="00E45F6D" w:rsidP="00FF4A72">
            <w:r w:rsidRPr="00882E94">
              <w:t>Wage increases in the agreement are linked to future CPI movements, and cannot be quantified at the time of calculating the AAWIs in this report.</w:t>
            </w:r>
          </w:p>
        </w:tc>
      </w:tr>
      <w:tr w:rsidR="00E45F6D" w:rsidRPr="00882E94" w:rsidTr="00FF4A72">
        <w:tc>
          <w:tcPr>
            <w:tcW w:w="4891" w:type="dxa"/>
          </w:tcPr>
          <w:p w:rsidR="00E45F6D" w:rsidRPr="00882E94" w:rsidRDefault="00E45F6D" w:rsidP="00FF4A72">
            <w:r w:rsidRPr="00882E94">
              <w:t>Linked to Minimum Wages</w:t>
            </w:r>
          </w:p>
        </w:tc>
        <w:tc>
          <w:tcPr>
            <w:tcW w:w="4893" w:type="dxa"/>
          </w:tcPr>
          <w:p w:rsidR="00E45F6D" w:rsidRPr="00882E94" w:rsidRDefault="00E45F6D" w:rsidP="00FF4A72">
            <w:r w:rsidRPr="00882E94">
              <w:t>Wage increases in the agreement are linked to future minimum wage or award wage increase decisions, and cannot be quantified at the time of calcul</w:t>
            </w:r>
            <w:r>
              <w:t>ating the AAWIs in this report.</w:t>
            </w:r>
          </w:p>
        </w:tc>
      </w:tr>
      <w:tr w:rsidR="00E45F6D" w:rsidRPr="00882E94" w:rsidTr="00FF4A72">
        <w:tc>
          <w:tcPr>
            <w:tcW w:w="4891" w:type="dxa"/>
          </w:tcPr>
          <w:p w:rsidR="00E45F6D" w:rsidRPr="00882E94" w:rsidRDefault="00E45F6D" w:rsidP="00FF4A72">
            <w:r>
              <w:t>Other Reason</w:t>
            </w:r>
          </w:p>
        </w:tc>
        <w:tc>
          <w:tcPr>
            <w:tcW w:w="4893" w:type="dxa"/>
          </w:tcPr>
          <w:p w:rsidR="00E45F6D" w:rsidRPr="00882E94" w:rsidRDefault="00E45F6D" w:rsidP="00FF4A72">
            <w:r w:rsidRPr="00882E94">
              <w:t>Wage increases cannot be quantified due to a r</w:t>
            </w:r>
            <w:r>
              <w:t>eason not elsewhere classified.</w:t>
            </w:r>
          </w:p>
        </w:tc>
      </w:tr>
    </w:tbl>
    <w:p w:rsidR="00E45F6D" w:rsidRDefault="00E45F6D" w:rsidP="00E45F6D">
      <w:pPr>
        <w:rPr>
          <w:rFonts w:ascii="Calibri" w:eastAsiaTheme="majorEastAsia" w:hAnsi="Calibri" w:cstheme="majorBidi"/>
          <w:b/>
          <w:bCs/>
          <w:sz w:val="28"/>
          <w:szCs w:val="26"/>
        </w:rPr>
      </w:pPr>
      <w:r>
        <w:br w:type="page"/>
      </w:r>
    </w:p>
    <w:p w:rsidR="00E45F6D" w:rsidRPr="00E45F6D" w:rsidRDefault="00E45F6D" w:rsidP="00E45F6D">
      <w:pPr>
        <w:pStyle w:val="Heading2"/>
        <w:rPr>
          <w:sz w:val="26"/>
        </w:rPr>
      </w:pPr>
      <w:r w:rsidRPr="00E45F6D">
        <w:rPr>
          <w:sz w:val="26"/>
        </w:rPr>
        <w:lastRenderedPageBreak/>
        <w:t xml:space="preserve">Types of Collective Agreements </w:t>
      </w:r>
    </w:p>
    <w:p w:rsidR="00E45F6D" w:rsidRPr="00882E94" w:rsidRDefault="00E45F6D" w:rsidP="00E45F6D">
      <w:r w:rsidRPr="00882E94">
        <w:t>Trends in Federal Enterprise Bargaining tables 5, 6 and 12 include information about collective agreements broken down by the type of agreement, as determined by the relevant legislation. The following list shows the types of collective agreements available under the two pieces of legislation included in this report.</w:t>
      </w:r>
    </w:p>
    <w:p w:rsidR="00E45F6D" w:rsidRPr="00882E94" w:rsidRDefault="00E45F6D" w:rsidP="00E45F6D">
      <w:pPr>
        <w:spacing w:after="120"/>
      </w:pPr>
      <w:r w:rsidRPr="00882E94">
        <w:t xml:space="preserve">Collective agreements made under the </w:t>
      </w:r>
      <w:r w:rsidRPr="00882E94">
        <w:rPr>
          <w:i/>
        </w:rPr>
        <w:t>Workplace Relations Act 1996</w:t>
      </w:r>
      <w:r>
        <w:t>:</w:t>
      </w:r>
    </w:p>
    <w:p w:rsidR="00E45F6D" w:rsidRPr="00882E94" w:rsidRDefault="00E45F6D" w:rsidP="00E45F6D">
      <w:pPr>
        <w:pStyle w:val="ListParagraph"/>
        <w:keepNext/>
        <w:keepLines/>
        <w:numPr>
          <w:ilvl w:val="0"/>
          <w:numId w:val="26"/>
        </w:numPr>
        <w:spacing w:after="120" w:line="240" w:lineRule="auto"/>
        <w:contextualSpacing w:val="0"/>
      </w:pPr>
      <w:r w:rsidRPr="00882E94">
        <w:t>Employee collective</w:t>
      </w:r>
    </w:p>
    <w:p w:rsidR="00E45F6D" w:rsidRPr="00882E94" w:rsidRDefault="00E45F6D" w:rsidP="00E45F6D">
      <w:pPr>
        <w:pStyle w:val="ListParagraph"/>
        <w:keepNext/>
        <w:keepLines/>
        <w:numPr>
          <w:ilvl w:val="0"/>
          <w:numId w:val="26"/>
        </w:numPr>
        <w:spacing w:after="120" w:line="240" w:lineRule="auto"/>
        <w:contextualSpacing w:val="0"/>
      </w:pPr>
      <w:r w:rsidRPr="00882E94">
        <w:t>Employee greenfields</w:t>
      </w:r>
    </w:p>
    <w:p w:rsidR="00E45F6D" w:rsidRPr="00882E94" w:rsidRDefault="00E45F6D" w:rsidP="00E45F6D">
      <w:pPr>
        <w:pStyle w:val="ListParagraph"/>
        <w:keepNext/>
        <w:keepLines/>
        <w:numPr>
          <w:ilvl w:val="0"/>
          <w:numId w:val="26"/>
        </w:numPr>
        <w:spacing w:after="120" w:line="240" w:lineRule="auto"/>
        <w:contextualSpacing w:val="0"/>
      </w:pPr>
      <w:r w:rsidRPr="00882E94">
        <w:t>Union collective</w:t>
      </w:r>
    </w:p>
    <w:p w:rsidR="00E45F6D" w:rsidRPr="00882E94" w:rsidRDefault="00E45F6D" w:rsidP="00E45F6D">
      <w:pPr>
        <w:pStyle w:val="ListParagraph"/>
        <w:keepNext/>
        <w:keepLines/>
        <w:numPr>
          <w:ilvl w:val="0"/>
          <w:numId w:val="26"/>
        </w:numPr>
        <w:spacing w:after="120" w:line="240" w:lineRule="auto"/>
        <w:contextualSpacing w:val="0"/>
      </w:pPr>
      <w:r w:rsidRPr="00882E94">
        <w:t>Union greenfields</w:t>
      </w:r>
    </w:p>
    <w:p w:rsidR="00E45F6D" w:rsidRPr="00882E94" w:rsidRDefault="00E45F6D" w:rsidP="00E45F6D">
      <w:r w:rsidRPr="00882E94">
        <w:t xml:space="preserve">Enterprise agreements made under the </w:t>
      </w:r>
      <w:r w:rsidRPr="00882E94">
        <w:rPr>
          <w:i/>
        </w:rPr>
        <w:t>Fair Work Act 2009</w:t>
      </w:r>
      <w:r>
        <w:t>:</w:t>
      </w:r>
    </w:p>
    <w:p w:rsidR="00E45F6D" w:rsidRPr="00882E94" w:rsidRDefault="00E45F6D" w:rsidP="00E45F6D">
      <w:pPr>
        <w:pStyle w:val="ListParagraph"/>
        <w:keepNext/>
        <w:keepLines/>
        <w:numPr>
          <w:ilvl w:val="0"/>
          <w:numId w:val="27"/>
        </w:numPr>
        <w:spacing w:after="120" w:line="240" w:lineRule="auto"/>
        <w:contextualSpacing w:val="0"/>
      </w:pPr>
      <w:r w:rsidRPr="00882E94">
        <w:t>Single enterprise non-greenfields</w:t>
      </w:r>
    </w:p>
    <w:p w:rsidR="00E45F6D" w:rsidRPr="00882E94" w:rsidRDefault="00E45F6D" w:rsidP="00E45F6D">
      <w:pPr>
        <w:pStyle w:val="ListParagraph"/>
        <w:keepNext/>
        <w:keepLines/>
        <w:numPr>
          <w:ilvl w:val="0"/>
          <w:numId w:val="27"/>
        </w:numPr>
        <w:spacing w:after="120" w:line="240" w:lineRule="auto"/>
        <w:contextualSpacing w:val="0"/>
      </w:pPr>
      <w:r w:rsidRPr="00882E94">
        <w:t>Single enterprise greenfields</w:t>
      </w:r>
    </w:p>
    <w:p w:rsidR="00E45F6D" w:rsidRPr="00882E94" w:rsidRDefault="00E45F6D" w:rsidP="00E45F6D">
      <w:pPr>
        <w:pStyle w:val="ListParagraph"/>
        <w:keepNext/>
        <w:keepLines/>
        <w:numPr>
          <w:ilvl w:val="0"/>
          <w:numId w:val="27"/>
        </w:numPr>
        <w:spacing w:after="120" w:line="240" w:lineRule="auto"/>
        <w:contextualSpacing w:val="0"/>
      </w:pPr>
      <w:r w:rsidRPr="00882E94">
        <w:t>Multi-enterprise non-greenfields</w:t>
      </w:r>
    </w:p>
    <w:p w:rsidR="00E45F6D" w:rsidRPr="00882E94" w:rsidRDefault="00E45F6D" w:rsidP="00E45F6D">
      <w:pPr>
        <w:pStyle w:val="ListParagraph"/>
        <w:keepNext/>
        <w:keepLines/>
        <w:numPr>
          <w:ilvl w:val="0"/>
          <w:numId w:val="27"/>
        </w:numPr>
        <w:spacing w:after="120" w:line="240" w:lineRule="auto"/>
        <w:contextualSpacing w:val="0"/>
      </w:pPr>
      <w:r w:rsidRPr="00882E94">
        <w:t>Multi-enterprise greenfields</w:t>
      </w:r>
    </w:p>
    <w:p w:rsidR="00E45F6D" w:rsidRPr="00882E94" w:rsidRDefault="00E45F6D" w:rsidP="00E45F6D">
      <w:r w:rsidRPr="00882E94">
        <w:t xml:space="preserve">Of note, in sections 327-330 of the </w:t>
      </w:r>
      <w:r w:rsidRPr="00882E94">
        <w:rPr>
          <w:i/>
        </w:rPr>
        <w:t>Workplace Relations Act 1996</w:t>
      </w:r>
      <w:r w:rsidRPr="00882E94">
        <w:t xml:space="preserve">, the primary division between types of agreements was whether they were made with a union or without a union, while the primary division between agreements made under section 172 of the </w:t>
      </w:r>
      <w:r w:rsidRPr="00882E94">
        <w:rPr>
          <w:i/>
        </w:rPr>
        <w:t xml:space="preserve">Fair Work Act 2009 </w:t>
      </w:r>
      <w:r w:rsidRPr="00882E94">
        <w:t>is whether they cover a single or multiple enterprises. Under both pieces of legislation, the secondary division is whether or not the agreement is a greenfields agreement, that is, it is made to cover a genuine new enterprise or undertaking for which no persons have yet been employed who will be covered by the agreement.</w:t>
      </w:r>
    </w:p>
    <w:p w:rsidR="00E45F6D" w:rsidRPr="00E45F6D" w:rsidRDefault="00E45F6D" w:rsidP="00E45F6D">
      <w:pPr>
        <w:pStyle w:val="Heading2"/>
        <w:spacing w:before="480"/>
        <w:rPr>
          <w:sz w:val="26"/>
        </w:rPr>
      </w:pPr>
      <w:r w:rsidRPr="00E45F6D">
        <w:rPr>
          <w:sz w:val="26"/>
        </w:rPr>
        <w:t>Recent methodological change</w:t>
      </w:r>
    </w:p>
    <w:p w:rsidR="00E45F6D" w:rsidRPr="00882E94" w:rsidRDefault="00E45F6D" w:rsidP="00E45F6D">
      <w:r w:rsidRPr="00882E94">
        <w:t xml:space="preserve">The definition of ‘current’ agreements has changed from </w:t>
      </w:r>
      <w:r w:rsidRPr="00E60F91">
        <w:t xml:space="preserve">“those agreements that </w:t>
      </w:r>
      <w:r w:rsidRPr="00E60F91">
        <w:rPr>
          <w:b/>
        </w:rPr>
        <w:t>have been certified</w:t>
      </w:r>
      <w:r w:rsidRPr="00E60F91">
        <w:t xml:space="preserve"> but have neither been terminated nor expired at a given point in time”</w:t>
      </w:r>
      <w:r w:rsidRPr="00882E94">
        <w:t xml:space="preserve"> to </w:t>
      </w:r>
      <w:r w:rsidRPr="00E60F91">
        <w:t xml:space="preserve">“those agreements that </w:t>
      </w:r>
      <w:r w:rsidRPr="00E60F91">
        <w:rPr>
          <w:b/>
        </w:rPr>
        <w:t>have commenced operating</w:t>
      </w:r>
      <w:r w:rsidRPr="00E60F91">
        <w:t>, but have neither been terminated nor expired at a given point in time”</w:t>
      </w:r>
      <w:r w:rsidRPr="00882E94">
        <w:t>. As a result of this change, there have been small revisions to historical data.</w:t>
      </w:r>
    </w:p>
    <w:p w:rsidR="00E45F6D" w:rsidRPr="00882E94" w:rsidRDefault="00E45F6D" w:rsidP="00E45F6D">
      <w:r>
        <w:t>T</w:t>
      </w:r>
      <w:r w:rsidRPr="00882E94">
        <w:t>here have been small revisions to historical data.</w:t>
      </w:r>
    </w:p>
    <w:p w:rsidR="00C10C19" w:rsidRDefault="00C10C19" w:rsidP="00E45F6D">
      <w:pPr>
        <w:pStyle w:val="Heading2"/>
      </w:pPr>
    </w:p>
    <w:sectPr w:rsidR="00C10C19" w:rsidSect="00113FDB">
      <w:headerReference w:type="default" r:id="rId12"/>
      <w:footerReference w:type="default" r:id="rId13"/>
      <w:type w:val="continuous"/>
      <w:pgSz w:w="11906" w:h="16838"/>
      <w:pgMar w:top="1440" w:right="1440" w:bottom="1440" w:left="1440"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FDB" w:rsidRDefault="00113FDB" w:rsidP="00130923">
      <w:pPr>
        <w:spacing w:after="0" w:line="240" w:lineRule="auto"/>
      </w:pPr>
      <w:r>
        <w:separator/>
      </w:r>
    </w:p>
  </w:endnote>
  <w:endnote w:type="continuationSeparator" w:id="0">
    <w:p w:rsidR="00113FDB" w:rsidRDefault="00113FDB"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2B9" w:rsidRDefault="003242B9" w:rsidP="003242B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2B9" w:rsidRDefault="000C167F" w:rsidP="00A73406">
    <w:pPr>
      <w:pStyle w:val="Footer"/>
      <w:tabs>
        <w:tab w:val="clear" w:pos="9026"/>
        <w:tab w:val="right" w:pos="8647"/>
      </w:tabs>
      <w:ind w:firstLine="720"/>
      <w:jc w:val="right"/>
    </w:pPr>
    <w:sdt>
      <w:sdtPr>
        <w:id w:val="638927636"/>
        <w:docPartObj>
          <w:docPartGallery w:val="Page Numbers (Bottom of Page)"/>
          <w:docPartUnique/>
        </w:docPartObj>
      </w:sdtPr>
      <w:sdtEndPr>
        <w:rPr>
          <w:noProof/>
        </w:rPr>
      </w:sdtEndPr>
      <w:sdtContent>
        <w:r w:rsidR="003242B9">
          <w:fldChar w:fldCharType="begin"/>
        </w:r>
        <w:r w:rsidR="003242B9">
          <w:instrText xml:space="preserve"> PAGE   \* MERGEFORMAT </w:instrText>
        </w:r>
        <w:r w:rsidR="003242B9">
          <w:fldChar w:fldCharType="separate"/>
        </w:r>
        <w:r>
          <w:rPr>
            <w:noProof/>
          </w:rPr>
          <w:t>2</w:t>
        </w:r>
        <w:r w:rsidR="003242B9">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FDB" w:rsidRDefault="00113FDB" w:rsidP="00130923">
      <w:pPr>
        <w:spacing w:after="0" w:line="240" w:lineRule="auto"/>
      </w:pPr>
      <w:r>
        <w:separator/>
      </w:r>
    </w:p>
  </w:footnote>
  <w:footnote w:type="continuationSeparator" w:id="0">
    <w:p w:rsidR="00113FDB" w:rsidRDefault="00113FDB" w:rsidP="00130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E5" w:rsidRDefault="00B544E5">
    <w:pPr>
      <w:pStyle w:val="Header"/>
    </w:pPr>
    <w:r>
      <w:rPr>
        <w:noProof/>
        <w:lang w:eastAsia="en-AU"/>
      </w:rPr>
      <w:drawing>
        <wp:anchor distT="0" distB="0" distL="114300" distR="114300" simplePos="0" relativeHeight="251658240" behindDoc="1" locked="0" layoutInCell="1" allowOverlap="1">
          <wp:simplePos x="0" y="0"/>
          <wp:positionH relativeFrom="page">
            <wp:align>left</wp:align>
          </wp:positionH>
          <wp:positionV relativeFrom="paragraph">
            <wp:posOffset>-449580</wp:posOffset>
          </wp:positionV>
          <wp:extent cx="7578090" cy="146939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14693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A0" w:rsidRDefault="00560CA0" w:rsidP="00560CA0">
    <w:pPr>
      <w:pStyle w:val="Header"/>
      <w:jc w:val="right"/>
    </w:pPr>
    <w:r>
      <w:t>Title - Subtitle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CE6FD8"/>
    <w:lvl w:ilvl="0">
      <w:start w:val="1"/>
      <w:numFmt w:val="decimal"/>
      <w:lvlText w:val="%1."/>
      <w:lvlJc w:val="left"/>
      <w:pPr>
        <w:tabs>
          <w:tab w:val="num" w:pos="1492"/>
        </w:tabs>
        <w:ind w:left="1492" w:hanging="360"/>
      </w:pPr>
    </w:lvl>
  </w:abstractNum>
  <w:abstractNum w:abstractNumId="1">
    <w:nsid w:val="FFFFFF7D"/>
    <w:multiLevelType w:val="singleLevel"/>
    <w:tmpl w:val="EF2C0204"/>
    <w:lvl w:ilvl="0">
      <w:start w:val="1"/>
      <w:numFmt w:val="decimal"/>
      <w:lvlText w:val="%1."/>
      <w:lvlJc w:val="left"/>
      <w:pPr>
        <w:tabs>
          <w:tab w:val="num" w:pos="1209"/>
        </w:tabs>
        <w:ind w:left="1209" w:hanging="360"/>
      </w:pPr>
    </w:lvl>
  </w:abstractNum>
  <w:abstractNum w:abstractNumId="2">
    <w:nsid w:val="FFFFFF7E"/>
    <w:multiLevelType w:val="singleLevel"/>
    <w:tmpl w:val="37D08C3A"/>
    <w:lvl w:ilvl="0">
      <w:start w:val="1"/>
      <w:numFmt w:val="decimal"/>
      <w:lvlText w:val="%1."/>
      <w:lvlJc w:val="left"/>
      <w:pPr>
        <w:tabs>
          <w:tab w:val="num" w:pos="926"/>
        </w:tabs>
        <w:ind w:left="926" w:hanging="360"/>
      </w:pPr>
    </w:lvl>
  </w:abstractNum>
  <w:abstractNum w:abstractNumId="3">
    <w:nsid w:val="FFFFFF7F"/>
    <w:multiLevelType w:val="singleLevel"/>
    <w:tmpl w:val="4942CF74"/>
    <w:lvl w:ilvl="0">
      <w:start w:val="1"/>
      <w:numFmt w:val="decimal"/>
      <w:lvlText w:val="%1."/>
      <w:lvlJc w:val="left"/>
      <w:pPr>
        <w:tabs>
          <w:tab w:val="num" w:pos="643"/>
        </w:tabs>
        <w:ind w:left="643" w:hanging="360"/>
      </w:pPr>
    </w:lvl>
  </w:abstractNum>
  <w:abstractNum w:abstractNumId="4">
    <w:nsid w:val="FFFFFF80"/>
    <w:multiLevelType w:val="singleLevel"/>
    <w:tmpl w:val="CDBA18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8686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840E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001698"/>
    <w:lvl w:ilvl="0">
      <w:start w:val="1"/>
      <w:numFmt w:val="decimal"/>
      <w:lvlText w:val="%1."/>
      <w:lvlJc w:val="left"/>
      <w:pPr>
        <w:tabs>
          <w:tab w:val="num" w:pos="360"/>
        </w:tabs>
        <w:ind w:left="360" w:hanging="360"/>
      </w:pPr>
    </w:lvl>
  </w:abstractNum>
  <w:abstractNum w:abstractNumId="9">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080F485D"/>
    <w:multiLevelType w:val="hybridMultilevel"/>
    <w:tmpl w:val="5BE4D756"/>
    <w:lvl w:ilvl="0" w:tplc="1A4409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4E12691"/>
    <w:multiLevelType w:val="hybridMultilevel"/>
    <w:tmpl w:val="87F08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3">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FBA5C77"/>
    <w:multiLevelType w:val="multilevel"/>
    <w:tmpl w:val="91E0A57C"/>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nsid w:val="2D961BAD"/>
    <w:multiLevelType w:val="hybridMultilevel"/>
    <w:tmpl w:val="D73A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nsid w:val="51B73210"/>
    <w:multiLevelType w:val="multilevel"/>
    <w:tmpl w:val="1A7C826C"/>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59CF1710"/>
    <w:multiLevelType w:val="multilevel"/>
    <w:tmpl w:val="835A880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nsid w:val="76BE2999"/>
    <w:multiLevelType w:val="hybridMultilevel"/>
    <w:tmpl w:val="BE9A9BF0"/>
    <w:lvl w:ilvl="0" w:tplc="CC821152">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9"/>
  </w:num>
  <w:num w:numId="15">
    <w:abstractNumId w:val="11"/>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2"/>
  </w:num>
  <w:num w:numId="21">
    <w:abstractNumId w:val="16"/>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13FDB"/>
    <w:rsid w:val="00002721"/>
    <w:rsid w:val="00024E24"/>
    <w:rsid w:val="00034EAA"/>
    <w:rsid w:val="00063FAA"/>
    <w:rsid w:val="000861A6"/>
    <w:rsid w:val="000C167F"/>
    <w:rsid w:val="000E7E7B"/>
    <w:rsid w:val="000F3BA2"/>
    <w:rsid w:val="00113FDB"/>
    <w:rsid w:val="001175BF"/>
    <w:rsid w:val="00130923"/>
    <w:rsid w:val="001414F3"/>
    <w:rsid w:val="00143FCD"/>
    <w:rsid w:val="001B0CCF"/>
    <w:rsid w:val="001B6467"/>
    <w:rsid w:val="001F1C07"/>
    <w:rsid w:val="00223EB1"/>
    <w:rsid w:val="00236917"/>
    <w:rsid w:val="00243D6B"/>
    <w:rsid w:val="002B06E6"/>
    <w:rsid w:val="002D271F"/>
    <w:rsid w:val="002D6386"/>
    <w:rsid w:val="00305B35"/>
    <w:rsid w:val="003166C5"/>
    <w:rsid w:val="003242B9"/>
    <w:rsid w:val="003D67FC"/>
    <w:rsid w:val="00406E5A"/>
    <w:rsid w:val="00435B7B"/>
    <w:rsid w:val="00455B34"/>
    <w:rsid w:val="0048762C"/>
    <w:rsid w:val="004A760F"/>
    <w:rsid w:val="004B256F"/>
    <w:rsid w:val="005113B6"/>
    <w:rsid w:val="00531817"/>
    <w:rsid w:val="00560CA0"/>
    <w:rsid w:val="005624F3"/>
    <w:rsid w:val="005811EF"/>
    <w:rsid w:val="0059228A"/>
    <w:rsid w:val="005B0878"/>
    <w:rsid w:val="005C15C0"/>
    <w:rsid w:val="005E1673"/>
    <w:rsid w:val="00610654"/>
    <w:rsid w:val="006172EB"/>
    <w:rsid w:val="006318B9"/>
    <w:rsid w:val="0067026C"/>
    <w:rsid w:val="00692776"/>
    <w:rsid w:val="006C4962"/>
    <w:rsid w:val="006D27EB"/>
    <w:rsid w:val="006E2D49"/>
    <w:rsid w:val="007468FC"/>
    <w:rsid w:val="00756759"/>
    <w:rsid w:val="00792CA3"/>
    <w:rsid w:val="007B2FDD"/>
    <w:rsid w:val="007D58FB"/>
    <w:rsid w:val="00804665"/>
    <w:rsid w:val="0083468A"/>
    <w:rsid w:val="00842D43"/>
    <w:rsid w:val="00856D1C"/>
    <w:rsid w:val="0086364F"/>
    <w:rsid w:val="00876AC0"/>
    <w:rsid w:val="008F775D"/>
    <w:rsid w:val="00903408"/>
    <w:rsid w:val="009116EA"/>
    <w:rsid w:val="00933671"/>
    <w:rsid w:val="0096483F"/>
    <w:rsid w:val="00972BF7"/>
    <w:rsid w:val="00972DD5"/>
    <w:rsid w:val="00984879"/>
    <w:rsid w:val="00985632"/>
    <w:rsid w:val="00991B63"/>
    <w:rsid w:val="009B2428"/>
    <w:rsid w:val="009B5CB7"/>
    <w:rsid w:val="009C5738"/>
    <w:rsid w:val="009C61E7"/>
    <w:rsid w:val="00A21FB0"/>
    <w:rsid w:val="00A31242"/>
    <w:rsid w:val="00A35435"/>
    <w:rsid w:val="00A52530"/>
    <w:rsid w:val="00A551BF"/>
    <w:rsid w:val="00A70524"/>
    <w:rsid w:val="00A73406"/>
    <w:rsid w:val="00A9672C"/>
    <w:rsid w:val="00AC65DA"/>
    <w:rsid w:val="00B2722A"/>
    <w:rsid w:val="00B544E5"/>
    <w:rsid w:val="00B567C4"/>
    <w:rsid w:val="00B618BA"/>
    <w:rsid w:val="00BA282D"/>
    <w:rsid w:val="00BB6260"/>
    <w:rsid w:val="00BF10F4"/>
    <w:rsid w:val="00C05E74"/>
    <w:rsid w:val="00C10C19"/>
    <w:rsid w:val="00C143B8"/>
    <w:rsid w:val="00C169F7"/>
    <w:rsid w:val="00C17D02"/>
    <w:rsid w:val="00C5649C"/>
    <w:rsid w:val="00C71B3D"/>
    <w:rsid w:val="00C75486"/>
    <w:rsid w:val="00C8202C"/>
    <w:rsid w:val="00C92A5B"/>
    <w:rsid w:val="00CA46EC"/>
    <w:rsid w:val="00CA74EF"/>
    <w:rsid w:val="00CB2F7F"/>
    <w:rsid w:val="00D05B29"/>
    <w:rsid w:val="00D1394D"/>
    <w:rsid w:val="00D47740"/>
    <w:rsid w:val="00D812B9"/>
    <w:rsid w:val="00D903FD"/>
    <w:rsid w:val="00D94BC5"/>
    <w:rsid w:val="00D96C08"/>
    <w:rsid w:val="00DC3052"/>
    <w:rsid w:val="00DC76D7"/>
    <w:rsid w:val="00DF46C4"/>
    <w:rsid w:val="00E45F6D"/>
    <w:rsid w:val="00EC64C4"/>
    <w:rsid w:val="00EC78E7"/>
    <w:rsid w:val="00ED0BDC"/>
    <w:rsid w:val="00ED43D2"/>
    <w:rsid w:val="00EE3B8C"/>
    <w:rsid w:val="00EF4A38"/>
    <w:rsid w:val="00F0153A"/>
    <w:rsid w:val="00F11B8F"/>
    <w:rsid w:val="00F74011"/>
    <w:rsid w:val="00F975AB"/>
    <w:rsid w:val="00FB10CB"/>
    <w:rsid w:val="00FF1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DA"/>
  </w:style>
  <w:style w:type="paragraph" w:styleId="Heading1">
    <w:name w:val="heading 1"/>
    <w:basedOn w:val="Normal"/>
    <w:next w:val="Normal"/>
    <w:link w:val="Heading1Char"/>
    <w:uiPriority w:val="9"/>
    <w:qFormat/>
    <w:rsid w:val="00804665"/>
    <w:pPr>
      <w:spacing w:after="240" w:line="240" w:lineRule="auto"/>
      <w:contextualSpacing/>
      <w:outlineLvl w:val="0"/>
    </w:pPr>
    <w:rPr>
      <w:rFonts w:ascii="Calibri" w:eastAsiaTheme="majorEastAsia" w:hAnsi="Calibri" w:cstheme="majorBidi"/>
      <w:b/>
      <w:bCs/>
      <w:color w:val="003D6B"/>
      <w:sz w:val="36"/>
      <w:szCs w:val="28"/>
    </w:rPr>
  </w:style>
  <w:style w:type="paragraph" w:styleId="Heading2">
    <w:name w:val="heading 2"/>
    <w:basedOn w:val="Normal"/>
    <w:next w:val="Normal"/>
    <w:link w:val="Heading2Char"/>
    <w:uiPriority w:val="9"/>
    <w:unhideWhenUsed/>
    <w:qFormat/>
    <w:rsid w:val="0096483F"/>
    <w:pPr>
      <w:spacing w:before="200" w:after="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804665"/>
    <w:rPr>
      <w:rFonts w:ascii="Calibri" w:eastAsiaTheme="majorEastAsia" w:hAnsi="Calibri" w:cstheme="majorBidi"/>
      <w:b/>
      <w:bCs/>
      <w:color w:val="00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4665"/>
    <w:pPr>
      <w:spacing w:after="120" w:line="240" w:lineRule="auto"/>
      <w:contextualSpacing/>
    </w:pPr>
    <w:rPr>
      <w:rFonts w:ascii="Calibri" w:eastAsiaTheme="majorEastAsia" w:hAnsi="Calibri" w:cstheme="majorBidi"/>
      <w:color w:val="003D6B"/>
      <w:spacing w:val="5"/>
      <w:sz w:val="60"/>
      <w:szCs w:val="60"/>
    </w:rPr>
  </w:style>
  <w:style w:type="character" w:customStyle="1" w:styleId="TitleChar">
    <w:name w:val="Title Char"/>
    <w:basedOn w:val="DefaultParagraphFont"/>
    <w:link w:val="Title"/>
    <w:uiPriority w:val="10"/>
    <w:rsid w:val="00804665"/>
    <w:rPr>
      <w:rFonts w:ascii="Calibri" w:eastAsiaTheme="majorEastAsia" w:hAnsi="Calibri" w:cstheme="majorBidi"/>
      <w:color w:val="003D6B"/>
      <w:spacing w:val="5"/>
      <w:sz w:val="60"/>
      <w:szCs w:val="60"/>
    </w:rPr>
  </w:style>
  <w:style w:type="paragraph" w:styleId="Subtitle">
    <w:name w:val="Subtitle"/>
    <w:basedOn w:val="Normal"/>
    <w:next w:val="Normal"/>
    <w:link w:val="SubtitleChar"/>
    <w:uiPriority w:val="11"/>
    <w:qFormat/>
    <w:rsid w:val="00804665"/>
    <w:pPr>
      <w:spacing w:after="240"/>
    </w:pPr>
    <w:rPr>
      <w:rFonts w:ascii="Calibri" w:eastAsiaTheme="majorEastAsia" w:hAnsi="Calibri" w:cstheme="majorBidi"/>
      <w:iCs/>
      <w:color w:val="003D6B"/>
      <w:spacing w:val="13"/>
      <w:sz w:val="40"/>
      <w:szCs w:val="40"/>
    </w:rPr>
  </w:style>
  <w:style w:type="character" w:customStyle="1" w:styleId="SubtitleChar">
    <w:name w:val="Subtitle Char"/>
    <w:basedOn w:val="DefaultParagraphFont"/>
    <w:link w:val="Subtitle"/>
    <w:uiPriority w:val="11"/>
    <w:rsid w:val="00804665"/>
    <w:rPr>
      <w:rFonts w:ascii="Calibri" w:eastAsiaTheme="majorEastAsia" w:hAnsi="Calibri" w:cstheme="majorBidi"/>
      <w:iCs/>
      <w:color w:val="003D6B"/>
      <w:spacing w:val="13"/>
      <w:sz w:val="40"/>
      <w:szCs w:val="40"/>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rsid w:val="00DC76D7"/>
    <w:pPr>
      <w:numPr>
        <w:numId w:val="21"/>
      </w:numPr>
      <w:spacing w:after="120"/>
      <w:contextualSpacing/>
    </w:pPr>
  </w:style>
  <w:style w:type="paragraph" w:styleId="ListNumber2">
    <w:name w:val="List Number 2"/>
    <w:basedOn w:val="Normal"/>
    <w:uiPriority w:val="99"/>
    <w:unhideWhenUsed/>
    <w:rsid w:val="00DC76D7"/>
    <w:pPr>
      <w:numPr>
        <w:ilvl w:val="1"/>
        <w:numId w:val="21"/>
      </w:numPr>
      <w:tabs>
        <w:tab w:val="left" w:pos="1134"/>
      </w:tabs>
      <w:spacing w:after="120"/>
      <w:contextualSpacing/>
    </w:pPr>
  </w:style>
  <w:style w:type="paragraph" w:styleId="ListNumber3">
    <w:name w:val="List Number 3"/>
    <w:basedOn w:val="Normal"/>
    <w:uiPriority w:val="99"/>
    <w:unhideWhenUsed/>
    <w:rsid w:val="00DC76D7"/>
    <w:pPr>
      <w:numPr>
        <w:ilvl w:val="2"/>
        <w:numId w:val="21"/>
      </w:numPr>
      <w:spacing w:after="120"/>
      <w:contextualSpacing/>
    </w:pPr>
  </w:style>
  <w:style w:type="paragraph" w:styleId="ListNumber4">
    <w:name w:val="List Number 4"/>
    <w:basedOn w:val="Normal"/>
    <w:uiPriority w:val="99"/>
    <w:unhideWhenUsed/>
    <w:rsid w:val="00DC76D7"/>
    <w:pPr>
      <w:numPr>
        <w:ilvl w:val="3"/>
        <w:numId w:val="21"/>
      </w:numPr>
      <w:spacing w:after="120"/>
      <w:contextualSpacing/>
    </w:pPr>
  </w:style>
  <w:style w:type="paragraph" w:styleId="ListBullet">
    <w:name w:val="List Bullet"/>
    <w:basedOn w:val="Normal"/>
    <w:uiPriority w:val="99"/>
    <w:unhideWhenUsed/>
    <w:rsid w:val="00EC64C4"/>
    <w:pPr>
      <w:numPr>
        <w:numId w:val="23"/>
      </w:numPr>
      <w:spacing w:after="120"/>
      <w:contextualSpacing/>
    </w:pPr>
  </w:style>
  <w:style w:type="paragraph" w:styleId="ListBullet2">
    <w:name w:val="List Bullet 2"/>
    <w:basedOn w:val="Normal"/>
    <w:uiPriority w:val="99"/>
    <w:unhideWhenUsed/>
    <w:rsid w:val="00EC64C4"/>
    <w:pPr>
      <w:numPr>
        <w:ilvl w:val="1"/>
        <w:numId w:val="23"/>
      </w:numPr>
      <w:spacing w:after="120"/>
      <w:contextualSpacing/>
    </w:pPr>
  </w:style>
  <w:style w:type="paragraph" w:styleId="ListBullet3">
    <w:name w:val="List Bullet 3"/>
    <w:basedOn w:val="Normal"/>
    <w:uiPriority w:val="99"/>
    <w:unhideWhenUsed/>
    <w:rsid w:val="00EC64C4"/>
    <w:pPr>
      <w:numPr>
        <w:ilvl w:val="2"/>
        <w:numId w:val="23"/>
      </w:numPr>
      <w:spacing w:after="120"/>
      <w:contextualSpacing/>
    </w:pPr>
  </w:style>
  <w:style w:type="paragraph" w:styleId="ListBullet4">
    <w:name w:val="List Bullet 4"/>
    <w:basedOn w:val="Normal"/>
    <w:uiPriority w:val="99"/>
    <w:unhideWhenUsed/>
    <w:rsid w:val="00EC64C4"/>
    <w:pPr>
      <w:numPr>
        <w:ilvl w:val="3"/>
        <w:numId w:val="23"/>
      </w:numPr>
      <w:spacing w:after="120"/>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6C4962"/>
    <w:rPr>
      <w:color w:val="00746B"/>
    </w:rPr>
  </w:style>
  <w:style w:type="numbering" w:customStyle="1" w:styleId="NumberedList">
    <w:name w:val="Numbered List"/>
    <w:uiPriority w:val="99"/>
    <w:rsid w:val="00DC76D7"/>
    <w:pPr>
      <w:numPr>
        <w:numId w:val="21"/>
      </w:numPr>
    </w:pPr>
  </w:style>
  <w:style w:type="numbering" w:customStyle="1" w:styleId="BulletList">
    <w:name w:val="Bullet List"/>
    <w:uiPriority w:val="99"/>
    <w:rsid w:val="00EC64C4"/>
    <w:pPr>
      <w:numPr>
        <w:numId w:val="23"/>
      </w:numPr>
    </w:pPr>
  </w:style>
  <w:style w:type="paragraph" w:styleId="ListNumber5">
    <w:name w:val="List Number 5"/>
    <w:basedOn w:val="Normal"/>
    <w:uiPriority w:val="99"/>
    <w:semiHidden/>
    <w:unhideWhenUsed/>
    <w:rsid w:val="00DC76D7"/>
    <w:pPr>
      <w:numPr>
        <w:ilvl w:val="4"/>
        <w:numId w:val="21"/>
      </w:numPr>
      <w:contextualSpacing/>
    </w:pPr>
  </w:style>
  <w:style w:type="paragraph" w:styleId="ListBullet5">
    <w:name w:val="List Bullet 5"/>
    <w:basedOn w:val="Normal"/>
    <w:uiPriority w:val="99"/>
    <w:semiHidden/>
    <w:unhideWhenUsed/>
    <w:rsid w:val="00EC64C4"/>
    <w:pPr>
      <w:numPr>
        <w:ilvl w:val="4"/>
        <w:numId w:val="23"/>
      </w:numPr>
      <w:contextualSpacing/>
    </w:pPr>
  </w:style>
  <w:style w:type="table" w:customStyle="1" w:styleId="Trends">
    <w:name w:val="Trends"/>
    <w:basedOn w:val="TableNormal"/>
    <w:uiPriority w:val="99"/>
    <w:rsid w:val="00E45F6D"/>
    <w:pPr>
      <w:spacing w:after="0" w:line="240" w:lineRule="auto"/>
    </w:pPr>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DA"/>
  </w:style>
  <w:style w:type="paragraph" w:styleId="Heading1">
    <w:name w:val="heading 1"/>
    <w:basedOn w:val="Normal"/>
    <w:next w:val="Normal"/>
    <w:link w:val="Heading1Char"/>
    <w:uiPriority w:val="9"/>
    <w:qFormat/>
    <w:rsid w:val="00804665"/>
    <w:pPr>
      <w:spacing w:after="240" w:line="240" w:lineRule="auto"/>
      <w:contextualSpacing/>
      <w:outlineLvl w:val="0"/>
    </w:pPr>
    <w:rPr>
      <w:rFonts w:ascii="Calibri" w:eastAsiaTheme="majorEastAsia" w:hAnsi="Calibri" w:cstheme="majorBidi"/>
      <w:b/>
      <w:bCs/>
      <w:color w:val="003D6B"/>
      <w:sz w:val="36"/>
      <w:szCs w:val="28"/>
    </w:rPr>
  </w:style>
  <w:style w:type="paragraph" w:styleId="Heading2">
    <w:name w:val="heading 2"/>
    <w:basedOn w:val="Normal"/>
    <w:next w:val="Normal"/>
    <w:link w:val="Heading2Char"/>
    <w:uiPriority w:val="9"/>
    <w:unhideWhenUsed/>
    <w:qFormat/>
    <w:rsid w:val="0096483F"/>
    <w:pPr>
      <w:spacing w:before="200" w:after="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804665"/>
    <w:rPr>
      <w:rFonts w:ascii="Calibri" w:eastAsiaTheme="majorEastAsia" w:hAnsi="Calibri" w:cstheme="majorBidi"/>
      <w:b/>
      <w:bCs/>
      <w:color w:val="00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4665"/>
    <w:pPr>
      <w:spacing w:after="120" w:line="240" w:lineRule="auto"/>
      <w:contextualSpacing/>
    </w:pPr>
    <w:rPr>
      <w:rFonts w:ascii="Calibri" w:eastAsiaTheme="majorEastAsia" w:hAnsi="Calibri" w:cstheme="majorBidi"/>
      <w:color w:val="003D6B"/>
      <w:spacing w:val="5"/>
      <w:sz w:val="60"/>
      <w:szCs w:val="60"/>
    </w:rPr>
  </w:style>
  <w:style w:type="character" w:customStyle="1" w:styleId="TitleChar">
    <w:name w:val="Title Char"/>
    <w:basedOn w:val="DefaultParagraphFont"/>
    <w:link w:val="Title"/>
    <w:uiPriority w:val="10"/>
    <w:rsid w:val="00804665"/>
    <w:rPr>
      <w:rFonts w:ascii="Calibri" w:eastAsiaTheme="majorEastAsia" w:hAnsi="Calibri" w:cstheme="majorBidi"/>
      <w:color w:val="003D6B"/>
      <w:spacing w:val="5"/>
      <w:sz w:val="60"/>
      <w:szCs w:val="60"/>
    </w:rPr>
  </w:style>
  <w:style w:type="paragraph" w:styleId="Subtitle">
    <w:name w:val="Subtitle"/>
    <w:basedOn w:val="Normal"/>
    <w:next w:val="Normal"/>
    <w:link w:val="SubtitleChar"/>
    <w:uiPriority w:val="11"/>
    <w:qFormat/>
    <w:rsid w:val="00804665"/>
    <w:pPr>
      <w:spacing w:after="240"/>
    </w:pPr>
    <w:rPr>
      <w:rFonts w:ascii="Calibri" w:eastAsiaTheme="majorEastAsia" w:hAnsi="Calibri" w:cstheme="majorBidi"/>
      <w:iCs/>
      <w:color w:val="003D6B"/>
      <w:spacing w:val="13"/>
      <w:sz w:val="40"/>
      <w:szCs w:val="40"/>
    </w:rPr>
  </w:style>
  <w:style w:type="character" w:customStyle="1" w:styleId="SubtitleChar">
    <w:name w:val="Subtitle Char"/>
    <w:basedOn w:val="DefaultParagraphFont"/>
    <w:link w:val="Subtitle"/>
    <w:uiPriority w:val="11"/>
    <w:rsid w:val="00804665"/>
    <w:rPr>
      <w:rFonts w:ascii="Calibri" w:eastAsiaTheme="majorEastAsia" w:hAnsi="Calibri" w:cstheme="majorBidi"/>
      <w:iCs/>
      <w:color w:val="003D6B"/>
      <w:spacing w:val="13"/>
      <w:sz w:val="40"/>
      <w:szCs w:val="40"/>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rsid w:val="00DC76D7"/>
    <w:pPr>
      <w:numPr>
        <w:numId w:val="21"/>
      </w:numPr>
      <w:spacing w:after="120"/>
      <w:contextualSpacing/>
    </w:pPr>
  </w:style>
  <w:style w:type="paragraph" w:styleId="ListNumber2">
    <w:name w:val="List Number 2"/>
    <w:basedOn w:val="Normal"/>
    <w:uiPriority w:val="99"/>
    <w:unhideWhenUsed/>
    <w:rsid w:val="00DC76D7"/>
    <w:pPr>
      <w:numPr>
        <w:ilvl w:val="1"/>
        <w:numId w:val="21"/>
      </w:numPr>
      <w:tabs>
        <w:tab w:val="left" w:pos="1134"/>
      </w:tabs>
      <w:spacing w:after="120"/>
      <w:contextualSpacing/>
    </w:pPr>
  </w:style>
  <w:style w:type="paragraph" w:styleId="ListNumber3">
    <w:name w:val="List Number 3"/>
    <w:basedOn w:val="Normal"/>
    <w:uiPriority w:val="99"/>
    <w:unhideWhenUsed/>
    <w:rsid w:val="00DC76D7"/>
    <w:pPr>
      <w:numPr>
        <w:ilvl w:val="2"/>
        <w:numId w:val="21"/>
      </w:numPr>
      <w:spacing w:after="120"/>
      <w:contextualSpacing/>
    </w:pPr>
  </w:style>
  <w:style w:type="paragraph" w:styleId="ListNumber4">
    <w:name w:val="List Number 4"/>
    <w:basedOn w:val="Normal"/>
    <w:uiPriority w:val="99"/>
    <w:unhideWhenUsed/>
    <w:rsid w:val="00DC76D7"/>
    <w:pPr>
      <w:numPr>
        <w:ilvl w:val="3"/>
        <w:numId w:val="21"/>
      </w:numPr>
      <w:spacing w:after="120"/>
      <w:contextualSpacing/>
    </w:pPr>
  </w:style>
  <w:style w:type="paragraph" w:styleId="ListBullet">
    <w:name w:val="List Bullet"/>
    <w:basedOn w:val="Normal"/>
    <w:uiPriority w:val="99"/>
    <w:unhideWhenUsed/>
    <w:rsid w:val="00EC64C4"/>
    <w:pPr>
      <w:numPr>
        <w:numId w:val="23"/>
      </w:numPr>
      <w:spacing w:after="120"/>
      <w:contextualSpacing/>
    </w:pPr>
  </w:style>
  <w:style w:type="paragraph" w:styleId="ListBullet2">
    <w:name w:val="List Bullet 2"/>
    <w:basedOn w:val="Normal"/>
    <w:uiPriority w:val="99"/>
    <w:unhideWhenUsed/>
    <w:rsid w:val="00EC64C4"/>
    <w:pPr>
      <w:numPr>
        <w:ilvl w:val="1"/>
        <w:numId w:val="23"/>
      </w:numPr>
      <w:spacing w:after="120"/>
      <w:contextualSpacing/>
    </w:pPr>
  </w:style>
  <w:style w:type="paragraph" w:styleId="ListBullet3">
    <w:name w:val="List Bullet 3"/>
    <w:basedOn w:val="Normal"/>
    <w:uiPriority w:val="99"/>
    <w:unhideWhenUsed/>
    <w:rsid w:val="00EC64C4"/>
    <w:pPr>
      <w:numPr>
        <w:ilvl w:val="2"/>
        <w:numId w:val="23"/>
      </w:numPr>
      <w:spacing w:after="120"/>
      <w:contextualSpacing/>
    </w:pPr>
  </w:style>
  <w:style w:type="paragraph" w:styleId="ListBullet4">
    <w:name w:val="List Bullet 4"/>
    <w:basedOn w:val="Normal"/>
    <w:uiPriority w:val="99"/>
    <w:unhideWhenUsed/>
    <w:rsid w:val="00EC64C4"/>
    <w:pPr>
      <w:numPr>
        <w:ilvl w:val="3"/>
        <w:numId w:val="23"/>
      </w:numPr>
      <w:spacing w:after="120"/>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6C4962"/>
    <w:rPr>
      <w:color w:val="00746B"/>
    </w:rPr>
  </w:style>
  <w:style w:type="numbering" w:customStyle="1" w:styleId="NumberedList">
    <w:name w:val="Numbered List"/>
    <w:uiPriority w:val="99"/>
    <w:rsid w:val="00DC76D7"/>
    <w:pPr>
      <w:numPr>
        <w:numId w:val="21"/>
      </w:numPr>
    </w:pPr>
  </w:style>
  <w:style w:type="numbering" w:customStyle="1" w:styleId="BulletList">
    <w:name w:val="Bullet List"/>
    <w:uiPriority w:val="99"/>
    <w:rsid w:val="00EC64C4"/>
    <w:pPr>
      <w:numPr>
        <w:numId w:val="23"/>
      </w:numPr>
    </w:pPr>
  </w:style>
  <w:style w:type="paragraph" w:styleId="ListNumber5">
    <w:name w:val="List Number 5"/>
    <w:basedOn w:val="Normal"/>
    <w:uiPriority w:val="99"/>
    <w:semiHidden/>
    <w:unhideWhenUsed/>
    <w:rsid w:val="00DC76D7"/>
    <w:pPr>
      <w:numPr>
        <w:ilvl w:val="4"/>
        <w:numId w:val="21"/>
      </w:numPr>
      <w:contextualSpacing/>
    </w:pPr>
  </w:style>
  <w:style w:type="paragraph" w:styleId="ListBullet5">
    <w:name w:val="List Bullet 5"/>
    <w:basedOn w:val="Normal"/>
    <w:uiPriority w:val="99"/>
    <w:semiHidden/>
    <w:unhideWhenUsed/>
    <w:rsid w:val="00EC64C4"/>
    <w:pPr>
      <w:numPr>
        <w:ilvl w:val="4"/>
        <w:numId w:val="23"/>
      </w:numPr>
      <w:contextualSpacing/>
    </w:pPr>
  </w:style>
  <w:style w:type="table" w:customStyle="1" w:styleId="Trends">
    <w:name w:val="Trends"/>
    <w:basedOn w:val="TableNormal"/>
    <w:uiPriority w:val="99"/>
    <w:rsid w:val="00E45F6D"/>
    <w:pPr>
      <w:spacing w:after="0" w:line="240" w:lineRule="auto"/>
    </w:pPr>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bs.gov.au/ausstats/abs@.nsf/mf/630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bs.gov.au/ausstats/abs@.nsf/mf/6345.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5DEB4D7-FA06-47B2-BEB3-B508AD38A826}"/>
</file>

<file path=customXml/itemProps2.xml><?xml version="1.0" encoding="utf-8"?>
<ds:datastoreItem xmlns:ds="http://schemas.openxmlformats.org/officeDocument/2006/customXml" ds:itemID="{7F2628FA-6FA9-4523-93D7-8881FC325860}"/>
</file>

<file path=customXml/itemProps3.xml><?xml version="1.0" encoding="utf-8"?>
<ds:datastoreItem xmlns:ds="http://schemas.openxmlformats.org/officeDocument/2006/customXml" ds:itemID="{68898918-A0B4-4E91-B9D1-5D34765C83C4}"/>
</file>

<file path=docProps/app.xml><?xml version="1.0" encoding="utf-8"?>
<Properties xmlns="http://schemas.openxmlformats.org/officeDocument/2006/extended-properties" xmlns:vt="http://schemas.openxmlformats.org/officeDocument/2006/docPropsVTypes">
  <Template>Normal.dotm</Template>
  <TotalTime>0</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technical notes</dc:title>
  <dc:creator/>
  <cp:lastModifiedBy/>
  <cp:revision>1</cp:revision>
  <dcterms:created xsi:type="dcterms:W3CDTF">2019-11-04T23:32:00Z</dcterms:created>
  <dcterms:modified xsi:type="dcterms:W3CDTF">2019-11-04T23:32:00Z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69500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0x0101006F44B46CD48E7D439D0376E9A76A2E31</vt:lpwstr>
  </property>
  <property fmtid="{D5CDD505-2E9C-101B-9397-08002B2CF9AE}" pid="6" name="Department Stream">
    <vt:lpwstr>Employment</vt:lpwstr>
  </property>
  <property fmtid="{D5CDD505-2E9C-101B-9397-08002B2CF9AE}" pid="7" name="TemplateUrl">
    <vt:lpwstr/>
  </property>
  <property fmtid="{D5CDD505-2E9C-101B-9397-08002B2CF9AE}" pid="8" name="_SourceUrl">
    <vt:lpwstr/>
  </property>
  <property fmtid="{D5CDD505-2E9C-101B-9397-08002B2CF9AE}" pid="9" name="_SharedFileIndex">
    <vt:lpwstr/>
  </property>
</Properties>
</file>