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11BD" w14:textId="77777777" w:rsidR="00A75541" w:rsidRDefault="00A960B5" w:rsidP="00A75541">
      <w:pPr>
        <w:spacing w:before="360"/>
        <w:jc w:val="center"/>
      </w:pPr>
      <w:r>
        <w:rPr>
          <w:caps/>
          <w:noProof/>
          <w:lang w:eastAsia="en-AU"/>
        </w:rPr>
        <w:drawing>
          <wp:inline distT="0" distB="0" distL="0" distR="0" wp14:anchorId="1A0BBB5F" wp14:editId="4F1FD911">
            <wp:extent cx="2465705" cy="1371600"/>
            <wp:effectExtent l="0" t="0" r="0" b="0"/>
            <wp:docPr id="5" name="Picture 2"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ustralian Government Crest"/>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5705" cy="1371600"/>
                    </a:xfrm>
                    <a:prstGeom prst="rect">
                      <a:avLst/>
                    </a:prstGeom>
                    <a:noFill/>
                    <a:ln>
                      <a:noFill/>
                    </a:ln>
                  </pic:spPr>
                </pic:pic>
              </a:graphicData>
            </a:graphic>
          </wp:inline>
        </w:drawing>
      </w:r>
    </w:p>
    <w:p w14:paraId="34C743B2" w14:textId="2449254C" w:rsidR="00A75541" w:rsidRPr="00594A0A" w:rsidRDefault="00A960B5" w:rsidP="00A75541">
      <w:pPr>
        <w:spacing w:before="360"/>
        <w:jc w:val="center"/>
        <w:rPr>
          <w:rFonts w:asciiTheme="minorHAnsi" w:hAnsiTheme="minorHAnsi" w:cstheme="minorHAnsi"/>
          <w:sz w:val="36"/>
          <w:szCs w:val="36"/>
        </w:rPr>
      </w:pPr>
      <w:r w:rsidRPr="00594A0A">
        <w:rPr>
          <w:rFonts w:asciiTheme="minorHAnsi" w:hAnsiTheme="minorHAnsi" w:cstheme="minorHAnsi"/>
          <w:sz w:val="36"/>
          <w:szCs w:val="36"/>
        </w:rPr>
        <w:t xml:space="preserve">Australian Government response to the </w:t>
      </w:r>
      <w:r w:rsidRPr="00594A0A">
        <w:rPr>
          <w:rFonts w:asciiTheme="minorHAnsi" w:hAnsiTheme="minorHAnsi" w:cstheme="minorHAnsi"/>
          <w:sz w:val="36"/>
          <w:szCs w:val="36"/>
        </w:rPr>
        <w:br/>
      </w:r>
      <w:r w:rsidR="00D96285">
        <w:rPr>
          <w:rFonts w:asciiTheme="minorHAnsi" w:hAnsiTheme="minorHAnsi" w:cstheme="minorHAnsi"/>
          <w:iCs/>
          <w:sz w:val="36"/>
          <w:szCs w:val="36"/>
        </w:rPr>
        <w:t>Senate Economics References Committee</w:t>
      </w:r>
      <w:r w:rsidRPr="00594A0A">
        <w:rPr>
          <w:rFonts w:asciiTheme="minorHAnsi" w:hAnsiTheme="minorHAnsi" w:cstheme="minorHAnsi"/>
          <w:color w:val="FF0000"/>
          <w:sz w:val="36"/>
          <w:szCs w:val="36"/>
        </w:rPr>
        <w:t xml:space="preserve"> </w:t>
      </w:r>
      <w:r w:rsidRPr="00594A0A">
        <w:rPr>
          <w:rFonts w:asciiTheme="minorHAnsi" w:hAnsiTheme="minorHAnsi" w:cstheme="minorHAnsi"/>
          <w:sz w:val="36"/>
          <w:szCs w:val="36"/>
        </w:rPr>
        <w:t>report:</w:t>
      </w:r>
    </w:p>
    <w:p w14:paraId="5B7CDACE" w14:textId="6405A710" w:rsidR="00A75541" w:rsidRPr="007C7782" w:rsidRDefault="007C7782" w:rsidP="00A75541">
      <w:pPr>
        <w:spacing w:before="240"/>
        <w:jc w:val="center"/>
        <w:rPr>
          <w:rFonts w:asciiTheme="minorHAnsi" w:hAnsiTheme="minorHAnsi" w:cstheme="minorHAnsi"/>
          <w:i/>
          <w:sz w:val="36"/>
          <w:szCs w:val="36"/>
        </w:rPr>
      </w:pPr>
      <w:r>
        <w:rPr>
          <w:rFonts w:asciiTheme="minorHAnsi" w:hAnsiTheme="minorHAnsi" w:cstheme="minorHAnsi"/>
          <w:i/>
          <w:sz w:val="36"/>
          <w:szCs w:val="36"/>
        </w:rPr>
        <w:t xml:space="preserve">Systemic, sustained and shameful: </w:t>
      </w:r>
      <w:r w:rsidR="00A06A7D">
        <w:rPr>
          <w:rFonts w:asciiTheme="minorHAnsi" w:hAnsiTheme="minorHAnsi" w:cstheme="minorHAnsi"/>
          <w:i/>
          <w:sz w:val="36"/>
          <w:szCs w:val="36"/>
        </w:rPr>
        <w:t>unlawful underpayment of employees’ remuneration</w:t>
      </w:r>
    </w:p>
    <w:p w14:paraId="20BED019" w14:textId="5A674A30" w:rsidR="00A75541" w:rsidRPr="00594A0A" w:rsidRDefault="00745085" w:rsidP="00745085">
      <w:pPr>
        <w:spacing w:before="6840" w:after="120"/>
        <w:jc w:val="right"/>
        <w:rPr>
          <w:rFonts w:asciiTheme="minorHAnsi" w:hAnsiTheme="minorHAnsi" w:cstheme="minorHAnsi"/>
          <w:caps/>
          <w:sz w:val="28"/>
          <w:szCs w:val="28"/>
        </w:rPr>
      </w:pPr>
      <w:r w:rsidRPr="00745085">
        <w:rPr>
          <w:rFonts w:asciiTheme="minorHAnsi" w:hAnsiTheme="minorHAnsi" w:cstheme="minorHAnsi"/>
          <w:b/>
          <w:bCs/>
          <w:caps/>
          <w:sz w:val="28"/>
          <w:szCs w:val="28"/>
        </w:rPr>
        <w:t>April 2023</w:t>
      </w:r>
      <w:r w:rsidR="00A960B5" w:rsidRPr="00745085">
        <w:rPr>
          <w:rFonts w:asciiTheme="minorHAnsi" w:hAnsiTheme="minorHAnsi" w:cstheme="minorHAnsi"/>
          <w:b/>
          <w:bCs/>
          <w:caps/>
          <w:sz w:val="28"/>
          <w:szCs w:val="28"/>
        </w:rPr>
        <w:br/>
      </w:r>
    </w:p>
    <w:p w14:paraId="53420FD2" w14:textId="77777777" w:rsidR="00A75541" w:rsidRDefault="00A960B5">
      <w:pPr>
        <w:spacing w:after="200" w:line="276" w:lineRule="auto"/>
      </w:pPr>
      <w:r>
        <w:br w:type="page"/>
      </w:r>
    </w:p>
    <w:p w14:paraId="7912D794" w14:textId="77777777" w:rsidR="003E6DCC" w:rsidRPr="005D419C" w:rsidRDefault="003E6DCC" w:rsidP="003E6DCC">
      <w:pPr>
        <w:pStyle w:val="Heading1"/>
        <w:spacing w:after="240"/>
        <w:rPr>
          <w:rFonts w:asciiTheme="minorHAnsi" w:hAnsiTheme="minorHAnsi" w:cstheme="minorHAnsi"/>
          <w:color w:val="auto"/>
        </w:rPr>
      </w:pPr>
      <w:bookmarkStart w:id="0" w:name="_Toc111117005"/>
      <w:r w:rsidRPr="005D419C">
        <w:rPr>
          <w:rFonts w:asciiTheme="minorHAnsi" w:hAnsiTheme="minorHAnsi" w:cstheme="minorHAnsi"/>
          <w:color w:val="auto"/>
        </w:rPr>
        <w:lastRenderedPageBreak/>
        <w:t>Overview of inquiry process</w:t>
      </w:r>
      <w:bookmarkEnd w:id="0"/>
    </w:p>
    <w:p w14:paraId="71ECB2E8" w14:textId="08FB68C7" w:rsidR="00004C32" w:rsidRDefault="00004C32" w:rsidP="00004C32">
      <w:pPr>
        <w:spacing w:before="120"/>
        <w:rPr>
          <w:rFonts w:asciiTheme="minorHAnsi" w:hAnsiTheme="minorHAnsi" w:cstheme="minorHAnsi"/>
          <w:iCs/>
        </w:rPr>
      </w:pPr>
      <w:r w:rsidRPr="00004C32">
        <w:rPr>
          <w:rFonts w:asciiTheme="minorHAnsi" w:hAnsiTheme="minorHAnsi" w:cstheme="minorHAnsi"/>
          <w:iCs/>
        </w:rPr>
        <w:t>On 13 November 2019, the Senate referred an inquiry into the causes, extent and effects of unlawful non-payment or underpayment of employees’ remuneration by employers and measures that can be taken to address the issue.</w:t>
      </w:r>
    </w:p>
    <w:p w14:paraId="2FEF454E" w14:textId="046F075F" w:rsidR="00E56FC4" w:rsidRDefault="00C121BE" w:rsidP="00004C32">
      <w:pPr>
        <w:spacing w:before="120"/>
        <w:rPr>
          <w:rFonts w:asciiTheme="minorHAnsi" w:hAnsiTheme="minorHAnsi" w:cstheme="minorHAnsi"/>
          <w:iCs/>
        </w:rPr>
      </w:pPr>
      <w:r>
        <w:rPr>
          <w:rFonts w:asciiTheme="minorHAnsi" w:hAnsiTheme="minorHAnsi" w:cstheme="minorHAnsi"/>
          <w:iCs/>
        </w:rPr>
        <w:t>The committee was chaired by Senator</w:t>
      </w:r>
      <w:r w:rsidR="009717BF">
        <w:rPr>
          <w:rFonts w:asciiTheme="minorHAnsi" w:hAnsiTheme="minorHAnsi" w:cstheme="minorHAnsi"/>
          <w:iCs/>
        </w:rPr>
        <w:t>s</w:t>
      </w:r>
      <w:r>
        <w:rPr>
          <w:rFonts w:asciiTheme="minorHAnsi" w:hAnsiTheme="minorHAnsi" w:cstheme="minorHAnsi"/>
          <w:iCs/>
        </w:rPr>
        <w:t xml:space="preserve"> Alex </w:t>
      </w:r>
      <w:proofErr w:type="spellStart"/>
      <w:r>
        <w:rPr>
          <w:rFonts w:asciiTheme="minorHAnsi" w:hAnsiTheme="minorHAnsi" w:cstheme="minorHAnsi"/>
          <w:iCs/>
        </w:rPr>
        <w:t>Gallacher</w:t>
      </w:r>
      <w:proofErr w:type="spellEnd"/>
      <w:r w:rsidR="009717BF">
        <w:rPr>
          <w:rFonts w:asciiTheme="minorHAnsi" w:hAnsiTheme="minorHAnsi" w:cstheme="minorHAnsi"/>
          <w:iCs/>
        </w:rPr>
        <w:t>, Kimberley Kitching and Anthony</w:t>
      </w:r>
      <w:r w:rsidR="00F23A58">
        <w:rPr>
          <w:rFonts w:asciiTheme="minorHAnsi" w:hAnsiTheme="minorHAnsi" w:cstheme="minorHAnsi"/>
          <w:iCs/>
        </w:rPr>
        <w:t> </w:t>
      </w:r>
      <w:r w:rsidR="009717BF">
        <w:rPr>
          <w:rFonts w:asciiTheme="minorHAnsi" w:hAnsiTheme="minorHAnsi" w:cstheme="minorHAnsi"/>
          <w:iCs/>
        </w:rPr>
        <w:t>Chisholm</w:t>
      </w:r>
      <w:r w:rsidR="002F2D91">
        <w:rPr>
          <w:rFonts w:asciiTheme="minorHAnsi" w:hAnsiTheme="minorHAnsi" w:cstheme="minorHAnsi"/>
          <w:iCs/>
        </w:rPr>
        <w:t xml:space="preserve"> throughout the term of the inquiry</w:t>
      </w:r>
      <w:r w:rsidR="009717BF">
        <w:rPr>
          <w:rFonts w:asciiTheme="minorHAnsi" w:hAnsiTheme="minorHAnsi" w:cstheme="minorHAnsi"/>
          <w:iCs/>
        </w:rPr>
        <w:t xml:space="preserve">. </w:t>
      </w:r>
      <w:r w:rsidR="0043113D">
        <w:rPr>
          <w:rFonts w:asciiTheme="minorHAnsi" w:hAnsiTheme="minorHAnsi" w:cstheme="minorHAnsi"/>
          <w:iCs/>
        </w:rPr>
        <w:t xml:space="preserve">Senators Slade Brockman and Paul </w:t>
      </w:r>
      <w:proofErr w:type="spellStart"/>
      <w:r w:rsidR="0043113D">
        <w:rPr>
          <w:rFonts w:asciiTheme="minorHAnsi" w:hAnsiTheme="minorHAnsi" w:cstheme="minorHAnsi"/>
          <w:iCs/>
        </w:rPr>
        <w:t>Scarr</w:t>
      </w:r>
      <w:proofErr w:type="spellEnd"/>
      <w:r w:rsidR="0043113D">
        <w:rPr>
          <w:rFonts w:asciiTheme="minorHAnsi" w:hAnsiTheme="minorHAnsi" w:cstheme="minorHAnsi"/>
          <w:iCs/>
        </w:rPr>
        <w:t xml:space="preserve"> each served as deputy chair. The members of the committee were Senators Andrew Bragg, Jenny McAllister, Rex Patrick and Jess Walsh. Other participating members were Senators Mehreen Faruqi, Susan McDonald, Deborah O’Neill, Tony Sheldon and David Van.</w:t>
      </w:r>
    </w:p>
    <w:p w14:paraId="2B5AF8D5" w14:textId="43D00EEE" w:rsidR="00AB1737" w:rsidRDefault="00120216" w:rsidP="00004C32">
      <w:pPr>
        <w:spacing w:before="120"/>
        <w:rPr>
          <w:rFonts w:asciiTheme="minorHAnsi" w:hAnsiTheme="minorHAnsi" w:cstheme="minorHAnsi"/>
          <w:iCs/>
        </w:rPr>
      </w:pPr>
      <w:r w:rsidRPr="00FA4355">
        <w:rPr>
          <w:rFonts w:asciiTheme="minorHAnsi" w:hAnsiTheme="minorHAnsi" w:cstheme="minorHAnsi"/>
          <w:iCs/>
        </w:rPr>
        <w:t>The committee accepted 130 submissions</w:t>
      </w:r>
      <w:r w:rsidR="00FA4355">
        <w:rPr>
          <w:rFonts w:asciiTheme="minorHAnsi" w:hAnsiTheme="minorHAnsi" w:cstheme="minorHAnsi"/>
          <w:iCs/>
        </w:rPr>
        <w:t xml:space="preserve"> </w:t>
      </w:r>
      <w:r w:rsidRPr="00FA4355">
        <w:rPr>
          <w:rFonts w:asciiTheme="minorHAnsi" w:hAnsiTheme="minorHAnsi" w:cstheme="minorHAnsi"/>
          <w:iCs/>
        </w:rPr>
        <w:t xml:space="preserve">from a broad range of stakeholders </w:t>
      </w:r>
      <w:r w:rsidR="00AB6EA4">
        <w:rPr>
          <w:rFonts w:asciiTheme="minorHAnsi" w:hAnsiTheme="minorHAnsi" w:cstheme="minorHAnsi"/>
          <w:iCs/>
        </w:rPr>
        <w:t>including</w:t>
      </w:r>
      <w:r w:rsidRPr="00FA4355">
        <w:rPr>
          <w:rFonts w:asciiTheme="minorHAnsi" w:hAnsiTheme="minorHAnsi" w:cstheme="minorHAnsi"/>
          <w:iCs/>
        </w:rPr>
        <w:t xml:space="preserve"> unions, peak bodies and associations, academics, state governments, federal bodies, the higher education sector, and legal representatives</w:t>
      </w:r>
      <w:r w:rsidR="00AB6EA4">
        <w:rPr>
          <w:rFonts w:asciiTheme="minorHAnsi" w:hAnsiTheme="minorHAnsi" w:cstheme="minorHAnsi"/>
          <w:iCs/>
        </w:rPr>
        <w:t>.</w:t>
      </w:r>
      <w:r w:rsidR="00FA4355" w:rsidRPr="00FA4355">
        <w:rPr>
          <w:rFonts w:asciiTheme="minorHAnsi" w:hAnsiTheme="minorHAnsi" w:cstheme="minorHAnsi"/>
          <w:iCs/>
        </w:rPr>
        <w:t xml:space="preserve"> </w:t>
      </w:r>
      <w:r w:rsidR="00AB6EA4">
        <w:rPr>
          <w:rFonts w:asciiTheme="minorHAnsi" w:hAnsiTheme="minorHAnsi" w:cstheme="minorHAnsi"/>
          <w:iCs/>
        </w:rPr>
        <w:t>A</w:t>
      </w:r>
      <w:r w:rsidR="00FA4355" w:rsidRPr="00FA4355">
        <w:rPr>
          <w:rFonts w:asciiTheme="minorHAnsi" w:hAnsiTheme="minorHAnsi" w:cstheme="minorHAnsi"/>
          <w:iCs/>
        </w:rPr>
        <w:t>s well</w:t>
      </w:r>
      <w:r w:rsidR="00AB6EA4">
        <w:rPr>
          <w:rFonts w:asciiTheme="minorHAnsi" w:hAnsiTheme="minorHAnsi" w:cstheme="minorHAnsi"/>
          <w:iCs/>
        </w:rPr>
        <w:t xml:space="preserve">, the committee held </w:t>
      </w:r>
      <w:r w:rsidR="00FA4355" w:rsidRPr="00FA4355">
        <w:rPr>
          <w:rFonts w:asciiTheme="minorHAnsi" w:hAnsiTheme="minorHAnsi" w:cstheme="minorHAnsi"/>
          <w:iCs/>
        </w:rPr>
        <w:t>four public hearings.</w:t>
      </w:r>
    </w:p>
    <w:p w14:paraId="5949D3F7" w14:textId="327A6CE7" w:rsidR="00AB1737" w:rsidRDefault="00AB1737" w:rsidP="00004C32">
      <w:pPr>
        <w:spacing w:before="120"/>
        <w:rPr>
          <w:rFonts w:asciiTheme="minorHAnsi" w:hAnsiTheme="minorHAnsi" w:cstheme="minorHAnsi"/>
          <w:iCs/>
        </w:rPr>
      </w:pPr>
      <w:r>
        <w:rPr>
          <w:rFonts w:asciiTheme="minorHAnsi" w:hAnsiTheme="minorHAnsi" w:cstheme="minorHAnsi"/>
          <w:iCs/>
        </w:rPr>
        <w:t xml:space="preserve">The evidence received by the committee allowed it to </w:t>
      </w:r>
      <w:r w:rsidR="00F23A58">
        <w:rPr>
          <w:rFonts w:asciiTheme="minorHAnsi" w:hAnsiTheme="minorHAnsi" w:cstheme="minorHAnsi"/>
          <w:iCs/>
        </w:rPr>
        <w:t xml:space="preserve">consider </w:t>
      </w:r>
      <w:r>
        <w:rPr>
          <w:rFonts w:asciiTheme="minorHAnsi" w:hAnsiTheme="minorHAnsi" w:cstheme="minorHAnsi"/>
          <w:iCs/>
        </w:rPr>
        <w:t>the following issues:</w:t>
      </w:r>
    </w:p>
    <w:p w14:paraId="5CF67554" w14:textId="76A5FB6C" w:rsidR="002A7F0A" w:rsidRDefault="002A7F0A" w:rsidP="002A7F0A">
      <w:pPr>
        <w:pStyle w:val="ListParagraph"/>
        <w:numPr>
          <w:ilvl w:val="0"/>
          <w:numId w:val="6"/>
        </w:numPr>
        <w:spacing w:before="120"/>
        <w:rPr>
          <w:rFonts w:asciiTheme="minorHAnsi" w:hAnsiTheme="minorHAnsi" w:cstheme="minorHAnsi"/>
          <w:iCs/>
          <w:sz w:val="24"/>
          <w:szCs w:val="24"/>
        </w:rPr>
      </w:pPr>
      <w:r w:rsidRPr="002A7F0A">
        <w:rPr>
          <w:rFonts w:asciiTheme="minorHAnsi" w:hAnsiTheme="minorHAnsi" w:cstheme="minorHAnsi"/>
          <w:iCs/>
          <w:sz w:val="24"/>
          <w:szCs w:val="24"/>
        </w:rPr>
        <w:t xml:space="preserve">the nature and extent of </w:t>
      </w:r>
      <w:proofErr w:type="gramStart"/>
      <w:r w:rsidRPr="002A7F0A">
        <w:rPr>
          <w:rFonts w:asciiTheme="minorHAnsi" w:hAnsiTheme="minorHAnsi" w:cstheme="minorHAnsi"/>
          <w:iCs/>
          <w:sz w:val="24"/>
          <w:szCs w:val="24"/>
        </w:rPr>
        <w:t>underpayment;</w:t>
      </w:r>
      <w:proofErr w:type="gramEnd"/>
    </w:p>
    <w:p w14:paraId="6B90B8CD" w14:textId="4291D227" w:rsidR="002A7F0A" w:rsidRDefault="002A7F0A" w:rsidP="002A7F0A">
      <w:pPr>
        <w:pStyle w:val="ListParagraph"/>
        <w:numPr>
          <w:ilvl w:val="0"/>
          <w:numId w:val="6"/>
        </w:numPr>
        <w:spacing w:before="120"/>
        <w:rPr>
          <w:rFonts w:asciiTheme="minorHAnsi" w:hAnsiTheme="minorHAnsi" w:cstheme="minorHAnsi"/>
          <w:iCs/>
          <w:sz w:val="24"/>
          <w:szCs w:val="24"/>
        </w:rPr>
      </w:pPr>
      <w:r w:rsidRPr="002A7F0A">
        <w:rPr>
          <w:rFonts w:asciiTheme="minorHAnsi" w:hAnsiTheme="minorHAnsi" w:cstheme="minorHAnsi"/>
          <w:iCs/>
          <w:sz w:val="24"/>
          <w:szCs w:val="24"/>
        </w:rPr>
        <w:t xml:space="preserve">vulnerable workers, including women, migrants, young people, international students, and First Nations </w:t>
      </w:r>
      <w:proofErr w:type="gramStart"/>
      <w:r w:rsidRPr="002A7F0A">
        <w:rPr>
          <w:rFonts w:asciiTheme="minorHAnsi" w:hAnsiTheme="minorHAnsi" w:cstheme="minorHAnsi"/>
          <w:iCs/>
          <w:sz w:val="24"/>
          <w:szCs w:val="24"/>
        </w:rPr>
        <w:t>people;</w:t>
      </w:r>
      <w:proofErr w:type="gramEnd"/>
      <w:r w:rsidRPr="002A7F0A">
        <w:rPr>
          <w:rFonts w:asciiTheme="minorHAnsi" w:hAnsiTheme="minorHAnsi" w:cstheme="minorHAnsi"/>
          <w:iCs/>
          <w:sz w:val="24"/>
          <w:szCs w:val="24"/>
        </w:rPr>
        <w:t xml:space="preserve"> </w:t>
      </w:r>
    </w:p>
    <w:p w14:paraId="0B8C11B4" w14:textId="41AA3980" w:rsidR="002A7F0A" w:rsidRDefault="002A7F0A" w:rsidP="002A7F0A">
      <w:pPr>
        <w:pStyle w:val="ListParagraph"/>
        <w:numPr>
          <w:ilvl w:val="0"/>
          <w:numId w:val="6"/>
        </w:numPr>
        <w:spacing w:before="120"/>
        <w:rPr>
          <w:rFonts w:asciiTheme="minorHAnsi" w:hAnsiTheme="minorHAnsi" w:cstheme="minorHAnsi"/>
          <w:iCs/>
          <w:sz w:val="24"/>
          <w:szCs w:val="24"/>
        </w:rPr>
      </w:pPr>
      <w:r w:rsidRPr="002A7F0A">
        <w:rPr>
          <w:rFonts w:asciiTheme="minorHAnsi" w:hAnsiTheme="minorHAnsi" w:cstheme="minorHAnsi"/>
          <w:iCs/>
          <w:sz w:val="24"/>
          <w:szCs w:val="24"/>
        </w:rPr>
        <w:t xml:space="preserve">the impact of underpayment on workers, their families and wider </w:t>
      </w:r>
      <w:proofErr w:type="gramStart"/>
      <w:r w:rsidRPr="002A7F0A">
        <w:rPr>
          <w:rFonts w:asciiTheme="minorHAnsi" w:hAnsiTheme="minorHAnsi" w:cstheme="minorHAnsi"/>
          <w:iCs/>
          <w:sz w:val="24"/>
          <w:szCs w:val="24"/>
        </w:rPr>
        <w:t>society;</w:t>
      </w:r>
      <w:proofErr w:type="gramEnd"/>
      <w:r w:rsidRPr="002A7F0A">
        <w:rPr>
          <w:rFonts w:asciiTheme="minorHAnsi" w:hAnsiTheme="minorHAnsi" w:cstheme="minorHAnsi"/>
          <w:iCs/>
          <w:sz w:val="24"/>
          <w:szCs w:val="24"/>
        </w:rPr>
        <w:t xml:space="preserve"> </w:t>
      </w:r>
    </w:p>
    <w:p w14:paraId="03331C02" w14:textId="6EE2E39A" w:rsidR="002A7F0A" w:rsidRDefault="002A7F0A" w:rsidP="002A7F0A">
      <w:pPr>
        <w:pStyle w:val="ListParagraph"/>
        <w:numPr>
          <w:ilvl w:val="0"/>
          <w:numId w:val="6"/>
        </w:numPr>
        <w:spacing w:before="120"/>
        <w:rPr>
          <w:rFonts w:asciiTheme="minorHAnsi" w:hAnsiTheme="minorHAnsi" w:cstheme="minorHAnsi"/>
          <w:iCs/>
          <w:sz w:val="24"/>
          <w:szCs w:val="24"/>
        </w:rPr>
      </w:pPr>
      <w:r w:rsidRPr="002A7F0A">
        <w:rPr>
          <w:rFonts w:asciiTheme="minorHAnsi" w:hAnsiTheme="minorHAnsi" w:cstheme="minorHAnsi"/>
          <w:iCs/>
          <w:sz w:val="24"/>
          <w:szCs w:val="24"/>
        </w:rPr>
        <w:t xml:space="preserve">the regulatory and enforcement </w:t>
      </w:r>
      <w:proofErr w:type="gramStart"/>
      <w:r w:rsidRPr="002A7F0A">
        <w:rPr>
          <w:rFonts w:asciiTheme="minorHAnsi" w:hAnsiTheme="minorHAnsi" w:cstheme="minorHAnsi"/>
          <w:iCs/>
          <w:sz w:val="24"/>
          <w:szCs w:val="24"/>
        </w:rPr>
        <w:t>framework;</w:t>
      </w:r>
      <w:proofErr w:type="gramEnd"/>
      <w:r w:rsidRPr="002A7F0A">
        <w:rPr>
          <w:rFonts w:asciiTheme="minorHAnsi" w:hAnsiTheme="minorHAnsi" w:cstheme="minorHAnsi"/>
          <w:iCs/>
          <w:sz w:val="24"/>
          <w:szCs w:val="24"/>
        </w:rPr>
        <w:t xml:space="preserve"> </w:t>
      </w:r>
    </w:p>
    <w:p w14:paraId="7EB782C7" w14:textId="2B38B74E" w:rsidR="002A7F0A" w:rsidRDefault="002A7F0A" w:rsidP="002A7F0A">
      <w:pPr>
        <w:pStyle w:val="ListParagraph"/>
        <w:numPr>
          <w:ilvl w:val="0"/>
          <w:numId w:val="6"/>
        </w:numPr>
        <w:spacing w:before="120"/>
        <w:rPr>
          <w:rFonts w:asciiTheme="minorHAnsi" w:hAnsiTheme="minorHAnsi" w:cstheme="minorHAnsi"/>
          <w:iCs/>
          <w:sz w:val="24"/>
          <w:szCs w:val="24"/>
        </w:rPr>
      </w:pPr>
      <w:r w:rsidRPr="002A7F0A">
        <w:rPr>
          <w:rFonts w:asciiTheme="minorHAnsi" w:hAnsiTheme="minorHAnsi" w:cstheme="minorHAnsi"/>
          <w:iCs/>
          <w:sz w:val="24"/>
          <w:szCs w:val="24"/>
        </w:rPr>
        <w:t>the role of unions; and</w:t>
      </w:r>
    </w:p>
    <w:p w14:paraId="3D78AA95" w14:textId="5AC62648" w:rsidR="00AB1737" w:rsidRPr="002A7F0A" w:rsidRDefault="002A7F0A" w:rsidP="002A7F0A">
      <w:pPr>
        <w:pStyle w:val="ListParagraph"/>
        <w:numPr>
          <w:ilvl w:val="0"/>
          <w:numId w:val="6"/>
        </w:numPr>
        <w:spacing w:before="120"/>
        <w:rPr>
          <w:rFonts w:asciiTheme="minorHAnsi" w:hAnsiTheme="minorHAnsi" w:cstheme="minorHAnsi"/>
          <w:iCs/>
          <w:sz w:val="24"/>
          <w:szCs w:val="24"/>
        </w:rPr>
      </w:pPr>
      <w:r w:rsidRPr="002A7F0A">
        <w:rPr>
          <w:rFonts w:asciiTheme="minorHAnsi" w:hAnsiTheme="minorHAnsi" w:cstheme="minorHAnsi"/>
          <w:iCs/>
          <w:sz w:val="24"/>
          <w:szCs w:val="24"/>
        </w:rPr>
        <w:t>underpayment in various sectors, particularly the higher education sector.</w:t>
      </w:r>
    </w:p>
    <w:p w14:paraId="09121E46" w14:textId="1DB0A5E6" w:rsidR="002C4747" w:rsidRDefault="002C4747" w:rsidP="00004C32">
      <w:pPr>
        <w:spacing w:before="120"/>
        <w:rPr>
          <w:rFonts w:asciiTheme="minorHAnsi" w:hAnsiTheme="minorHAnsi" w:cstheme="minorHAnsi"/>
          <w:iCs/>
        </w:rPr>
      </w:pPr>
      <w:r w:rsidRPr="002C4747">
        <w:rPr>
          <w:rFonts w:asciiTheme="minorHAnsi" w:hAnsiTheme="minorHAnsi" w:cstheme="minorHAnsi"/>
          <w:iCs/>
        </w:rPr>
        <w:t xml:space="preserve">The committee was originally </w:t>
      </w:r>
      <w:r w:rsidR="00F23A58">
        <w:rPr>
          <w:rFonts w:asciiTheme="minorHAnsi" w:hAnsiTheme="minorHAnsi" w:cstheme="minorHAnsi"/>
          <w:iCs/>
        </w:rPr>
        <w:t xml:space="preserve">due </w:t>
      </w:r>
      <w:r w:rsidRPr="002C4747">
        <w:rPr>
          <w:rFonts w:asciiTheme="minorHAnsi" w:hAnsiTheme="minorHAnsi" w:cstheme="minorHAnsi"/>
          <w:iCs/>
        </w:rPr>
        <w:t>to report to the Senate by the last sitting day in June</w:t>
      </w:r>
      <w:r w:rsidR="00F23A58">
        <w:rPr>
          <w:rFonts w:asciiTheme="minorHAnsi" w:hAnsiTheme="minorHAnsi" w:cstheme="minorHAnsi"/>
          <w:iCs/>
        </w:rPr>
        <w:t> </w:t>
      </w:r>
      <w:r w:rsidRPr="002C4747">
        <w:rPr>
          <w:rFonts w:asciiTheme="minorHAnsi" w:hAnsiTheme="minorHAnsi" w:cstheme="minorHAnsi"/>
          <w:iCs/>
        </w:rPr>
        <w:t>2020. The inquiry was extended five times, partly due to the impacts of the COVID-19 pandemic, with the final extension granted on 10 February 2022 requiring the committee to report by 30 March 2022.</w:t>
      </w:r>
      <w:r>
        <w:rPr>
          <w:rFonts w:asciiTheme="minorHAnsi" w:hAnsiTheme="minorHAnsi" w:cstheme="minorHAnsi"/>
          <w:iCs/>
        </w:rPr>
        <w:t xml:space="preserve"> </w:t>
      </w:r>
    </w:p>
    <w:p w14:paraId="4CC97BED" w14:textId="1E3863F5" w:rsidR="00E069A0" w:rsidRPr="00E56FC4" w:rsidRDefault="00AD4C07" w:rsidP="00004C32">
      <w:pPr>
        <w:spacing w:before="120"/>
        <w:rPr>
          <w:rFonts w:asciiTheme="minorHAnsi" w:hAnsiTheme="minorHAnsi" w:cstheme="minorHAnsi"/>
          <w:iCs/>
        </w:rPr>
      </w:pPr>
      <w:r>
        <w:rPr>
          <w:rFonts w:asciiTheme="minorHAnsi" w:hAnsiTheme="minorHAnsi" w:cstheme="minorHAnsi"/>
          <w:iCs/>
        </w:rPr>
        <w:t>The</w:t>
      </w:r>
      <w:r w:rsidR="00E56FC4">
        <w:rPr>
          <w:rFonts w:asciiTheme="minorHAnsi" w:hAnsiTheme="minorHAnsi" w:cstheme="minorHAnsi"/>
          <w:iCs/>
        </w:rPr>
        <w:t xml:space="preserve"> committee tabled its report </w:t>
      </w:r>
      <w:r w:rsidR="00E56FC4" w:rsidRPr="00457EB8">
        <w:rPr>
          <w:rFonts w:asciiTheme="minorHAnsi" w:hAnsiTheme="minorHAnsi" w:cstheme="minorHAnsi"/>
          <w:i/>
        </w:rPr>
        <w:t xml:space="preserve">Systemic, </w:t>
      </w:r>
      <w:r w:rsidR="00E56FC4">
        <w:rPr>
          <w:rFonts w:asciiTheme="minorHAnsi" w:hAnsiTheme="minorHAnsi" w:cstheme="minorHAnsi"/>
          <w:i/>
        </w:rPr>
        <w:t>s</w:t>
      </w:r>
      <w:r w:rsidR="00E56FC4" w:rsidRPr="00457EB8">
        <w:rPr>
          <w:rFonts w:asciiTheme="minorHAnsi" w:hAnsiTheme="minorHAnsi" w:cstheme="minorHAnsi"/>
          <w:i/>
        </w:rPr>
        <w:t xml:space="preserve">ustained and </w:t>
      </w:r>
      <w:r w:rsidR="00E56FC4">
        <w:rPr>
          <w:rFonts w:asciiTheme="minorHAnsi" w:hAnsiTheme="minorHAnsi" w:cstheme="minorHAnsi"/>
          <w:i/>
        </w:rPr>
        <w:t>s</w:t>
      </w:r>
      <w:r w:rsidR="00E56FC4" w:rsidRPr="00457EB8">
        <w:rPr>
          <w:rFonts w:asciiTheme="minorHAnsi" w:hAnsiTheme="minorHAnsi" w:cstheme="minorHAnsi"/>
          <w:i/>
        </w:rPr>
        <w:t>hameful: Unlawful underpayment of employees’ remuneration</w:t>
      </w:r>
      <w:r>
        <w:rPr>
          <w:rFonts w:asciiTheme="minorHAnsi" w:hAnsiTheme="minorHAnsi" w:cstheme="minorHAnsi"/>
          <w:iCs/>
        </w:rPr>
        <w:t xml:space="preserve"> on </w:t>
      </w:r>
      <w:r w:rsidR="00945628">
        <w:rPr>
          <w:rFonts w:asciiTheme="minorHAnsi" w:hAnsiTheme="minorHAnsi" w:cstheme="minorHAnsi"/>
          <w:iCs/>
        </w:rPr>
        <w:t>30 March 2022.</w:t>
      </w:r>
    </w:p>
    <w:p w14:paraId="762F307B" w14:textId="77777777" w:rsidR="00AC410F" w:rsidRPr="001B3AA0" w:rsidRDefault="00AC410F" w:rsidP="00AC410F">
      <w:pPr>
        <w:pStyle w:val="Heading1"/>
        <w:spacing w:after="240"/>
        <w:rPr>
          <w:rFonts w:asciiTheme="minorHAnsi" w:hAnsiTheme="minorHAnsi" w:cstheme="minorHAnsi"/>
          <w:color w:val="auto"/>
        </w:rPr>
      </w:pPr>
      <w:bookmarkStart w:id="1" w:name="_Toc111020590"/>
      <w:bookmarkStart w:id="2" w:name="_Toc111117006"/>
      <w:r w:rsidRPr="001B3AA0">
        <w:rPr>
          <w:rFonts w:asciiTheme="minorHAnsi" w:hAnsiTheme="minorHAnsi" w:cstheme="minorHAnsi"/>
          <w:color w:val="auto"/>
        </w:rPr>
        <w:t>Introduction</w:t>
      </w:r>
      <w:bookmarkEnd w:id="1"/>
      <w:bookmarkEnd w:id="2"/>
    </w:p>
    <w:p w14:paraId="1084E13F" w14:textId="71E12BCC" w:rsidR="007B11C4" w:rsidRPr="00457EB8" w:rsidRDefault="00457EB8" w:rsidP="00457EB8">
      <w:pPr>
        <w:spacing w:before="120"/>
        <w:rPr>
          <w:rFonts w:asciiTheme="minorHAnsi" w:hAnsiTheme="minorHAnsi" w:cstheme="minorHAnsi"/>
          <w:iCs/>
        </w:rPr>
      </w:pPr>
      <w:r w:rsidRPr="00457EB8">
        <w:rPr>
          <w:rFonts w:asciiTheme="minorHAnsi" w:hAnsiTheme="minorHAnsi" w:cstheme="minorHAnsi"/>
          <w:iCs/>
        </w:rPr>
        <w:t xml:space="preserve">The Government </w:t>
      </w:r>
      <w:r w:rsidR="00DD13B0">
        <w:rPr>
          <w:rFonts w:asciiTheme="minorHAnsi" w:hAnsiTheme="minorHAnsi" w:cstheme="minorHAnsi"/>
          <w:iCs/>
        </w:rPr>
        <w:t xml:space="preserve">acknowledges the </w:t>
      </w:r>
      <w:r w:rsidR="007C584E">
        <w:rPr>
          <w:rFonts w:asciiTheme="minorHAnsi" w:hAnsiTheme="minorHAnsi" w:cstheme="minorHAnsi"/>
          <w:iCs/>
        </w:rPr>
        <w:t xml:space="preserve">important </w:t>
      </w:r>
      <w:r w:rsidR="00DD13B0">
        <w:rPr>
          <w:rFonts w:asciiTheme="minorHAnsi" w:hAnsiTheme="minorHAnsi" w:cstheme="minorHAnsi"/>
          <w:iCs/>
        </w:rPr>
        <w:t xml:space="preserve">work of the committee and </w:t>
      </w:r>
      <w:r w:rsidRPr="00457EB8">
        <w:rPr>
          <w:rFonts w:asciiTheme="minorHAnsi" w:hAnsiTheme="minorHAnsi" w:cstheme="minorHAnsi"/>
          <w:iCs/>
        </w:rPr>
        <w:t xml:space="preserve">welcomes the opportunity to respond </w:t>
      </w:r>
      <w:r w:rsidR="00DB7EAD">
        <w:rPr>
          <w:rFonts w:asciiTheme="minorHAnsi" w:hAnsiTheme="minorHAnsi" w:cstheme="minorHAnsi"/>
          <w:iCs/>
        </w:rPr>
        <w:t xml:space="preserve">to its </w:t>
      </w:r>
      <w:r w:rsidRPr="00457EB8">
        <w:rPr>
          <w:rFonts w:asciiTheme="minorHAnsi" w:hAnsiTheme="minorHAnsi" w:cstheme="minorHAnsi"/>
          <w:iCs/>
        </w:rPr>
        <w:t xml:space="preserve">report, </w:t>
      </w:r>
      <w:r w:rsidRPr="00457EB8">
        <w:rPr>
          <w:rFonts w:asciiTheme="minorHAnsi" w:hAnsiTheme="minorHAnsi" w:cstheme="minorHAnsi"/>
          <w:i/>
        </w:rPr>
        <w:t xml:space="preserve">Systemic, </w:t>
      </w:r>
      <w:r w:rsidR="00672C40">
        <w:rPr>
          <w:rFonts w:asciiTheme="minorHAnsi" w:hAnsiTheme="minorHAnsi" w:cstheme="minorHAnsi"/>
          <w:i/>
        </w:rPr>
        <w:t>s</w:t>
      </w:r>
      <w:r w:rsidRPr="00457EB8">
        <w:rPr>
          <w:rFonts w:asciiTheme="minorHAnsi" w:hAnsiTheme="minorHAnsi" w:cstheme="minorHAnsi"/>
          <w:i/>
        </w:rPr>
        <w:t xml:space="preserve">ustained and </w:t>
      </w:r>
      <w:r w:rsidR="00672C40">
        <w:rPr>
          <w:rFonts w:asciiTheme="minorHAnsi" w:hAnsiTheme="minorHAnsi" w:cstheme="minorHAnsi"/>
          <w:i/>
        </w:rPr>
        <w:t>s</w:t>
      </w:r>
      <w:r w:rsidRPr="00457EB8">
        <w:rPr>
          <w:rFonts w:asciiTheme="minorHAnsi" w:hAnsiTheme="minorHAnsi" w:cstheme="minorHAnsi"/>
          <w:i/>
        </w:rPr>
        <w:t>hameful: Unlawful underpayment of employees’ remuneration</w:t>
      </w:r>
      <w:r w:rsidR="00AC410F">
        <w:rPr>
          <w:rFonts w:asciiTheme="minorHAnsi" w:hAnsiTheme="minorHAnsi" w:cstheme="minorHAnsi"/>
          <w:iCs/>
        </w:rPr>
        <w:t>.</w:t>
      </w:r>
      <w:r w:rsidRPr="00457EB8">
        <w:rPr>
          <w:rFonts w:asciiTheme="minorHAnsi" w:hAnsiTheme="minorHAnsi" w:cstheme="minorHAnsi"/>
          <w:iCs/>
        </w:rPr>
        <w:t xml:space="preserve"> </w:t>
      </w:r>
    </w:p>
    <w:p w14:paraId="77485256" w14:textId="6DFC1572" w:rsidR="00257250" w:rsidRDefault="00EB2073" w:rsidP="00457EB8">
      <w:pPr>
        <w:spacing w:before="120"/>
        <w:rPr>
          <w:rFonts w:asciiTheme="minorHAnsi" w:hAnsiTheme="minorHAnsi" w:cstheme="minorHAnsi"/>
          <w:iCs/>
        </w:rPr>
      </w:pPr>
      <w:r>
        <w:rPr>
          <w:rFonts w:asciiTheme="minorHAnsi" w:hAnsiTheme="minorHAnsi" w:cstheme="minorHAnsi"/>
          <w:iCs/>
        </w:rPr>
        <w:t xml:space="preserve">The Government stands </w:t>
      </w:r>
      <w:r w:rsidR="00753AA1" w:rsidRPr="00753AA1">
        <w:rPr>
          <w:rFonts w:asciiTheme="minorHAnsi" w:hAnsiTheme="minorHAnsi" w:cstheme="minorHAnsi"/>
          <w:iCs/>
        </w:rPr>
        <w:t>for the protection of wages and conditions of workers in Australia and against their exploitatio</w:t>
      </w:r>
      <w:r w:rsidR="00753AA1">
        <w:rPr>
          <w:rFonts w:asciiTheme="minorHAnsi" w:hAnsiTheme="minorHAnsi" w:cstheme="minorHAnsi"/>
          <w:iCs/>
        </w:rPr>
        <w:t xml:space="preserve">n. </w:t>
      </w:r>
      <w:r w:rsidR="00F96DE3">
        <w:rPr>
          <w:rFonts w:asciiTheme="minorHAnsi" w:hAnsiTheme="minorHAnsi" w:cstheme="minorHAnsi"/>
          <w:iCs/>
        </w:rPr>
        <w:t xml:space="preserve">The committee’s findings </w:t>
      </w:r>
      <w:r w:rsidR="005D029F">
        <w:rPr>
          <w:rFonts w:asciiTheme="minorHAnsi" w:hAnsiTheme="minorHAnsi" w:cstheme="minorHAnsi"/>
          <w:iCs/>
        </w:rPr>
        <w:t xml:space="preserve">of deliberate and systematic underpayment in many industries </w:t>
      </w:r>
      <w:r w:rsidR="00CC76FD">
        <w:rPr>
          <w:rFonts w:asciiTheme="minorHAnsi" w:hAnsiTheme="minorHAnsi" w:cstheme="minorHAnsi"/>
          <w:iCs/>
        </w:rPr>
        <w:t xml:space="preserve">clearly </w:t>
      </w:r>
      <w:r w:rsidR="00C707CE">
        <w:rPr>
          <w:rFonts w:asciiTheme="minorHAnsi" w:hAnsiTheme="minorHAnsi" w:cstheme="minorHAnsi"/>
          <w:iCs/>
        </w:rPr>
        <w:t>demonstrates</w:t>
      </w:r>
      <w:r w:rsidR="00CC76FD">
        <w:rPr>
          <w:rFonts w:asciiTheme="minorHAnsi" w:hAnsiTheme="minorHAnsi" w:cstheme="minorHAnsi"/>
          <w:iCs/>
        </w:rPr>
        <w:t xml:space="preserve"> the need for </w:t>
      </w:r>
      <w:r w:rsidR="004717EC">
        <w:rPr>
          <w:rFonts w:asciiTheme="minorHAnsi" w:hAnsiTheme="minorHAnsi" w:cstheme="minorHAnsi"/>
          <w:iCs/>
        </w:rPr>
        <w:t>meaningful</w:t>
      </w:r>
      <w:r w:rsidR="00CC76FD">
        <w:rPr>
          <w:rFonts w:asciiTheme="minorHAnsi" w:hAnsiTheme="minorHAnsi" w:cstheme="minorHAnsi"/>
          <w:iCs/>
        </w:rPr>
        <w:t xml:space="preserve"> reform</w:t>
      </w:r>
      <w:r w:rsidR="00B232F8">
        <w:rPr>
          <w:rFonts w:asciiTheme="minorHAnsi" w:hAnsiTheme="minorHAnsi" w:cstheme="minorHAnsi"/>
          <w:iCs/>
        </w:rPr>
        <w:t>s</w:t>
      </w:r>
      <w:r w:rsidR="00CC76FD">
        <w:rPr>
          <w:rFonts w:asciiTheme="minorHAnsi" w:hAnsiTheme="minorHAnsi" w:cstheme="minorHAnsi"/>
          <w:iCs/>
        </w:rPr>
        <w:t xml:space="preserve"> to </w:t>
      </w:r>
      <w:r w:rsidR="004717EC">
        <w:rPr>
          <w:rFonts w:asciiTheme="minorHAnsi" w:hAnsiTheme="minorHAnsi" w:cstheme="minorHAnsi"/>
          <w:iCs/>
        </w:rPr>
        <w:t xml:space="preserve">eradicate </w:t>
      </w:r>
      <w:r w:rsidR="0073177B">
        <w:rPr>
          <w:rFonts w:asciiTheme="minorHAnsi" w:hAnsiTheme="minorHAnsi" w:cstheme="minorHAnsi"/>
          <w:iCs/>
        </w:rPr>
        <w:t xml:space="preserve">the </w:t>
      </w:r>
      <w:r w:rsidR="004717EC">
        <w:rPr>
          <w:rFonts w:asciiTheme="minorHAnsi" w:hAnsiTheme="minorHAnsi" w:cstheme="minorHAnsi"/>
          <w:iCs/>
        </w:rPr>
        <w:t>pervasive and persisten</w:t>
      </w:r>
      <w:r w:rsidR="00A55F8E">
        <w:rPr>
          <w:rFonts w:asciiTheme="minorHAnsi" w:hAnsiTheme="minorHAnsi" w:cstheme="minorHAnsi"/>
          <w:iCs/>
        </w:rPr>
        <w:t>t</w:t>
      </w:r>
      <w:r w:rsidR="004717EC">
        <w:rPr>
          <w:rFonts w:asciiTheme="minorHAnsi" w:hAnsiTheme="minorHAnsi" w:cstheme="minorHAnsi"/>
          <w:iCs/>
        </w:rPr>
        <w:t xml:space="preserve"> underpayment</w:t>
      </w:r>
      <w:r w:rsidR="0073177B">
        <w:rPr>
          <w:rFonts w:asciiTheme="minorHAnsi" w:hAnsiTheme="minorHAnsi" w:cstheme="minorHAnsi"/>
          <w:iCs/>
        </w:rPr>
        <w:t xml:space="preserve"> of employees</w:t>
      </w:r>
      <w:r w:rsidR="004717EC">
        <w:rPr>
          <w:rFonts w:asciiTheme="minorHAnsi" w:hAnsiTheme="minorHAnsi" w:cstheme="minorHAnsi"/>
          <w:iCs/>
        </w:rPr>
        <w:t>.</w:t>
      </w:r>
      <w:r w:rsidR="00CE2B0A">
        <w:rPr>
          <w:rFonts w:asciiTheme="minorHAnsi" w:hAnsiTheme="minorHAnsi" w:cstheme="minorHAnsi"/>
          <w:iCs/>
        </w:rPr>
        <w:t xml:space="preserve"> </w:t>
      </w:r>
      <w:r w:rsidR="00C220AB">
        <w:rPr>
          <w:rFonts w:asciiTheme="minorHAnsi" w:hAnsiTheme="minorHAnsi" w:cstheme="minorHAnsi"/>
          <w:iCs/>
        </w:rPr>
        <w:t xml:space="preserve">Unlawful </w:t>
      </w:r>
      <w:r w:rsidR="0030336D">
        <w:rPr>
          <w:rFonts w:asciiTheme="minorHAnsi" w:hAnsiTheme="minorHAnsi" w:cstheme="minorHAnsi"/>
          <w:iCs/>
        </w:rPr>
        <w:t>u</w:t>
      </w:r>
      <w:r w:rsidR="00B232F8">
        <w:rPr>
          <w:rFonts w:asciiTheme="minorHAnsi" w:hAnsiTheme="minorHAnsi" w:cstheme="minorHAnsi"/>
          <w:iCs/>
        </w:rPr>
        <w:t xml:space="preserve">nderpayment </w:t>
      </w:r>
      <w:r w:rsidR="00C220AB">
        <w:rPr>
          <w:rFonts w:asciiTheme="minorHAnsi" w:hAnsiTheme="minorHAnsi" w:cstheme="minorHAnsi"/>
          <w:iCs/>
        </w:rPr>
        <w:t>rob</w:t>
      </w:r>
      <w:r w:rsidR="0030336D">
        <w:rPr>
          <w:rFonts w:asciiTheme="minorHAnsi" w:hAnsiTheme="minorHAnsi" w:cstheme="minorHAnsi"/>
          <w:iCs/>
        </w:rPr>
        <w:t>s</w:t>
      </w:r>
      <w:r w:rsidR="00B232F8">
        <w:rPr>
          <w:rFonts w:asciiTheme="minorHAnsi" w:hAnsiTheme="minorHAnsi" w:cstheme="minorHAnsi"/>
          <w:iCs/>
        </w:rPr>
        <w:t xml:space="preserve"> </w:t>
      </w:r>
      <w:r w:rsidR="0033704E">
        <w:rPr>
          <w:rFonts w:asciiTheme="minorHAnsi" w:hAnsiTheme="minorHAnsi" w:cstheme="minorHAnsi"/>
          <w:iCs/>
        </w:rPr>
        <w:t xml:space="preserve">workers of their lawful entitlements and </w:t>
      </w:r>
      <w:r w:rsidR="00B232F8">
        <w:rPr>
          <w:rFonts w:asciiTheme="minorHAnsi" w:hAnsiTheme="minorHAnsi" w:cstheme="minorHAnsi"/>
          <w:iCs/>
        </w:rPr>
        <w:t xml:space="preserve">puts </w:t>
      </w:r>
      <w:r w:rsidR="00CE2B0A">
        <w:rPr>
          <w:rFonts w:asciiTheme="minorHAnsi" w:hAnsiTheme="minorHAnsi" w:cstheme="minorHAnsi"/>
          <w:iCs/>
        </w:rPr>
        <w:t>downward pressure o</w:t>
      </w:r>
      <w:r w:rsidR="00B232F8">
        <w:rPr>
          <w:rFonts w:asciiTheme="minorHAnsi" w:hAnsiTheme="minorHAnsi" w:cstheme="minorHAnsi"/>
          <w:iCs/>
        </w:rPr>
        <w:t>n wages and conditions.</w:t>
      </w:r>
    </w:p>
    <w:p w14:paraId="7ACFBB69" w14:textId="4AC961D7" w:rsidR="008E24B5" w:rsidRPr="008E24B5" w:rsidRDefault="008E24B5" w:rsidP="008E24B5">
      <w:pPr>
        <w:spacing w:before="100" w:beforeAutospacing="1" w:after="100" w:afterAutospacing="1"/>
        <w:rPr>
          <w:rFonts w:asciiTheme="minorHAnsi" w:hAnsiTheme="minorHAnsi" w:cstheme="minorHAnsi"/>
          <w:color w:val="FF0000"/>
          <w:lang w:val="en" w:eastAsia="en-AU"/>
        </w:rPr>
      </w:pPr>
      <w:r w:rsidRPr="00BE4997">
        <w:rPr>
          <w:rFonts w:asciiTheme="minorHAnsi" w:hAnsiTheme="minorHAnsi" w:cstheme="minorHAnsi"/>
          <w:iCs/>
        </w:rPr>
        <w:t>Th</w:t>
      </w:r>
      <w:r>
        <w:rPr>
          <w:rFonts w:asciiTheme="minorHAnsi" w:hAnsiTheme="minorHAnsi" w:cstheme="minorHAnsi"/>
          <w:iCs/>
        </w:rPr>
        <w:t>e important work of the committee</w:t>
      </w:r>
      <w:r w:rsidRPr="00BE4997">
        <w:rPr>
          <w:rFonts w:asciiTheme="minorHAnsi" w:hAnsiTheme="minorHAnsi" w:cstheme="minorHAnsi"/>
          <w:iCs/>
        </w:rPr>
        <w:t xml:space="preserve"> demonstrates a need to improve the compliance and enforcement system; both with respect to deterring and punishing </w:t>
      </w:r>
      <w:r>
        <w:rPr>
          <w:rFonts w:asciiTheme="minorHAnsi" w:hAnsiTheme="minorHAnsi" w:cstheme="minorHAnsi"/>
          <w:iCs/>
        </w:rPr>
        <w:t>unlawful underpayment</w:t>
      </w:r>
      <w:r w:rsidRPr="00BE4997">
        <w:rPr>
          <w:rFonts w:asciiTheme="minorHAnsi" w:hAnsiTheme="minorHAnsi" w:cstheme="minorHAnsi"/>
          <w:iCs/>
        </w:rPr>
        <w:t xml:space="preserve"> by employers, and by making it easier for employees to seek</w:t>
      </w:r>
      <w:r>
        <w:rPr>
          <w:rFonts w:asciiTheme="minorHAnsi" w:hAnsiTheme="minorHAnsi" w:cstheme="minorHAnsi"/>
          <w:iCs/>
        </w:rPr>
        <w:t xml:space="preserve"> effective</w:t>
      </w:r>
      <w:r w:rsidRPr="00BE4997">
        <w:rPr>
          <w:rFonts w:asciiTheme="minorHAnsi" w:hAnsiTheme="minorHAnsi" w:cstheme="minorHAnsi"/>
          <w:iCs/>
        </w:rPr>
        <w:t xml:space="preserve"> redress</w:t>
      </w:r>
      <w:r>
        <w:rPr>
          <w:rFonts w:asciiTheme="minorHAnsi" w:hAnsiTheme="minorHAnsi" w:cstheme="minorHAnsi"/>
          <w:iCs/>
        </w:rPr>
        <w:t>.</w:t>
      </w:r>
    </w:p>
    <w:p w14:paraId="6DD308A2" w14:textId="30A8E7E5" w:rsidR="0073177B" w:rsidRPr="00432EA2" w:rsidRDefault="0073177B" w:rsidP="0073177B">
      <w:pPr>
        <w:spacing w:before="120"/>
        <w:rPr>
          <w:rFonts w:asciiTheme="minorHAnsi" w:hAnsiTheme="minorHAnsi" w:cstheme="minorHAnsi"/>
          <w:iCs/>
        </w:rPr>
      </w:pPr>
      <w:proofErr w:type="gramStart"/>
      <w:r w:rsidRPr="00432EA2">
        <w:rPr>
          <w:rFonts w:asciiTheme="minorHAnsi" w:hAnsiTheme="minorHAnsi" w:cstheme="minorHAnsi"/>
          <w:iCs/>
        </w:rPr>
        <w:lastRenderedPageBreak/>
        <w:t>A number of</w:t>
      </w:r>
      <w:proofErr w:type="gramEnd"/>
      <w:r w:rsidRPr="00432EA2">
        <w:rPr>
          <w:rFonts w:asciiTheme="minorHAnsi" w:hAnsiTheme="minorHAnsi" w:cstheme="minorHAnsi"/>
          <w:iCs/>
        </w:rPr>
        <w:t xml:space="preserve"> the </w:t>
      </w:r>
      <w:r>
        <w:rPr>
          <w:rFonts w:asciiTheme="minorHAnsi" w:hAnsiTheme="minorHAnsi" w:cstheme="minorHAnsi"/>
          <w:iCs/>
        </w:rPr>
        <w:t>c</w:t>
      </w:r>
      <w:r w:rsidRPr="00432EA2">
        <w:rPr>
          <w:rFonts w:asciiTheme="minorHAnsi" w:hAnsiTheme="minorHAnsi" w:cstheme="minorHAnsi"/>
          <w:iCs/>
        </w:rPr>
        <w:t xml:space="preserve">ommittee’s recommendations align with the </w:t>
      </w:r>
      <w:r>
        <w:rPr>
          <w:rFonts w:asciiTheme="minorHAnsi" w:hAnsiTheme="minorHAnsi" w:cstheme="minorHAnsi"/>
          <w:iCs/>
        </w:rPr>
        <w:t xml:space="preserve">policies that the </w:t>
      </w:r>
      <w:r w:rsidRPr="00432EA2">
        <w:rPr>
          <w:rFonts w:asciiTheme="minorHAnsi" w:hAnsiTheme="minorHAnsi" w:cstheme="minorHAnsi"/>
          <w:iCs/>
        </w:rPr>
        <w:t>Government</w:t>
      </w:r>
      <w:r>
        <w:rPr>
          <w:rFonts w:asciiTheme="minorHAnsi" w:hAnsiTheme="minorHAnsi" w:cstheme="minorHAnsi"/>
          <w:iCs/>
        </w:rPr>
        <w:t xml:space="preserve"> took to the election </w:t>
      </w:r>
      <w:r w:rsidRPr="00432EA2">
        <w:rPr>
          <w:rFonts w:asciiTheme="minorHAnsi" w:hAnsiTheme="minorHAnsi" w:cstheme="minorHAnsi"/>
          <w:iCs/>
        </w:rPr>
        <w:t xml:space="preserve">and </w:t>
      </w:r>
      <w:r>
        <w:rPr>
          <w:rFonts w:asciiTheme="minorHAnsi" w:hAnsiTheme="minorHAnsi" w:cstheme="minorHAnsi"/>
          <w:iCs/>
        </w:rPr>
        <w:t xml:space="preserve">that </w:t>
      </w:r>
      <w:r w:rsidRPr="00432EA2">
        <w:rPr>
          <w:rFonts w:asciiTheme="minorHAnsi" w:hAnsiTheme="minorHAnsi" w:cstheme="minorHAnsi"/>
          <w:iCs/>
        </w:rPr>
        <w:t xml:space="preserve">will </w:t>
      </w:r>
      <w:r w:rsidR="00B232F8">
        <w:rPr>
          <w:rFonts w:asciiTheme="minorHAnsi" w:hAnsiTheme="minorHAnsi" w:cstheme="minorHAnsi"/>
          <w:iCs/>
        </w:rPr>
        <w:t xml:space="preserve">therefore </w:t>
      </w:r>
      <w:r w:rsidRPr="00432EA2">
        <w:rPr>
          <w:rFonts w:asciiTheme="minorHAnsi" w:hAnsiTheme="minorHAnsi" w:cstheme="minorHAnsi"/>
          <w:iCs/>
        </w:rPr>
        <w:t xml:space="preserve">be </w:t>
      </w:r>
      <w:r>
        <w:rPr>
          <w:rFonts w:asciiTheme="minorHAnsi" w:hAnsiTheme="minorHAnsi" w:cstheme="minorHAnsi"/>
          <w:iCs/>
        </w:rPr>
        <w:t>delivered</w:t>
      </w:r>
      <w:r w:rsidRPr="00432EA2">
        <w:rPr>
          <w:rFonts w:asciiTheme="minorHAnsi" w:hAnsiTheme="minorHAnsi" w:cstheme="minorHAnsi"/>
          <w:iCs/>
        </w:rPr>
        <w:t>. These include:</w:t>
      </w:r>
    </w:p>
    <w:p w14:paraId="53FF2144" w14:textId="11601131" w:rsidR="0073177B" w:rsidRPr="00432EA2" w:rsidRDefault="0073177B" w:rsidP="0073177B">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criminalising wage theft</w:t>
      </w:r>
    </w:p>
    <w:p w14:paraId="7DAC15A0" w14:textId="1273BDDF" w:rsidR="0073177B" w:rsidRPr="00432EA2" w:rsidRDefault="0073177B" w:rsidP="0073177B">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 xml:space="preserve">including superannuation in the </w:t>
      </w:r>
      <w:r w:rsidR="00E35FB4">
        <w:rPr>
          <w:rFonts w:asciiTheme="minorHAnsi" w:hAnsiTheme="minorHAnsi" w:cstheme="minorHAnsi"/>
          <w:i/>
          <w:sz w:val="24"/>
          <w:szCs w:val="24"/>
        </w:rPr>
        <w:t xml:space="preserve">Fair Work Act 2009 </w:t>
      </w:r>
      <w:r w:rsidR="00E35FB4">
        <w:rPr>
          <w:rFonts w:asciiTheme="minorHAnsi" w:hAnsiTheme="minorHAnsi" w:cstheme="minorHAnsi"/>
          <w:iCs/>
          <w:sz w:val="24"/>
          <w:szCs w:val="24"/>
        </w:rPr>
        <w:t>(</w:t>
      </w:r>
      <w:r w:rsidRPr="00432EA2">
        <w:rPr>
          <w:rFonts w:asciiTheme="minorHAnsi" w:hAnsiTheme="minorHAnsi" w:cstheme="minorHAnsi"/>
          <w:iCs/>
          <w:sz w:val="24"/>
          <w:szCs w:val="24"/>
        </w:rPr>
        <w:t>Fair Work Act</w:t>
      </w:r>
      <w:r w:rsidR="00E35FB4">
        <w:rPr>
          <w:rFonts w:asciiTheme="minorHAnsi" w:hAnsiTheme="minorHAnsi" w:cstheme="minorHAnsi"/>
          <w:iCs/>
          <w:sz w:val="24"/>
          <w:szCs w:val="24"/>
        </w:rPr>
        <w:t>)</w:t>
      </w:r>
      <w:r w:rsidRPr="00432EA2">
        <w:rPr>
          <w:rFonts w:asciiTheme="minorHAnsi" w:hAnsiTheme="minorHAnsi" w:cstheme="minorHAnsi"/>
          <w:iCs/>
          <w:sz w:val="24"/>
          <w:szCs w:val="24"/>
        </w:rPr>
        <w:t xml:space="preserve"> as a recoverable employment entitlement</w:t>
      </w:r>
    </w:p>
    <w:p w14:paraId="4DC698DB" w14:textId="2D8046E4" w:rsidR="0073177B" w:rsidRPr="00432EA2" w:rsidRDefault="0073177B" w:rsidP="0073177B">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implementing all recommendations of the Migrant Workers’ Taskforce</w:t>
      </w:r>
    </w:p>
    <w:p w14:paraId="56E2DB9B" w14:textId="77777777" w:rsidR="0073177B" w:rsidRPr="00432EA2" w:rsidRDefault="0073177B" w:rsidP="0073177B">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leading cultural change by committing the Australian Government to being a model employer</w:t>
      </w:r>
    </w:p>
    <w:p w14:paraId="46134F39" w14:textId="739C1BA7" w:rsidR="0073177B" w:rsidRPr="002C74AC" w:rsidRDefault="0073177B" w:rsidP="00457EB8">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setting targets for the Australian Taxation Office for the recovery of unpaid Superannuation Guarantee amounts.</w:t>
      </w:r>
    </w:p>
    <w:p w14:paraId="2C0A1CA8" w14:textId="65254E28" w:rsidR="002C74AC" w:rsidRPr="002C74AC" w:rsidRDefault="002C74AC" w:rsidP="002C74AC">
      <w:pPr>
        <w:spacing w:before="120"/>
        <w:rPr>
          <w:rFonts w:asciiTheme="minorHAnsi" w:hAnsiTheme="minorHAnsi" w:cstheme="minorHAnsi"/>
          <w:iCs/>
        </w:rPr>
      </w:pPr>
      <w:r w:rsidRPr="002C74AC">
        <w:rPr>
          <w:rFonts w:asciiTheme="minorHAnsi" w:hAnsiTheme="minorHAnsi" w:cstheme="minorHAnsi"/>
          <w:iCs/>
        </w:rPr>
        <w:t>The Government notes that some of the committee’s recommendation</w:t>
      </w:r>
      <w:r w:rsidR="00E35FB4">
        <w:rPr>
          <w:rFonts w:asciiTheme="minorHAnsi" w:hAnsiTheme="minorHAnsi" w:cstheme="minorHAnsi"/>
          <w:iCs/>
        </w:rPr>
        <w:t>s</w:t>
      </w:r>
      <w:r w:rsidRPr="002C74AC">
        <w:rPr>
          <w:rFonts w:asciiTheme="minorHAnsi" w:hAnsiTheme="minorHAnsi" w:cstheme="minorHAnsi"/>
          <w:iCs/>
        </w:rPr>
        <w:t xml:space="preserve"> align with the reports of the Senate </w:t>
      </w:r>
      <w:r w:rsidR="004A60F4">
        <w:rPr>
          <w:rFonts w:asciiTheme="minorHAnsi" w:hAnsiTheme="minorHAnsi" w:cstheme="minorHAnsi"/>
          <w:iCs/>
        </w:rPr>
        <w:t>Select</w:t>
      </w:r>
      <w:r w:rsidRPr="002C74AC">
        <w:rPr>
          <w:rFonts w:asciiTheme="minorHAnsi" w:hAnsiTheme="minorHAnsi" w:cstheme="minorHAnsi"/>
          <w:iCs/>
        </w:rPr>
        <w:t xml:space="preserve"> Committee on Job Security, which was also tabled on 30</w:t>
      </w:r>
      <w:r w:rsidR="00F23A58">
        <w:rPr>
          <w:rFonts w:asciiTheme="minorHAnsi" w:hAnsiTheme="minorHAnsi" w:cstheme="minorHAnsi"/>
          <w:iCs/>
        </w:rPr>
        <w:t> </w:t>
      </w:r>
      <w:r w:rsidRPr="002C74AC">
        <w:rPr>
          <w:rFonts w:asciiTheme="minorHAnsi" w:hAnsiTheme="minorHAnsi" w:cstheme="minorHAnsi"/>
          <w:iCs/>
        </w:rPr>
        <w:t xml:space="preserve">March 2022. The </w:t>
      </w:r>
      <w:r w:rsidR="000B02FC">
        <w:rPr>
          <w:rFonts w:asciiTheme="minorHAnsi" w:hAnsiTheme="minorHAnsi" w:cstheme="minorHAnsi"/>
          <w:iCs/>
        </w:rPr>
        <w:t xml:space="preserve">response to this inquiry </w:t>
      </w:r>
      <w:r w:rsidR="00EB3CAF">
        <w:rPr>
          <w:rFonts w:asciiTheme="minorHAnsi" w:hAnsiTheme="minorHAnsi" w:cstheme="minorHAnsi"/>
          <w:iCs/>
        </w:rPr>
        <w:t>will be tabled in due course.</w:t>
      </w:r>
      <w:r w:rsidRPr="002C74AC">
        <w:rPr>
          <w:rFonts w:asciiTheme="minorHAnsi" w:hAnsiTheme="minorHAnsi" w:cstheme="minorHAnsi"/>
          <w:iCs/>
        </w:rPr>
        <w:t xml:space="preserve"> </w:t>
      </w:r>
    </w:p>
    <w:p w14:paraId="4621C592" w14:textId="722FC5D3" w:rsidR="00457EB8" w:rsidRPr="00457EB8" w:rsidRDefault="00457EB8" w:rsidP="00457EB8">
      <w:pPr>
        <w:spacing w:before="120"/>
        <w:rPr>
          <w:rFonts w:asciiTheme="minorHAnsi" w:hAnsiTheme="minorHAnsi" w:cstheme="minorHAnsi"/>
          <w:iCs/>
        </w:rPr>
      </w:pPr>
      <w:r w:rsidRPr="00457EB8">
        <w:rPr>
          <w:rFonts w:asciiTheme="minorHAnsi" w:hAnsiTheme="minorHAnsi" w:cstheme="minorHAnsi"/>
          <w:iCs/>
        </w:rPr>
        <w:t>The Senate Select Committee on Job Security found that workers engaged in insecure work may be more vulnerable to exploitation, wage theft and underpayment as they are likely to be more reluctant to report issues for fear of dismissal or other adverse treatment. The Government acknowledges these findings and notes the following commitments to tackle the underlying issue of insecure work</w:t>
      </w:r>
      <w:r w:rsidR="00F76EF7">
        <w:rPr>
          <w:rFonts w:asciiTheme="minorHAnsi" w:hAnsiTheme="minorHAnsi" w:cstheme="minorHAnsi"/>
          <w:iCs/>
        </w:rPr>
        <w:t>:</w:t>
      </w:r>
      <w:r w:rsidRPr="00457EB8">
        <w:rPr>
          <w:rFonts w:asciiTheme="minorHAnsi" w:hAnsiTheme="minorHAnsi" w:cstheme="minorHAnsi"/>
          <w:iCs/>
        </w:rPr>
        <w:t xml:space="preserve"> </w:t>
      </w:r>
    </w:p>
    <w:p w14:paraId="18A54849" w14:textId="11B07657" w:rsidR="00457EB8" w:rsidRPr="00432EA2" w:rsidRDefault="00457EB8" w:rsidP="00432EA2">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including job security as an object of the Fair Work Act to ensure job security is central to the Fair Work Commission carrying out its functions</w:t>
      </w:r>
    </w:p>
    <w:p w14:paraId="17D2CE9F" w14:textId="349D9A4E" w:rsidR="00457EB8" w:rsidRPr="00432EA2" w:rsidRDefault="00457EB8" w:rsidP="00432EA2">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extending the powers of the Fair Work Commission to include “employee-like” forms of work to equip the tribunal to respond to new and evolving forms of work and workplace arrangements</w:t>
      </w:r>
    </w:p>
    <w:p w14:paraId="0D4D62C9" w14:textId="2B2B7EEA" w:rsidR="00457EB8" w:rsidRPr="00432EA2" w:rsidRDefault="00457EB8" w:rsidP="00432EA2">
      <w:pPr>
        <w:pStyle w:val="ListParagraph"/>
        <w:numPr>
          <w:ilvl w:val="0"/>
          <w:numId w:val="6"/>
        </w:numPr>
        <w:spacing w:before="120"/>
        <w:rPr>
          <w:rFonts w:asciiTheme="minorHAnsi" w:hAnsiTheme="minorHAnsi" w:cstheme="minorHAnsi"/>
          <w:iCs/>
          <w:sz w:val="24"/>
          <w:szCs w:val="24"/>
        </w:rPr>
      </w:pPr>
      <w:r w:rsidRPr="00432EA2">
        <w:rPr>
          <w:rFonts w:asciiTheme="minorHAnsi" w:hAnsiTheme="minorHAnsi" w:cstheme="minorHAnsi"/>
          <w:iCs/>
          <w:sz w:val="24"/>
          <w:szCs w:val="24"/>
        </w:rPr>
        <w:t>reforms to limit the use of consecutive fixed-term contracts as a method to set up insecure work arrangements</w:t>
      </w:r>
    </w:p>
    <w:p w14:paraId="3D4608BE" w14:textId="639499B1" w:rsidR="00186799" w:rsidRPr="00BE4997" w:rsidRDefault="00457EB8" w:rsidP="00BE4997">
      <w:pPr>
        <w:pStyle w:val="ListParagraph"/>
        <w:numPr>
          <w:ilvl w:val="0"/>
          <w:numId w:val="6"/>
        </w:numPr>
        <w:spacing w:before="120"/>
        <w:rPr>
          <w:rFonts w:asciiTheme="minorHAnsi" w:hAnsiTheme="minorHAnsi" w:cstheme="minorHAnsi"/>
          <w:iCs/>
        </w:rPr>
      </w:pPr>
      <w:r w:rsidRPr="00432EA2">
        <w:rPr>
          <w:rFonts w:asciiTheme="minorHAnsi" w:hAnsiTheme="minorHAnsi" w:cstheme="minorHAnsi"/>
          <w:iCs/>
          <w:sz w:val="24"/>
          <w:szCs w:val="24"/>
        </w:rPr>
        <w:t xml:space="preserve">exploring options to develop a portable entitlement scheme for Australians in insecure work. </w:t>
      </w:r>
      <w:bookmarkStart w:id="3" w:name="_Hlk113522863"/>
    </w:p>
    <w:bookmarkEnd w:id="3"/>
    <w:p w14:paraId="22BF89F8" w14:textId="77777777" w:rsidR="007A6CE3" w:rsidRPr="00594A0A" w:rsidRDefault="007A6CE3" w:rsidP="00892CF4">
      <w:pPr>
        <w:pStyle w:val="Default"/>
        <w:spacing w:before="120" w:after="120"/>
        <w:rPr>
          <w:rFonts w:asciiTheme="minorHAnsi" w:hAnsiTheme="minorHAnsi" w:cstheme="minorHAnsi"/>
          <w:sz w:val="20"/>
          <w:szCs w:val="20"/>
        </w:rPr>
      </w:pPr>
    </w:p>
    <w:p w14:paraId="291CBDD8" w14:textId="77777777" w:rsidR="007A6CE3" w:rsidRPr="00594A0A" w:rsidRDefault="007A6CE3">
      <w:pPr>
        <w:rPr>
          <w:rFonts w:asciiTheme="minorHAnsi" w:hAnsiTheme="minorHAnsi" w:cstheme="minorHAnsi"/>
          <w:i/>
          <w:color w:val="FF0000"/>
        </w:rPr>
      </w:pPr>
    </w:p>
    <w:p w14:paraId="4EABDDA3" w14:textId="77777777" w:rsidR="006C794F" w:rsidRPr="00594A0A" w:rsidRDefault="00A960B5">
      <w:pPr>
        <w:spacing w:after="200" w:line="276" w:lineRule="auto"/>
        <w:rPr>
          <w:rFonts w:asciiTheme="minorHAnsi" w:hAnsiTheme="minorHAnsi" w:cstheme="minorHAnsi"/>
          <w:b/>
        </w:rPr>
      </w:pPr>
      <w:r w:rsidRPr="00594A0A">
        <w:rPr>
          <w:rFonts w:asciiTheme="minorHAnsi" w:hAnsiTheme="minorHAnsi" w:cstheme="minorHAnsi"/>
          <w:b/>
        </w:rPr>
        <w:br w:type="page"/>
      </w:r>
    </w:p>
    <w:tbl>
      <w:tblPr>
        <w:tblStyle w:val="TableGrid"/>
        <w:tblW w:w="0" w:type="auto"/>
        <w:tblLook w:val="04A0" w:firstRow="1" w:lastRow="0" w:firstColumn="1" w:lastColumn="0" w:noHBand="0" w:noVBand="1"/>
      </w:tblPr>
      <w:tblGrid>
        <w:gridCol w:w="4508"/>
        <w:gridCol w:w="4508"/>
      </w:tblGrid>
      <w:tr w:rsidR="005F695C" w14:paraId="10BC2657" w14:textId="77777777" w:rsidTr="00B11A7E">
        <w:tc>
          <w:tcPr>
            <w:tcW w:w="4508" w:type="dxa"/>
          </w:tcPr>
          <w:p w14:paraId="11886382" w14:textId="30BB420E" w:rsidR="005F695C" w:rsidRPr="00594A0A" w:rsidRDefault="005F695C" w:rsidP="008E24B5">
            <w:pPr>
              <w:rPr>
                <w:rFonts w:asciiTheme="minorHAnsi" w:hAnsiTheme="minorHAnsi" w:cstheme="minorHAnsi"/>
                <w:b/>
              </w:rPr>
            </w:pPr>
            <w:r>
              <w:rPr>
                <w:rFonts w:asciiTheme="minorHAnsi" w:hAnsiTheme="minorHAnsi" w:cstheme="minorHAnsi"/>
                <w:b/>
              </w:rPr>
              <w:lastRenderedPageBreak/>
              <w:t>Committee recommendation</w:t>
            </w:r>
          </w:p>
        </w:tc>
        <w:tc>
          <w:tcPr>
            <w:tcW w:w="4508" w:type="dxa"/>
          </w:tcPr>
          <w:p w14:paraId="385E324B" w14:textId="596DFEC3" w:rsidR="005F695C" w:rsidRPr="00B11A7E" w:rsidRDefault="005F695C" w:rsidP="00B11A7E">
            <w:pPr>
              <w:rPr>
                <w:rFonts w:asciiTheme="minorHAnsi" w:hAnsiTheme="minorHAnsi" w:cstheme="minorHAnsi"/>
                <w:b/>
                <w:bCs/>
                <w:iCs/>
              </w:rPr>
            </w:pPr>
            <w:r>
              <w:rPr>
                <w:rFonts w:asciiTheme="minorHAnsi" w:hAnsiTheme="minorHAnsi" w:cstheme="minorHAnsi"/>
                <w:b/>
                <w:bCs/>
                <w:iCs/>
              </w:rPr>
              <w:t>Government response</w:t>
            </w:r>
          </w:p>
        </w:tc>
      </w:tr>
      <w:tr w:rsidR="00B11A7E" w14:paraId="3C1CD06A" w14:textId="77777777" w:rsidTr="00B11A7E">
        <w:tc>
          <w:tcPr>
            <w:tcW w:w="4508" w:type="dxa"/>
          </w:tcPr>
          <w:p w14:paraId="426A0F4B" w14:textId="4CD46FC0" w:rsidR="00B11A7E" w:rsidRDefault="00B11A7E" w:rsidP="008E24B5">
            <w:pPr>
              <w:rPr>
                <w:rFonts w:asciiTheme="minorHAnsi" w:hAnsiTheme="minorHAnsi" w:cstheme="minorHAnsi"/>
                <w:b/>
              </w:rPr>
            </w:pPr>
            <w:r w:rsidRPr="00594A0A">
              <w:rPr>
                <w:rFonts w:asciiTheme="minorHAnsi" w:hAnsiTheme="minorHAnsi" w:cstheme="minorHAnsi"/>
                <w:b/>
              </w:rPr>
              <w:t>Recommendation 1</w:t>
            </w:r>
          </w:p>
          <w:p w14:paraId="0CD008C5" w14:textId="77777777" w:rsidR="008E24B5" w:rsidRPr="00594A0A" w:rsidRDefault="008E24B5" w:rsidP="008E24B5">
            <w:pPr>
              <w:rPr>
                <w:rFonts w:asciiTheme="minorHAnsi" w:hAnsiTheme="minorHAnsi" w:cstheme="minorHAnsi"/>
                <w:b/>
              </w:rPr>
            </w:pPr>
          </w:p>
          <w:p w14:paraId="79D97554" w14:textId="77777777" w:rsidR="00B11A7E" w:rsidRPr="00B11A7E" w:rsidRDefault="00B11A7E" w:rsidP="00B11A7E">
            <w:pPr>
              <w:rPr>
                <w:rFonts w:asciiTheme="minorHAnsi" w:hAnsiTheme="minorHAnsi" w:cstheme="minorHAnsi"/>
                <w:bCs/>
                <w:iCs/>
              </w:rPr>
            </w:pPr>
            <w:r w:rsidRPr="00B11A7E">
              <w:rPr>
                <w:rFonts w:asciiTheme="minorHAnsi" w:hAnsiTheme="minorHAnsi" w:cstheme="minorHAnsi"/>
                <w:bCs/>
                <w:iCs/>
              </w:rPr>
              <w:t xml:space="preserve">The committee recommends that the Australian Government prioritise amendments to the </w:t>
            </w:r>
            <w:r w:rsidRPr="00B11A7E">
              <w:rPr>
                <w:rFonts w:asciiTheme="minorHAnsi" w:hAnsiTheme="minorHAnsi" w:cstheme="minorHAnsi"/>
                <w:bCs/>
                <w:i/>
              </w:rPr>
              <w:t>Fair Work Act 2009</w:t>
            </w:r>
            <w:r w:rsidRPr="00B11A7E">
              <w:rPr>
                <w:rFonts w:asciiTheme="minorHAnsi" w:hAnsiTheme="minorHAnsi" w:cstheme="minorHAnsi"/>
                <w:bCs/>
                <w:iCs/>
              </w:rPr>
              <w:t xml:space="preserve"> to criminalise wage theft in Australia, and that such legislation: </w:t>
            </w:r>
          </w:p>
          <w:p w14:paraId="2677037D" w14:textId="77777777" w:rsidR="00B11A7E" w:rsidRPr="00B11A7E" w:rsidRDefault="00B11A7E" w:rsidP="00B11A7E">
            <w:pPr>
              <w:pStyle w:val="ListParagraph"/>
              <w:numPr>
                <w:ilvl w:val="0"/>
                <w:numId w:val="5"/>
              </w:numPr>
              <w:spacing w:before="120"/>
              <w:ind w:left="357" w:hanging="357"/>
              <w:rPr>
                <w:rFonts w:asciiTheme="minorHAnsi" w:hAnsiTheme="minorHAnsi" w:cstheme="minorHAnsi"/>
                <w:bCs/>
                <w:iCs/>
                <w:sz w:val="24"/>
                <w:szCs w:val="24"/>
              </w:rPr>
            </w:pPr>
            <w:r w:rsidRPr="00B11A7E">
              <w:rPr>
                <w:rFonts w:ascii="Calibri" w:hAnsi="Calibri" w:cs="Calibri"/>
                <w:bCs/>
                <w:iCs/>
                <w:sz w:val="24"/>
                <w:szCs w:val="24"/>
              </w:rPr>
              <w:t>apply to the theft of all employee remuneration (including loadings, penalty rates, overtime, leave, allowances and superannuation guarantee</w:t>
            </w:r>
            <w:proofErr w:type="gramStart"/>
            <w:r w:rsidRPr="00B11A7E">
              <w:rPr>
                <w:rFonts w:ascii="Calibri" w:hAnsi="Calibri" w:cs="Calibri"/>
                <w:bCs/>
                <w:iCs/>
                <w:sz w:val="24"/>
                <w:szCs w:val="24"/>
              </w:rPr>
              <w:t>);</w:t>
            </w:r>
            <w:proofErr w:type="gramEnd"/>
            <w:r w:rsidRPr="00B11A7E">
              <w:rPr>
                <w:rFonts w:ascii="Calibri" w:hAnsi="Calibri" w:cs="Calibri"/>
                <w:bCs/>
                <w:iCs/>
                <w:sz w:val="24"/>
                <w:szCs w:val="24"/>
              </w:rPr>
              <w:t xml:space="preserve"> </w:t>
            </w:r>
          </w:p>
          <w:p w14:paraId="3ECDA282"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t xml:space="preserve">include penalties for the falsification of records; and </w:t>
            </w:r>
          </w:p>
          <w:p w14:paraId="71E035BB"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t>is drafted in consultation with the states to ensure Commonwealth wage theft laws do not weaken existing state legislation.</w:t>
            </w:r>
          </w:p>
          <w:p w14:paraId="3C99F5AC" w14:textId="77777777" w:rsidR="00B11A7E" w:rsidRDefault="00B11A7E" w:rsidP="00A75541">
            <w:pPr>
              <w:spacing w:after="120"/>
              <w:rPr>
                <w:rFonts w:asciiTheme="minorHAnsi" w:hAnsiTheme="minorHAnsi" w:cstheme="minorHAnsi"/>
                <w:b/>
              </w:rPr>
            </w:pPr>
          </w:p>
        </w:tc>
        <w:tc>
          <w:tcPr>
            <w:tcW w:w="4508" w:type="dxa"/>
          </w:tcPr>
          <w:p w14:paraId="11688B35" w14:textId="7777777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t>Accepted.</w:t>
            </w:r>
          </w:p>
          <w:p w14:paraId="72B13197" w14:textId="77777777" w:rsidR="00B11A7E" w:rsidRPr="00445D71" w:rsidRDefault="00B11A7E" w:rsidP="00B11A7E">
            <w:pPr>
              <w:rPr>
                <w:rFonts w:asciiTheme="minorHAnsi" w:hAnsiTheme="minorHAnsi" w:cstheme="minorHAnsi"/>
                <w:i/>
              </w:rPr>
            </w:pPr>
          </w:p>
          <w:p w14:paraId="12C856AF" w14:textId="5148509C"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 Government has committed to criminalising wage theft in its </w:t>
            </w:r>
            <w:r w:rsidRPr="00B11A7E">
              <w:rPr>
                <w:rFonts w:asciiTheme="minorHAnsi" w:hAnsiTheme="minorHAnsi" w:cstheme="minorHAnsi"/>
                <w:i/>
              </w:rPr>
              <w:t>Secure Australian Jobs Plan</w:t>
            </w:r>
            <w:r w:rsidRPr="00B11A7E">
              <w:rPr>
                <w:rFonts w:asciiTheme="minorHAnsi" w:hAnsiTheme="minorHAnsi" w:cstheme="minorHAnsi"/>
                <w:iCs/>
              </w:rPr>
              <w:t>. In that commitment, the Government has indicated it will develop legislation in consultation with key stakeholders, including the states and territories.</w:t>
            </w:r>
          </w:p>
          <w:p w14:paraId="79729721" w14:textId="77777777" w:rsidR="00B11A7E" w:rsidRDefault="00B11A7E" w:rsidP="00A75541">
            <w:pPr>
              <w:spacing w:after="120"/>
              <w:rPr>
                <w:rFonts w:asciiTheme="minorHAnsi" w:hAnsiTheme="minorHAnsi" w:cstheme="minorHAnsi"/>
                <w:b/>
              </w:rPr>
            </w:pPr>
          </w:p>
        </w:tc>
      </w:tr>
      <w:tr w:rsidR="00B11A7E" w14:paraId="58CCD20E" w14:textId="77777777" w:rsidTr="00B11A7E">
        <w:tc>
          <w:tcPr>
            <w:tcW w:w="4508" w:type="dxa"/>
          </w:tcPr>
          <w:p w14:paraId="2A3669FF" w14:textId="5FE5CB1A" w:rsidR="00B11A7E" w:rsidRDefault="00B11A7E" w:rsidP="008E24B5">
            <w:pPr>
              <w:rPr>
                <w:rFonts w:asciiTheme="minorHAnsi" w:hAnsiTheme="minorHAnsi" w:cstheme="minorHAnsi"/>
                <w:b/>
              </w:rPr>
            </w:pPr>
            <w:r w:rsidRPr="00594A0A">
              <w:rPr>
                <w:rFonts w:asciiTheme="minorHAnsi" w:hAnsiTheme="minorHAnsi" w:cstheme="minorHAnsi"/>
                <w:b/>
              </w:rPr>
              <w:t>Recommendation 2</w:t>
            </w:r>
          </w:p>
          <w:p w14:paraId="0DAD96B7" w14:textId="77777777" w:rsidR="008E24B5" w:rsidRPr="00594A0A" w:rsidRDefault="008E24B5" w:rsidP="008E24B5">
            <w:pPr>
              <w:rPr>
                <w:rFonts w:asciiTheme="minorHAnsi" w:hAnsiTheme="minorHAnsi" w:cstheme="minorHAnsi"/>
                <w:b/>
              </w:rPr>
            </w:pPr>
          </w:p>
          <w:p w14:paraId="048D3661" w14:textId="77777777" w:rsidR="00B11A7E" w:rsidRPr="00B11A7E" w:rsidRDefault="00B11A7E" w:rsidP="00B11A7E">
            <w:pPr>
              <w:rPr>
                <w:rFonts w:asciiTheme="minorHAnsi" w:hAnsiTheme="minorHAnsi" w:cstheme="minorHAnsi"/>
                <w:bCs/>
                <w:i/>
              </w:rPr>
            </w:pPr>
            <w:r w:rsidRPr="00B11A7E">
              <w:rPr>
                <w:rFonts w:asciiTheme="minorHAnsi" w:hAnsiTheme="minorHAnsi" w:cstheme="minorHAnsi"/>
                <w:bCs/>
                <w:iCs/>
              </w:rPr>
              <w:t xml:space="preserve">The committee recommends that the Australian Government amend the </w:t>
            </w:r>
            <w:r w:rsidRPr="00B11A7E">
              <w:rPr>
                <w:rFonts w:asciiTheme="minorHAnsi" w:hAnsiTheme="minorHAnsi" w:cstheme="minorHAnsi"/>
                <w:bCs/>
                <w:i/>
              </w:rPr>
              <w:t xml:space="preserve">Fair </w:t>
            </w:r>
          </w:p>
          <w:p w14:paraId="386BD971" w14:textId="77777777" w:rsidR="00B11A7E" w:rsidRPr="00B11A7E" w:rsidRDefault="00B11A7E" w:rsidP="00B11A7E">
            <w:pPr>
              <w:rPr>
                <w:rFonts w:asciiTheme="minorHAnsi" w:hAnsiTheme="minorHAnsi" w:cstheme="minorHAnsi"/>
                <w:bCs/>
                <w:iCs/>
              </w:rPr>
            </w:pPr>
            <w:r w:rsidRPr="00B11A7E">
              <w:rPr>
                <w:rFonts w:asciiTheme="minorHAnsi" w:hAnsiTheme="minorHAnsi" w:cstheme="minorHAnsi"/>
                <w:bCs/>
                <w:i/>
              </w:rPr>
              <w:t>Work Act 2009</w:t>
            </w:r>
            <w:r w:rsidRPr="00B11A7E">
              <w:rPr>
                <w:rFonts w:asciiTheme="minorHAnsi" w:hAnsiTheme="minorHAnsi" w:cstheme="minorHAnsi"/>
                <w:bCs/>
                <w:iCs/>
              </w:rPr>
              <w:t xml:space="preserve"> to:</w:t>
            </w:r>
          </w:p>
          <w:p w14:paraId="1C81925A" w14:textId="77777777" w:rsidR="00B11A7E" w:rsidRPr="00B11A7E" w:rsidRDefault="00B11A7E" w:rsidP="00B11A7E">
            <w:pPr>
              <w:pStyle w:val="ListParagraph"/>
              <w:numPr>
                <w:ilvl w:val="0"/>
                <w:numId w:val="5"/>
              </w:numPr>
              <w:spacing w:before="120"/>
              <w:ind w:left="357" w:hanging="357"/>
              <w:rPr>
                <w:rFonts w:ascii="Calibri" w:hAnsi="Calibri" w:cs="Calibri"/>
                <w:bCs/>
                <w:iCs/>
                <w:sz w:val="24"/>
                <w:szCs w:val="24"/>
              </w:rPr>
            </w:pPr>
            <w:r w:rsidRPr="00B11A7E">
              <w:rPr>
                <w:rFonts w:ascii="Calibri" w:hAnsi="Calibri" w:cs="Calibri"/>
                <w:bCs/>
                <w:iCs/>
                <w:sz w:val="24"/>
                <w:szCs w:val="24"/>
              </w:rPr>
              <w:t xml:space="preserve">increase civil penalties for wage </w:t>
            </w:r>
            <w:proofErr w:type="gramStart"/>
            <w:r w:rsidRPr="00B11A7E">
              <w:rPr>
                <w:rFonts w:ascii="Calibri" w:hAnsi="Calibri" w:cs="Calibri"/>
                <w:bCs/>
                <w:iCs/>
                <w:sz w:val="24"/>
                <w:szCs w:val="24"/>
              </w:rPr>
              <w:t>theft;</w:t>
            </w:r>
            <w:proofErr w:type="gramEnd"/>
          </w:p>
          <w:p w14:paraId="31D8596B"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t>make it an offence for employers to advertise employment with a rate of pay less than the national minimum wage; and</w:t>
            </w:r>
          </w:p>
          <w:p w14:paraId="53EB25BA"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t>capture all parties and individuals that directly participate in wage theft, including those who knowingly or recklessly create an environment of wage theft (including franchisors, advisors, head contractors and other third-party participants in supply chains).</w:t>
            </w:r>
          </w:p>
          <w:p w14:paraId="38743D10" w14:textId="77777777" w:rsidR="00B11A7E" w:rsidRDefault="00B11A7E" w:rsidP="00A75541">
            <w:pPr>
              <w:spacing w:after="120"/>
              <w:rPr>
                <w:rFonts w:asciiTheme="minorHAnsi" w:hAnsiTheme="minorHAnsi" w:cstheme="minorHAnsi"/>
                <w:b/>
              </w:rPr>
            </w:pPr>
          </w:p>
        </w:tc>
        <w:tc>
          <w:tcPr>
            <w:tcW w:w="4508" w:type="dxa"/>
          </w:tcPr>
          <w:p w14:paraId="6DA23B2D" w14:textId="77777777" w:rsidR="00B11A7E" w:rsidRPr="00713DE3" w:rsidRDefault="00B11A7E" w:rsidP="00B11A7E">
            <w:pPr>
              <w:rPr>
                <w:rFonts w:asciiTheme="minorHAnsi" w:hAnsiTheme="minorHAnsi" w:cstheme="minorHAnsi"/>
                <w:b/>
                <w:bCs/>
                <w:iCs/>
              </w:rPr>
            </w:pPr>
            <w:r w:rsidRPr="00713DE3">
              <w:rPr>
                <w:rFonts w:asciiTheme="minorHAnsi" w:hAnsiTheme="minorHAnsi" w:cstheme="minorHAnsi"/>
                <w:b/>
                <w:bCs/>
                <w:iCs/>
              </w:rPr>
              <w:t>Accepted.</w:t>
            </w:r>
          </w:p>
          <w:p w14:paraId="03C51FB1" w14:textId="77777777" w:rsidR="00B11A7E" w:rsidRPr="00F26F01" w:rsidRDefault="00B11A7E" w:rsidP="00B11A7E">
            <w:pPr>
              <w:rPr>
                <w:rFonts w:asciiTheme="minorHAnsi" w:hAnsiTheme="minorHAnsi" w:cstheme="minorHAnsi"/>
                <w:iCs/>
              </w:rPr>
            </w:pPr>
          </w:p>
          <w:p w14:paraId="2FD56F55" w14:textId="77777777" w:rsidR="008F05F9" w:rsidRPr="00F26F01" w:rsidRDefault="008F05F9" w:rsidP="008F05F9">
            <w:pPr>
              <w:rPr>
                <w:rFonts w:asciiTheme="minorHAnsi" w:hAnsiTheme="minorHAnsi" w:cstheme="minorHAnsi"/>
                <w:iCs/>
              </w:rPr>
            </w:pPr>
            <w:r w:rsidRPr="00F26F01">
              <w:rPr>
                <w:rFonts w:asciiTheme="minorHAnsi" w:hAnsiTheme="minorHAnsi" w:cstheme="minorHAnsi"/>
                <w:iCs/>
              </w:rPr>
              <w:t>The Government is committed to ensuring that the compliance and enforcement settings in the Fair Work Act address the serious problem of wage theft.</w:t>
            </w:r>
          </w:p>
          <w:p w14:paraId="2A1CE72C" w14:textId="77777777" w:rsidR="008F05F9" w:rsidRPr="00F26F01" w:rsidRDefault="008F05F9" w:rsidP="008F05F9">
            <w:pPr>
              <w:rPr>
                <w:rFonts w:asciiTheme="minorHAnsi" w:hAnsiTheme="minorHAnsi" w:cstheme="minorHAnsi"/>
                <w:iCs/>
              </w:rPr>
            </w:pPr>
          </w:p>
          <w:p w14:paraId="31DD4DEA" w14:textId="56F5CEEB" w:rsidR="008F05F9" w:rsidRPr="00F26F01" w:rsidRDefault="008F05F9" w:rsidP="008F05F9">
            <w:pPr>
              <w:rPr>
                <w:rFonts w:asciiTheme="minorHAnsi" w:hAnsiTheme="minorHAnsi" w:cstheme="minorHAnsi"/>
                <w:iCs/>
              </w:rPr>
            </w:pPr>
            <w:r w:rsidRPr="005653BA">
              <w:rPr>
                <w:rFonts w:asciiTheme="minorHAnsi" w:hAnsiTheme="minorHAnsi" w:cstheme="minorHAnsi"/>
                <w:i/>
              </w:rPr>
              <w:t xml:space="preserve">The Fair Work Legislation Amendment (Secure Jobs, Better Pay) </w:t>
            </w:r>
            <w:r w:rsidR="00C95F95" w:rsidRPr="005653BA">
              <w:rPr>
                <w:rFonts w:asciiTheme="minorHAnsi" w:hAnsiTheme="minorHAnsi" w:cstheme="minorHAnsi"/>
                <w:i/>
              </w:rPr>
              <w:t xml:space="preserve">Act </w:t>
            </w:r>
            <w:r w:rsidRPr="005653BA">
              <w:rPr>
                <w:rFonts w:asciiTheme="minorHAnsi" w:hAnsiTheme="minorHAnsi" w:cstheme="minorHAnsi"/>
                <w:i/>
              </w:rPr>
              <w:t>2022</w:t>
            </w:r>
            <w:r w:rsidRPr="00F26F01">
              <w:rPr>
                <w:rFonts w:asciiTheme="minorHAnsi" w:hAnsiTheme="minorHAnsi" w:cstheme="minorHAnsi"/>
                <w:iCs/>
              </w:rPr>
              <w:t xml:space="preserve"> prohibit</w:t>
            </w:r>
            <w:r w:rsidR="00C95F95">
              <w:rPr>
                <w:rFonts w:asciiTheme="minorHAnsi" w:hAnsiTheme="minorHAnsi" w:cstheme="minorHAnsi"/>
                <w:iCs/>
              </w:rPr>
              <w:t>s</w:t>
            </w:r>
            <w:r w:rsidRPr="00F26F01">
              <w:rPr>
                <w:rFonts w:asciiTheme="minorHAnsi" w:hAnsiTheme="minorHAnsi" w:cstheme="minorHAnsi"/>
                <w:iCs/>
              </w:rPr>
              <w:t xml:space="preserve"> the advertisement of a job with a pay rate that would breach the Fair Work Act or a fair work instrument. This includes advertising employment below the National Minimum Wage, where that is the applicable rate of pay.</w:t>
            </w:r>
          </w:p>
          <w:p w14:paraId="1202D610" w14:textId="77777777" w:rsidR="008F05F9" w:rsidRPr="00F26F01" w:rsidRDefault="008F05F9" w:rsidP="008F05F9">
            <w:pPr>
              <w:rPr>
                <w:rFonts w:asciiTheme="minorHAnsi" w:hAnsiTheme="minorHAnsi" w:cstheme="minorHAnsi"/>
                <w:iCs/>
              </w:rPr>
            </w:pPr>
          </w:p>
          <w:p w14:paraId="11DAE54E" w14:textId="77777777" w:rsidR="008F05F9" w:rsidRPr="00F26F01" w:rsidRDefault="008F05F9" w:rsidP="008F05F9">
            <w:pPr>
              <w:rPr>
                <w:rFonts w:asciiTheme="minorHAnsi" w:hAnsiTheme="minorHAnsi" w:cstheme="minorHAnsi"/>
                <w:iCs/>
              </w:rPr>
            </w:pPr>
            <w:r w:rsidRPr="00F26F01">
              <w:rPr>
                <w:rFonts w:asciiTheme="minorHAnsi" w:hAnsiTheme="minorHAnsi" w:cstheme="minorHAnsi"/>
                <w:iCs/>
              </w:rPr>
              <w:t xml:space="preserve">In considering how to introduce a criminal penalty for wage theft, the Government will consider how the offence best fits with existing civil penalties to ensure there is an appropriate range of penalties to deal with the spectrum of behaviour that deprives workers of their entitlements, which can include wage theft. </w:t>
            </w:r>
          </w:p>
          <w:p w14:paraId="159B8B60" w14:textId="77777777" w:rsidR="008F05F9" w:rsidRPr="00F26F01" w:rsidRDefault="008F05F9" w:rsidP="008F05F9">
            <w:pPr>
              <w:rPr>
                <w:rFonts w:asciiTheme="minorHAnsi" w:hAnsiTheme="minorHAnsi" w:cstheme="minorHAnsi"/>
                <w:iCs/>
              </w:rPr>
            </w:pPr>
          </w:p>
          <w:p w14:paraId="0B3E9188" w14:textId="77777777" w:rsidR="008F05F9" w:rsidRPr="00F26F01" w:rsidRDefault="008F05F9" w:rsidP="008F05F9">
            <w:pPr>
              <w:rPr>
                <w:rFonts w:asciiTheme="minorHAnsi" w:hAnsiTheme="minorHAnsi" w:cstheme="minorHAnsi"/>
                <w:iCs/>
              </w:rPr>
            </w:pPr>
            <w:r w:rsidRPr="00F26F01">
              <w:rPr>
                <w:rFonts w:asciiTheme="minorHAnsi" w:hAnsiTheme="minorHAnsi" w:cstheme="minorHAnsi"/>
                <w:iCs/>
              </w:rPr>
              <w:lastRenderedPageBreak/>
              <w:t>In addition to its commitment to criminalise wage theft, the Government has committed in its Plan to Build a Stronger Pacific Family to implementing the recommendations of the Migrant Workers’ Taskforce. This includes recommendations to increase civil penalties for wage exploitation and extend accessorial liability provisions of the Fair Work Act to also cover situations where businesses contract out services to persons.</w:t>
            </w:r>
          </w:p>
          <w:p w14:paraId="5E575E63" w14:textId="77777777" w:rsidR="00B11A7E" w:rsidRPr="00F26F01" w:rsidRDefault="00B11A7E" w:rsidP="00A75541">
            <w:pPr>
              <w:spacing w:after="120"/>
              <w:rPr>
                <w:rFonts w:asciiTheme="minorHAnsi" w:hAnsiTheme="minorHAnsi" w:cstheme="minorHAnsi"/>
                <w:iCs/>
              </w:rPr>
            </w:pPr>
          </w:p>
        </w:tc>
      </w:tr>
      <w:tr w:rsidR="00B11A7E" w14:paraId="5518AE7C" w14:textId="77777777" w:rsidTr="00B11A7E">
        <w:tc>
          <w:tcPr>
            <w:tcW w:w="4508" w:type="dxa"/>
          </w:tcPr>
          <w:p w14:paraId="2BFD6FBA" w14:textId="3D4871EE"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lastRenderedPageBreak/>
              <w:t>Recommendation 3</w:t>
            </w:r>
          </w:p>
          <w:p w14:paraId="1F4781A4" w14:textId="77777777" w:rsidR="00B11A7E" w:rsidRPr="00594A0A" w:rsidRDefault="00B11A7E" w:rsidP="00B11A7E">
            <w:pPr>
              <w:rPr>
                <w:rFonts w:asciiTheme="minorHAnsi" w:hAnsiTheme="minorHAnsi" w:cstheme="minorHAnsi"/>
                <w:b/>
              </w:rPr>
            </w:pPr>
          </w:p>
          <w:p w14:paraId="34B3F94E" w14:textId="77777777" w:rsidR="00B11A7E" w:rsidRPr="00B11A7E" w:rsidRDefault="00B11A7E" w:rsidP="00B11A7E">
            <w:pPr>
              <w:rPr>
                <w:rFonts w:asciiTheme="minorHAnsi" w:hAnsiTheme="minorHAnsi" w:cstheme="minorHAnsi"/>
                <w:bCs/>
                <w:iCs/>
              </w:rPr>
            </w:pPr>
            <w:r w:rsidRPr="00B11A7E">
              <w:rPr>
                <w:rFonts w:asciiTheme="minorHAnsi" w:hAnsiTheme="minorHAnsi" w:cstheme="minorHAnsi"/>
                <w:bCs/>
                <w:iCs/>
              </w:rPr>
              <w:t xml:space="preserve">The committee recommends that the Australian Government consider tasking the Australian Competition and Consumer Commission to bring forward a legislative amendment to the </w:t>
            </w:r>
            <w:r w:rsidRPr="00B11A7E">
              <w:rPr>
                <w:rFonts w:asciiTheme="minorHAnsi" w:hAnsiTheme="minorHAnsi" w:cstheme="minorHAnsi"/>
                <w:bCs/>
                <w:i/>
              </w:rPr>
              <w:t>Competition and Consumer Act 2010</w:t>
            </w:r>
            <w:r w:rsidRPr="00B11A7E">
              <w:rPr>
                <w:rFonts w:asciiTheme="minorHAnsi" w:hAnsiTheme="minorHAnsi" w:cstheme="minorHAnsi"/>
                <w:bCs/>
                <w:iCs/>
              </w:rPr>
              <w:t xml:space="preserve"> to incorporate wage theft as an anti-competitive practice.</w:t>
            </w:r>
          </w:p>
          <w:p w14:paraId="44A357F9" w14:textId="77777777" w:rsidR="00B11A7E" w:rsidRDefault="00B11A7E" w:rsidP="00A75541">
            <w:pPr>
              <w:spacing w:after="120"/>
              <w:rPr>
                <w:rFonts w:asciiTheme="minorHAnsi" w:hAnsiTheme="minorHAnsi" w:cstheme="minorHAnsi"/>
                <w:b/>
              </w:rPr>
            </w:pPr>
          </w:p>
        </w:tc>
        <w:tc>
          <w:tcPr>
            <w:tcW w:w="4508" w:type="dxa"/>
          </w:tcPr>
          <w:p w14:paraId="2D926AC0" w14:textId="7777777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t>Noted.</w:t>
            </w:r>
          </w:p>
          <w:p w14:paraId="65160D5B" w14:textId="77777777" w:rsidR="00B11A7E" w:rsidRPr="00312DCB" w:rsidRDefault="00B11A7E" w:rsidP="00B11A7E">
            <w:pPr>
              <w:rPr>
                <w:rFonts w:asciiTheme="minorHAnsi" w:hAnsiTheme="minorHAnsi" w:cstheme="minorHAnsi"/>
                <w:i/>
              </w:rPr>
            </w:pPr>
          </w:p>
          <w:p w14:paraId="1A0B5273"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The Government considers that wage theft is not only unfair to workers who do not receive their lawful entitlements, but also unfair to law-abiding employers who may not be able to compete with employers who do not pay full lawful entitlements to their employees.</w:t>
            </w:r>
          </w:p>
          <w:p w14:paraId="3F66B8F4" w14:textId="77777777" w:rsidR="00B11A7E" w:rsidRPr="00B11A7E" w:rsidRDefault="00B11A7E" w:rsidP="00B11A7E">
            <w:pPr>
              <w:rPr>
                <w:rFonts w:asciiTheme="minorHAnsi" w:hAnsiTheme="minorHAnsi" w:cstheme="minorHAnsi"/>
                <w:iCs/>
              </w:rPr>
            </w:pPr>
          </w:p>
          <w:p w14:paraId="62D244CD"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The Government notes this recommendation because it considers that wage theft can appropriately be covered by the national industrial relations system as set out in the Fair Work Act and as regulated by the Fair Work Ombudsman. The Government is committed to ensuring that the Fair Work Act provides the Fair Work Ombudsman with appropriate statutory enforcement tools to deter wage theft and hold wrong-doers to account.</w:t>
            </w:r>
          </w:p>
          <w:p w14:paraId="4972D315" w14:textId="77777777" w:rsidR="00B11A7E" w:rsidRDefault="00B11A7E" w:rsidP="00A75541">
            <w:pPr>
              <w:spacing w:after="120"/>
              <w:rPr>
                <w:rFonts w:asciiTheme="minorHAnsi" w:hAnsiTheme="minorHAnsi" w:cstheme="minorHAnsi"/>
                <w:b/>
              </w:rPr>
            </w:pPr>
          </w:p>
        </w:tc>
      </w:tr>
      <w:tr w:rsidR="00B11A7E" w14:paraId="7783C1A3" w14:textId="77777777" w:rsidTr="00B11A7E">
        <w:tc>
          <w:tcPr>
            <w:tcW w:w="4508" w:type="dxa"/>
          </w:tcPr>
          <w:p w14:paraId="0BD0ED71" w14:textId="152B65D9"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t>Recommendation 4</w:t>
            </w:r>
          </w:p>
          <w:p w14:paraId="3CEEE87C" w14:textId="77777777" w:rsidR="00B11A7E" w:rsidRDefault="00B11A7E" w:rsidP="00B11A7E">
            <w:pPr>
              <w:rPr>
                <w:rFonts w:asciiTheme="minorHAnsi" w:hAnsiTheme="minorHAnsi" w:cstheme="minorHAnsi"/>
                <w:b/>
              </w:rPr>
            </w:pPr>
          </w:p>
          <w:p w14:paraId="6931ADF6" w14:textId="77777777" w:rsidR="00B11A7E" w:rsidRPr="00B11A7E" w:rsidRDefault="00B11A7E" w:rsidP="00B11A7E">
            <w:pPr>
              <w:rPr>
                <w:rFonts w:asciiTheme="minorHAnsi" w:hAnsiTheme="minorHAnsi" w:cstheme="minorHAnsi"/>
                <w:bCs/>
                <w:iCs/>
              </w:rPr>
            </w:pPr>
            <w:r w:rsidRPr="00B11A7E">
              <w:rPr>
                <w:rFonts w:asciiTheme="minorHAnsi" w:hAnsiTheme="minorHAnsi" w:cstheme="minorHAnsi"/>
                <w:bCs/>
                <w:iCs/>
              </w:rPr>
              <w:t>The committee recommends that the Australian Securities and Investments Commission improve enforcement action and director disqualifications from managing a company, where companies use Superannuation Guarantee payments or wages owed to trade while otherwise insolvent.</w:t>
            </w:r>
          </w:p>
          <w:p w14:paraId="2EEAAD6E" w14:textId="77777777" w:rsidR="00B11A7E" w:rsidRDefault="00B11A7E" w:rsidP="00A75541">
            <w:pPr>
              <w:spacing w:after="120"/>
              <w:rPr>
                <w:rFonts w:asciiTheme="minorHAnsi" w:hAnsiTheme="minorHAnsi" w:cstheme="minorHAnsi"/>
                <w:b/>
              </w:rPr>
            </w:pPr>
          </w:p>
        </w:tc>
        <w:tc>
          <w:tcPr>
            <w:tcW w:w="4508" w:type="dxa"/>
          </w:tcPr>
          <w:p w14:paraId="36E32A3D" w14:textId="7777777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t>Noted.</w:t>
            </w:r>
          </w:p>
          <w:p w14:paraId="43D83BCE" w14:textId="77777777" w:rsidR="00B11A7E" w:rsidRPr="00B11A7E" w:rsidRDefault="00B11A7E" w:rsidP="00B11A7E">
            <w:pPr>
              <w:rPr>
                <w:rFonts w:asciiTheme="minorHAnsi" w:hAnsiTheme="minorHAnsi" w:cstheme="minorHAnsi"/>
                <w:iCs/>
              </w:rPr>
            </w:pPr>
          </w:p>
          <w:p w14:paraId="597B18EA"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As the Committee notes, ASIC’s enforcement actions are a matter for ASIC as an independent commission. </w:t>
            </w:r>
          </w:p>
          <w:p w14:paraId="6277A2FF" w14:textId="77777777" w:rsidR="00B11A7E" w:rsidRPr="00B11A7E" w:rsidRDefault="00B11A7E" w:rsidP="00B11A7E">
            <w:pPr>
              <w:rPr>
                <w:rFonts w:asciiTheme="minorHAnsi" w:hAnsiTheme="minorHAnsi" w:cstheme="minorHAnsi"/>
                <w:iCs/>
              </w:rPr>
            </w:pPr>
          </w:p>
          <w:p w14:paraId="22B4F03F"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However, the Government is committed to ensuring that strong enforcement tools are available to ASIC so that it can effectively address non-compliance by directors and companies, including in circumstances </w:t>
            </w:r>
            <w:r w:rsidRPr="00B11A7E">
              <w:rPr>
                <w:rFonts w:asciiTheme="minorHAnsi" w:hAnsiTheme="minorHAnsi" w:cstheme="minorHAnsi"/>
                <w:iCs/>
              </w:rPr>
              <w:lastRenderedPageBreak/>
              <w:t xml:space="preserve">where employment entitlements have not been paid. </w:t>
            </w:r>
          </w:p>
          <w:p w14:paraId="7C0C1B64" w14:textId="77777777" w:rsidR="00B11A7E" w:rsidRDefault="00B11A7E" w:rsidP="00A75541">
            <w:pPr>
              <w:spacing w:after="120"/>
              <w:rPr>
                <w:rFonts w:asciiTheme="minorHAnsi" w:hAnsiTheme="minorHAnsi" w:cstheme="minorHAnsi"/>
                <w:b/>
              </w:rPr>
            </w:pPr>
          </w:p>
        </w:tc>
      </w:tr>
      <w:tr w:rsidR="00B11A7E" w14:paraId="7ECA6440" w14:textId="77777777" w:rsidTr="00B11A7E">
        <w:tc>
          <w:tcPr>
            <w:tcW w:w="4508" w:type="dxa"/>
          </w:tcPr>
          <w:p w14:paraId="4A1496A2" w14:textId="6DDEE653" w:rsidR="00B11A7E" w:rsidRPr="00713DE3" w:rsidRDefault="00B11A7E" w:rsidP="00B11A7E">
            <w:pPr>
              <w:rPr>
                <w:rFonts w:asciiTheme="minorHAnsi" w:hAnsiTheme="minorHAnsi" w:cstheme="minorHAnsi"/>
                <w:b/>
                <w:bCs/>
                <w:iCs/>
              </w:rPr>
            </w:pPr>
            <w:r w:rsidRPr="00713DE3">
              <w:rPr>
                <w:rFonts w:asciiTheme="minorHAnsi" w:hAnsiTheme="minorHAnsi" w:cstheme="minorHAnsi"/>
                <w:b/>
                <w:bCs/>
                <w:iCs/>
              </w:rPr>
              <w:lastRenderedPageBreak/>
              <w:t>Recommendation 5</w:t>
            </w:r>
          </w:p>
          <w:p w14:paraId="1B36E734" w14:textId="77777777" w:rsidR="00B11A7E" w:rsidRPr="00F26F01" w:rsidRDefault="00B11A7E" w:rsidP="00B11A7E">
            <w:pPr>
              <w:rPr>
                <w:rFonts w:asciiTheme="minorHAnsi" w:hAnsiTheme="minorHAnsi" w:cstheme="minorHAnsi"/>
                <w:iCs/>
              </w:rPr>
            </w:pPr>
          </w:p>
          <w:p w14:paraId="12E3AAC2"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The committee recommends that the Australian Government establish a small claims tribunal, ideally co-located with the Fair Work Commission, to create a simple, affordable, accessible, and efficient process for employees to pursue wage theft, including Superannuation Guarantee non-compliance.</w:t>
            </w:r>
          </w:p>
          <w:p w14:paraId="14A8833A" w14:textId="77777777" w:rsidR="00B11A7E" w:rsidRPr="00F26F01" w:rsidRDefault="00B11A7E" w:rsidP="00A75541">
            <w:pPr>
              <w:spacing w:after="120"/>
              <w:rPr>
                <w:rFonts w:asciiTheme="minorHAnsi" w:hAnsiTheme="minorHAnsi" w:cstheme="minorHAnsi"/>
                <w:iCs/>
              </w:rPr>
            </w:pPr>
          </w:p>
        </w:tc>
        <w:tc>
          <w:tcPr>
            <w:tcW w:w="4508" w:type="dxa"/>
          </w:tcPr>
          <w:p w14:paraId="64B215E0" w14:textId="77777777" w:rsidR="00B11A7E" w:rsidRPr="00713DE3" w:rsidRDefault="00B11A7E" w:rsidP="00B11A7E">
            <w:pPr>
              <w:rPr>
                <w:rFonts w:asciiTheme="minorHAnsi" w:hAnsiTheme="minorHAnsi" w:cstheme="minorHAnsi"/>
                <w:b/>
                <w:bCs/>
                <w:iCs/>
              </w:rPr>
            </w:pPr>
            <w:r w:rsidRPr="00713DE3">
              <w:rPr>
                <w:rFonts w:asciiTheme="minorHAnsi" w:hAnsiTheme="minorHAnsi" w:cstheme="minorHAnsi"/>
                <w:b/>
                <w:bCs/>
                <w:iCs/>
              </w:rPr>
              <w:t>Accepted in-principle.</w:t>
            </w:r>
          </w:p>
          <w:p w14:paraId="1EFE0EEA" w14:textId="77777777" w:rsidR="00B11A7E" w:rsidRPr="00F26F01" w:rsidRDefault="00B11A7E" w:rsidP="00B11A7E">
            <w:pPr>
              <w:rPr>
                <w:rFonts w:asciiTheme="minorHAnsi" w:hAnsiTheme="minorHAnsi" w:cstheme="minorHAnsi"/>
                <w:iCs/>
              </w:rPr>
            </w:pPr>
          </w:p>
          <w:p w14:paraId="138EE700"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The Government is committed to deterring wage theft, and ensuring that where it does occur, workers should be able to recover their unpaid entitlements quickly and easily.</w:t>
            </w:r>
          </w:p>
          <w:p w14:paraId="6C40A31E" w14:textId="77777777" w:rsidR="00B11A7E" w:rsidRPr="00B11A7E" w:rsidRDefault="00B11A7E" w:rsidP="00B11A7E">
            <w:pPr>
              <w:rPr>
                <w:rFonts w:asciiTheme="minorHAnsi" w:hAnsiTheme="minorHAnsi" w:cstheme="minorHAnsi"/>
                <w:iCs/>
              </w:rPr>
            </w:pPr>
          </w:p>
          <w:p w14:paraId="6136B8A5" w14:textId="77777777" w:rsidR="008F05F9" w:rsidRPr="00F26F01" w:rsidRDefault="008F05F9" w:rsidP="008F05F9">
            <w:pPr>
              <w:rPr>
                <w:rFonts w:asciiTheme="minorHAnsi" w:hAnsiTheme="minorHAnsi" w:cstheme="minorHAnsi"/>
                <w:iCs/>
              </w:rPr>
            </w:pPr>
            <w:r w:rsidRPr="00F26F01">
              <w:rPr>
                <w:rFonts w:asciiTheme="minorHAnsi" w:hAnsiTheme="minorHAnsi" w:cstheme="minorHAnsi"/>
                <w:iCs/>
              </w:rPr>
              <w:t>The Government supports a simple and cheap small claims process under the Fair Work Act. In the 2022-23 Budget, the Government provided funding for a review of the effectiveness of the Fair Work Act small claims process, in line with the recommendations of the 2019 Migrant Workers’ Taskforce report. This review will occur over 2023. Establishing a dedicated tribunal would require further consideration. Among other potential reforms, the review will consider the merits of a dedicated small claims tribunal as recommended by the committee.</w:t>
            </w:r>
          </w:p>
          <w:p w14:paraId="0B56779F" w14:textId="77777777" w:rsidR="008F05F9" w:rsidRPr="00F26F01" w:rsidRDefault="008F05F9" w:rsidP="008F05F9">
            <w:pPr>
              <w:rPr>
                <w:rFonts w:asciiTheme="minorHAnsi" w:hAnsiTheme="minorHAnsi" w:cstheme="minorHAnsi"/>
                <w:iCs/>
              </w:rPr>
            </w:pPr>
          </w:p>
          <w:p w14:paraId="0F37D4E6" w14:textId="12D7B541" w:rsidR="008F05F9" w:rsidRPr="00F26F01" w:rsidRDefault="008F05F9" w:rsidP="008F05F9">
            <w:pPr>
              <w:rPr>
                <w:rFonts w:asciiTheme="minorHAnsi" w:hAnsiTheme="minorHAnsi" w:cstheme="minorHAnsi"/>
                <w:iCs/>
              </w:rPr>
            </w:pPr>
            <w:r w:rsidRPr="00F26F01">
              <w:rPr>
                <w:rFonts w:asciiTheme="minorHAnsi" w:hAnsiTheme="minorHAnsi" w:cstheme="minorHAnsi"/>
                <w:iCs/>
              </w:rPr>
              <w:t xml:space="preserve">In addition to this review, the Government’s </w:t>
            </w:r>
            <w:r w:rsidRPr="005653BA">
              <w:rPr>
                <w:rFonts w:asciiTheme="minorHAnsi" w:hAnsiTheme="minorHAnsi" w:cstheme="minorHAnsi"/>
                <w:i/>
              </w:rPr>
              <w:t xml:space="preserve">Fair Work Legislation Amendment (Secure Jobs, Better Pay) </w:t>
            </w:r>
            <w:r w:rsidR="00C95F95" w:rsidRPr="005653BA">
              <w:rPr>
                <w:rFonts w:asciiTheme="minorHAnsi" w:hAnsiTheme="minorHAnsi" w:cstheme="minorHAnsi"/>
                <w:i/>
              </w:rPr>
              <w:t xml:space="preserve">Act </w:t>
            </w:r>
            <w:r w:rsidRPr="005653BA">
              <w:rPr>
                <w:rFonts w:asciiTheme="minorHAnsi" w:hAnsiTheme="minorHAnsi" w:cstheme="minorHAnsi"/>
                <w:i/>
              </w:rPr>
              <w:t>2022</w:t>
            </w:r>
            <w:r w:rsidRPr="00F26F01">
              <w:rPr>
                <w:rFonts w:asciiTheme="minorHAnsi" w:hAnsiTheme="minorHAnsi" w:cstheme="minorHAnsi"/>
                <w:iCs/>
              </w:rPr>
              <w:t xml:space="preserve"> make</w:t>
            </w:r>
            <w:r w:rsidR="00C95F95">
              <w:rPr>
                <w:rFonts w:asciiTheme="minorHAnsi" w:hAnsiTheme="minorHAnsi" w:cstheme="minorHAnsi"/>
                <w:iCs/>
              </w:rPr>
              <w:t>s</w:t>
            </w:r>
            <w:r w:rsidRPr="00F26F01">
              <w:rPr>
                <w:rFonts w:asciiTheme="minorHAnsi" w:hAnsiTheme="minorHAnsi" w:cstheme="minorHAnsi"/>
                <w:iCs/>
              </w:rPr>
              <w:t xml:space="preserve"> immediate reforms to the small claims process in the courts, under the Fair Work Act, to address issues cited by the committee. This includes:</w:t>
            </w:r>
          </w:p>
          <w:p w14:paraId="6BEF2FA1" w14:textId="77777777" w:rsidR="008F05F9" w:rsidRPr="00F26F01" w:rsidRDefault="008F05F9" w:rsidP="008F05F9">
            <w:pPr>
              <w:rPr>
                <w:rFonts w:asciiTheme="minorHAnsi" w:hAnsiTheme="minorHAnsi" w:cstheme="minorHAnsi"/>
                <w:iCs/>
              </w:rPr>
            </w:pPr>
          </w:p>
          <w:p w14:paraId="5203168B" w14:textId="77777777" w:rsidR="008F05F9" w:rsidRPr="00F26F01" w:rsidRDefault="008F05F9" w:rsidP="008F05F9">
            <w:pPr>
              <w:pStyle w:val="ListParagraph"/>
              <w:numPr>
                <w:ilvl w:val="0"/>
                <w:numId w:val="8"/>
              </w:numPr>
              <w:ind w:left="360"/>
              <w:rPr>
                <w:rFonts w:asciiTheme="minorHAnsi" w:hAnsiTheme="minorHAnsi" w:cstheme="minorHAnsi"/>
                <w:iCs/>
                <w:sz w:val="24"/>
                <w:szCs w:val="24"/>
              </w:rPr>
            </w:pPr>
            <w:r w:rsidRPr="00F26F01">
              <w:rPr>
                <w:rFonts w:asciiTheme="minorHAnsi" w:hAnsiTheme="minorHAnsi" w:cstheme="minorHAnsi"/>
                <w:iCs/>
                <w:sz w:val="24"/>
                <w:szCs w:val="24"/>
              </w:rPr>
              <w:t>increasing the cap on small claims recovery from $20,000 to $100,000 to enable a greater number of workers to benefit from this mechanism, and</w:t>
            </w:r>
          </w:p>
          <w:p w14:paraId="5B84B16E" w14:textId="77777777" w:rsidR="008F05F9" w:rsidRPr="00F26F01" w:rsidRDefault="008F05F9" w:rsidP="008F05F9">
            <w:pPr>
              <w:pStyle w:val="ListParagraph"/>
              <w:numPr>
                <w:ilvl w:val="0"/>
                <w:numId w:val="8"/>
              </w:numPr>
              <w:ind w:left="360"/>
              <w:rPr>
                <w:rFonts w:asciiTheme="minorHAnsi" w:hAnsiTheme="minorHAnsi" w:cstheme="minorHAnsi"/>
                <w:iCs/>
                <w:sz w:val="24"/>
                <w:szCs w:val="24"/>
              </w:rPr>
            </w:pPr>
            <w:r w:rsidRPr="00F26F01">
              <w:rPr>
                <w:rFonts w:asciiTheme="minorHAnsi" w:hAnsiTheme="minorHAnsi" w:cstheme="minorHAnsi"/>
                <w:iCs/>
                <w:sz w:val="24"/>
                <w:szCs w:val="24"/>
              </w:rPr>
              <w:t>clarifying the courts’ ability to award filing fees as costs to successful small claims applicants to reduce the disincentive that these fees may otherwise have on applicants.</w:t>
            </w:r>
          </w:p>
          <w:p w14:paraId="1B5AFE3D" w14:textId="77777777" w:rsidR="00B11A7E" w:rsidRDefault="00B11A7E" w:rsidP="00F26F01">
            <w:pPr>
              <w:rPr>
                <w:rFonts w:asciiTheme="minorHAnsi" w:hAnsiTheme="minorHAnsi" w:cstheme="minorHAnsi"/>
                <w:iCs/>
              </w:rPr>
            </w:pPr>
          </w:p>
          <w:p w14:paraId="5E8D72FE" w14:textId="77777777" w:rsidR="008E47AE" w:rsidRDefault="008E47AE" w:rsidP="00F26F01">
            <w:pPr>
              <w:rPr>
                <w:rFonts w:asciiTheme="minorHAnsi" w:hAnsiTheme="minorHAnsi" w:cstheme="minorHAnsi"/>
                <w:iCs/>
              </w:rPr>
            </w:pPr>
          </w:p>
          <w:p w14:paraId="43D24AB7" w14:textId="77777777" w:rsidR="008E47AE" w:rsidRDefault="008E47AE" w:rsidP="00F26F01">
            <w:pPr>
              <w:rPr>
                <w:rFonts w:asciiTheme="minorHAnsi" w:hAnsiTheme="minorHAnsi" w:cstheme="minorHAnsi"/>
                <w:iCs/>
              </w:rPr>
            </w:pPr>
          </w:p>
          <w:p w14:paraId="1FBF0909" w14:textId="73815622" w:rsidR="008E47AE" w:rsidRPr="00F26F01" w:rsidRDefault="008E47AE" w:rsidP="00F26F01">
            <w:pPr>
              <w:rPr>
                <w:rFonts w:asciiTheme="minorHAnsi" w:hAnsiTheme="minorHAnsi" w:cstheme="minorHAnsi"/>
                <w:iCs/>
              </w:rPr>
            </w:pPr>
          </w:p>
        </w:tc>
      </w:tr>
      <w:tr w:rsidR="00B11A7E" w14:paraId="630F4E48" w14:textId="77777777" w:rsidTr="00B11A7E">
        <w:tc>
          <w:tcPr>
            <w:tcW w:w="4508" w:type="dxa"/>
          </w:tcPr>
          <w:p w14:paraId="4D4F069E" w14:textId="18BD2FE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lastRenderedPageBreak/>
              <w:t>Recommendation 6</w:t>
            </w:r>
          </w:p>
          <w:p w14:paraId="2CE3654B" w14:textId="77777777" w:rsidR="00B11A7E" w:rsidRDefault="00B11A7E" w:rsidP="00B11A7E">
            <w:pPr>
              <w:rPr>
                <w:rFonts w:asciiTheme="minorHAnsi" w:hAnsiTheme="minorHAnsi" w:cstheme="minorHAnsi"/>
                <w:b/>
              </w:rPr>
            </w:pPr>
          </w:p>
          <w:p w14:paraId="6BBDABB8" w14:textId="77777777" w:rsidR="00B11A7E" w:rsidRPr="00B11A7E" w:rsidRDefault="00B11A7E" w:rsidP="00B11A7E">
            <w:pPr>
              <w:rPr>
                <w:rFonts w:asciiTheme="minorHAnsi" w:hAnsiTheme="minorHAnsi" w:cstheme="minorHAnsi"/>
                <w:bCs/>
                <w:iCs/>
              </w:rPr>
            </w:pPr>
            <w:bookmarkStart w:id="4" w:name="_Hlk114565004"/>
            <w:r w:rsidRPr="00B11A7E">
              <w:rPr>
                <w:rFonts w:asciiTheme="minorHAnsi" w:hAnsiTheme="minorHAnsi" w:cstheme="minorHAnsi"/>
                <w:bCs/>
                <w:iCs/>
              </w:rPr>
              <w:t>The committee recommends that the Australian Government, through the Australian Taxation Office, review the taxation treatment of wages repaid to employees following incidents of wage theft to ensure they are treated no less favourably than if wages were paid when they were due.</w:t>
            </w:r>
          </w:p>
          <w:bookmarkEnd w:id="4"/>
          <w:p w14:paraId="3574DE1E" w14:textId="77777777" w:rsidR="00B11A7E" w:rsidRDefault="00B11A7E" w:rsidP="00A75541">
            <w:pPr>
              <w:spacing w:after="120"/>
              <w:rPr>
                <w:rFonts w:asciiTheme="minorHAnsi" w:hAnsiTheme="minorHAnsi" w:cstheme="minorHAnsi"/>
                <w:b/>
              </w:rPr>
            </w:pPr>
          </w:p>
        </w:tc>
        <w:tc>
          <w:tcPr>
            <w:tcW w:w="4508" w:type="dxa"/>
          </w:tcPr>
          <w:p w14:paraId="090BB23D" w14:textId="77777777" w:rsidR="00B11A7E" w:rsidRPr="00B11A7E" w:rsidRDefault="00B11A7E" w:rsidP="00B11A7E">
            <w:pPr>
              <w:rPr>
                <w:rFonts w:asciiTheme="minorHAnsi" w:hAnsiTheme="minorHAnsi" w:cstheme="minorHAnsi"/>
                <w:b/>
                <w:bCs/>
                <w:iCs/>
              </w:rPr>
            </w:pPr>
            <w:bookmarkStart w:id="5" w:name="_Hlk114565433"/>
            <w:r w:rsidRPr="00B11A7E">
              <w:rPr>
                <w:rFonts w:asciiTheme="minorHAnsi" w:hAnsiTheme="minorHAnsi" w:cstheme="minorHAnsi"/>
                <w:b/>
                <w:bCs/>
                <w:iCs/>
              </w:rPr>
              <w:t>Accepted in-principle.</w:t>
            </w:r>
          </w:p>
          <w:p w14:paraId="20C18C47" w14:textId="77777777" w:rsidR="00B11A7E" w:rsidRPr="00D27FD0" w:rsidRDefault="00B11A7E" w:rsidP="00B11A7E">
            <w:pPr>
              <w:rPr>
                <w:rFonts w:asciiTheme="minorHAnsi" w:hAnsiTheme="minorHAnsi" w:cstheme="minorHAnsi"/>
                <w:i/>
              </w:rPr>
            </w:pPr>
          </w:p>
          <w:p w14:paraId="3C2F4986" w14:textId="77777777" w:rsidR="00B11A7E" w:rsidRPr="00B11A7E" w:rsidRDefault="00B11A7E" w:rsidP="00B11A7E">
            <w:pPr>
              <w:rPr>
                <w:rFonts w:asciiTheme="minorHAnsi" w:hAnsiTheme="minorHAnsi" w:cstheme="minorHAnsi"/>
                <w:iCs/>
              </w:rPr>
            </w:pPr>
            <w:bookmarkStart w:id="6" w:name="_Hlk114565342"/>
            <w:r w:rsidRPr="00B11A7E">
              <w:rPr>
                <w:rFonts w:asciiTheme="minorHAnsi" w:hAnsiTheme="minorHAnsi" w:cstheme="minorHAnsi"/>
                <w:iCs/>
              </w:rPr>
              <w:t xml:space="preserve">The Government is committed to ensuring that individuals who receive wages repayments as lump sums are not penalised through a higher tax liability purely because of the timing of the payment. </w:t>
            </w:r>
          </w:p>
          <w:p w14:paraId="7D246953" w14:textId="77777777" w:rsidR="00B11A7E" w:rsidRPr="00B11A7E" w:rsidRDefault="00B11A7E" w:rsidP="00B11A7E">
            <w:pPr>
              <w:rPr>
                <w:rFonts w:asciiTheme="minorHAnsi" w:hAnsiTheme="minorHAnsi" w:cstheme="minorHAnsi"/>
                <w:iCs/>
              </w:rPr>
            </w:pPr>
          </w:p>
          <w:p w14:paraId="78E99893"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The tax law treats wages paid as a lump sum and in arrears, such as for the underpayment of wages and salary, as taxable. The repayment of wages and salary following incidents of wage theft can therefore result in a one-off increase to an individual’s taxable income in the income year it is received.</w:t>
            </w:r>
          </w:p>
          <w:p w14:paraId="348F3052" w14:textId="77777777" w:rsidR="00B11A7E" w:rsidRPr="00B11A7E" w:rsidRDefault="00B11A7E" w:rsidP="00B11A7E">
            <w:pPr>
              <w:rPr>
                <w:rFonts w:asciiTheme="minorHAnsi" w:hAnsiTheme="minorHAnsi" w:cstheme="minorHAnsi"/>
                <w:iCs/>
              </w:rPr>
            </w:pPr>
          </w:p>
          <w:p w14:paraId="743D896F"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There are two tax offsets available to individuals that can reduce their tax liability following receipt of lump sum payments: the lump sum payment in arrears tax offset, and the Medicare levy surcharge lump sum payments in arrears tax offset.  </w:t>
            </w:r>
          </w:p>
          <w:p w14:paraId="77CE6ABF" w14:textId="77777777" w:rsidR="00B11A7E" w:rsidRPr="00B11A7E" w:rsidRDefault="00B11A7E" w:rsidP="00B11A7E">
            <w:pPr>
              <w:rPr>
                <w:rFonts w:asciiTheme="minorHAnsi" w:hAnsiTheme="minorHAnsi" w:cstheme="minorHAnsi"/>
                <w:iCs/>
              </w:rPr>
            </w:pPr>
          </w:p>
          <w:p w14:paraId="44E2124E"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These offsets generally operate to ensure that most taxpayers are no worse off, relative to their position had they been paid correctly in prior years. </w:t>
            </w:r>
            <w:bookmarkStart w:id="7" w:name="_Hlk114564760"/>
            <w:r w:rsidRPr="00B11A7E">
              <w:rPr>
                <w:rFonts w:asciiTheme="minorHAnsi" w:hAnsiTheme="minorHAnsi" w:cstheme="minorHAnsi"/>
                <w:iCs/>
              </w:rPr>
              <w:t>However, in certain circumstances taxpayers may face higher tax liabilities, for example taxpayers who would not have otherwise been liable for the Medicare levy.</w:t>
            </w:r>
            <w:bookmarkEnd w:id="7"/>
          </w:p>
          <w:bookmarkEnd w:id="6"/>
          <w:bookmarkEnd w:id="5"/>
          <w:p w14:paraId="5F79E9E8" w14:textId="77777777" w:rsidR="00B11A7E" w:rsidRDefault="00B11A7E" w:rsidP="00A75541">
            <w:pPr>
              <w:spacing w:after="120"/>
              <w:rPr>
                <w:rFonts w:asciiTheme="minorHAnsi" w:hAnsiTheme="minorHAnsi" w:cstheme="minorHAnsi"/>
                <w:b/>
              </w:rPr>
            </w:pPr>
          </w:p>
        </w:tc>
      </w:tr>
      <w:tr w:rsidR="00B11A7E" w14:paraId="63E1716A" w14:textId="77777777" w:rsidTr="00B11A7E">
        <w:tc>
          <w:tcPr>
            <w:tcW w:w="4508" w:type="dxa"/>
          </w:tcPr>
          <w:p w14:paraId="5CBCC994" w14:textId="77777777" w:rsidR="00B11A7E" w:rsidRDefault="00B11A7E" w:rsidP="00B11A7E">
            <w:pPr>
              <w:rPr>
                <w:rFonts w:asciiTheme="minorHAnsi" w:hAnsiTheme="minorHAnsi" w:cstheme="minorHAnsi"/>
                <w:b/>
              </w:rPr>
            </w:pPr>
            <w:r w:rsidRPr="00B11A7E">
              <w:rPr>
                <w:rFonts w:asciiTheme="minorHAnsi" w:hAnsiTheme="minorHAnsi" w:cstheme="minorHAnsi"/>
                <w:b/>
                <w:bCs/>
                <w:iCs/>
              </w:rPr>
              <w:t>Recommendation</w:t>
            </w:r>
            <w:r w:rsidRPr="00594A0A">
              <w:rPr>
                <w:rFonts w:asciiTheme="minorHAnsi" w:hAnsiTheme="minorHAnsi" w:cstheme="minorHAnsi"/>
                <w:b/>
              </w:rPr>
              <w:t xml:space="preserve"> </w:t>
            </w:r>
            <w:r>
              <w:rPr>
                <w:rFonts w:asciiTheme="minorHAnsi" w:hAnsiTheme="minorHAnsi" w:cstheme="minorHAnsi"/>
                <w:b/>
              </w:rPr>
              <w:t>7</w:t>
            </w:r>
          </w:p>
          <w:p w14:paraId="518E0FAD" w14:textId="77777777" w:rsidR="00B11A7E" w:rsidRPr="00B11A7E" w:rsidRDefault="00B11A7E" w:rsidP="00B11A7E">
            <w:pPr>
              <w:rPr>
                <w:rFonts w:asciiTheme="minorHAnsi" w:hAnsiTheme="minorHAnsi" w:cstheme="minorHAnsi"/>
                <w:bCs/>
                <w:iCs/>
              </w:rPr>
            </w:pPr>
            <w:r w:rsidRPr="00B11A7E">
              <w:rPr>
                <w:rFonts w:asciiTheme="minorHAnsi" w:hAnsiTheme="minorHAnsi" w:cstheme="minorHAnsi"/>
                <w:bCs/>
                <w:iCs/>
              </w:rPr>
              <w:t>The committee recommends that the Australian Government review whether employee representatives that hold 'right of entry' permits can be better utilised to inspect and investigate potential underpayments across workplaces.</w:t>
            </w:r>
          </w:p>
          <w:p w14:paraId="5D3B1AAA" w14:textId="77777777" w:rsidR="00B11A7E" w:rsidRDefault="00B11A7E" w:rsidP="00A75541">
            <w:pPr>
              <w:spacing w:after="120"/>
              <w:rPr>
                <w:rFonts w:asciiTheme="minorHAnsi" w:hAnsiTheme="minorHAnsi" w:cstheme="minorHAnsi"/>
                <w:b/>
              </w:rPr>
            </w:pPr>
          </w:p>
        </w:tc>
        <w:tc>
          <w:tcPr>
            <w:tcW w:w="4508" w:type="dxa"/>
          </w:tcPr>
          <w:p w14:paraId="111A47A0" w14:textId="77777777" w:rsidR="00B11A7E" w:rsidRPr="00B11A7E" w:rsidRDefault="00B11A7E" w:rsidP="00B11A7E">
            <w:pPr>
              <w:framePr w:hSpace="180" w:wrap="around" w:vAnchor="text" w:hAnchor="text" w:y="1"/>
              <w:suppressOverlap/>
              <w:rPr>
                <w:rFonts w:asciiTheme="minorHAnsi" w:hAnsiTheme="minorHAnsi" w:cstheme="minorHAnsi"/>
                <w:b/>
                <w:bCs/>
                <w:iCs/>
              </w:rPr>
            </w:pPr>
            <w:r w:rsidRPr="00B11A7E">
              <w:rPr>
                <w:rFonts w:asciiTheme="minorHAnsi" w:hAnsiTheme="minorHAnsi" w:cstheme="minorHAnsi"/>
                <w:b/>
                <w:bCs/>
                <w:iCs/>
              </w:rPr>
              <w:t>Accepted in-principle.</w:t>
            </w:r>
          </w:p>
          <w:p w14:paraId="383A7348" w14:textId="77777777" w:rsidR="00B11A7E" w:rsidRPr="00901800" w:rsidRDefault="00B11A7E" w:rsidP="00B11A7E">
            <w:pPr>
              <w:framePr w:hSpace="180" w:wrap="around" w:vAnchor="text" w:hAnchor="text" w:y="1"/>
              <w:suppressOverlap/>
              <w:rPr>
                <w:rFonts w:asciiTheme="minorHAnsi" w:hAnsiTheme="minorHAnsi" w:cstheme="minorHAnsi"/>
                <w:i/>
              </w:rPr>
            </w:pPr>
          </w:p>
          <w:p w14:paraId="356566CD" w14:textId="77777777" w:rsidR="00B11A7E" w:rsidRPr="00B11A7E" w:rsidRDefault="00B11A7E" w:rsidP="00B11A7E">
            <w:pPr>
              <w:framePr w:hSpace="180" w:wrap="around" w:vAnchor="text" w:hAnchor="text" w:y="1"/>
              <w:suppressOverlap/>
              <w:rPr>
                <w:rFonts w:asciiTheme="minorHAnsi" w:hAnsiTheme="minorHAnsi" w:cstheme="minorHAnsi"/>
                <w:iCs/>
              </w:rPr>
            </w:pPr>
            <w:r w:rsidRPr="00B11A7E">
              <w:rPr>
                <w:rFonts w:asciiTheme="minorHAnsi" w:hAnsiTheme="minorHAnsi" w:cstheme="minorHAnsi"/>
                <w:iCs/>
              </w:rPr>
              <w:t xml:space="preserve">The Government appreciates concerns raised by witnesses that the restrictions on permit holders may not always be appropriate in the context of underpayments and exploitation. </w:t>
            </w:r>
          </w:p>
          <w:p w14:paraId="0E25918E" w14:textId="77777777" w:rsidR="00B11A7E" w:rsidRPr="00B11A7E" w:rsidRDefault="00B11A7E" w:rsidP="00B11A7E">
            <w:pPr>
              <w:framePr w:hSpace="180" w:wrap="around" w:vAnchor="text" w:hAnchor="text" w:y="1"/>
              <w:suppressOverlap/>
              <w:rPr>
                <w:rFonts w:asciiTheme="minorHAnsi" w:hAnsiTheme="minorHAnsi" w:cstheme="minorHAnsi"/>
                <w:iCs/>
              </w:rPr>
            </w:pPr>
          </w:p>
          <w:p w14:paraId="524DA836" w14:textId="78513A0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 Government will </w:t>
            </w:r>
            <w:r w:rsidR="00374D9C">
              <w:rPr>
                <w:rFonts w:asciiTheme="minorHAnsi" w:hAnsiTheme="minorHAnsi" w:cstheme="minorHAnsi"/>
                <w:iCs/>
              </w:rPr>
              <w:t>continue to monitor</w:t>
            </w:r>
            <w:r w:rsidRPr="00B11A7E">
              <w:rPr>
                <w:rFonts w:asciiTheme="minorHAnsi" w:hAnsiTheme="minorHAnsi" w:cstheme="minorHAnsi"/>
                <w:iCs/>
              </w:rPr>
              <w:t xml:space="preserve"> the effectiveness of the right of entry framework in deterring underpayments, including the powers of permit holders to investigate suspected contraventions, to </w:t>
            </w:r>
            <w:r w:rsidRPr="00B11A7E">
              <w:rPr>
                <w:rFonts w:asciiTheme="minorHAnsi" w:hAnsiTheme="minorHAnsi" w:cstheme="minorHAnsi"/>
                <w:iCs/>
              </w:rPr>
              <w:lastRenderedPageBreak/>
              <w:t>ensure they are appropriate to enforce the workplace rights of employees.</w:t>
            </w:r>
          </w:p>
          <w:p w14:paraId="3F7AC4EC" w14:textId="77777777" w:rsidR="00B11A7E" w:rsidRDefault="00B11A7E" w:rsidP="00A75541">
            <w:pPr>
              <w:spacing w:after="120"/>
              <w:rPr>
                <w:rFonts w:asciiTheme="minorHAnsi" w:hAnsiTheme="minorHAnsi" w:cstheme="minorHAnsi"/>
                <w:b/>
              </w:rPr>
            </w:pPr>
          </w:p>
        </w:tc>
      </w:tr>
      <w:tr w:rsidR="00B11A7E" w14:paraId="75089D49" w14:textId="77777777" w:rsidTr="00B11A7E">
        <w:tc>
          <w:tcPr>
            <w:tcW w:w="4508" w:type="dxa"/>
          </w:tcPr>
          <w:p w14:paraId="26FEBED6" w14:textId="7777777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lastRenderedPageBreak/>
              <w:t>Recommendation 8</w:t>
            </w:r>
          </w:p>
          <w:p w14:paraId="15EBEA04" w14:textId="77777777" w:rsidR="00B11A7E" w:rsidRPr="00B11A7E" w:rsidRDefault="00B11A7E" w:rsidP="00B11A7E">
            <w:pPr>
              <w:spacing w:before="240" w:after="120"/>
              <w:rPr>
                <w:rFonts w:ascii="Calibri" w:hAnsi="Calibri" w:cs="Calibri"/>
                <w:bCs/>
                <w:iCs/>
              </w:rPr>
            </w:pPr>
            <w:r w:rsidRPr="00B11A7E">
              <w:rPr>
                <w:rFonts w:ascii="Calibri" w:hAnsi="Calibri" w:cs="Calibri"/>
                <w:bCs/>
                <w:iCs/>
              </w:rPr>
              <w:t xml:space="preserve">The committee </w:t>
            </w:r>
            <w:r w:rsidRPr="00B11A7E">
              <w:rPr>
                <w:rFonts w:asciiTheme="minorHAnsi" w:hAnsiTheme="minorHAnsi" w:cstheme="minorHAnsi"/>
                <w:bCs/>
                <w:iCs/>
              </w:rPr>
              <w:t>recommends</w:t>
            </w:r>
            <w:r w:rsidRPr="00B11A7E">
              <w:rPr>
                <w:rFonts w:ascii="Calibri" w:hAnsi="Calibri" w:cs="Calibri"/>
                <w:bCs/>
                <w:iCs/>
              </w:rPr>
              <w:t xml:space="preserve"> that the Australian Government amend the </w:t>
            </w:r>
            <w:r w:rsidRPr="00B11A7E">
              <w:rPr>
                <w:rFonts w:ascii="Calibri" w:hAnsi="Calibri" w:cs="Calibri"/>
                <w:bCs/>
                <w:i/>
              </w:rPr>
              <w:t>Fair Work Act 2009</w:t>
            </w:r>
            <w:r w:rsidRPr="00B11A7E">
              <w:rPr>
                <w:rFonts w:ascii="Calibri" w:hAnsi="Calibri" w:cs="Calibri"/>
                <w:bCs/>
                <w:iCs/>
              </w:rPr>
              <w:t xml:space="preserve"> to include provisions relating to the production of documents to permit holders, to: </w:t>
            </w:r>
          </w:p>
          <w:p w14:paraId="167D5FDE" w14:textId="77777777" w:rsidR="00B11A7E" w:rsidRPr="00B11A7E" w:rsidRDefault="00B11A7E" w:rsidP="00B11A7E">
            <w:pPr>
              <w:pStyle w:val="ListParagraph"/>
              <w:numPr>
                <w:ilvl w:val="0"/>
                <w:numId w:val="5"/>
              </w:numPr>
              <w:spacing w:before="120"/>
              <w:ind w:left="357" w:hanging="357"/>
              <w:rPr>
                <w:rFonts w:ascii="Calibri" w:hAnsi="Calibri" w:cs="Calibri"/>
                <w:bCs/>
                <w:iCs/>
                <w:sz w:val="24"/>
                <w:szCs w:val="24"/>
              </w:rPr>
            </w:pPr>
            <w:r w:rsidRPr="00B11A7E">
              <w:rPr>
                <w:rFonts w:ascii="Calibri" w:hAnsi="Calibri" w:cs="Calibri"/>
                <w:bCs/>
                <w:iCs/>
                <w:sz w:val="24"/>
                <w:szCs w:val="24"/>
              </w:rPr>
              <w:t>introduce a penalty for individuals or entities that provide false or misleading documents to a permit holder exercising right of entry; and</w:t>
            </w:r>
          </w:p>
          <w:p w14:paraId="62D374E7"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t>expand section 557C to apply to the failure to produce accurate documents to a permit holder exercising right of entry.</w:t>
            </w:r>
          </w:p>
          <w:p w14:paraId="5AC8EDFC" w14:textId="77777777" w:rsidR="00B11A7E" w:rsidRDefault="00B11A7E" w:rsidP="00A75541">
            <w:pPr>
              <w:spacing w:after="120"/>
              <w:rPr>
                <w:rFonts w:asciiTheme="minorHAnsi" w:hAnsiTheme="minorHAnsi" w:cstheme="minorHAnsi"/>
                <w:b/>
              </w:rPr>
            </w:pPr>
          </w:p>
        </w:tc>
        <w:tc>
          <w:tcPr>
            <w:tcW w:w="4508" w:type="dxa"/>
          </w:tcPr>
          <w:p w14:paraId="3CD91AF4" w14:textId="7777777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t>Accepted in-principle.</w:t>
            </w:r>
          </w:p>
          <w:p w14:paraId="6FEBE279" w14:textId="77777777" w:rsidR="00B11A7E" w:rsidRPr="00EF22A7" w:rsidRDefault="00B11A7E" w:rsidP="00B11A7E">
            <w:pPr>
              <w:rPr>
                <w:rFonts w:asciiTheme="minorHAnsi" w:hAnsiTheme="minorHAnsi" w:cstheme="minorHAnsi"/>
                <w:i/>
              </w:rPr>
            </w:pPr>
          </w:p>
          <w:p w14:paraId="475C2202" w14:textId="3AE0B458"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 Government appreciates that in some circumstances, conduct that prevents a permit holder from effectively investigating a suspected contravention is treated differently than if the same had occurred with a Fair Work Inspector. The Government will </w:t>
            </w:r>
            <w:bookmarkStart w:id="8" w:name="_Hlk109382789"/>
            <w:r w:rsidR="00374D9C">
              <w:rPr>
                <w:rFonts w:asciiTheme="minorHAnsi" w:hAnsiTheme="minorHAnsi" w:cstheme="minorHAnsi"/>
                <w:iCs/>
              </w:rPr>
              <w:t>continue to monitor</w:t>
            </w:r>
            <w:r w:rsidRPr="00B11A7E">
              <w:rPr>
                <w:rFonts w:asciiTheme="minorHAnsi" w:hAnsiTheme="minorHAnsi" w:cstheme="minorHAnsi"/>
                <w:iCs/>
              </w:rPr>
              <w:t xml:space="preserve"> the effectiveness of the right of entry framework in deterring the provision of false and misleading documents, to ensure that it is appropriate to enforce the workplace rights of employees.</w:t>
            </w:r>
            <w:bookmarkEnd w:id="8"/>
          </w:p>
          <w:p w14:paraId="34918FDA" w14:textId="77777777" w:rsidR="00B11A7E" w:rsidRPr="00B11A7E" w:rsidRDefault="00B11A7E" w:rsidP="00B11A7E">
            <w:pPr>
              <w:rPr>
                <w:rFonts w:asciiTheme="minorHAnsi" w:hAnsiTheme="minorHAnsi" w:cstheme="minorHAnsi"/>
                <w:iCs/>
              </w:rPr>
            </w:pPr>
          </w:p>
          <w:p w14:paraId="4F4871F7"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 Government notes that the Fair Work Act already provides penalties for individuals who refuse entry, delay, hinder or obstruct a permit holder, including by providing false or misleading documents. The Government also considers that the proposed amendment to section 557C of the Fair Work Act is not required, because section 557C would already apply to the failure to produce accurate documents, including to a permit holder exercising right of entry. </w:t>
            </w:r>
          </w:p>
          <w:p w14:paraId="695ECDC3" w14:textId="77777777" w:rsidR="00B11A7E" w:rsidRDefault="00B11A7E" w:rsidP="00A75541">
            <w:pPr>
              <w:spacing w:after="120"/>
              <w:rPr>
                <w:rFonts w:asciiTheme="minorHAnsi" w:hAnsiTheme="minorHAnsi" w:cstheme="minorHAnsi"/>
                <w:b/>
              </w:rPr>
            </w:pPr>
          </w:p>
        </w:tc>
      </w:tr>
      <w:tr w:rsidR="00B11A7E" w14:paraId="7258D1A1" w14:textId="77777777" w:rsidTr="00B11A7E">
        <w:tc>
          <w:tcPr>
            <w:tcW w:w="4508" w:type="dxa"/>
          </w:tcPr>
          <w:p w14:paraId="6BCD821B" w14:textId="5054DA93"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t>Recommendation 9</w:t>
            </w:r>
          </w:p>
          <w:p w14:paraId="62520B13" w14:textId="77777777" w:rsidR="00B11A7E" w:rsidRDefault="00B11A7E" w:rsidP="00B11A7E">
            <w:pPr>
              <w:rPr>
                <w:rFonts w:asciiTheme="minorHAnsi" w:hAnsiTheme="minorHAnsi" w:cstheme="minorHAnsi"/>
                <w:b/>
              </w:rPr>
            </w:pPr>
          </w:p>
          <w:p w14:paraId="4605420A" w14:textId="77777777" w:rsidR="00B11A7E" w:rsidRPr="00B11A7E" w:rsidRDefault="00B11A7E" w:rsidP="00B11A7E">
            <w:pPr>
              <w:rPr>
                <w:rFonts w:ascii="Calibri" w:hAnsi="Calibri" w:cs="Calibri"/>
                <w:bCs/>
                <w:iCs/>
              </w:rPr>
            </w:pPr>
            <w:r w:rsidRPr="00B11A7E">
              <w:rPr>
                <w:rFonts w:ascii="Calibri" w:hAnsi="Calibri" w:cs="Calibri"/>
                <w:bCs/>
                <w:iCs/>
              </w:rPr>
              <w:t xml:space="preserve">The committee recommends that the Australian Government consider bringing forward amendments to the </w:t>
            </w:r>
            <w:r w:rsidRPr="00B11A7E">
              <w:rPr>
                <w:rFonts w:ascii="Calibri" w:hAnsi="Calibri" w:cs="Calibri"/>
                <w:bCs/>
                <w:i/>
              </w:rPr>
              <w:t>Superannuation Guarantee (Administration) Act 1992</w:t>
            </w:r>
            <w:r w:rsidRPr="00B11A7E">
              <w:rPr>
                <w:rFonts w:ascii="Calibri" w:hAnsi="Calibri" w:cs="Calibri"/>
                <w:bCs/>
                <w:iCs/>
              </w:rPr>
              <w:t xml:space="preserve"> to:</w:t>
            </w:r>
          </w:p>
          <w:p w14:paraId="52C359C4" w14:textId="77777777" w:rsidR="00B11A7E" w:rsidRPr="00B11A7E" w:rsidRDefault="00B11A7E" w:rsidP="00B11A7E">
            <w:pPr>
              <w:pStyle w:val="ListParagraph"/>
              <w:numPr>
                <w:ilvl w:val="0"/>
                <w:numId w:val="5"/>
              </w:numPr>
              <w:spacing w:before="120"/>
              <w:ind w:left="357" w:hanging="357"/>
              <w:rPr>
                <w:rFonts w:ascii="Calibri" w:hAnsi="Calibri" w:cs="Calibri"/>
                <w:bCs/>
                <w:iCs/>
                <w:sz w:val="24"/>
                <w:szCs w:val="24"/>
              </w:rPr>
            </w:pPr>
            <w:r w:rsidRPr="00B11A7E">
              <w:rPr>
                <w:rFonts w:ascii="Calibri" w:hAnsi="Calibri" w:cs="Calibri"/>
                <w:bCs/>
                <w:iCs/>
                <w:sz w:val="24"/>
                <w:szCs w:val="24"/>
              </w:rPr>
              <w:t xml:space="preserve">require Superannuation Guarantee payments to be aligned with the payment of </w:t>
            </w:r>
            <w:proofErr w:type="gramStart"/>
            <w:r w:rsidRPr="00B11A7E">
              <w:rPr>
                <w:rFonts w:ascii="Calibri" w:hAnsi="Calibri" w:cs="Calibri"/>
                <w:bCs/>
                <w:iCs/>
                <w:sz w:val="24"/>
                <w:szCs w:val="24"/>
              </w:rPr>
              <w:t>wages;</w:t>
            </w:r>
            <w:proofErr w:type="gramEnd"/>
          </w:p>
          <w:p w14:paraId="2B578FC4"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t>require Superannuation Guarantee payments to be made on every dollar earned to achieve simplicity and ease of compliance; and</w:t>
            </w:r>
          </w:p>
          <w:p w14:paraId="59332AB1" w14:textId="77777777" w:rsidR="00B11A7E" w:rsidRPr="00B11A7E" w:rsidRDefault="00B11A7E" w:rsidP="00B11A7E">
            <w:pPr>
              <w:pStyle w:val="ListParagraph"/>
              <w:numPr>
                <w:ilvl w:val="0"/>
                <w:numId w:val="5"/>
              </w:numPr>
              <w:rPr>
                <w:rFonts w:ascii="Calibri" w:hAnsi="Calibri" w:cs="Calibri"/>
                <w:bCs/>
                <w:iCs/>
                <w:sz w:val="24"/>
                <w:szCs w:val="24"/>
              </w:rPr>
            </w:pPr>
            <w:r w:rsidRPr="00B11A7E">
              <w:rPr>
                <w:rFonts w:ascii="Calibri" w:hAnsi="Calibri" w:cs="Calibri"/>
                <w:bCs/>
                <w:iCs/>
                <w:sz w:val="24"/>
                <w:szCs w:val="24"/>
              </w:rPr>
              <w:lastRenderedPageBreak/>
              <w:t xml:space="preserve">consider an incremental implementation strategy, </w:t>
            </w:r>
            <w:proofErr w:type="gramStart"/>
            <w:r w:rsidRPr="00B11A7E">
              <w:rPr>
                <w:rFonts w:ascii="Calibri" w:hAnsi="Calibri" w:cs="Calibri"/>
                <w:bCs/>
                <w:iCs/>
                <w:sz w:val="24"/>
                <w:szCs w:val="24"/>
              </w:rPr>
              <w:t>similar to</w:t>
            </w:r>
            <w:proofErr w:type="gramEnd"/>
            <w:r w:rsidRPr="00B11A7E">
              <w:rPr>
                <w:rFonts w:ascii="Calibri" w:hAnsi="Calibri" w:cs="Calibri"/>
                <w:bCs/>
                <w:iCs/>
                <w:sz w:val="24"/>
                <w:szCs w:val="24"/>
              </w:rPr>
              <w:t xml:space="preserve"> that used for the rollout of Single Touch Payroll, to ensure small businesses are adequately prepared for changes to the timing of Superannuation Guarantee payments.</w:t>
            </w:r>
          </w:p>
          <w:p w14:paraId="68C6A451" w14:textId="77777777" w:rsidR="00B11A7E" w:rsidRDefault="00B11A7E" w:rsidP="00A75541">
            <w:pPr>
              <w:spacing w:after="120"/>
              <w:rPr>
                <w:rFonts w:asciiTheme="minorHAnsi" w:hAnsiTheme="minorHAnsi" w:cstheme="minorHAnsi"/>
                <w:b/>
              </w:rPr>
            </w:pPr>
          </w:p>
        </w:tc>
        <w:tc>
          <w:tcPr>
            <w:tcW w:w="4508" w:type="dxa"/>
          </w:tcPr>
          <w:p w14:paraId="59ACAD41" w14:textId="77777777" w:rsidR="00B11A7E" w:rsidRPr="00B11A7E" w:rsidRDefault="00B11A7E" w:rsidP="00B11A7E">
            <w:pPr>
              <w:rPr>
                <w:rFonts w:asciiTheme="minorHAnsi" w:hAnsiTheme="minorHAnsi" w:cstheme="minorHAnsi"/>
                <w:b/>
                <w:bCs/>
                <w:iCs/>
              </w:rPr>
            </w:pPr>
            <w:r w:rsidRPr="00B11A7E">
              <w:rPr>
                <w:rFonts w:asciiTheme="minorHAnsi" w:hAnsiTheme="minorHAnsi" w:cstheme="minorHAnsi"/>
                <w:b/>
                <w:bCs/>
                <w:iCs/>
              </w:rPr>
              <w:lastRenderedPageBreak/>
              <w:t>Accepted in-principle.</w:t>
            </w:r>
          </w:p>
          <w:p w14:paraId="507F81C3" w14:textId="77777777" w:rsidR="00B11A7E" w:rsidRPr="00C71E9D" w:rsidRDefault="00B11A7E" w:rsidP="00B11A7E">
            <w:pPr>
              <w:rPr>
                <w:rFonts w:asciiTheme="minorHAnsi" w:hAnsiTheme="minorHAnsi" w:cstheme="minorHAnsi"/>
                <w:i/>
              </w:rPr>
            </w:pPr>
          </w:p>
          <w:p w14:paraId="46A1E5F0"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 xml:space="preserve">The Government is committed to ensuring that employees receive the entirety of their lawful entitlements, including superannuation. </w:t>
            </w:r>
          </w:p>
          <w:p w14:paraId="4BFF08B2" w14:textId="77777777" w:rsidR="00B11A7E" w:rsidRPr="00B11A7E" w:rsidRDefault="00B11A7E" w:rsidP="00B11A7E">
            <w:pPr>
              <w:rPr>
                <w:rFonts w:asciiTheme="minorHAnsi" w:hAnsiTheme="minorHAnsi" w:cstheme="minorHAnsi"/>
                <w:iCs/>
              </w:rPr>
            </w:pPr>
          </w:p>
          <w:p w14:paraId="11FD6CB5"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t>That is why the Government has committed to including superannuation in the Fair Work Act (see response to Recommendation 10); and to set targets for the Australian Taxation Office for the recovery of unpaid Superannuation Guarantee amounts.</w:t>
            </w:r>
          </w:p>
          <w:p w14:paraId="42401FA4" w14:textId="77777777" w:rsidR="00B11A7E" w:rsidRPr="00B11A7E" w:rsidRDefault="00B11A7E" w:rsidP="00B11A7E">
            <w:pPr>
              <w:rPr>
                <w:rFonts w:asciiTheme="minorHAnsi" w:hAnsiTheme="minorHAnsi" w:cstheme="minorHAnsi"/>
                <w:iCs/>
              </w:rPr>
            </w:pPr>
          </w:p>
          <w:p w14:paraId="310A9FC9" w14:textId="77777777" w:rsidR="00B11A7E" w:rsidRPr="00B11A7E" w:rsidRDefault="00B11A7E" w:rsidP="00B11A7E">
            <w:pPr>
              <w:rPr>
                <w:rFonts w:asciiTheme="minorHAnsi" w:hAnsiTheme="minorHAnsi" w:cstheme="minorHAnsi"/>
                <w:iCs/>
              </w:rPr>
            </w:pPr>
            <w:r w:rsidRPr="00B11A7E">
              <w:rPr>
                <w:rFonts w:asciiTheme="minorHAnsi" w:hAnsiTheme="minorHAnsi" w:cstheme="minorHAnsi"/>
                <w:iCs/>
              </w:rPr>
              <w:lastRenderedPageBreak/>
              <w:t xml:space="preserve">The Government will </w:t>
            </w:r>
            <w:bookmarkStart w:id="9" w:name="_Hlk109382812"/>
            <w:r w:rsidRPr="00B11A7E">
              <w:rPr>
                <w:rFonts w:asciiTheme="minorHAnsi" w:hAnsiTheme="minorHAnsi" w:cstheme="minorHAnsi"/>
                <w:iCs/>
              </w:rPr>
              <w:t>consider the desirability of these proposed amendments to the Superannuation Guarantee (Administration) Act.</w:t>
            </w:r>
            <w:bookmarkEnd w:id="9"/>
          </w:p>
          <w:p w14:paraId="279AA280" w14:textId="77777777" w:rsidR="00B11A7E" w:rsidRDefault="00B11A7E" w:rsidP="00A75541">
            <w:pPr>
              <w:spacing w:after="120"/>
              <w:rPr>
                <w:rFonts w:asciiTheme="minorHAnsi" w:hAnsiTheme="minorHAnsi" w:cstheme="minorHAnsi"/>
                <w:b/>
              </w:rPr>
            </w:pPr>
          </w:p>
        </w:tc>
      </w:tr>
      <w:tr w:rsidR="00B11A7E" w14:paraId="60376B9D" w14:textId="77777777" w:rsidTr="00B11A7E">
        <w:tc>
          <w:tcPr>
            <w:tcW w:w="4508" w:type="dxa"/>
          </w:tcPr>
          <w:p w14:paraId="73CAA4A0" w14:textId="03E33587" w:rsidR="00B11A7E" w:rsidRPr="00355061" w:rsidRDefault="00B11A7E" w:rsidP="00355061">
            <w:pPr>
              <w:rPr>
                <w:rFonts w:asciiTheme="minorHAnsi" w:hAnsiTheme="minorHAnsi" w:cstheme="minorHAnsi"/>
                <w:b/>
                <w:bCs/>
                <w:iCs/>
              </w:rPr>
            </w:pPr>
            <w:r w:rsidRPr="00355061">
              <w:rPr>
                <w:rFonts w:asciiTheme="minorHAnsi" w:hAnsiTheme="minorHAnsi" w:cstheme="minorHAnsi"/>
                <w:b/>
                <w:bCs/>
                <w:iCs/>
              </w:rPr>
              <w:lastRenderedPageBreak/>
              <w:t>Recommendation 10</w:t>
            </w:r>
          </w:p>
          <w:p w14:paraId="3E89324B" w14:textId="77777777" w:rsidR="00355061" w:rsidRDefault="00355061" w:rsidP="00355061">
            <w:pPr>
              <w:rPr>
                <w:rFonts w:asciiTheme="minorHAnsi" w:hAnsiTheme="minorHAnsi" w:cstheme="minorHAnsi"/>
                <w:b/>
              </w:rPr>
            </w:pPr>
          </w:p>
          <w:p w14:paraId="401A73CE" w14:textId="77777777" w:rsidR="00B11A7E" w:rsidRPr="00355061" w:rsidRDefault="00B11A7E" w:rsidP="00B11A7E">
            <w:pPr>
              <w:rPr>
                <w:rFonts w:asciiTheme="minorHAnsi" w:hAnsiTheme="minorHAnsi" w:cstheme="minorHAnsi"/>
                <w:bCs/>
                <w:iCs/>
              </w:rPr>
            </w:pPr>
            <w:r w:rsidRPr="00355061">
              <w:rPr>
                <w:rFonts w:asciiTheme="minorHAnsi" w:hAnsiTheme="minorHAnsi" w:cstheme="minorHAnsi"/>
                <w:bCs/>
                <w:iCs/>
              </w:rPr>
              <w:t>The committee recommends that the Australian Government include superannuation in the National Employment Standards.</w:t>
            </w:r>
          </w:p>
          <w:p w14:paraId="44FBA1F4" w14:textId="77777777" w:rsidR="00B11A7E" w:rsidRDefault="00B11A7E" w:rsidP="00A75541">
            <w:pPr>
              <w:spacing w:after="120"/>
              <w:rPr>
                <w:rFonts w:asciiTheme="minorHAnsi" w:hAnsiTheme="minorHAnsi" w:cstheme="minorHAnsi"/>
                <w:b/>
              </w:rPr>
            </w:pPr>
          </w:p>
        </w:tc>
        <w:tc>
          <w:tcPr>
            <w:tcW w:w="4508" w:type="dxa"/>
          </w:tcPr>
          <w:p w14:paraId="5871EF3D" w14:textId="77777777" w:rsidR="00B11A7E" w:rsidRPr="008E24B5" w:rsidRDefault="00B11A7E" w:rsidP="00B11A7E">
            <w:pPr>
              <w:rPr>
                <w:rFonts w:asciiTheme="minorHAnsi" w:hAnsiTheme="minorHAnsi" w:cstheme="minorHAnsi"/>
                <w:b/>
                <w:bCs/>
                <w:iCs/>
              </w:rPr>
            </w:pPr>
            <w:r w:rsidRPr="008E24B5">
              <w:rPr>
                <w:rFonts w:asciiTheme="minorHAnsi" w:hAnsiTheme="minorHAnsi" w:cstheme="minorHAnsi"/>
                <w:b/>
                <w:bCs/>
                <w:iCs/>
              </w:rPr>
              <w:t xml:space="preserve">Accepted. </w:t>
            </w:r>
          </w:p>
          <w:p w14:paraId="25F3E276" w14:textId="77777777" w:rsidR="00B11A7E" w:rsidRPr="0070794D" w:rsidRDefault="00B11A7E" w:rsidP="00B11A7E">
            <w:pPr>
              <w:rPr>
                <w:rFonts w:asciiTheme="minorHAnsi" w:hAnsiTheme="minorHAnsi" w:cstheme="minorHAnsi"/>
                <w:i/>
              </w:rPr>
            </w:pPr>
          </w:p>
          <w:p w14:paraId="7C1D53E0" w14:textId="77777777" w:rsidR="00B11A7E" w:rsidRDefault="00B11A7E" w:rsidP="00355061">
            <w:pPr>
              <w:rPr>
                <w:rFonts w:asciiTheme="minorHAnsi" w:hAnsiTheme="minorHAnsi" w:cstheme="minorHAnsi"/>
                <w:iCs/>
              </w:rPr>
            </w:pPr>
            <w:r w:rsidRPr="00355061">
              <w:rPr>
                <w:rFonts w:asciiTheme="minorHAnsi" w:hAnsiTheme="minorHAnsi" w:cstheme="minorHAnsi"/>
                <w:iCs/>
              </w:rPr>
              <w:t xml:space="preserve">Consistent with its commitment in the </w:t>
            </w:r>
            <w:r w:rsidRPr="00355061">
              <w:rPr>
                <w:rFonts w:asciiTheme="minorHAnsi" w:hAnsiTheme="minorHAnsi" w:cstheme="minorHAnsi"/>
                <w:i/>
              </w:rPr>
              <w:t>Secure Australian Jobs Plan</w:t>
            </w:r>
            <w:r w:rsidRPr="00355061">
              <w:rPr>
                <w:rFonts w:asciiTheme="minorHAnsi" w:hAnsiTheme="minorHAnsi" w:cstheme="minorHAnsi"/>
                <w:iCs/>
              </w:rPr>
              <w:t>, the Government will introduce legislation in due course to include superannuation in the Fair Work Act to ensure that more people can directly pursue their employer for unpaid superannuation debts.</w:t>
            </w:r>
          </w:p>
          <w:p w14:paraId="0480E755" w14:textId="2E75E6A0" w:rsidR="00355061" w:rsidRPr="00355061" w:rsidRDefault="00355061" w:rsidP="00355061">
            <w:pPr>
              <w:rPr>
                <w:rFonts w:asciiTheme="minorHAnsi" w:hAnsiTheme="minorHAnsi" w:cstheme="minorHAnsi"/>
                <w:iCs/>
              </w:rPr>
            </w:pPr>
          </w:p>
        </w:tc>
      </w:tr>
      <w:tr w:rsidR="00B11A7E" w14:paraId="293B12F3" w14:textId="77777777" w:rsidTr="00B11A7E">
        <w:tc>
          <w:tcPr>
            <w:tcW w:w="4508" w:type="dxa"/>
          </w:tcPr>
          <w:p w14:paraId="60E73F2F" w14:textId="09704AAD" w:rsidR="00B11A7E" w:rsidRPr="00355061" w:rsidRDefault="00B11A7E" w:rsidP="00355061">
            <w:pPr>
              <w:rPr>
                <w:rFonts w:asciiTheme="minorHAnsi" w:hAnsiTheme="minorHAnsi" w:cstheme="minorHAnsi"/>
                <w:b/>
                <w:bCs/>
                <w:iCs/>
              </w:rPr>
            </w:pPr>
            <w:r w:rsidRPr="00355061">
              <w:rPr>
                <w:rFonts w:asciiTheme="minorHAnsi" w:hAnsiTheme="minorHAnsi" w:cstheme="minorHAnsi"/>
                <w:b/>
                <w:bCs/>
                <w:iCs/>
              </w:rPr>
              <w:t>Recommendation 11</w:t>
            </w:r>
          </w:p>
          <w:p w14:paraId="33ED81F3" w14:textId="77777777" w:rsidR="00355061" w:rsidRDefault="00355061" w:rsidP="00355061">
            <w:pPr>
              <w:rPr>
                <w:rFonts w:asciiTheme="minorHAnsi" w:hAnsiTheme="minorHAnsi" w:cstheme="minorHAnsi"/>
                <w:b/>
              </w:rPr>
            </w:pPr>
          </w:p>
          <w:p w14:paraId="226FCD84" w14:textId="77777777" w:rsidR="00B11A7E" w:rsidRPr="00355061" w:rsidRDefault="00B11A7E" w:rsidP="00B11A7E">
            <w:pPr>
              <w:rPr>
                <w:rFonts w:asciiTheme="minorHAnsi" w:hAnsiTheme="minorHAnsi" w:cstheme="minorHAnsi"/>
                <w:bCs/>
                <w:iCs/>
              </w:rPr>
            </w:pPr>
            <w:r w:rsidRPr="00355061">
              <w:rPr>
                <w:rFonts w:asciiTheme="minorHAnsi" w:hAnsiTheme="minorHAnsi" w:cstheme="minorHAnsi"/>
                <w:bCs/>
                <w:iCs/>
              </w:rPr>
              <w:t>The committee recommends that the Australian government consider including superannuation in the Fair Entitlements Guarantee payments.</w:t>
            </w:r>
          </w:p>
          <w:p w14:paraId="52521861" w14:textId="77777777" w:rsidR="00B11A7E" w:rsidRDefault="00B11A7E" w:rsidP="00A75541">
            <w:pPr>
              <w:spacing w:after="120"/>
              <w:rPr>
                <w:rFonts w:asciiTheme="minorHAnsi" w:hAnsiTheme="minorHAnsi" w:cstheme="minorHAnsi"/>
                <w:b/>
              </w:rPr>
            </w:pPr>
          </w:p>
        </w:tc>
        <w:tc>
          <w:tcPr>
            <w:tcW w:w="4508" w:type="dxa"/>
          </w:tcPr>
          <w:p w14:paraId="62538F8C" w14:textId="77777777" w:rsidR="00B11A7E" w:rsidRPr="00355061" w:rsidRDefault="00B11A7E" w:rsidP="00B11A7E">
            <w:pPr>
              <w:rPr>
                <w:rFonts w:asciiTheme="minorHAnsi" w:hAnsiTheme="minorHAnsi" w:cstheme="minorHAnsi"/>
                <w:b/>
                <w:bCs/>
                <w:iCs/>
              </w:rPr>
            </w:pPr>
            <w:r w:rsidRPr="00355061">
              <w:rPr>
                <w:rFonts w:asciiTheme="minorHAnsi" w:hAnsiTheme="minorHAnsi" w:cstheme="minorHAnsi"/>
                <w:b/>
                <w:bCs/>
                <w:iCs/>
              </w:rPr>
              <w:t>Noted.</w:t>
            </w:r>
          </w:p>
          <w:p w14:paraId="3AB6DA22" w14:textId="77777777" w:rsidR="00B11A7E" w:rsidRPr="00C14D07" w:rsidRDefault="00B11A7E" w:rsidP="00B11A7E">
            <w:pPr>
              <w:rPr>
                <w:rFonts w:asciiTheme="minorHAnsi" w:hAnsiTheme="minorHAnsi" w:cstheme="minorHAnsi"/>
                <w:i/>
              </w:rPr>
            </w:pPr>
          </w:p>
          <w:p w14:paraId="13DB0FE3"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The Government will consider the desirability of guaranteeing unpaid superannuation entitlements in insolvency.  Further consideration of this recommendation will include examination of costs and benefits, including moral hazard aspects, as well as interactions with other measures to address superannuation non-compliance.</w:t>
            </w:r>
          </w:p>
          <w:p w14:paraId="55FD4085" w14:textId="77777777" w:rsidR="00B11A7E" w:rsidRPr="00355061" w:rsidRDefault="00B11A7E" w:rsidP="00B11A7E">
            <w:pPr>
              <w:rPr>
                <w:rFonts w:asciiTheme="minorHAnsi" w:hAnsiTheme="minorHAnsi" w:cstheme="minorHAnsi"/>
                <w:iCs/>
              </w:rPr>
            </w:pPr>
          </w:p>
          <w:p w14:paraId="049B95AB" w14:textId="77777777" w:rsidR="00B11A7E" w:rsidRDefault="00B11A7E" w:rsidP="00355061">
            <w:pPr>
              <w:rPr>
                <w:rFonts w:asciiTheme="minorHAnsi" w:hAnsiTheme="minorHAnsi" w:cstheme="minorHAnsi"/>
                <w:iCs/>
              </w:rPr>
            </w:pPr>
            <w:r w:rsidRPr="00355061">
              <w:rPr>
                <w:rFonts w:asciiTheme="minorHAnsi" w:hAnsiTheme="minorHAnsi" w:cstheme="minorHAnsi"/>
                <w:iCs/>
              </w:rPr>
              <w:t xml:space="preserve">The Government notes that improved compliance by employers in meeting their obligations is preferable to reliance on a government guarantee to ensure that workers receive their superannuation entitlements. </w:t>
            </w:r>
          </w:p>
          <w:p w14:paraId="327E1010" w14:textId="36F23302" w:rsidR="00D727DB" w:rsidRPr="00355061" w:rsidRDefault="00D727DB" w:rsidP="00355061">
            <w:pPr>
              <w:rPr>
                <w:rFonts w:asciiTheme="minorHAnsi" w:hAnsiTheme="minorHAnsi" w:cstheme="minorHAnsi"/>
                <w:iCs/>
              </w:rPr>
            </w:pPr>
          </w:p>
        </w:tc>
      </w:tr>
      <w:tr w:rsidR="00B11A7E" w14:paraId="649D967E" w14:textId="77777777" w:rsidTr="00B11A7E">
        <w:tc>
          <w:tcPr>
            <w:tcW w:w="4508" w:type="dxa"/>
          </w:tcPr>
          <w:p w14:paraId="1C6A5D5E" w14:textId="6A92DAC3" w:rsidR="00B11A7E" w:rsidRDefault="00B11A7E" w:rsidP="00355061">
            <w:pPr>
              <w:rPr>
                <w:rFonts w:asciiTheme="minorHAnsi" w:hAnsiTheme="minorHAnsi" w:cstheme="minorHAnsi"/>
                <w:b/>
              </w:rPr>
            </w:pPr>
            <w:r w:rsidRPr="00594A0A">
              <w:rPr>
                <w:rFonts w:asciiTheme="minorHAnsi" w:hAnsiTheme="minorHAnsi" w:cstheme="minorHAnsi"/>
                <w:b/>
              </w:rPr>
              <w:t xml:space="preserve">Recommendation </w:t>
            </w:r>
            <w:r>
              <w:rPr>
                <w:rFonts w:asciiTheme="minorHAnsi" w:hAnsiTheme="minorHAnsi" w:cstheme="minorHAnsi"/>
                <w:b/>
              </w:rPr>
              <w:t>12</w:t>
            </w:r>
          </w:p>
          <w:p w14:paraId="1EDF698C" w14:textId="77777777" w:rsidR="00355061" w:rsidRDefault="00355061" w:rsidP="00355061">
            <w:pPr>
              <w:rPr>
                <w:rFonts w:asciiTheme="minorHAnsi" w:hAnsiTheme="minorHAnsi" w:cstheme="minorHAnsi"/>
                <w:b/>
              </w:rPr>
            </w:pPr>
          </w:p>
          <w:p w14:paraId="378C9D0A" w14:textId="77777777" w:rsidR="00B11A7E" w:rsidRPr="00355061" w:rsidRDefault="00B11A7E" w:rsidP="00B11A7E">
            <w:pPr>
              <w:rPr>
                <w:rFonts w:ascii="Calibri" w:hAnsi="Calibri" w:cs="Calibri"/>
                <w:bCs/>
                <w:iCs/>
              </w:rPr>
            </w:pPr>
            <w:r w:rsidRPr="00355061">
              <w:rPr>
                <w:rFonts w:ascii="Calibri" w:hAnsi="Calibri" w:cs="Calibri"/>
                <w:bCs/>
                <w:iCs/>
              </w:rPr>
              <w:t xml:space="preserve">The committee recommends that the Australian Taxation Office improve its communication with individuals to keep them promptly and fully informed of the progress and outcomes regarding their Superannuation Guarantee non-compliance cases, including: </w:t>
            </w:r>
          </w:p>
          <w:p w14:paraId="287163D3" w14:textId="77777777" w:rsidR="00B11A7E" w:rsidRPr="00355061" w:rsidRDefault="00B11A7E" w:rsidP="00B11A7E">
            <w:pPr>
              <w:pStyle w:val="ListParagraph"/>
              <w:numPr>
                <w:ilvl w:val="0"/>
                <w:numId w:val="5"/>
              </w:numPr>
              <w:spacing w:before="120"/>
              <w:ind w:left="357" w:hanging="357"/>
              <w:rPr>
                <w:rFonts w:ascii="Calibri" w:hAnsi="Calibri" w:cs="Calibri"/>
                <w:bCs/>
                <w:iCs/>
                <w:sz w:val="24"/>
                <w:szCs w:val="24"/>
              </w:rPr>
            </w:pPr>
            <w:r w:rsidRPr="00355061">
              <w:rPr>
                <w:rFonts w:ascii="Calibri" w:hAnsi="Calibri" w:cs="Calibri"/>
                <w:bCs/>
                <w:iCs/>
                <w:sz w:val="24"/>
                <w:szCs w:val="24"/>
              </w:rPr>
              <w:lastRenderedPageBreak/>
              <w:t xml:space="preserve">that before </w:t>
            </w:r>
            <w:proofErr w:type="gramStart"/>
            <w:r w:rsidRPr="00355061">
              <w:rPr>
                <w:rFonts w:ascii="Calibri" w:hAnsi="Calibri" w:cs="Calibri"/>
                <w:bCs/>
                <w:iCs/>
                <w:sz w:val="24"/>
                <w:szCs w:val="24"/>
              </w:rPr>
              <w:t>entering into</w:t>
            </w:r>
            <w:proofErr w:type="gramEnd"/>
            <w:r w:rsidRPr="00355061">
              <w:rPr>
                <w:rFonts w:ascii="Calibri" w:hAnsi="Calibri" w:cs="Calibri"/>
                <w:bCs/>
                <w:iCs/>
                <w:sz w:val="24"/>
                <w:szCs w:val="24"/>
              </w:rPr>
              <w:t xml:space="preserve"> a payment plan to recover Superannuation Guarantee payments from a non-compliant employer, the Australian Taxation Office be required to notify the affected employee and gain their consent to the course of action; and </w:t>
            </w:r>
          </w:p>
          <w:p w14:paraId="210F4B4E" w14:textId="77777777" w:rsidR="00B11A7E" w:rsidRPr="00355061" w:rsidRDefault="00B11A7E" w:rsidP="00B11A7E">
            <w:pPr>
              <w:pStyle w:val="ListParagraph"/>
              <w:numPr>
                <w:ilvl w:val="0"/>
                <w:numId w:val="5"/>
              </w:numPr>
              <w:rPr>
                <w:rFonts w:ascii="Calibri" w:hAnsi="Calibri" w:cs="Calibri"/>
                <w:bCs/>
                <w:iCs/>
                <w:sz w:val="24"/>
                <w:szCs w:val="24"/>
              </w:rPr>
            </w:pPr>
            <w:r w:rsidRPr="00355061">
              <w:rPr>
                <w:rFonts w:ascii="Calibri" w:hAnsi="Calibri" w:cs="Calibri"/>
                <w:bCs/>
                <w:iCs/>
                <w:sz w:val="24"/>
                <w:szCs w:val="24"/>
              </w:rPr>
              <w:t>that in determining a reasonable payment plan to recover Superannuation Guarantee payments from a non-compliant employer, the Australian Taxation Office must give primary consideration to the loss of retirement savings suffered by the employee.</w:t>
            </w:r>
          </w:p>
          <w:p w14:paraId="1451CAC9" w14:textId="77777777" w:rsidR="00B11A7E" w:rsidRDefault="00B11A7E" w:rsidP="00A75541">
            <w:pPr>
              <w:spacing w:after="120"/>
              <w:rPr>
                <w:rFonts w:asciiTheme="minorHAnsi" w:hAnsiTheme="minorHAnsi" w:cstheme="minorHAnsi"/>
                <w:b/>
              </w:rPr>
            </w:pPr>
          </w:p>
        </w:tc>
        <w:tc>
          <w:tcPr>
            <w:tcW w:w="4508" w:type="dxa"/>
          </w:tcPr>
          <w:p w14:paraId="174574D3" w14:textId="77777777" w:rsidR="00B11A7E" w:rsidRPr="00355061" w:rsidRDefault="00B11A7E" w:rsidP="00B11A7E">
            <w:pPr>
              <w:rPr>
                <w:rFonts w:asciiTheme="minorHAnsi" w:hAnsiTheme="minorHAnsi" w:cstheme="minorHAnsi"/>
                <w:b/>
                <w:bCs/>
                <w:iCs/>
              </w:rPr>
            </w:pPr>
            <w:r w:rsidRPr="00355061">
              <w:rPr>
                <w:rFonts w:asciiTheme="minorHAnsi" w:hAnsiTheme="minorHAnsi" w:cstheme="minorHAnsi"/>
                <w:b/>
                <w:bCs/>
                <w:iCs/>
              </w:rPr>
              <w:lastRenderedPageBreak/>
              <w:t>Accepted in-principle.</w:t>
            </w:r>
          </w:p>
          <w:p w14:paraId="5E9F7FF1" w14:textId="77777777" w:rsidR="00B11A7E" w:rsidRPr="00355061" w:rsidRDefault="00B11A7E" w:rsidP="00B11A7E">
            <w:pPr>
              <w:rPr>
                <w:rFonts w:asciiTheme="minorHAnsi" w:hAnsiTheme="minorHAnsi" w:cstheme="minorHAnsi"/>
                <w:iCs/>
              </w:rPr>
            </w:pPr>
          </w:p>
          <w:p w14:paraId="27FC30B8"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 is supportive of keeping individuals fully informed about their unpaid superannuation cases and will consider the </w:t>
            </w:r>
            <w:bookmarkStart w:id="10" w:name="_Hlk109382852"/>
            <w:r w:rsidRPr="00355061">
              <w:rPr>
                <w:rFonts w:asciiTheme="minorHAnsi" w:hAnsiTheme="minorHAnsi" w:cstheme="minorHAnsi"/>
                <w:iCs/>
              </w:rPr>
              <w:t>proposals specified in this recommendation</w:t>
            </w:r>
            <w:bookmarkEnd w:id="10"/>
            <w:r w:rsidRPr="00355061">
              <w:rPr>
                <w:rFonts w:asciiTheme="minorHAnsi" w:hAnsiTheme="minorHAnsi" w:cstheme="minorHAnsi"/>
                <w:iCs/>
              </w:rPr>
              <w:t xml:space="preserve">.  </w:t>
            </w:r>
          </w:p>
          <w:p w14:paraId="10E5D977" w14:textId="77777777" w:rsidR="00B11A7E" w:rsidRPr="00355061" w:rsidRDefault="00B11A7E" w:rsidP="00B11A7E">
            <w:pPr>
              <w:rPr>
                <w:rFonts w:asciiTheme="minorHAnsi" w:hAnsiTheme="minorHAnsi" w:cstheme="minorHAnsi"/>
                <w:iCs/>
              </w:rPr>
            </w:pPr>
          </w:p>
          <w:p w14:paraId="5CD45CCE"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 notes that the Australian Taxation Office is currently reviewing how it </w:t>
            </w:r>
            <w:r w:rsidRPr="00355061">
              <w:rPr>
                <w:rFonts w:asciiTheme="minorHAnsi" w:hAnsiTheme="minorHAnsi" w:cstheme="minorHAnsi"/>
                <w:iCs/>
              </w:rPr>
              <w:lastRenderedPageBreak/>
              <w:t xml:space="preserve">can better keep individuals informed about the collection of their amounts of superannuation guarantee owing to them within the scope of current legislation.  </w:t>
            </w:r>
          </w:p>
          <w:p w14:paraId="20DD4B47" w14:textId="77777777" w:rsidR="00B11A7E" w:rsidRDefault="00B11A7E" w:rsidP="00A75541">
            <w:pPr>
              <w:spacing w:after="120"/>
              <w:rPr>
                <w:rFonts w:asciiTheme="minorHAnsi" w:hAnsiTheme="minorHAnsi" w:cstheme="minorHAnsi"/>
                <w:b/>
              </w:rPr>
            </w:pPr>
          </w:p>
        </w:tc>
      </w:tr>
      <w:tr w:rsidR="00B11A7E" w14:paraId="3EB66779" w14:textId="77777777" w:rsidTr="00B11A7E">
        <w:tc>
          <w:tcPr>
            <w:tcW w:w="4508" w:type="dxa"/>
          </w:tcPr>
          <w:p w14:paraId="126FBE54" w14:textId="4B6C9893" w:rsidR="00B11A7E" w:rsidRPr="00355061" w:rsidRDefault="00B11A7E" w:rsidP="00355061">
            <w:pPr>
              <w:rPr>
                <w:rFonts w:asciiTheme="minorHAnsi" w:hAnsiTheme="minorHAnsi" w:cstheme="minorHAnsi"/>
                <w:b/>
                <w:bCs/>
                <w:iCs/>
              </w:rPr>
            </w:pPr>
            <w:r w:rsidRPr="00355061">
              <w:rPr>
                <w:rFonts w:asciiTheme="minorHAnsi" w:hAnsiTheme="minorHAnsi" w:cstheme="minorHAnsi"/>
                <w:b/>
                <w:bCs/>
                <w:iCs/>
              </w:rPr>
              <w:lastRenderedPageBreak/>
              <w:t>Recommendation 13</w:t>
            </w:r>
          </w:p>
          <w:p w14:paraId="20261B0B" w14:textId="77777777" w:rsidR="00355061" w:rsidRPr="00355061" w:rsidRDefault="00355061" w:rsidP="00355061">
            <w:pPr>
              <w:rPr>
                <w:rFonts w:asciiTheme="minorHAnsi" w:hAnsiTheme="minorHAnsi" w:cstheme="minorHAnsi"/>
                <w:bCs/>
                <w:iCs/>
              </w:rPr>
            </w:pPr>
          </w:p>
          <w:p w14:paraId="63E55097" w14:textId="77777777" w:rsidR="00B11A7E" w:rsidRPr="00355061" w:rsidRDefault="00B11A7E" w:rsidP="00B11A7E">
            <w:pPr>
              <w:keepNext/>
              <w:keepLines/>
              <w:rPr>
                <w:rFonts w:ascii="Calibri" w:hAnsi="Calibri" w:cs="Calibri"/>
                <w:bCs/>
                <w:iCs/>
              </w:rPr>
            </w:pPr>
            <w:r w:rsidRPr="00355061">
              <w:rPr>
                <w:rFonts w:ascii="Calibri" w:hAnsi="Calibri" w:cs="Calibri"/>
                <w:bCs/>
                <w:iCs/>
              </w:rPr>
              <w:t xml:space="preserve">The committee recommends that the Australian Government review all current compliance and recovery activities related to unpaid Superannuation Guarantee contributions, including: </w:t>
            </w:r>
          </w:p>
          <w:p w14:paraId="6F5193E8" w14:textId="77777777" w:rsidR="00B11A7E" w:rsidRPr="00355061" w:rsidRDefault="00B11A7E" w:rsidP="00B11A7E">
            <w:pPr>
              <w:pStyle w:val="ListParagraph"/>
              <w:numPr>
                <w:ilvl w:val="0"/>
                <w:numId w:val="5"/>
              </w:numPr>
              <w:spacing w:before="120"/>
              <w:ind w:left="357" w:hanging="357"/>
              <w:rPr>
                <w:rFonts w:ascii="Calibri" w:hAnsi="Calibri" w:cs="Calibri"/>
                <w:bCs/>
                <w:iCs/>
                <w:sz w:val="24"/>
                <w:szCs w:val="24"/>
              </w:rPr>
            </w:pPr>
            <w:r w:rsidRPr="00355061">
              <w:rPr>
                <w:rFonts w:ascii="Calibri" w:hAnsi="Calibri" w:cs="Calibri"/>
                <w:bCs/>
                <w:iCs/>
                <w:sz w:val="24"/>
                <w:szCs w:val="24"/>
              </w:rPr>
              <w:t xml:space="preserve">determining which cases should remain with the Australian Taxation Office, and which ones could be transferred to, or shared with, the Fair Work Ombudsman or an alternative </w:t>
            </w:r>
            <w:proofErr w:type="gramStart"/>
            <w:r w:rsidRPr="00355061">
              <w:rPr>
                <w:rFonts w:ascii="Calibri" w:hAnsi="Calibri" w:cs="Calibri"/>
                <w:bCs/>
                <w:iCs/>
                <w:sz w:val="24"/>
                <w:szCs w:val="24"/>
              </w:rPr>
              <w:t>body;</w:t>
            </w:r>
            <w:proofErr w:type="gramEnd"/>
            <w:r w:rsidRPr="00355061">
              <w:rPr>
                <w:rFonts w:ascii="Calibri" w:hAnsi="Calibri" w:cs="Calibri"/>
                <w:bCs/>
                <w:iCs/>
                <w:sz w:val="24"/>
                <w:szCs w:val="24"/>
              </w:rPr>
              <w:t xml:space="preserve"> </w:t>
            </w:r>
          </w:p>
          <w:p w14:paraId="27A4306E" w14:textId="77777777" w:rsidR="00B11A7E" w:rsidRPr="00355061" w:rsidRDefault="00B11A7E" w:rsidP="00B11A7E">
            <w:pPr>
              <w:pStyle w:val="ListParagraph"/>
              <w:numPr>
                <w:ilvl w:val="0"/>
                <w:numId w:val="5"/>
              </w:numPr>
              <w:rPr>
                <w:rFonts w:ascii="Calibri" w:hAnsi="Calibri" w:cs="Calibri"/>
                <w:bCs/>
                <w:iCs/>
                <w:sz w:val="24"/>
                <w:szCs w:val="24"/>
              </w:rPr>
            </w:pPr>
            <w:r w:rsidRPr="00355061">
              <w:rPr>
                <w:rFonts w:ascii="Calibri" w:hAnsi="Calibri" w:cs="Calibri"/>
                <w:bCs/>
                <w:iCs/>
                <w:sz w:val="24"/>
                <w:szCs w:val="24"/>
              </w:rPr>
              <w:t xml:space="preserve">directing the Fair Work Ombudsman to begin receiving and acting on Superannuation Guarantee non-payment complaints where appropriate, rather than simply referring the affected employees to the Australian Taxation </w:t>
            </w:r>
            <w:proofErr w:type="gramStart"/>
            <w:r w:rsidRPr="00355061">
              <w:rPr>
                <w:rFonts w:ascii="Calibri" w:hAnsi="Calibri" w:cs="Calibri"/>
                <w:bCs/>
                <w:iCs/>
                <w:sz w:val="24"/>
                <w:szCs w:val="24"/>
              </w:rPr>
              <w:t>Office;</w:t>
            </w:r>
            <w:proofErr w:type="gramEnd"/>
            <w:r w:rsidRPr="00355061">
              <w:rPr>
                <w:rFonts w:ascii="Calibri" w:hAnsi="Calibri" w:cs="Calibri"/>
                <w:bCs/>
                <w:iCs/>
                <w:sz w:val="24"/>
                <w:szCs w:val="24"/>
              </w:rPr>
              <w:t xml:space="preserve"> </w:t>
            </w:r>
          </w:p>
          <w:p w14:paraId="60E2BD42" w14:textId="77777777" w:rsidR="00B11A7E" w:rsidRPr="00355061" w:rsidRDefault="00B11A7E" w:rsidP="00B11A7E">
            <w:pPr>
              <w:pStyle w:val="ListParagraph"/>
              <w:numPr>
                <w:ilvl w:val="0"/>
                <w:numId w:val="5"/>
              </w:numPr>
              <w:rPr>
                <w:rFonts w:ascii="Calibri" w:hAnsi="Calibri" w:cs="Calibri"/>
                <w:bCs/>
                <w:iCs/>
                <w:sz w:val="24"/>
                <w:szCs w:val="24"/>
              </w:rPr>
            </w:pPr>
            <w:r w:rsidRPr="00355061">
              <w:rPr>
                <w:rFonts w:ascii="Calibri" w:hAnsi="Calibri" w:cs="Calibri"/>
                <w:bCs/>
                <w:iCs/>
                <w:sz w:val="24"/>
                <w:szCs w:val="24"/>
              </w:rPr>
              <w:t xml:space="preserve">reviewing the Superannuation Guarantee contribution regime and its management by the Australian Taxation Office to ascertain whether it is adequately deterring underpayments and recovering unpaid Superannuation Guarantee entitlements; and </w:t>
            </w:r>
          </w:p>
          <w:p w14:paraId="758369E2" w14:textId="77777777" w:rsidR="00B11A7E" w:rsidRPr="00355061" w:rsidRDefault="00B11A7E" w:rsidP="00B11A7E">
            <w:pPr>
              <w:pStyle w:val="ListParagraph"/>
              <w:numPr>
                <w:ilvl w:val="0"/>
                <w:numId w:val="5"/>
              </w:numPr>
              <w:rPr>
                <w:rFonts w:ascii="Calibri" w:hAnsi="Calibri" w:cs="Calibri"/>
                <w:bCs/>
                <w:iCs/>
                <w:sz w:val="24"/>
                <w:szCs w:val="24"/>
              </w:rPr>
            </w:pPr>
            <w:r w:rsidRPr="00355061">
              <w:rPr>
                <w:rFonts w:ascii="Calibri" w:hAnsi="Calibri" w:cs="Calibri"/>
                <w:bCs/>
                <w:iCs/>
                <w:sz w:val="24"/>
                <w:szCs w:val="24"/>
              </w:rPr>
              <w:t>improving proactive Superannuation Guarantee initiatives including strengthening and increasing penalties for deliberate and repeated acts of non-</w:t>
            </w:r>
            <w:r w:rsidRPr="00355061">
              <w:rPr>
                <w:rFonts w:ascii="Calibri" w:hAnsi="Calibri" w:cs="Calibri"/>
                <w:bCs/>
                <w:iCs/>
                <w:sz w:val="24"/>
                <w:szCs w:val="24"/>
              </w:rPr>
              <w:lastRenderedPageBreak/>
              <w:t>compliance, the inclusion of random audits, and the publication of enforcement activities in relation to Superannuation Guarantee payments.</w:t>
            </w:r>
          </w:p>
          <w:p w14:paraId="0B6B038F" w14:textId="77777777" w:rsidR="00B11A7E" w:rsidRDefault="00B11A7E" w:rsidP="00A75541">
            <w:pPr>
              <w:spacing w:after="120"/>
              <w:rPr>
                <w:rFonts w:asciiTheme="minorHAnsi" w:hAnsiTheme="minorHAnsi" w:cstheme="minorHAnsi"/>
                <w:b/>
              </w:rPr>
            </w:pPr>
          </w:p>
        </w:tc>
        <w:tc>
          <w:tcPr>
            <w:tcW w:w="4508" w:type="dxa"/>
          </w:tcPr>
          <w:p w14:paraId="7BF91FFB" w14:textId="77777777" w:rsidR="00B11A7E" w:rsidRPr="008E24B5" w:rsidRDefault="00B11A7E" w:rsidP="00B11A7E">
            <w:pPr>
              <w:rPr>
                <w:rFonts w:asciiTheme="minorHAnsi" w:hAnsiTheme="minorHAnsi" w:cstheme="minorHAnsi"/>
                <w:b/>
                <w:bCs/>
                <w:iCs/>
              </w:rPr>
            </w:pPr>
            <w:r w:rsidRPr="008E24B5">
              <w:rPr>
                <w:rFonts w:asciiTheme="minorHAnsi" w:hAnsiTheme="minorHAnsi" w:cstheme="minorHAnsi"/>
                <w:b/>
                <w:bCs/>
                <w:iCs/>
              </w:rPr>
              <w:lastRenderedPageBreak/>
              <w:t>Noted.</w:t>
            </w:r>
          </w:p>
          <w:p w14:paraId="1F4CCDA9" w14:textId="77777777" w:rsidR="00B11A7E" w:rsidRPr="00723083" w:rsidRDefault="00B11A7E" w:rsidP="00B11A7E">
            <w:pPr>
              <w:rPr>
                <w:rFonts w:asciiTheme="minorHAnsi" w:hAnsiTheme="minorHAnsi" w:cstheme="minorHAnsi"/>
                <w:i/>
              </w:rPr>
            </w:pPr>
          </w:p>
          <w:p w14:paraId="607A7EF8"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 is committed to ensuring that the Australian Taxation Office and the Fair Work Ombudsman </w:t>
            </w:r>
            <w:proofErr w:type="gramStart"/>
            <w:r w:rsidRPr="00355061">
              <w:rPr>
                <w:rFonts w:asciiTheme="minorHAnsi" w:hAnsiTheme="minorHAnsi" w:cstheme="minorHAnsi"/>
                <w:iCs/>
              </w:rPr>
              <w:t>are able to</w:t>
            </w:r>
            <w:proofErr w:type="gramEnd"/>
            <w:r w:rsidRPr="00355061">
              <w:rPr>
                <w:rFonts w:asciiTheme="minorHAnsi" w:hAnsiTheme="minorHAnsi" w:cstheme="minorHAnsi"/>
                <w:iCs/>
              </w:rPr>
              <w:t xml:space="preserve"> continue to work together to ensure that employees receive all of their lawful entitlements in their respective jurisdictions. The Government notes that the Australian Taxation Office and the Fair Work Ombudsman collaborate closely in their compliance and recovery activities and have a memorandum of understanding for the sharing of superannuation-related information.</w:t>
            </w:r>
          </w:p>
          <w:p w14:paraId="5665E13C" w14:textId="77777777" w:rsidR="00B11A7E" w:rsidRPr="00355061" w:rsidRDefault="00B11A7E" w:rsidP="00B11A7E">
            <w:pPr>
              <w:rPr>
                <w:rFonts w:asciiTheme="minorHAnsi" w:hAnsiTheme="minorHAnsi" w:cstheme="minorHAnsi"/>
                <w:iCs/>
              </w:rPr>
            </w:pPr>
          </w:p>
          <w:p w14:paraId="1D7E9F47"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As in response to recommendation 9, the Government is committed to setting targets for the Australian Taxation Office for the recovery of unpaid Superannuation Guarantee amounts. The targets would be made public and reported annually. The Government will undertake further work to determine the specific targets and will announce these in due course.</w:t>
            </w:r>
          </w:p>
          <w:p w14:paraId="23744637" w14:textId="77777777" w:rsidR="00B11A7E" w:rsidRDefault="00B11A7E" w:rsidP="00A75541">
            <w:pPr>
              <w:spacing w:after="120"/>
              <w:rPr>
                <w:rFonts w:asciiTheme="minorHAnsi" w:hAnsiTheme="minorHAnsi" w:cstheme="minorHAnsi"/>
                <w:b/>
              </w:rPr>
            </w:pPr>
          </w:p>
        </w:tc>
      </w:tr>
      <w:tr w:rsidR="00B11A7E" w14:paraId="33903750" w14:textId="77777777" w:rsidTr="00B11A7E">
        <w:tc>
          <w:tcPr>
            <w:tcW w:w="4508" w:type="dxa"/>
          </w:tcPr>
          <w:p w14:paraId="646296DB" w14:textId="07FBD135" w:rsidR="00B11A7E" w:rsidRPr="00355061" w:rsidRDefault="00B11A7E" w:rsidP="00355061">
            <w:pPr>
              <w:rPr>
                <w:rFonts w:asciiTheme="minorHAnsi" w:hAnsiTheme="minorHAnsi" w:cstheme="minorHAnsi"/>
                <w:b/>
              </w:rPr>
            </w:pPr>
            <w:r w:rsidRPr="00355061">
              <w:rPr>
                <w:rFonts w:asciiTheme="minorHAnsi" w:hAnsiTheme="minorHAnsi" w:cstheme="minorHAnsi"/>
                <w:b/>
              </w:rPr>
              <w:t>Recommendation 14</w:t>
            </w:r>
          </w:p>
          <w:p w14:paraId="6295A01D" w14:textId="77777777" w:rsidR="00355061" w:rsidRPr="00355061" w:rsidRDefault="00355061" w:rsidP="00355061">
            <w:pPr>
              <w:rPr>
                <w:rFonts w:asciiTheme="minorHAnsi" w:hAnsiTheme="minorHAnsi" w:cstheme="minorHAnsi"/>
                <w:bCs/>
                <w:iCs/>
              </w:rPr>
            </w:pPr>
          </w:p>
          <w:p w14:paraId="35423E3B" w14:textId="77777777" w:rsidR="00B11A7E" w:rsidRPr="00355061" w:rsidRDefault="00B11A7E" w:rsidP="00B11A7E">
            <w:pPr>
              <w:rPr>
                <w:rFonts w:asciiTheme="minorHAnsi" w:hAnsiTheme="minorHAnsi" w:cstheme="minorHAnsi"/>
                <w:bCs/>
                <w:iCs/>
              </w:rPr>
            </w:pPr>
            <w:r w:rsidRPr="00355061">
              <w:rPr>
                <w:rFonts w:asciiTheme="minorHAnsi" w:hAnsiTheme="minorHAnsi" w:cstheme="minorHAnsi"/>
                <w:bCs/>
                <w:iCs/>
              </w:rPr>
              <w:t>The committee recommends that the Australian Government consider legislative options to give employees, or other parties acting on their behalf such as unions, superannuation funds, and legal representatives greater standing to assist in the recovery of unpaid superannuation.</w:t>
            </w:r>
          </w:p>
          <w:p w14:paraId="14A50696" w14:textId="77777777" w:rsidR="00B11A7E" w:rsidRDefault="00B11A7E" w:rsidP="00A75541">
            <w:pPr>
              <w:spacing w:after="120"/>
              <w:rPr>
                <w:rFonts w:asciiTheme="minorHAnsi" w:hAnsiTheme="minorHAnsi" w:cstheme="minorHAnsi"/>
                <w:b/>
              </w:rPr>
            </w:pPr>
          </w:p>
        </w:tc>
        <w:tc>
          <w:tcPr>
            <w:tcW w:w="4508" w:type="dxa"/>
          </w:tcPr>
          <w:p w14:paraId="59362EE6" w14:textId="1E87F791" w:rsidR="00B11A7E" w:rsidRPr="00355061" w:rsidRDefault="00B11A7E" w:rsidP="00B11A7E">
            <w:pPr>
              <w:rPr>
                <w:rFonts w:asciiTheme="minorHAnsi" w:hAnsiTheme="minorHAnsi" w:cstheme="minorHAnsi"/>
                <w:b/>
                <w:bCs/>
                <w:iCs/>
              </w:rPr>
            </w:pPr>
            <w:r w:rsidRPr="00355061">
              <w:rPr>
                <w:rFonts w:asciiTheme="minorHAnsi" w:hAnsiTheme="minorHAnsi" w:cstheme="minorHAnsi"/>
                <w:b/>
                <w:bCs/>
                <w:iCs/>
              </w:rPr>
              <w:t>Accepted.</w:t>
            </w:r>
          </w:p>
          <w:p w14:paraId="0EB22106" w14:textId="77777777" w:rsidR="00B11A7E" w:rsidRPr="00355061" w:rsidRDefault="00B11A7E" w:rsidP="00B11A7E">
            <w:pPr>
              <w:rPr>
                <w:rFonts w:asciiTheme="minorHAnsi" w:hAnsiTheme="minorHAnsi" w:cstheme="minorHAnsi"/>
                <w:iCs/>
              </w:rPr>
            </w:pPr>
          </w:p>
          <w:p w14:paraId="62A99322"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Government’s commitment to include superannuation in the Fair Work Act will provide certain employees, and other parties acting on their behalf, an avenue to pursue unpaid superannuation through the courts, where they are not currently able to do so because their awards or enterprise agreements do not have clauses to allow this.   </w:t>
            </w:r>
          </w:p>
          <w:p w14:paraId="19FA54B4" w14:textId="77777777" w:rsidR="00B11A7E" w:rsidRDefault="00B11A7E" w:rsidP="00A75541">
            <w:pPr>
              <w:spacing w:after="120"/>
              <w:rPr>
                <w:rFonts w:asciiTheme="minorHAnsi" w:hAnsiTheme="minorHAnsi" w:cstheme="minorHAnsi"/>
                <w:b/>
              </w:rPr>
            </w:pPr>
          </w:p>
        </w:tc>
      </w:tr>
      <w:tr w:rsidR="00B11A7E" w14:paraId="64FAB47B" w14:textId="77777777" w:rsidTr="00B11A7E">
        <w:tc>
          <w:tcPr>
            <w:tcW w:w="4508" w:type="dxa"/>
          </w:tcPr>
          <w:p w14:paraId="22A4184A" w14:textId="4DA5613D" w:rsidR="00B11A7E" w:rsidRPr="00355061" w:rsidRDefault="00B11A7E" w:rsidP="00355061">
            <w:pPr>
              <w:rPr>
                <w:rFonts w:asciiTheme="minorHAnsi" w:hAnsiTheme="minorHAnsi" w:cstheme="minorHAnsi"/>
                <w:b/>
                <w:bCs/>
                <w:iCs/>
              </w:rPr>
            </w:pPr>
            <w:r w:rsidRPr="00355061">
              <w:rPr>
                <w:rFonts w:asciiTheme="minorHAnsi" w:hAnsiTheme="minorHAnsi" w:cstheme="minorHAnsi"/>
                <w:b/>
                <w:bCs/>
                <w:iCs/>
              </w:rPr>
              <w:t>Recommendation 15</w:t>
            </w:r>
          </w:p>
          <w:p w14:paraId="5C903108" w14:textId="77777777" w:rsidR="00355061" w:rsidRDefault="00355061" w:rsidP="00355061">
            <w:pPr>
              <w:rPr>
                <w:rFonts w:asciiTheme="minorHAnsi" w:hAnsiTheme="minorHAnsi" w:cstheme="minorHAnsi"/>
                <w:b/>
              </w:rPr>
            </w:pPr>
          </w:p>
          <w:p w14:paraId="0C44904C" w14:textId="77777777" w:rsidR="00B11A7E" w:rsidRPr="00355061" w:rsidRDefault="00B11A7E" w:rsidP="00B11A7E">
            <w:pPr>
              <w:keepNext/>
              <w:keepLines/>
              <w:rPr>
                <w:rFonts w:asciiTheme="minorHAnsi" w:hAnsiTheme="minorHAnsi" w:cstheme="minorHAnsi"/>
                <w:bCs/>
                <w:iCs/>
              </w:rPr>
            </w:pPr>
            <w:r w:rsidRPr="00355061">
              <w:rPr>
                <w:rFonts w:asciiTheme="minorHAnsi" w:hAnsiTheme="minorHAnsi" w:cstheme="minorHAnsi"/>
                <w:bCs/>
                <w:iCs/>
              </w:rPr>
              <w:t xml:space="preserve">The committee recommends that the Australian Government, as a priority: </w:t>
            </w:r>
          </w:p>
          <w:p w14:paraId="3D607D0A" w14:textId="77777777" w:rsidR="00B11A7E" w:rsidRPr="00355061" w:rsidRDefault="00B11A7E" w:rsidP="00B11A7E">
            <w:pPr>
              <w:pStyle w:val="ListParagraph"/>
              <w:keepNext/>
              <w:keepLines/>
              <w:numPr>
                <w:ilvl w:val="0"/>
                <w:numId w:val="5"/>
              </w:numPr>
              <w:spacing w:before="120"/>
              <w:ind w:left="357" w:hanging="357"/>
              <w:rPr>
                <w:rFonts w:ascii="Calibri" w:hAnsi="Calibri" w:cs="Calibri"/>
                <w:bCs/>
                <w:iCs/>
                <w:sz w:val="24"/>
                <w:szCs w:val="24"/>
              </w:rPr>
            </w:pPr>
            <w:r w:rsidRPr="00355061">
              <w:rPr>
                <w:rFonts w:ascii="Calibri" w:hAnsi="Calibri" w:cs="Calibri"/>
                <w:bCs/>
                <w:iCs/>
                <w:sz w:val="24"/>
                <w:szCs w:val="24"/>
              </w:rPr>
              <w:t xml:space="preserve">extend the Fair Entitlements Guarantee to all employees, including those on temporary visas, building on recommendation 13 of the Migrant Workers' Taskforce report; and </w:t>
            </w:r>
          </w:p>
          <w:p w14:paraId="39A9C2C6" w14:textId="77777777" w:rsidR="00B11A7E" w:rsidRPr="00355061" w:rsidRDefault="00B11A7E" w:rsidP="00B11A7E">
            <w:pPr>
              <w:pStyle w:val="ListParagraph"/>
              <w:numPr>
                <w:ilvl w:val="0"/>
                <w:numId w:val="5"/>
              </w:numPr>
              <w:rPr>
                <w:rFonts w:ascii="Calibri" w:hAnsi="Calibri" w:cs="Calibri"/>
                <w:bCs/>
                <w:iCs/>
                <w:sz w:val="24"/>
                <w:szCs w:val="24"/>
              </w:rPr>
            </w:pPr>
            <w:r w:rsidRPr="00355061">
              <w:rPr>
                <w:rFonts w:ascii="Calibri" w:hAnsi="Calibri" w:cs="Calibri"/>
                <w:bCs/>
                <w:iCs/>
                <w:sz w:val="24"/>
                <w:szCs w:val="24"/>
              </w:rPr>
              <w:t>implement a National Labour Hire Licensing Scheme, building on recommendation 14 of the Migrant Workers' Taskforce report. The National Labour Hire Licensing Scheme should build on existing frameworks, such as those schemes operating in Queensland and Victoria, to provide a nationally consistent framework.</w:t>
            </w:r>
          </w:p>
          <w:p w14:paraId="48C89160" w14:textId="77777777" w:rsidR="00B11A7E" w:rsidRDefault="00B11A7E" w:rsidP="00A75541">
            <w:pPr>
              <w:spacing w:after="120"/>
              <w:rPr>
                <w:rFonts w:asciiTheme="minorHAnsi" w:hAnsiTheme="minorHAnsi" w:cstheme="minorHAnsi"/>
                <w:b/>
              </w:rPr>
            </w:pPr>
          </w:p>
        </w:tc>
        <w:tc>
          <w:tcPr>
            <w:tcW w:w="4508" w:type="dxa"/>
          </w:tcPr>
          <w:p w14:paraId="5EC5667F" w14:textId="77777777" w:rsidR="00B11A7E" w:rsidRPr="00355061" w:rsidRDefault="00B11A7E" w:rsidP="00B11A7E">
            <w:pPr>
              <w:rPr>
                <w:rFonts w:asciiTheme="minorHAnsi" w:hAnsiTheme="minorHAnsi" w:cstheme="minorHAnsi"/>
                <w:b/>
                <w:bCs/>
                <w:iCs/>
              </w:rPr>
            </w:pPr>
            <w:r w:rsidRPr="00355061">
              <w:rPr>
                <w:rFonts w:asciiTheme="minorHAnsi" w:hAnsiTheme="minorHAnsi" w:cstheme="minorHAnsi"/>
                <w:b/>
                <w:bCs/>
                <w:iCs/>
              </w:rPr>
              <w:t>Accepted in-principle.</w:t>
            </w:r>
          </w:p>
          <w:p w14:paraId="55FA0242" w14:textId="77777777" w:rsidR="00B11A7E" w:rsidRPr="00000C8A" w:rsidRDefault="00B11A7E" w:rsidP="00B11A7E">
            <w:pPr>
              <w:rPr>
                <w:rFonts w:asciiTheme="minorHAnsi" w:hAnsiTheme="minorHAnsi" w:cstheme="minorHAnsi"/>
                <w:i/>
              </w:rPr>
            </w:pPr>
          </w:p>
          <w:p w14:paraId="73357BEF"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The Government has committed to implementing the recommendations of the Migrant Workers’ Taskforce, which include extending eligibility for FEG to migrant workers with work rights following consultation regarding the benefits, costs and risks, but excluding people who have deliberately avoided their taxation obligations. The Government is considering this Recommendation 15 further in the context of delivering this election commitment.</w:t>
            </w:r>
          </w:p>
          <w:p w14:paraId="65E0777C" w14:textId="77777777" w:rsidR="00B11A7E" w:rsidRPr="00355061" w:rsidRDefault="00B11A7E" w:rsidP="00B11A7E">
            <w:pPr>
              <w:rPr>
                <w:rFonts w:asciiTheme="minorHAnsi" w:hAnsiTheme="minorHAnsi" w:cstheme="minorHAnsi"/>
                <w:iCs/>
              </w:rPr>
            </w:pPr>
          </w:p>
          <w:p w14:paraId="6F54AD08" w14:textId="362C55FA"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As part of the Government’s commitment to implement </w:t>
            </w:r>
            <w:r w:rsidR="005A3C5B">
              <w:rPr>
                <w:rFonts w:asciiTheme="minorHAnsi" w:hAnsiTheme="minorHAnsi" w:cstheme="minorHAnsi"/>
                <w:iCs/>
              </w:rPr>
              <w:t>the</w:t>
            </w:r>
            <w:r w:rsidR="005A3C5B" w:rsidRPr="00355061">
              <w:rPr>
                <w:rFonts w:asciiTheme="minorHAnsi" w:hAnsiTheme="minorHAnsi" w:cstheme="minorHAnsi"/>
                <w:iCs/>
              </w:rPr>
              <w:t xml:space="preserve"> </w:t>
            </w:r>
            <w:r w:rsidRPr="00355061">
              <w:rPr>
                <w:rFonts w:asciiTheme="minorHAnsi" w:hAnsiTheme="minorHAnsi" w:cstheme="minorHAnsi"/>
                <w:iCs/>
              </w:rPr>
              <w:t xml:space="preserve">recommendations of the Migrant Workers’ Taskforce, the Government has committed to establishing national labour hire regulation to </w:t>
            </w:r>
            <w:r w:rsidR="00B0247E">
              <w:rPr>
                <w:rFonts w:asciiTheme="minorHAnsi" w:hAnsiTheme="minorHAnsi" w:cstheme="minorHAnsi"/>
                <w:iCs/>
              </w:rPr>
              <w:t xml:space="preserve">help </w:t>
            </w:r>
            <w:r w:rsidRPr="00355061">
              <w:rPr>
                <w:rFonts w:asciiTheme="minorHAnsi" w:hAnsiTheme="minorHAnsi" w:cstheme="minorHAnsi"/>
                <w:iCs/>
              </w:rPr>
              <w:t xml:space="preserve">protect workers by promoting greater compliance with </w:t>
            </w:r>
            <w:r w:rsidR="008F05F9">
              <w:rPr>
                <w:rFonts w:asciiTheme="minorHAnsi" w:hAnsiTheme="minorHAnsi" w:cstheme="minorHAnsi"/>
                <w:iCs/>
              </w:rPr>
              <w:t xml:space="preserve">workplace and other </w:t>
            </w:r>
            <w:r w:rsidRPr="00355061">
              <w:rPr>
                <w:rFonts w:asciiTheme="minorHAnsi" w:hAnsiTheme="minorHAnsi" w:cstheme="minorHAnsi"/>
                <w:iCs/>
              </w:rPr>
              <w:t>relevant laws.</w:t>
            </w:r>
          </w:p>
          <w:p w14:paraId="517DDFAC" w14:textId="77777777" w:rsidR="00B11A7E" w:rsidRDefault="00B11A7E" w:rsidP="00A75541">
            <w:pPr>
              <w:spacing w:after="120"/>
              <w:rPr>
                <w:rFonts w:asciiTheme="minorHAnsi" w:hAnsiTheme="minorHAnsi" w:cstheme="minorHAnsi"/>
                <w:b/>
              </w:rPr>
            </w:pPr>
          </w:p>
        </w:tc>
      </w:tr>
      <w:tr w:rsidR="00B11A7E" w14:paraId="43F1C2A2" w14:textId="77777777" w:rsidTr="00B11A7E">
        <w:tc>
          <w:tcPr>
            <w:tcW w:w="4508" w:type="dxa"/>
          </w:tcPr>
          <w:p w14:paraId="396188CC" w14:textId="683E1BC6" w:rsidR="00B11A7E" w:rsidRPr="00355061" w:rsidRDefault="00B11A7E" w:rsidP="00355061">
            <w:pPr>
              <w:rPr>
                <w:rFonts w:asciiTheme="minorHAnsi" w:hAnsiTheme="minorHAnsi" w:cstheme="minorHAnsi"/>
                <w:b/>
                <w:bCs/>
                <w:iCs/>
              </w:rPr>
            </w:pPr>
            <w:r w:rsidRPr="00355061">
              <w:rPr>
                <w:rFonts w:asciiTheme="minorHAnsi" w:hAnsiTheme="minorHAnsi" w:cstheme="minorHAnsi"/>
                <w:b/>
                <w:bCs/>
                <w:iCs/>
              </w:rPr>
              <w:t>Recommendation 16</w:t>
            </w:r>
          </w:p>
          <w:p w14:paraId="31BC6062" w14:textId="77777777" w:rsidR="00355061" w:rsidRPr="00355061" w:rsidRDefault="00355061" w:rsidP="00355061">
            <w:pPr>
              <w:rPr>
                <w:rFonts w:asciiTheme="minorHAnsi" w:hAnsiTheme="minorHAnsi" w:cstheme="minorHAnsi"/>
                <w:bCs/>
                <w:iCs/>
              </w:rPr>
            </w:pPr>
          </w:p>
          <w:p w14:paraId="6DC9D7B1" w14:textId="77777777" w:rsidR="00B11A7E" w:rsidRPr="00355061" w:rsidRDefault="00B11A7E" w:rsidP="00B11A7E">
            <w:pPr>
              <w:rPr>
                <w:rFonts w:asciiTheme="minorHAnsi" w:hAnsiTheme="minorHAnsi" w:cstheme="minorHAnsi"/>
                <w:bCs/>
                <w:iCs/>
              </w:rPr>
            </w:pPr>
            <w:r w:rsidRPr="00355061">
              <w:rPr>
                <w:rFonts w:asciiTheme="minorHAnsi" w:hAnsiTheme="minorHAnsi" w:cstheme="minorHAnsi"/>
                <w:bCs/>
                <w:iCs/>
              </w:rPr>
              <w:t xml:space="preserve">The committee recommends that the Australian Government explore reform to visa laws to allow migrant workers who </w:t>
            </w:r>
            <w:r w:rsidRPr="00355061">
              <w:rPr>
                <w:rFonts w:asciiTheme="minorHAnsi" w:hAnsiTheme="minorHAnsi" w:cstheme="minorHAnsi"/>
                <w:bCs/>
                <w:iCs/>
              </w:rPr>
              <w:lastRenderedPageBreak/>
              <w:t>have been exploited or underpaid to remain in Australia until the relevant legal processes for recovery of lost wages or conditions is finalised.</w:t>
            </w:r>
          </w:p>
          <w:p w14:paraId="135802A9" w14:textId="77777777" w:rsidR="00B11A7E" w:rsidRDefault="00B11A7E" w:rsidP="00A75541">
            <w:pPr>
              <w:spacing w:after="120"/>
              <w:rPr>
                <w:rFonts w:asciiTheme="minorHAnsi" w:hAnsiTheme="minorHAnsi" w:cstheme="minorHAnsi"/>
                <w:b/>
              </w:rPr>
            </w:pPr>
          </w:p>
        </w:tc>
        <w:tc>
          <w:tcPr>
            <w:tcW w:w="4508" w:type="dxa"/>
          </w:tcPr>
          <w:p w14:paraId="6F207E63" w14:textId="77777777" w:rsidR="00B11A7E" w:rsidRPr="00355061" w:rsidRDefault="00B11A7E" w:rsidP="00B11A7E">
            <w:pPr>
              <w:rPr>
                <w:rFonts w:asciiTheme="minorHAnsi" w:hAnsiTheme="minorHAnsi" w:cstheme="minorHAnsi"/>
                <w:b/>
                <w:bCs/>
                <w:iCs/>
              </w:rPr>
            </w:pPr>
            <w:r w:rsidRPr="00355061">
              <w:rPr>
                <w:rFonts w:asciiTheme="minorHAnsi" w:hAnsiTheme="minorHAnsi" w:cstheme="minorHAnsi"/>
                <w:b/>
                <w:bCs/>
                <w:iCs/>
              </w:rPr>
              <w:lastRenderedPageBreak/>
              <w:t>Accepted.</w:t>
            </w:r>
          </w:p>
          <w:p w14:paraId="4C9D9679" w14:textId="77777777" w:rsidR="00B11A7E" w:rsidRPr="00355061" w:rsidRDefault="00B11A7E" w:rsidP="00B11A7E">
            <w:pPr>
              <w:rPr>
                <w:rFonts w:asciiTheme="minorHAnsi" w:hAnsiTheme="minorHAnsi" w:cstheme="minorHAnsi"/>
                <w:iCs/>
              </w:rPr>
            </w:pPr>
          </w:p>
          <w:p w14:paraId="54A27932"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 is committed to ensuring all workers, including migrant workers, are able to recover their unpaid wages. </w:t>
            </w:r>
          </w:p>
          <w:p w14:paraId="781059D0" w14:textId="77777777" w:rsidR="00B11A7E" w:rsidRPr="00355061" w:rsidRDefault="00B11A7E" w:rsidP="00B11A7E">
            <w:pPr>
              <w:rPr>
                <w:rFonts w:asciiTheme="minorHAnsi" w:hAnsiTheme="minorHAnsi" w:cstheme="minorHAnsi"/>
                <w:iCs/>
              </w:rPr>
            </w:pPr>
          </w:p>
          <w:p w14:paraId="26527AEC"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Consultation is ongoing with key stakeholders to explore measures that could be employed to support migrant workers remain lawfully in Australia while they seek to recover lost wages or conditions.</w:t>
            </w:r>
          </w:p>
          <w:p w14:paraId="326ABD6D" w14:textId="77777777" w:rsidR="00B11A7E" w:rsidRDefault="00B11A7E" w:rsidP="00A75541">
            <w:pPr>
              <w:spacing w:after="120"/>
              <w:rPr>
                <w:rFonts w:asciiTheme="minorHAnsi" w:hAnsiTheme="minorHAnsi" w:cstheme="minorHAnsi"/>
                <w:b/>
              </w:rPr>
            </w:pPr>
          </w:p>
        </w:tc>
      </w:tr>
      <w:tr w:rsidR="00B11A7E" w14:paraId="0D47FC0E" w14:textId="77777777" w:rsidTr="00B11A7E">
        <w:tc>
          <w:tcPr>
            <w:tcW w:w="4508" w:type="dxa"/>
          </w:tcPr>
          <w:p w14:paraId="56C22982" w14:textId="2FC79DE2" w:rsidR="00B11A7E" w:rsidRPr="00355061" w:rsidRDefault="00B11A7E" w:rsidP="00355061">
            <w:pPr>
              <w:keepNext/>
              <w:keepLines/>
              <w:rPr>
                <w:rFonts w:asciiTheme="minorHAnsi" w:hAnsiTheme="minorHAnsi" w:cstheme="minorHAnsi"/>
                <w:b/>
                <w:bCs/>
                <w:iCs/>
              </w:rPr>
            </w:pPr>
            <w:r w:rsidRPr="00355061">
              <w:rPr>
                <w:rFonts w:asciiTheme="minorHAnsi" w:hAnsiTheme="minorHAnsi" w:cstheme="minorHAnsi"/>
                <w:b/>
                <w:bCs/>
                <w:iCs/>
              </w:rPr>
              <w:lastRenderedPageBreak/>
              <w:t>Recommendation 17</w:t>
            </w:r>
          </w:p>
          <w:p w14:paraId="1800B781" w14:textId="77777777" w:rsidR="00355061" w:rsidRDefault="00355061" w:rsidP="00355061">
            <w:pPr>
              <w:keepNext/>
              <w:keepLines/>
              <w:rPr>
                <w:rFonts w:asciiTheme="minorHAnsi" w:hAnsiTheme="minorHAnsi" w:cstheme="minorHAnsi"/>
                <w:b/>
              </w:rPr>
            </w:pPr>
          </w:p>
          <w:p w14:paraId="71BF3245" w14:textId="77777777" w:rsidR="00B11A7E" w:rsidRPr="00355061" w:rsidRDefault="00B11A7E" w:rsidP="00B11A7E">
            <w:pPr>
              <w:keepNext/>
              <w:keepLines/>
              <w:rPr>
                <w:rFonts w:asciiTheme="minorHAnsi" w:hAnsiTheme="minorHAnsi" w:cstheme="minorHAnsi"/>
                <w:bCs/>
                <w:iCs/>
              </w:rPr>
            </w:pPr>
            <w:r w:rsidRPr="00355061">
              <w:rPr>
                <w:rFonts w:asciiTheme="minorHAnsi" w:hAnsiTheme="minorHAnsi" w:cstheme="minorHAnsi"/>
                <w:bCs/>
                <w:iCs/>
              </w:rPr>
              <w:t>The committee recommends that a formal, and legally binding firewall be established between the Fair Work Ombudsman and the Department of Home Affairs to protect whistle-blowers and temporary visa holders that report exploitation or wage theft to the Fair Work Ombudsman and extend protection to exploitation and wage theft claims progressed through the courts.</w:t>
            </w:r>
          </w:p>
          <w:p w14:paraId="62E4E18F" w14:textId="77777777" w:rsidR="00B11A7E" w:rsidRPr="00594A0A" w:rsidRDefault="00B11A7E" w:rsidP="00B11A7E">
            <w:pPr>
              <w:spacing w:before="240" w:after="120"/>
              <w:rPr>
                <w:rFonts w:asciiTheme="minorHAnsi" w:hAnsiTheme="minorHAnsi" w:cstheme="minorHAnsi"/>
                <w:b/>
              </w:rPr>
            </w:pPr>
          </w:p>
        </w:tc>
        <w:tc>
          <w:tcPr>
            <w:tcW w:w="4508" w:type="dxa"/>
          </w:tcPr>
          <w:p w14:paraId="65FAEC23" w14:textId="447F0BCC" w:rsidR="00B11A7E" w:rsidRPr="00355061" w:rsidRDefault="00B11A7E" w:rsidP="00B11A7E">
            <w:pPr>
              <w:keepNext/>
              <w:keepLines/>
              <w:rPr>
                <w:rFonts w:asciiTheme="minorHAnsi" w:hAnsiTheme="minorHAnsi" w:cstheme="minorHAnsi"/>
                <w:b/>
                <w:bCs/>
                <w:iCs/>
              </w:rPr>
            </w:pPr>
            <w:r w:rsidRPr="00355061">
              <w:rPr>
                <w:rFonts w:asciiTheme="minorHAnsi" w:hAnsiTheme="minorHAnsi" w:cstheme="minorHAnsi"/>
                <w:b/>
                <w:bCs/>
                <w:iCs/>
              </w:rPr>
              <w:t>Accepted in-principle</w:t>
            </w:r>
            <w:r w:rsidR="00355061" w:rsidRPr="00355061">
              <w:rPr>
                <w:rFonts w:asciiTheme="minorHAnsi" w:hAnsiTheme="minorHAnsi" w:cstheme="minorHAnsi"/>
                <w:b/>
                <w:bCs/>
                <w:iCs/>
              </w:rPr>
              <w:t>.</w:t>
            </w:r>
          </w:p>
          <w:p w14:paraId="6641E4F7" w14:textId="77777777" w:rsidR="00B11A7E" w:rsidRPr="0047649A" w:rsidRDefault="00B11A7E" w:rsidP="00B11A7E">
            <w:pPr>
              <w:keepNext/>
              <w:keepLines/>
              <w:rPr>
                <w:rFonts w:asciiTheme="minorHAnsi" w:hAnsiTheme="minorHAnsi" w:cstheme="minorHAnsi"/>
                <w:i/>
              </w:rPr>
            </w:pPr>
          </w:p>
          <w:p w14:paraId="08F9B7F1" w14:textId="77777777" w:rsidR="00B11A7E" w:rsidRPr="00355061" w:rsidRDefault="00B11A7E" w:rsidP="00B11A7E">
            <w:pPr>
              <w:keepNext/>
              <w:keepLines/>
              <w:rPr>
                <w:rFonts w:asciiTheme="minorHAnsi" w:hAnsiTheme="minorHAnsi" w:cstheme="minorHAnsi"/>
                <w:iCs/>
              </w:rPr>
            </w:pPr>
            <w:r w:rsidRPr="00355061">
              <w:rPr>
                <w:rFonts w:asciiTheme="minorHAnsi" w:hAnsiTheme="minorHAnsi" w:cstheme="minorHAnsi"/>
                <w:iCs/>
              </w:rPr>
              <w:t>The current Assurance Protocol between the Fair Work Ombudsman and the Department of Home Affairs includes a range of safeguards and protections, and operates on the basis of informed consent from the visa holder worker.</w:t>
            </w:r>
          </w:p>
          <w:p w14:paraId="6F1254B7" w14:textId="77777777" w:rsidR="00B11A7E" w:rsidRPr="00355061" w:rsidRDefault="00B11A7E" w:rsidP="00B11A7E">
            <w:pPr>
              <w:rPr>
                <w:rFonts w:asciiTheme="minorHAnsi" w:hAnsiTheme="minorHAnsi" w:cstheme="minorHAnsi"/>
                <w:iCs/>
              </w:rPr>
            </w:pPr>
          </w:p>
          <w:p w14:paraId="2D48EB37"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The Government is examining the implications of establishing a firewall between the Fair Work Ombudsman and the Department of Home Affairs to support migrant workers to report exploitation without fear of adverse consequences. Any changes to existing arrangements will seek to extend protections for migrant workers.</w:t>
            </w:r>
          </w:p>
          <w:p w14:paraId="01AE0D7C" w14:textId="77777777" w:rsidR="00B11A7E" w:rsidRDefault="00B11A7E" w:rsidP="00A75541">
            <w:pPr>
              <w:spacing w:after="120"/>
              <w:rPr>
                <w:rFonts w:asciiTheme="minorHAnsi" w:hAnsiTheme="minorHAnsi" w:cstheme="minorHAnsi"/>
                <w:b/>
              </w:rPr>
            </w:pPr>
          </w:p>
        </w:tc>
      </w:tr>
      <w:tr w:rsidR="00B11A7E" w14:paraId="25F39349" w14:textId="77777777" w:rsidTr="00B11A7E">
        <w:tc>
          <w:tcPr>
            <w:tcW w:w="4508" w:type="dxa"/>
          </w:tcPr>
          <w:p w14:paraId="79356C6D" w14:textId="4899E634" w:rsidR="00B11A7E" w:rsidRPr="00355061" w:rsidRDefault="00B11A7E" w:rsidP="00355061">
            <w:pPr>
              <w:rPr>
                <w:rFonts w:asciiTheme="minorHAnsi" w:hAnsiTheme="minorHAnsi" w:cstheme="minorHAnsi"/>
                <w:b/>
                <w:bCs/>
                <w:iCs/>
              </w:rPr>
            </w:pPr>
            <w:r w:rsidRPr="00355061">
              <w:rPr>
                <w:rFonts w:asciiTheme="minorHAnsi" w:hAnsiTheme="minorHAnsi" w:cstheme="minorHAnsi"/>
                <w:b/>
                <w:bCs/>
                <w:iCs/>
              </w:rPr>
              <w:t>Recommendation 18</w:t>
            </w:r>
          </w:p>
          <w:p w14:paraId="53212BE9" w14:textId="77777777" w:rsidR="00355061" w:rsidRDefault="00355061" w:rsidP="00355061">
            <w:pPr>
              <w:rPr>
                <w:rFonts w:asciiTheme="minorHAnsi" w:hAnsiTheme="minorHAnsi" w:cstheme="minorHAnsi"/>
                <w:b/>
              </w:rPr>
            </w:pPr>
          </w:p>
          <w:p w14:paraId="118D8E35" w14:textId="77777777" w:rsidR="00B11A7E" w:rsidRPr="00355061" w:rsidRDefault="00B11A7E" w:rsidP="00B11A7E">
            <w:pPr>
              <w:rPr>
                <w:rFonts w:asciiTheme="minorHAnsi" w:hAnsiTheme="minorHAnsi" w:cstheme="minorHAnsi"/>
                <w:bCs/>
                <w:iCs/>
              </w:rPr>
            </w:pPr>
            <w:r w:rsidRPr="00355061">
              <w:rPr>
                <w:rFonts w:asciiTheme="minorHAnsi" w:hAnsiTheme="minorHAnsi" w:cstheme="minorHAnsi"/>
                <w:bCs/>
                <w:iCs/>
              </w:rPr>
              <w:t xml:space="preserve">The committee recommends that the Australian Government act as a model procurer by ensuring that: </w:t>
            </w:r>
          </w:p>
          <w:p w14:paraId="7E953D6C" w14:textId="77777777" w:rsidR="00B11A7E" w:rsidRPr="00355061" w:rsidRDefault="00B11A7E" w:rsidP="00B11A7E">
            <w:pPr>
              <w:pStyle w:val="ListParagraph"/>
              <w:numPr>
                <w:ilvl w:val="0"/>
                <w:numId w:val="5"/>
              </w:numPr>
              <w:spacing w:before="120"/>
              <w:ind w:left="357" w:hanging="357"/>
              <w:rPr>
                <w:rFonts w:ascii="Calibri" w:hAnsi="Calibri" w:cs="Calibri"/>
                <w:bCs/>
                <w:iCs/>
                <w:sz w:val="24"/>
                <w:szCs w:val="24"/>
              </w:rPr>
            </w:pPr>
            <w:r w:rsidRPr="00355061">
              <w:rPr>
                <w:rFonts w:ascii="Calibri" w:hAnsi="Calibri" w:cs="Calibri"/>
                <w:bCs/>
                <w:iCs/>
                <w:sz w:val="24"/>
                <w:szCs w:val="24"/>
              </w:rPr>
              <w:t xml:space="preserve">government procurement powers are being used to support businesses that engage in fair, equitable, ethical and sustainable practices, including demonstrated compliance with labour laws; and </w:t>
            </w:r>
          </w:p>
          <w:p w14:paraId="3E6264F3" w14:textId="77777777" w:rsidR="00B11A7E" w:rsidRPr="00355061" w:rsidRDefault="00B11A7E" w:rsidP="00B11A7E">
            <w:pPr>
              <w:pStyle w:val="ListParagraph"/>
              <w:numPr>
                <w:ilvl w:val="0"/>
                <w:numId w:val="5"/>
              </w:numPr>
              <w:rPr>
                <w:rFonts w:ascii="Calibri" w:hAnsi="Calibri" w:cs="Calibri"/>
                <w:bCs/>
                <w:iCs/>
                <w:sz w:val="24"/>
                <w:szCs w:val="24"/>
              </w:rPr>
            </w:pPr>
            <w:r w:rsidRPr="00355061">
              <w:rPr>
                <w:rFonts w:ascii="Calibri" w:hAnsi="Calibri" w:cs="Calibri"/>
                <w:bCs/>
                <w:iCs/>
                <w:sz w:val="24"/>
                <w:szCs w:val="24"/>
              </w:rPr>
              <w:t>wage theft does not occur within its own workforce, including in government funded sectors.</w:t>
            </w:r>
          </w:p>
          <w:p w14:paraId="75E730BC" w14:textId="77777777" w:rsidR="00B11A7E" w:rsidRPr="00594A0A" w:rsidRDefault="00B11A7E" w:rsidP="00B11A7E">
            <w:pPr>
              <w:spacing w:before="240" w:after="120"/>
              <w:rPr>
                <w:rFonts w:asciiTheme="minorHAnsi" w:hAnsiTheme="minorHAnsi" w:cstheme="minorHAnsi"/>
                <w:b/>
              </w:rPr>
            </w:pPr>
          </w:p>
        </w:tc>
        <w:tc>
          <w:tcPr>
            <w:tcW w:w="4508" w:type="dxa"/>
          </w:tcPr>
          <w:p w14:paraId="665AF8ED" w14:textId="77777777" w:rsidR="00B11A7E" w:rsidRPr="00355061" w:rsidRDefault="00B11A7E" w:rsidP="00B11A7E">
            <w:pPr>
              <w:rPr>
                <w:rFonts w:asciiTheme="minorHAnsi" w:hAnsiTheme="minorHAnsi" w:cstheme="minorHAnsi"/>
                <w:b/>
                <w:bCs/>
                <w:iCs/>
              </w:rPr>
            </w:pPr>
            <w:r w:rsidRPr="00355061">
              <w:rPr>
                <w:rFonts w:asciiTheme="minorHAnsi" w:hAnsiTheme="minorHAnsi" w:cstheme="minorHAnsi"/>
                <w:b/>
                <w:bCs/>
                <w:iCs/>
              </w:rPr>
              <w:t>Accepted.</w:t>
            </w:r>
          </w:p>
          <w:p w14:paraId="4B0C81DA" w14:textId="77777777" w:rsidR="00B11A7E" w:rsidRPr="009C39FC" w:rsidRDefault="00B11A7E" w:rsidP="00B11A7E">
            <w:pPr>
              <w:rPr>
                <w:rFonts w:asciiTheme="minorHAnsi" w:hAnsiTheme="minorHAnsi" w:cstheme="minorHAnsi"/>
                <w:i/>
              </w:rPr>
            </w:pPr>
          </w:p>
          <w:p w14:paraId="39DE554C"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 will act as a model procurer by exercising its procurement powers in line with the Commonwealth Procurement Framework and Rules. These Rules seek to ensure that the Commonwealth does not enter into a contract with tenderers that do not comply with workplace obligations. </w:t>
            </w:r>
          </w:p>
          <w:p w14:paraId="217B1AEE" w14:textId="77777777" w:rsidR="00B11A7E" w:rsidRPr="00355061" w:rsidRDefault="00B11A7E" w:rsidP="00B11A7E">
            <w:pPr>
              <w:rPr>
                <w:rFonts w:asciiTheme="minorHAnsi" w:hAnsiTheme="minorHAnsi" w:cstheme="minorHAnsi"/>
                <w:iCs/>
              </w:rPr>
            </w:pPr>
          </w:p>
          <w:p w14:paraId="0AC4D988" w14:textId="77777777" w:rsidR="00B11A7E" w:rsidRPr="00355061" w:rsidRDefault="00B11A7E" w:rsidP="00B11A7E">
            <w:pPr>
              <w:rPr>
                <w:rFonts w:asciiTheme="minorHAnsi" w:hAnsiTheme="minorHAnsi" w:cstheme="minorHAnsi"/>
                <w:iCs/>
              </w:rPr>
            </w:pPr>
            <w:r w:rsidRPr="00355061">
              <w:rPr>
                <w:rFonts w:asciiTheme="minorHAnsi" w:hAnsiTheme="minorHAnsi" w:cstheme="minorHAnsi"/>
                <w:iCs/>
              </w:rPr>
              <w:t xml:space="preserve">The Government has committed to act as a model employer in its </w:t>
            </w:r>
            <w:r w:rsidRPr="00355061">
              <w:rPr>
                <w:rFonts w:asciiTheme="minorHAnsi" w:hAnsiTheme="minorHAnsi" w:cstheme="minorHAnsi"/>
                <w:i/>
              </w:rPr>
              <w:t>Secure Australian Jobs Plan</w:t>
            </w:r>
            <w:r w:rsidRPr="00355061">
              <w:rPr>
                <w:rFonts w:asciiTheme="minorHAnsi" w:hAnsiTheme="minorHAnsi" w:cstheme="minorHAnsi"/>
                <w:iCs/>
              </w:rPr>
              <w:t xml:space="preserve"> and its </w:t>
            </w:r>
            <w:r w:rsidRPr="00355061">
              <w:rPr>
                <w:rFonts w:asciiTheme="minorHAnsi" w:hAnsiTheme="minorHAnsi" w:cstheme="minorHAnsi"/>
                <w:i/>
              </w:rPr>
              <w:t>Plan to improve the Public Service</w:t>
            </w:r>
            <w:r w:rsidRPr="00355061">
              <w:rPr>
                <w:rFonts w:asciiTheme="minorHAnsi" w:hAnsiTheme="minorHAnsi" w:cstheme="minorHAnsi"/>
                <w:iCs/>
              </w:rPr>
              <w:t xml:space="preserve">. The Government will work constructively with the public service and unions to ensure fair and equitable conditions of employment and job security in the public sector. This includes </w:t>
            </w:r>
            <w:r w:rsidRPr="00355061">
              <w:rPr>
                <w:rFonts w:asciiTheme="minorHAnsi" w:hAnsiTheme="minorHAnsi" w:cstheme="minorHAnsi"/>
                <w:iCs/>
              </w:rPr>
              <w:lastRenderedPageBreak/>
              <w:t xml:space="preserve">addressing and preventing wage theft within the public service. </w:t>
            </w:r>
          </w:p>
          <w:p w14:paraId="41459861" w14:textId="77777777" w:rsidR="00B11A7E" w:rsidRDefault="00B11A7E" w:rsidP="00A75541">
            <w:pPr>
              <w:spacing w:after="120"/>
              <w:rPr>
                <w:rFonts w:asciiTheme="minorHAnsi" w:hAnsiTheme="minorHAnsi" w:cstheme="minorHAnsi"/>
                <w:b/>
              </w:rPr>
            </w:pPr>
          </w:p>
        </w:tc>
      </w:tr>
      <w:tr w:rsidR="00B11A7E" w14:paraId="77D2083F" w14:textId="77777777" w:rsidTr="00B11A7E">
        <w:tc>
          <w:tcPr>
            <w:tcW w:w="4508" w:type="dxa"/>
          </w:tcPr>
          <w:p w14:paraId="6816C240" w14:textId="1141FF9F" w:rsidR="00B11A7E" w:rsidRPr="00355061" w:rsidRDefault="00B11A7E" w:rsidP="00355061">
            <w:pPr>
              <w:keepNext/>
              <w:keepLines/>
              <w:rPr>
                <w:rFonts w:asciiTheme="minorHAnsi" w:hAnsiTheme="minorHAnsi" w:cstheme="minorHAnsi"/>
                <w:b/>
              </w:rPr>
            </w:pPr>
            <w:r w:rsidRPr="00355061">
              <w:rPr>
                <w:rFonts w:asciiTheme="minorHAnsi" w:hAnsiTheme="minorHAnsi" w:cstheme="minorHAnsi"/>
                <w:b/>
              </w:rPr>
              <w:lastRenderedPageBreak/>
              <w:t>Recommendation 19</w:t>
            </w:r>
          </w:p>
          <w:p w14:paraId="2BF82CF0" w14:textId="77777777" w:rsidR="00355061" w:rsidRPr="00355061" w:rsidRDefault="00355061" w:rsidP="00355061">
            <w:pPr>
              <w:keepNext/>
              <w:keepLines/>
              <w:rPr>
                <w:rFonts w:asciiTheme="minorHAnsi" w:hAnsiTheme="minorHAnsi" w:cstheme="minorHAnsi"/>
                <w:bCs/>
                <w:iCs/>
              </w:rPr>
            </w:pPr>
          </w:p>
          <w:p w14:paraId="4C26F07C" w14:textId="77777777" w:rsidR="00B11A7E" w:rsidRPr="00355061" w:rsidRDefault="00B11A7E" w:rsidP="00B11A7E">
            <w:pPr>
              <w:keepNext/>
              <w:keepLines/>
              <w:rPr>
                <w:rFonts w:asciiTheme="minorHAnsi" w:hAnsiTheme="minorHAnsi" w:cstheme="minorHAnsi"/>
                <w:bCs/>
                <w:iCs/>
              </w:rPr>
            </w:pPr>
            <w:r w:rsidRPr="00355061">
              <w:rPr>
                <w:rFonts w:asciiTheme="minorHAnsi" w:hAnsiTheme="minorHAnsi" w:cstheme="minorHAnsi"/>
                <w:bCs/>
                <w:iCs/>
              </w:rPr>
              <w:t>The committee recommends that the Australian Government improve protections for employees who engage in lawful activity to prevent wage theft, including joining a union, pursuing underpayments through established processes, publicly speaking out against poor workplace practices, exercising workplace rights, and engaging in industrial activity.</w:t>
            </w:r>
          </w:p>
          <w:p w14:paraId="4F924DE7" w14:textId="77777777" w:rsidR="00B11A7E" w:rsidRPr="00594A0A" w:rsidRDefault="00B11A7E" w:rsidP="00B11A7E">
            <w:pPr>
              <w:spacing w:before="240" w:after="120"/>
              <w:rPr>
                <w:rFonts w:asciiTheme="minorHAnsi" w:hAnsiTheme="minorHAnsi" w:cstheme="minorHAnsi"/>
                <w:b/>
              </w:rPr>
            </w:pPr>
          </w:p>
        </w:tc>
        <w:tc>
          <w:tcPr>
            <w:tcW w:w="4508" w:type="dxa"/>
          </w:tcPr>
          <w:p w14:paraId="5AEA0EAF" w14:textId="77777777" w:rsidR="00B11A7E" w:rsidRPr="00355061" w:rsidRDefault="00B11A7E" w:rsidP="00B11A7E">
            <w:pPr>
              <w:keepNext/>
              <w:keepLines/>
              <w:rPr>
                <w:rFonts w:asciiTheme="minorHAnsi" w:hAnsiTheme="minorHAnsi" w:cstheme="minorHAnsi"/>
                <w:b/>
                <w:bCs/>
                <w:iCs/>
              </w:rPr>
            </w:pPr>
            <w:r w:rsidRPr="00355061">
              <w:rPr>
                <w:rFonts w:asciiTheme="minorHAnsi" w:hAnsiTheme="minorHAnsi" w:cstheme="minorHAnsi"/>
                <w:b/>
                <w:bCs/>
                <w:iCs/>
              </w:rPr>
              <w:t>Accepted in-principle.</w:t>
            </w:r>
          </w:p>
          <w:p w14:paraId="604235B3" w14:textId="77777777" w:rsidR="00B11A7E" w:rsidRPr="005B55ED" w:rsidRDefault="00B11A7E" w:rsidP="00B11A7E">
            <w:pPr>
              <w:keepNext/>
              <w:keepLines/>
              <w:rPr>
                <w:rFonts w:asciiTheme="minorHAnsi" w:hAnsiTheme="minorHAnsi" w:cstheme="minorHAnsi"/>
                <w:i/>
              </w:rPr>
            </w:pPr>
          </w:p>
          <w:p w14:paraId="671303F8" w14:textId="77777777" w:rsidR="00B11A7E" w:rsidRPr="00355061" w:rsidRDefault="00B11A7E" w:rsidP="00B11A7E">
            <w:pPr>
              <w:keepNext/>
              <w:keepLines/>
              <w:rPr>
                <w:rFonts w:asciiTheme="minorHAnsi" w:hAnsiTheme="minorHAnsi" w:cstheme="minorHAnsi"/>
                <w:iCs/>
              </w:rPr>
            </w:pPr>
            <w:r w:rsidRPr="00355061">
              <w:rPr>
                <w:rFonts w:asciiTheme="minorHAnsi" w:hAnsiTheme="minorHAnsi" w:cstheme="minorHAnsi"/>
                <w:iCs/>
              </w:rPr>
              <w:t>The Government is committed to ensuring that the general protections provisions of the Fair Work Act continue to operate to provide protections for employees who engage in lawful activity to prevent wage theft.</w:t>
            </w:r>
          </w:p>
          <w:p w14:paraId="5F8C292B" w14:textId="77777777" w:rsidR="00B11A7E" w:rsidRPr="00355061" w:rsidRDefault="00B11A7E" w:rsidP="00B11A7E">
            <w:pPr>
              <w:rPr>
                <w:rFonts w:asciiTheme="minorHAnsi" w:hAnsiTheme="minorHAnsi" w:cstheme="minorHAnsi"/>
                <w:iCs/>
              </w:rPr>
            </w:pPr>
          </w:p>
          <w:p w14:paraId="1F143BED" w14:textId="77777777" w:rsidR="00B11A7E" w:rsidRPr="00355061" w:rsidRDefault="00B11A7E" w:rsidP="00B11A7E">
            <w:pPr>
              <w:rPr>
                <w:iCs/>
              </w:rPr>
            </w:pPr>
            <w:r w:rsidRPr="00355061">
              <w:rPr>
                <w:rFonts w:asciiTheme="minorHAnsi" w:hAnsiTheme="minorHAnsi" w:cstheme="minorHAnsi"/>
                <w:iCs/>
              </w:rPr>
              <w:t xml:space="preserve">The Government has committed to implementing a number of measures under its </w:t>
            </w:r>
            <w:r w:rsidRPr="00355061">
              <w:rPr>
                <w:rFonts w:asciiTheme="minorHAnsi" w:hAnsiTheme="minorHAnsi" w:cstheme="minorHAnsi"/>
                <w:i/>
              </w:rPr>
              <w:t>Secure Australian Jobs Plan</w:t>
            </w:r>
            <w:r w:rsidRPr="00355061">
              <w:rPr>
                <w:rFonts w:asciiTheme="minorHAnsi" w:hAnsiTheme="minorHAnsi" w:cstheme="minorHAnsi"/>
                <w:iCs/>
              </w:rPr>
              <w:t xml:space="preserve"> and </w:t>
            </w:r>
            <w:r w:rsidRPr="00355061">
              <w:rPr>
                <w:rFonts w:asciiTheme="minorHAnsi" w:hAnsiTheme="minorHAnsi" w:cstheme="minorHAnsi"/>
                <w:i/>
              </w:rPr>
              <w:t>Plan to Build a Stronger Pacific Family</w:t>
            </w:r>
            <w:r w:rsidRPr="00355061">
              <w:rPr>
                <w:rFonts w:asciiTheme="minorHAnsi" w:hAnsiTheme="minorHAnsi" w:cstheme="minorHAnsi"/>
                <w:iCs/>
              </w:rPr>
              <w:t>, that would increase protections for employees and induce greater compliance with relevant provisions. This includes legislating to make wage theft a criminal offence (see Recommendation 1) and incorporating a right to superannuation within the Fair Work Act (see Recommendation 10). Any action available to employees under these measures would be covered by the existing general protections provisions.</w:t>
            </w:r>
          </w:p>
          <w:p w14:paraId="0CE16F2F" w14:textId="77777777" w:rsidR="00B11A7E" w:rsidRDefault="00B11A7E" w:rsidP="00F26F01">
            <w:pPr>
              <w:rPr>
                <w:rFonts w:asciiTheme="minorHAnsi" w:hAnsiTheme="minorHAnsi" w:cstheme="minorHAnsi"/>
                <w:b/>
              </w:rPr>
            </w:pPr>
          </w:p>
          <w:p w14:paraId="3AC377A7" w14:textId="63A2DEC3" w:rsidR="00C96104" w:rsidRDefault="00C96104" w:rsidP="00F26F01">
            <w:pPr>
              <w:rPr>
                <w:rFonts w:asciiTheme="minorHAnsi" w:hAnsiTheme="minorHAnsi" w:cstheme="minorHAnsi"/>
                <w:b/>
              </w:rPr>
            </w:pPr>
            <w:r w:rsidRPr="00F26F01">
              <w:rPr>
                <w:rFonts w:asciiTheme="minorHAnsi" w:hAnsiTheme="minorHAnsi" w:cstheme="minorHAnsi"/>
                <w:iCs/>
              </w:rPr>
              <w:t>As a</w:t>
            </w:r>
            <w:r w:rsidR="00F26F01">
              <w:rPr>
                <w:rFonts w:asciiTheme="minorHAnsi" w:hAnsiTheme="minorHAnsi" w:cstheme="minorHAnsi"/>
                <w:iCs/>
              </w:rPr>
              <w:t>n</w:t>
            </w:r>
            <w:r w:rsidRPr="00F26F01">
              <w:rPr>
                <w:rFonts w:asciiTheme="minorHAnsi" w:hAnsiTheme="minorHAnsi" w:cstheme="minorHAnsi"/>
                <w:iCs/>
              </w:rPr>
              <w:t xml:space="preserve"> outcome of the Jobs and Skills Summit, the Government has also announced that it will amend the Fair Work Act to provide stronger protections for workers against discrimination, harassment and adverse action. The Government will consider how these protections can be strengthened and may consult further on the issue in due course</w:t>
            </w:r>
            <w:r w:rsidR="00F26F01">
              <w:rPr>
                <w:rFonts w:asciiTheme="minorHAnsi" w:hAnsiTheme="minorHAnsi" w:cstheme="minorHAnsi"/>
                <w:iCs/>
              </w:rPr>
              <w:t>.</w:t>
            </w:r>
          </w:p>
        </w:tc>
      </w:tr>
    </w:tbl>
    <w:p w14:paraId="5FBC9F19" w14:textId="77777777" w:rsidR="00B11A7E" w:rsidRDefault="00B11A7E" w:rsidP="00A75541">
      <w:pPr>
        <w:spacing w:after="120"/>
        <w:rPr>
          <w:rFonts w:asciiTheme="minorHAnsi" w:hAnsiTheme="minorHAnsi" w:cstheme="minorHAnsi"/>
          <w:b/>
        </w:rPr>
      </w:pPr>
    </w:p>
    <w:p w14:paraId="76BE81D2" w14:textId="77777777" w:rsidR="00B11A7E" w:rsidRDefault="00B11A7E" w:rsidP="00A75541">
      <w:pPr>
        <w:spacing w:after="120"/>
        <w:rPr>
          <w:rFonts w:asciiTheme="minorHAnsi" w:hAnsiTheme="minorHAnsi" w:cstheme="minorHAnsi"/>
          <w:b/>
        </w:rPr>
      </w:pPr>
    </w:p>
    <w:p w14:paraId="30975ADD" w14:textId="77777777" w:rsidR="00A61AEA" w:rsidRPr="00594A0A" w:rsidRDefault="00A61AEA">
      <w:pPr>
        <w:rPr>
          <w:rFonts w:asciiTheme="minorHAnsi" w:hAnsiTheme="minorHAnsi" w:cstheme="minorHAnsi"/>
          <w:i/>
          <w:color w:val="FF0000"/>
        </w:rPr>
      </w:pPr>
    </w:p>
    <w:p w14:paraId="25A0A44F" w14:textId="77777777" w:rsidR="00E73DA3" w:rsidRPr="00594A0A" w:rsidRDefault="00E73DA3" w:rsidP="00E73DA3">
      <w:pPr>
        <w:rPr>
          <w:rFonts w:asciiTheme="minorHAnsi" w:hAnsiTheme="minorHAnsi" w:cstheme="minorHAnsi"/>
          <w:i/>
          <w:color w:val="FF0000"/>
        </w:rPr>
      </w:pPr>
    </w:p>
    <w:p w14:paraId="68200B86" w14:textId="77777777" w:rsidR="00B90AF6" w:rsidRPr="00B90AF6" w:rsidRDefault="00B90AF6" w:rsidP="00B90AF6">
      <w:pPr>
        <w:rPr>
          <w:rFonts w:asciiTheme="minorHAnsi" w:hAnsiTheme="minorHAnsi" w:cstheme="minorHAnsi"/>
          <w:b/>
          <w:i/>
          <w:color w:val="FF0000"/>
        </w:rPr>
      </w:pPr>
    </w:p>
    <w:p w14:paraId="001A5691" w14:textId="77777777" w:rsidR="00FE3BE8" w:rsidRPr="00FE3BE8" w:rsidRDefault="00FE3BE8" w:rsidP="00FE3BE8">
      <w:pPr>
        <w:rPr>
          <w:rFonts w:asciiTheme="minorHAnsi" w:hAnsiTheme="minorHAnsi" w:cstheme="minorHAnsi"/>
          <w:b/>
          <w:i/>
        </w:rPr>
      </w:pPr>
    </w:p>
    <w:p w14:paraId="5AA01C5B" w14:textId="77777777" w:rsidR="001E2F13" w:rsidRPr="00FE3BE8" w:rsidRDefault="001E2F13" w:rsidP="00FE3BE8">
      <w:pPr>
        <w:rPr>
          <w:rFonts w:asciiTheme="minorHAnsi" w:hAnsiTheme="minorHAnsi" w:cstheme="minorHAnsi"/>
          <w:b/>
          <w:i/>
        </w:rPr>
      </w:pPr>
    </w:p>
    <w:p w14:paraId="71E247A1" w14:textId="77777777" w:rsidR="0070597A" w:rsidRPr="00FE3BE8" w:rsidRDefault="0070597A" w:rsidP="001E2F13">
      <w:pPr>
        <w:rPr>
          <w:rFonts w:asciiTheme="minorHAnsi" w:hAnsiTheme="minorHAnsi" w:cstheme="minorHAnsi"/>
          <w:b/>
          <w:i/>
        </w:rPr>
      </w:pPr>
    </w:p>
    <w:p w14:paraId="2DED57CD" w14:textId="77777777" w:rsidR="000E40C5" w:rsidRDefault="000E40C5" w:rsidP="00551F22">
      <w:pPr>
        <w:keepNext/>
        <w:keepLines/>
        <w:rPr>
          <w:rFonts w:asciiTheme="minorHAnsi" w:hAnsiTheme="minorHAnsi" w:cstheme="minorHAnsi"/>
          <w:i/>
          <w:color w:val="FF0000"/>
        </w:rPr>
      </w:pPr>
    </w:p>
    <w:sectPr w:rsidR="000E40C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4603" w14:textId="77777777" w:rsidR="000A03FA" w:rsidRDefault="000A03FA" w:rsidP="00A960B5">
      <w:r>
        <w:separator/>
      </w:r>
    </w:p>
  </w:endnote>
  <w:endnote w:type="continuationSeparator" w:id="0">
    <w:p w14:paraId="23DF2502" w14:textId="77777777" w:rsidR="000A03FA" w:rsidRDefault="000A03FA" w:rsidP="00A9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320121"/>
      <w:docPartObj>
        <w:docPartGallery w:val="Page Numbers (Bottom of Page)"/>
        <w:docPartUnique/>
      </w:docPartObj>
    </w:sdtPr>
    <w:sdtEndPr>
      <w:rPr>
        <w:rFonts w:asciiTheme="minorHAnsi" w:hAnsiTheme="minorHAnsi" w:cstheme="minorHAnsi"/>
        <w:noProof/>
      </w:rPr>
    </w:sdtEndPr>
    <w:sdtContent>
      <w:p w14:paraId="61A83B60" w14:textId="681E14AC" w:rsidR="008421E8" w:rsidRPr="008421E8" w:rsidRDefault="008421E8">
        <w:pPr>
          <w:pStyle w:val="Footer"/>
          <w:jc w:val="center"/>
          <w:rPr>
            <w:rFonts w:asciiTheme="minorHAnsi" w:hAnsiTheme="minorHAnsi" w:cstheme="minorHAnsi"/>
          </w:rPr>
        </w:pPr>
        <w:r w:rsidRPr="008421E8">
          <w:rPr>
            <w:rFonts w:asciiTheme="minorHAnsi" w:hAnsiTheme="minorHAnsi" w:cstheme="minorHAnsi"/>
          </w:rPr>
          <w:fldChar w:fldCharType="begin"/>
        </w:r>
        <w:r w:rsidRPr="008421E8">
          <w:rPr>
            <w:rFonts w:asciiTheme="minorHAnsi" w:hAnsiTheme="minorHAnsi" w:cstheme="minorHAnsi"/>
          </w:rPr>
          <w:instrText xml:space="preserve"> PAGE   \* MERGEFORMAT </w:instrText>
        </w:r>
        <w:r w:rsidRPr="008421E8">
          <w:rPr>
            <w:rFonts w:asciiTheme="minorHAnsi" w:hAnsiTheme="minorHAnsi" w:cstheme="minorHAnsi"/>
          </w:rPr>
          <w:fldChar w:fldCharType="separate"/>
        </w:r>
        <w:r w:rsidRPr="008421E8">
          <w:rPr>
            <w:rFonts w:asciiTheme="minorHAnsi" w:hAnsiTheme="minorHAnsi" w:cstheme="minorHAnsi"/>
            <w:noProof/>
          </w:rPr>
          <w:t>2</w:t>
        </w:r>
        <w:r w:rsidRPr="008421E8">
          <w:rPr>
            <w:rFonts w:asciiTheme="minorHAnsi" w:hAnsiTheme="minorHAnsi" w:cstheme="minorHAnsi"/>
            <w:noProof/>
          </w:rPr>
          <w:fldChar w:fldCharType="end"/>
        </w:r>
      </w:p>
    </w:sdtContent>
  </w:sdt>
  <w:p w14:paraId="1FF84EDD" w14:textId="77777777" w:rsidR="008421E8" w:rsidRDefault="00842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6893" w14:textId="77777777" w:rsidR="000A03FA" w:rsidRDefault="000A03FA" w:rsidP="00A960B5">
      <w:r>
        <w:separator/>
      </w:r>
    </w:p>
  </w:footnote>
  <w:footnote w:type="continuationSeparator" w:id="0">
    <w:p w14:paraId="0A002501" w14:textId="77777777" w:rsidR="000A03FA" w:rsidRDefault="000A03FA" w:rsidP="00A96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6B14"/>
    <w:multiLevelType w:val="hybridMultilevel"/>
    <w:tmpl w:val="C020452E"/>
    <w:lvl w:ilvl="0" w:tplc="3F90FFDA">
      <w:start w:val="1"/>
      <w:numFmt w:val="decimal"/>
      <w:pStyle w:val="MBPoint"/>
      <w:lvlText w:val="%1."/>
      <w:lvlJc w:val="left"/>
      <w:pPr>
        <w:ind w:left="417" w:hanging="360"/>
      </w:pPr>
      <w:rPr>
        <w:rFonts w:hint="default"/>
      </w:rPr>
    </w:lvl>
    <w:lvl w:ilvl="1" w:tplc="E4726C06">
      <w:start w:val="1"/>
      <w:numFmt w:val="bullet"/>
      <w:lvlText w:val=""/>
      <w:lvlJc w:val="left"/>
      <w:pPr>
        <w:ind w:left="1137" w:hanging="360"/>
      </w:pPr>
      <w:rPr>
        <w:rFonts w:ascii="Symbol" w:hAnsi="Symbol" w:hint="default"/>
      </w:rPr>
    </w:lvl>
    <w:lvl w:ilvl="2" w:tplc="A0929C00" w:tentative="1">
      <w:start w:val="1"/>
      <w:numFmt w:val="lowerRoman"/>
      <w:lvlText w:val="%3."/>
      <w:lvlJc w:val="right"/>
      <w:pPr>
        <w:ind w:left="1857" w:hanging="180"/>
      </w:pPr>
    </w:lvl>
    <w:lvl w:ilvl="3" w:tplc="3EDE516A" w:tentative="1">
      <w:start w:val="1"/>
      <w:numFmt w:val="decimal"/>
      <w:lvlText w:val="%4."/>
      <w:lvlJc w:val="left"/>
      <w:pPr>
        <w:ind w:left="2577" w:hanging="360"/>
      </w:pPr>
    </w:lvl>
    <w:lvl w:ilvl="4" w:tplc="B216A5BC" w:tentative="1">
      <w:start w:val="1"/>
      <w:numFmt w:val="lowerLetter"/>
      <w:lvlText w:val="%5."/>
      <w:lvlJc w:val="left"/>
      <w:pPr>
        <w:ind w:left="3297" w:hanging="360"/>
      </w:pPr>
    </w:lvl>
    <w:lvl w:ilvl="5" w:tplc="8FA07A5E" w:tentative="1">
      <w:start w:val="1"/>
      <w:numFmt w:val="lowerRoman"/>
      <w:lvlText w:val="%6."/>
      <w:lvlJc w:val="right"/>
      <w:pPr>
        <w:ind w:left="4017" w:hanging="180"/>
      </w:pPr>
    </w:lvl>
    <w:lvl w:ilvl="6" w:tplc="D44E38B0" w:tentative="1">
      <w:start w:val="1"/>
      <w:numFmt w:val="decimal"/>
      <w:lvlText w:val="%7."/>
      <w:lvlJc w:val="left"/>
      <w:pPr>
        <w:ind w:left="4737" w:hanging="360"/>
      </w:pPr>
    </w:lvl>
    <w:lvl w:ilvl="7" w:tplc="49665994" w:tentative="1">
      <w:start w:val="1"/>
      <w:numFmt w:val="lowerLetter"/>
      <w:lvlText w:val="%8."/>
      <w:lvlJc w:val="left"/>
      <w:pPr>
        <w:ind w:left="5457" w:hanging="360"/>
      </w:pPr>
    </w:lvl>
    <w:lvl w:ilvl="8" w:tplc="113ED172" w:tentative="1">
      <w:start w:val="1"/>
      <w:numFmt w:val="lowerRoman"/>
      <w:lvlText w:val="%9."/>
      <w:lvlJc w:val="right"/>
      <w:pPr>
        <w:ind w:left="6177" w:hanging="180"/>
      </w:pPr>
    </w:lvl>
  </w:abstractNum>
  <w:abstractNum w:abstractNumId="1" w15:restartNumberingAfterBreak="0">
    <w:nsid w:val="1E4E42A0"/>
    <w:multiLevelType w:val="hybridMultilevel"/>
    <w:tmpl w:val="86DE6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2F3B65"/>
    <w:multiLevelType w:val="hybridMultilevel"/>
    <w:tmpl w:val="9704EF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9295050"/>
    <w:multiLevelType w:val="hybridMultilevel"/>
    <w:tmpl w:val="CBF29F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C560E30"/>
    <w:multiLevelType w:val="hybridMultilevel"/>
    <w:tmpl w:val="1908A2AA"/>
    <w:lvl w:ilvl="0" w:tplc="FBDCAA68">
      <w:start w:val="1"/>
      <w:numFmt w:val="bullet"/>
      <w:lvlText w:val=""/>
      <w:lvlJc w:val="left"/>
      <w:pPr>
        <w:ind w:left="360" w:hanging="360"/>
      </w:pPr>
      <w:rPr>
        <w:rFonts w:ascii="Symbol" w:hAnsi="Symbol" w:hint="default"/>
      </w:rPr>
    </w:lvl>
    <w:lvl w:ilvl="1" w:tplc="ECB6B49C" w:tentative="1">
      <w:start w:val="1"/>
      <w:numFmt w:val="bullet"/>
      <w:lvlText w:val="o"/>
      <w:lvlJc w:val="left"/>
      <w:pPr>
        <w:ind w:left="1080" w:hanging="360"/>
      </w:pPr>
      <w:rPr>
        <w:rFonts w:ascii="Courier New" w:hAnsi="Courier New" w:cs="Courier New" w:hint="default"/>
      </w:rPr>
    </w:lvl>
    <w:lvl w:ilvl="2" w:tplc="7BEA4594" w:tentative="1">
      <w:start w:val="1"/>
      <w:numFmt w:val="bullet"/>
      <w:lvlText w:val=""/>
      <w:lvlJc w:val="left"/>
      <w:pPr>
        <w:ind w:left="1800" w:hanging="360"/>
      </w:pPr>
      <w:rPr>
        <w:rFonts w:ascii="Wingdings" w:hAnsi="Wingdings" w:hint="default"/>
      </w:rPr>
    </w:lvl>
    <w:lvl w:ilvl="3" w:tplc="A4A0049A" w:tentative="1">
      <w:start w:val="1"/>
      <w:numFmt w:val="bullet"/>
      <w:lvlText w:val=""/>
      <w:lvlJc w:val="left"/>
      <w:pPr>
        <w:ind w:left="2520" w:hanging="360"/>
      </w:pPr>
      <w:rPr>
        <w:rFonts w:ascii="Symbol" w:hAnsi="Symbol" w:hint="default"/>
      </w:rPr>
    </w:lvl>
    <w:lvl w:ilvl="4" w:tplc="DD221136" w:tentative="1">
      <w:start w:val="1"/>
      <w:numFmt w:val="bullet"/>
      <w:lvlText w:val="o"/>
      <w:lvlJc w:val="left"/>
      <w:pPr>
        <w:ind w:left="3240" w:hanging="360"/>
      </w:pPr>
      <w:rPr>
        <w:rFonts w:ascii="Courier New" w:hAnsi="Courier New" w:cs="Courier New" w:hint="default"/>
      </w:rPr>
    </w:lvl>
    <w:lvl w:ilvl="5" w:tplc="8556D9BC" w:tentative="1">
      <w:start w:val="1"/>
      <w:numFmt w:val="bullet"/>
      <w:lvlText w:val=""/>
      <w:lvlJc w:val="left"/>
      <w:pPr>
        <w:ind w:left="3960" w:hanging="360"/>
      </w:pPr>
      <w:rPr>
        <w:rFonts w:ascii="Wingdings" w:hAnsi="Wingdings" w:hint="default"/>
      </w:rPr>
    </w:lvl>
    <w:lvl w:ilvl="6" w:tplc="BC1048C0" w:tentative="1">
      <w:start w:val="1"/>
      <w:numFmt w:val="bullet"/>
      <w:lvlText w:val=""/>
      <w:lvlJc w:val="left"/>
      <w:pPr>
        <w:ind w:left="4680" w:hanging="360"/>
      </w:pPr>
      <w:rPr>
        <w:rFonts w:ascii="Symbol" w:hAnsi="Symbol" w:hint="default"/>
      </w:rPr>
    </w:lvl>
    <w:lvl w:ilvl="7" w:tplc="3B801642" w:tentative="1">
      <w:start w:val="1"/>
      <w:numFmt w:val="bullet"/>
      <w:lvlText w:val="o"/>
      <w:lvlJc w:val="left"/>
      <w:pPr>
        <w:ind w:left="5400" w:hanging="360"/>
      </w:pPr>
      <w:rPr>
        <w:rFonts w:ascii="Courier New" w:hAnsi="Courier New" w:cs="Courier New" w:hint="default"/>
      </w:rPr>
    </w:lvl>
    <w:lvl w:ilvl="8" w:tplc="49FCA8B2" w:tentative="1">
      <w:start w:val="1"/>
      <w:numFmt w:val="bullet"/>
      <w:lvlText w:val=""/>
      <w:lvlJc w:val="left"/>
      <w:pPr>
        <w:ind w:left="6120" w:hanging="360"/>
      </w:pPr>
      <w:rPr>
        <w:rFonts w:ascii="Wingdings" w:hAnsi="Wingdings" w:hint="default"/>
      </w:rPr>
    </w:lvl>
  </w:abstractNum>
  <w:abstractNum w:abstractNumId="5" w15:restartNumberingAfterBreak="0">
    <w:nsid w:val="3A9234A2"/>
    <w:multiLevelType w:val="hybridMultilevel"/>
    <w:tmpl w:val="F5D0DC0C"/>
    <w:lvl w:ilvl="0" w:tplc="F8F8D3FA">
      <w:start w:val="1"/>
      <w:numFmt w:val="bullet"/>
      <w:lvlText w:val=""/>
      <w:lvlJc w:val="left"/>
      <w:pPr>
        <w:ind w:left="720" w:hanging="360"/>
      </w:pPr>
      <w:rPr>
        <w:rFonts w:ascii="Symbol" w:hAnsi="Symbol" w:hint="default"/>
      </w:rPr>
    </w:lvl>
    <w:lvl w:ilvl="1" w:tplc="A07C5662" w:tentative="1">
      <w:start w:val="1"/>
      <w:numFmt w:val="bullet"/>
      <w:lvlText w:val="o"/>
      <w:lvlJc w:val="left"/>
      <w:pPr>
        <w:ind w:left="1440" w:hanging="360"/>
      </w:pPr>
      <w:rPr>
        <w:rFonts w:ascii="Courier New" w:hAnsi="Courier New" w:cs="Courier New" w:hint="default"/>
      </w:rPr>
    </w:lvl>
    <w:lvl w:ilvl="2" w:tplc="45F4FAB0" w:tentative="1">
      <w:start w:val="1"/>
      <w:numFmt w:val="bullet"/>
      <w:lvlText w:val=""/>
      <w:lvlJc w:val="left"/>
      <w:pPr>
        <w:ind w:left="2160" w:hanging="360"/>
      </w:pPr>
      <w:rPr>
        <w:rFonts w:ascii="Wingdings" w:hAnsi="Wingdings" w:hint="default"/>
      </w:rPr>
    </w:lvl>
    <w:lvl w:ilvl="3" w:tplc="F3220720" w:tentative="1">
      <w:start w:val="1"/>
      <w:numFmt w:val="bullet"/>
      <w:lvlText w:val=""/>
      <w:lvlJc w:val="left"/>
      <w:pPr>
        <w:ind w:left="2880" w:hanging="360"/>
      </w:pPr>
      <w:rPr>
        <w:rFonts w:ascii="Symbol" w:hAnsi="Symbol" w:hint="default"/>
      </w:rPr>
    </w:lvl>
    <w:lvl w:ilvl="4" w:tplc="D47A09FE" w:tentative="1">
      <w:start w:val="1"/>
      <w:numFmt w:val="bullet"/>
      <w:lvlText w:val="o"/>
      <w:lvlJc w:val="left"/>
      <w:pPr>
        <w:ind w:left="3600" w:hanging="360"/>
      </w:pPr>
      <w:rPr>
        <w:rFonts w:ascii="Courier New" w:hAnsi="Courier New" w:cs="Courier New" w:hint="default"/>
      </w:rPr>
    </w:lvl>
    <w:lvl w:ilvl="5" w:tplc="B36CEA28" w:tentative="1">
      <w:start w:val="1"/>
      <w:numFmt w:val="bullet"/>
      <w:lvlText w:val=""/>
      <w:lvlJc w:val="left"/>
      <w:pPr>
        <w:ind w:left="4320" w:hanging="360"/>
      </w:pPr>
      <w:rPr>
        <w:rFonts w:ascii="Wingdings" w:hAnsi="Wingdings" w:hint="default"/>
      </w:rPr>
    </w:lvl>
    <w:lvl w:ilvl="6" w:tplc="AFDE88F4" w:tentative="1">
      <w:start w:val="1"/>
      <w:numFmt w:val="bullet"/>
      <w:lvlText w:val=""/>
      <w:lvlJc w:val="left"/>
      <w:pPr>
        <w:ind w:left="5040" w:hanging="360"/>
      </w:pPr>
      <w:rPr>
        <w:rFonts w:ascii="Symbol" w:hAnsi="Symbol" w:hint="default"/>
      </w:rPr>
    </w:lvl>
    <w:lvl w:ilvl="7" w:tplc="6FAA390A" w:tentative="1">
      <w:start w:val="1"/>
      <w:numFmt w:val="bullet"/>
      <w:lvlText w:val="o"/>
      <w:lvlJc w:val="left"/>
      <w:pPr>
        <w:ind w:left="5760" w:hanging="360"/>
      </w:pPr>
      <w:rPr>
        <w:rFonts w:ascii="Courier New" w:hAnsi="Courier New" w:cs="Courier New" w:hint="default"/>
      </w:rPr>
    </w:lvl>
    <w:lvl w:ilvl="8" w:tplc="90EE8E9E" w:tentative="1">
      <w:start w:val="1"/>
      <w:numFmt w:val="bullet"/>
      <w:lvlText w:val=""/>
      <w:lvlJc w:val="left"/>
      <w:pPr>
        <w:ind w:left="6480" w:hanging="360"/>
      </w:pPr>
      <w:rPr>
        <w:rFonts w:ascii="Wingdings" w:hAnsi="Wingdings" w:hint="default"/>
      </w:rPr>
    </w:lvl>
  </w:abstractNum>
  <w:abstractNum w:abstractNumId="6" w15:restartNumberingAfterBreak="0">
    <w:nsid w:val="3F1666C3"/>
    <w:multiLevelType w:val="hybridMultilevel"/>
    <w:tmpl w:val="89D084A8"/>
    <w:lvl w:ilvl="0" w:tplc="AE30FC12">
      <w:start w:val="1"/>
      <w:numFmt w:val="bullet"/>
      <w:lvlText w:val=""/>
      <w:lvlJc w:val="left"/>
      <w:pPr>
        <w:ind w:left="720" w:hanging="360"/>
      </w:pPr>
      <w:rPr>
        <w:rFonts w:ascii="Symbol" w:hAnsi="Symbol" w:hint="default"/>
      </w:rPr>
    </w:lvl>
    <w:lvl w:ilvl="1" w:tplc="F1A290CA" w:tentative="1">
      <w:start w:val="1"/>
      <w:numFmt w:val="bullet"/>
      <w:lvlText w:val="o"/>
      <w:lvlJc w:val="left"/>
      <w:pPr>
        <w:ind w:left="1440" w:hanging="360"/>
      </w:pPr>
      <w:rPr>
        <w:rFonts w:ascii="Courier New" w:hAnsi="Courier New" w:cs="Courier New" w:hint="default"/>
      </w:rPr>
    </w:lvl>
    <w:lvl w:ilvl="2" w:tplc="3F0650AA" w:tentative="1">
      <w:start w:val="1"/>
      <w:numFmt w:val="bullet"/>
      <w:lvlText w:val=""/>
      <w:lvlJc w:val="left"/>
      <w:pPr>
        <w:ind w:left="2160" w:hanging="360"/>
      </w:pPr>
      <w:rPr>
        <w:rFonts w:ascii="Wingdings" w:hAnsi="Wingdings" w:hint="default"/>
      </w:rPr>
    </w:lvl>
    <w:lvl w:ilvl="3" w:tplc="E9143016" w:tentative="1">
      <w:start w:val="1"/>
      <w:numFmt w:val="bullet"/>
      <w:lvlText w:val=""/>
      <w:lvlJc w:val="left"/>
      <w:pPr>
        <w:ind w:left="2880" w:hanging="360"/>
      </w:pPr>
      <w:rPr>
        <w:rFonts w:ascii="Symbol" w:hAnsi="Symbol" w:hint="default"/>
      </w:rPr>
    </w:lvl>
    <w:lvl w:ilvl="4" w:tplc="1ED66FDE" w:tentative="1">
      <w:start w:val="1"/>
      <w:numFmt w:val="bullet"/>
      <w:lvlText w:val="o"/>
      <w:lvlJc w:val="left"/>
      <w:pPr>
        <w:ind w:left="3600" w:hanging="360"/>
      </w:pPr>
      <w:rPr>
        <w:rFonts w:ascii="Courier New" w:hAnsi="Courier New" w:cs="Courier New" w:hint="default"/>
      </w:rPr>
    </w:lvl>
    <w:lvl w:ilvl="5" w:tplc="3580CD4C" w:tentative="1">
      <w:start w:val="1"/>
      <w:numFmt w:val="bullet"/>
      <w:lvlText w:val=""/>
      <w:lvlJc w:val="left"/>
      <w:pPr>
        <w:ind w:left="4320" w:hanging="360"/>
      </w:pPr>
      <w:rPr>
        <w:rFonts w:ascii="Wingdings" w:hAnsi="Wingdings" w:hint="default"/>
      </w:rPr>
    </w:lvl>
    <w:lvl w:ilvl="6" w:tplc="72C202BE" w:tentative="1">
      <w:start w:val="1"/>
      <w:numFmt w:val="bullet"/>
      <w:lvlText w:val=""/>
      <w:lvlJc w:val="left"/>
      <w:pPr>
        <w:ind w:left="5040" w:hanging="360"/>
      </w:pPr>
      <w:rPr>
        <w:rFonts w:ascii="Symbol" w:hAnsi="Symbol" w:hint="default"/>
      </w:rPr>
    </w:lvl>
    <w:lvl w:ilvl="7" w:tplc="AFF0F684" w:tentative="1">
      <w:start w:val="1"/>
      <w:numFmt w:val="bullet"/>
      <w:lvlText w:val="o"/>
      <w:lvlJc w:val="left"/>
      <w:pPr>
        <w:ind w:left="5760" w:hanging="360"/>
      </w:pPr>
      <w:rPr>
        <w:rFonts w:ascii="Courier New" w:hAnsi="Courier New" w:cs="Courier New" w:hint="default"/>
      </w:rPr>
    </w:lvl>
    <w:lvl w:ilvl="8" w:tplc="B9C093EA" w:tentative="1">
      <w:start w:val="1"/>
      <w:numFmt w:val="bullet"/>
      <w:lvlText w:val=""/>
      <w:lvlJc w:val="left"/>
      <w:pPr>
        <w:ind w:left="6480" w:hanging="360"/>
      </w:pPr>
      <w:rPr>
        <w:rFonts w:ascii="Wingdings" w:hAnsi="Wingdings" w:hint="default"/>
      </w:rPr>
    </w:lvl>
  </w:abstractNum>
  <w:abstractNum w:abstractNumId="7" w15:restartNumberingAfterBreak="0">
    <w:nsid w:val="5F492C46"/>
    <w:multiLevelType w:val="hybridMultilevel"/>
    <w:tmpl w:val="707E17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87513882">
    <w:abstractNumId w:val="5"/>
  </w:num>
  <w:num w:numId="2" w16cid:durableId="1270624728">
    <w:abstractNumId w:val="6"/>
  </w:num>
  <w:num w:numId="3" w16cid:durableId="104085309">
    <w:abstractNumId w:val="6"/>
  </w:num>
  <w:num w:numId="4" w16cid:durableId="975331955">
    <w:abstractNumId w:val="4"/>
  </w:num>
  <w:num w:numId="5" w16cid:durableId="2036689669">
    <w:abstractNumId w:val="2"/>
  </w:num>
  <w:num w:numId="6" w16cid:durableId="412047655">
    <w:abstractNumId w:val="3"/>
  </w:num>
  <w:num w:numId="7" w16cid:durableId="1133594342">
    <w:abstractNumId w:val="0"/>
  </w:num>
  <w:num w:numId="8" w16cid:durableId="1112289488">
    <w:abstractNumId w:val="1"/>
  </w:num>
  <w:num w:numId="9" w16cid:durableId="2013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41"/>
    <w:rsid w:val="00000C8A"/>
    <w:rsid w:val="00004C32"/>
    <w:rsid w:val="00016049"/>
    <w:rsid w:val="000413F3"/>
    <w:rsid w:val="000873F4"/>
    <w:rsid w:val="00097ADA"/>
    <w:rsid w:val="000A0014"/>
    <w:rsid w:val="000A03FA"/>
    <w:rsid w:val="000B02FC"/>
    <w:rsid w:val="000D3F67"/>
    <w:rsid w:val="000E40C5"/>
    <w:rsid w:val="000E7BD7"/>
    <w:rsid w:val="00120216"/>
    <w:rsid w:val="00127B5C"/>
    <w:rsid w:val="00147F18"/>
    <w:rsid w:val="00176D91"/>
    <w:rsid w:val="001861D9"/>
    <w:rsid w:val="00186799"/>
    <w:rsid w:val="001C3888"/>
    <w:rsid w:val="001D072C"/>
    <w:rsid w:val="001E2F13"/>
    <w:rsid w:val="001E354F"/>
    <w:rsid w:val="001E58EF"/>
    <w:rsid w:val="002172ED"/>
    <w:rsid w:val="00224AD7"/>
    <w:rsid w:val="00257250"/>
    <w:rsid w:val="00271991"/>
    <w:rsid w:val="002A7F0A"/>
    <w:rsid w:val="002B4E29"/>
    <w:rsid w:val="002B54CF"/>
    <w:rsid w:val="002C4747"/>
    <w:rsid w:val="002C74AC"/>
    <w:rsid w:val="002D68D6"/>
    <w:rsid w:val="002F2D91"/>
    <w:rsid w:val="002F423D"/>
    <w:rsid w:val="0030336D"/>
    <w:rsid w:val="0031025A"/>
    <w:rsid w:val="00312DCB"/>
    <w:rsid w:val="0033704E"/>
    <w:rsid w:val="003441D9"/>
    <w:rsid w:val="00355061"/>
    <w:rsid w:val="00356DDF"/>
    <w:rsid w:val="00374D9C"/>
    <w:rsid w:val="003A0FA3"/>
    <w:rsid w:val="003B35E4"/>
    <w:rsid w:val="003D45E5"/>
    <w:rsid w:val="003E2997"/>
    <w:rsid w:val="003E6DCC"/>
    <w:rsid w:val="003F5F8D"/>
    <w:rsid w:val="004112CF"/>
    <w:rsid w:val="0043113D"/>
    <w:rsid w:val="00432EA2"/>
    <w:rsid w:val="00436C44"/>
    <w:rsid w:val="004410D3"/>
    <w:rsid w:val="00445D71"/>
    <w:rsid w:val="00455E46"/>
    <w:rsid w:val="00457EB8"/>
    <w:rsid w:val="00462C07"/>
    <w:rsid w:val="004717EC"/>
    <w:rsid w:val="0047649A"/>
    <w:rsid w:val="004907DD"/>
    <w:rsid w:val="004A60F4"/>
    <w:rsid w:val="004B08F7"/>
    <w:rsid w:val="005001A1"/>
    <w:rsid w:val="00510D45"/>
    <w:rsid w:val="00525B97"/>
    <w:rsid w:val="00536C21"/>
    <w:rsid w:val="00537F89"/>
    <w:rsid w:val="0054236A"/>
    <w:rsid w:val="00551F22"/>
    <w:rsid w:val="00552991"/>
    <w:rsid w:val="005653BA"/>
    <w:rsid w:val="00594A0A"/>
    <w:rsid w:val="005A3C5B"/>
    <w:rsid w:val="005B55ED"/>
    <w:rsid w:val="005D029F"/>
    <w:rsid w:val="005F695C"/>
    <w:rsid w:val="00641781"/>
    <w:rsid w:val="00672C40"/>
    <w:rsid w:val="0068520E"/>
    <w:rsid w:val="006942E8"/>
    <w:rsid w:val="006C794F"/>
    <w:rsid w:val="006D63DC"/>
    <w:rsid w:val="006E7DF6"/>
    <w:rsid w:val="0070597A"/>
    <w:rsid w:val="0070794D"/>
    <w:rsid w:val="00712624"/>
    <w:rsid w:val="00713DE3"/>
    <w:rsid w:val="00723083"/>
    <w:rsid w:val="007265A1"/>
    <w:rsid w:val="0073177B"/>
    <w:rsid w:val="00745085"/>
    <w:rsid w:val="00753AA1"/>
    <w:rsid w:val="00766A91"/>
    <w:rsid w:val="0077522F"/>
    <w:rsid w:val="007A6CE3"/>
    <w:rsid w:val="007B11C4"/>
    <w:rsid w:val="007C4524"/>
    <w:rsid w:val="007C584E"/>
    <w:rsid w:val="007C7782"/>
    <w:rsid w:val="007D5DED"/>
    <w:rsid w:val="007F70C9"/>
    <w:rsid w:val="008048DC"/>
    <w:rsid w:val="00830153"/>
    <w:rsid w:val="008319A9"/>
    <w:rsid w:val="008421E8"/>
    <w:rsid w:val="00887383"/>
    <w:rsid w:val="00892CF4"/>
    <w:rsid w:val="008E01BC"/>
    <w:rsid w:val="008E24B5"/>
    <w:rsid w:val="008E47AE"/>
    <w:rsid w:val="008F05F9"/>
    <w:rsid w:val="00901800"/>
    <w:rsid w:val="00925A48"/>
    <w:rsid w:val="009428E2"/>
    <w:rsid w:val="00945628"/>
    <w:rsid w:val="00947378"/>
    <w:rsid w:val="009717BF"/>
    <w:rsid w:val="009747F4"/>
    <w:rsid w:val="009B0FE6"/>
    <w:rsid w:val="009C39FC"/>
    <w:rsid w:val="009F7068"/>
    <w:rsid w:val="00A02AC0"/>
    <w:rsid w:val="00A06A7D"/>
    <w:rsid w:val="00A10A4F"/>
    <w:rsid w:val="00A55F8E"/>
    <w:rsid w:val="00A61AEA"/>
    <w:rsid w:val="00A75541"/>
    <w:rsid w:val="00A960B5"/>
    <w:rsid w:val="00AA1133"/>
    <w:rsid w:val="00AB1737"/>
    <w:rsid w:val="00AB6EA4"/>
    <w:rsid w:val="00AC410F"/>
    <w:rsid w:val="00AD4C07"/>
    <w:rsid w:val="00AD7EA8"/>
    <w:rsid w:val="00AF30FA"/>
    <w:rsid w:val="00B0247E"/>
    <w:rsid w:val="00B04A6C"/>
    <w:rsid w:val="00B11A7E"/>
    <w:rsid w:val="00B232F8"/>
    <w:rsid w:val="00B5049D"/>
    <w:rsid w:val="00B90AF6"/>
    <w:rsid w:val="00B97432"/>
    <w:rsid w:val="00B97E9B"/>
    <w:rsid w:val="00BB7879"/>
    <w:rsid w:val="00BD1D03"/>
    <w:rsid w:val="00BD66BE"/>
    <w:rsid w:val="00BE4997"/>
    <w:rsid w:val="00C121BE"/>
    <w:rsid w:val="00C14D07"/>
    <w:rsid w:val="00C16A63"/>
    <w:rsid w:val="00C17734"/>
    <w:rsid w:val="00C220AB"/>
    <w:rsid w:val="00C40BC9"/>
    <w:rsid w:val="00C46E09"/>
    <w:rsid w:val="00C471E3"/>
    <w:rsid w:val="00C62F91"/>
    <w:rsid w:val="00C707CE"/>
    <w:rsid w:val="00C71E9D"/>
    <w:rsid w:val="00C95F95"/>
    <w:rsid w:val="00C96104"/>
    <w:rsid w:val="00CB0590"/>
    <w:rsid w:val="00CC740B"/>
    <w:rsid w:val="00CC76FD"/>
    <w:rsid w:val="00CE2B0A"/>
    <w:rsid w:val="00D01971"/>
    <w:rsid w:val="00D27FD0"/>
    <w:rsid w:val="00D5229A"/>
    <w:rsid w:val="00D61073"/>
    <w:rsid w:val="00D727DB"/>
    <w:rsid w:val="00D96285"/>
    <w:rsid w:val="00DA34A8"/>
    <w:rsid w:val="00DA36E3"/>
    <w:rsid w:val="00DB7EAD"/>
    <w:rsid w:val="00DD13B0"/>
    <w:rsid w:val="00DE569F"/>
    <w:rsid w:val="00DF0446"/>
    <w:rsid w:val="00DF334C"/>
    <w:rsid w:val="00E069A0"/>
    <w:rsid w:val="00E17F22"/>
    <w:rsid w:val="00E24CA3"/>
    <w:rsid w:val="00E30C0C"/>
    <w:rsid w:val="00E35FB4"/>
    <w:rsid w:val="00E4070B"/>
    <w:rsid w:val="00E461E0"/>
    <w:rsid w:val="00E52F93"/>
    <w:rsid w:val="00E56FC4"/>
    <w:rsid w:val="00E73DA3"/>
    <w:rsid w:val="00E811C8"/>
    <w:rsid w:val="00EA68B1"/>
    <w:rsid w:val="00EB2073"/>
    <w:rsid w:val="00EB31EE"/>
    <w:rsid w:val="00EB3CAF"/>
    <w:rsid w:val="00EC2975"/>
    <w:rsid w:val="00EF10BE"/>
    <w:rsid w:val="00EF22A7"/>
    <w:rsid w:val="00F2039E"/>
    <w:rsid w:val="00F23A58"/>
    <w:rsid w:val="00F23F87"/>
    <w:rsid w:val="00F26F01"/>
    <w:rsid w:val="00F36394"/>
    <w:rsid w:val="00F72504"/>
    <w:rsid w:val="00F76EF7"/>
    <w:rsid w:val="00F844B3"/>
    <w:rsid w:val="00F92CF5"/>
    <w:rsid w:val="00F96DE3"/>
    <w:rsid w:val="00FA4355"/>
    <w:rsid w:val="00FB608B"/>
    <w:rsid w:val="00FE1456"/>
    <w:rsid w:val="00FE3B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C64288B"/>
  <w15:chartTrackingRefBased/>
  <w15:docId w15:val="{251641BC-B895-4C51-839D-B6C5F340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5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6D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unhideWhenUsed/>
    <w:qFormat/>
    <w:rsid w:val="004907DD"/>
    <w:pPr>
      <w:spacing w:before="200" w:line="276" w:lineRule="auto"/>
      <w:outlineLvl w:val="5"/>
    </w:pPr>
    <w:rPr>
      <w:rFonts w:ascii="Calibri" w:eastAsiaTheme="majorEastAsia" w:hAnsi="Calibri" w:cstheme="majorBidi"/>
      <w:b/>
      <w:bCs/>
      <w:i/>
      <w:iCs/>
      <w:color w:val="75757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BBodyText">
    <w:name w:val="IGB_Body Text"/>
    <w:basedOn w:val="Normal"/>
    <w:rsid w:val="00A75541"/>
    <w:pPr>
      <w:suppressAutoHyphens/>
      <w:autoSpaceDE w:val="0"/>
      <w:autoSpaceDN w:val="0"/>
      <w:adjustRightInd w:val="0"/>
      <w:spacing w:after="120" w:line="240" w:lineRule="atLeast"/>
      <w:textAlignment w:val="center"/>
    </w:pPr>
    <w:rPr>
      <w:rFonts w:ascii="Calibri" w:hAnsi="Calibri" w:cs="Garamond"/>
      <w:color w:val="000000"/>
      <w:sz w:val="21"/>
      <w:szCs w:val="22"/>
      <w:lang w:val="en-GB" w:eastAsia="en-AU"/>
    </w:rPr>
  </w:style>
  <w:style w:type="paragraph" w:customStyle="1" w:styleId="Default">
    <w:name w:val="Default"/>
    <w:rsid w:val="007A6CE3"/>
    <w:pPr>
      <w:autoSpaceDE w:val="0"/>
      <w:autoSpaceDN w:val="0"/>
      <w:adjustRightInd w:val="0"/>
      <w:spacing w:after="0" w:line="240" w:lineRule="auto"/>
    </w:pPr>
    <w:rPr>
      <w:rFonts w:ascii="Arial" w:hAnsi="Arial" w:cs="Arial"/>
      <w:color w:val="000000"/>
      <w:sz w:val="24"/>
      <w:szCs w:val="24"/>
    </w:rPr>
  </w:style>
  <w:style w:type="character" w:customStyle="1" w:styleId="Heading6Char">
    <w:name w:val="Heading 6 Char"/>
    <w:basedOn w:val="DefaultParagraphFont"/>
    <w:link w:val="Heading6"/>
    <w:uiPriority w:val="9"/>
    <w:rsid w:val="004907DD"/>
    <w:rPr>
      <w:rFonts w:ascii="Calibri" w:eastAsiaTheme="majorEastAsia" w:hAnsi="Calibri" w:cstheme="majorBidi"/>
      <w:b/>
      <w:bCs/>
      <w:i/>
      <w:iCs/>
      <w:color w:val="757575"/>
    </w:rPr>
  </w:style>
  <w:style w:type="paragraph" w:styleId="ListParagraph">
    <w:name w:val="List Paragraph"/>
    <w:basedOn w:val="Normal"/>
    <w:uiPriority w:val="34"/>
    <w:qFormat/>
    <w:rsid w:val="00DF0446"/>
    <w:pPr>
      <w:ind w:left="720"/>
      <w:contextualSpacing/>
    </w:pPr>
    <w:rPr>
      <w:sz w:val="20"/>
      <w:szCs w:val="20"/>
    </w:rPr>
  </w:style>
  <w:style w:type="character" w:styleId="CommentReference">
    <w:name w:val="annotation reference"/>
    <w:basedOn w:val="DefaultParagraphFont"/>
    <w:uiPriority w:val="99"/>
    <w:semiHidden/>
    <w:unhideWhenUsed/>
    <w:rsid w:val="00672C40"/>
    <w:rPr>
      <w:sz w:val="16"/>
      <w:szCs w:val="16"/>
    </w:rPr>
  </w:style>
  <w:style w:type="paragraph" w:styleId="CommentText">
    <w:name w:val="annotation text"/>
    <w:basedOn w:val="Normal"/>
    <w:link w:val="CommentTextChar"/>
    <w:uiPriority w:val="99"/>
    <w:unhideWhenUsed/>
    <w:rsid w:val="00672C40"/>
    <w:rPr>
      <w:sz w:val="20"/>
      <w:szCs w:val="20"/>
    </w:rPr>
  </w:style>
  <w:style w:type="character" w:customStyle="1" w:styleId="CommentTextChar">
    <w:name w:val="Comment Text Char"/>
    <w:basedOn w:val="DefaultParagraphFont"/>
    <w:link w:val="CommentText"/>
    <w:uiPriority w:val="99"/>
    <w:rsid w:val="00672C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2C40"/>
    <w:rPr>
      <w:b/>
      <w:bCs/>
    </w:rPr>
  </w:style>
  <w:style w:type="character" w:customStyle="1" w:styleId="CommentSubjectChar">
    <w:name w:val="Comment Subject Char"/>
    <w:basedOn w:val="CommentTextChar"/>
    <w:link w:val="CommentSubject"/>
    <w:uiPriority w:val="99"/>
    <w:semiHidden/>
    <w:rsid w:val="00672C40"/>
    <w:rPr>
      <w:rFonts w:ascii="Times New Roman" w:eastAsia="Times New Roman" w:hAnsi="Times New Roman" w:cs="Times New Roman"/>
      <w:b/>
      <w:bCs/>
      <w:sz w:val="20"/>
      <w:szCs w:val="20"/>
    </w:rPr>
  </w:style>
  <w:style w:type="paragraph" w:styleId="NoSpacing">
    <w:name w:val="No Spacing"/>
    <w:uiPriority w:val="1"/>
    <w:qFormat/>
    <w:rsid w:val="00000C8A"/>
    <w:pPr>
      <w:spacing w:after="0" w:line="240" w:lineRule="auto"/>
    </w:pPr>
  </w:style>
  <w:style w:type="character" w:customStyle="1" w:styleId="Heading1Char">
    <w:name w:val="Heading 1 Char"/>
    <w:basedOn w:val="DefaultParagraphFont"/>
    <w:link w:val="Heading1"/>
    <w:uiPriority w:val="9"/>
    <w:rsid w:val="003E6DCC"/>
    <w:rPr>
      <w:rFonts w:asciiTheme="majorHAnsi" w:eastAsiaTheme="majorEastAsia" w:hAnsiTheme="majorHAnsi" w:cstheme="majorBidi"/>
      <w:color w:val="365F91" w:themeColor="accent1" w:themeShade="BF"/>
      <w:sz w:val="32"/>
      <w:szCs w:val="32"/>
    </w:rPr>
  </w:style>
  <w:style w:type="paragraph" w:customStyle="1" w:styleId="MBPoint">
    <w:name w:val="MB Point"/>
    <w:basedOn w:val="ListParagraph"/>
    <w:link w:val="MBPointChar"/>
    <w:qFormat/>
    <w:rsid w:val="00186799"/>
    <w:pPr>
      <w:numPr>
        <w:numId w:val="7"/>
      </w:numPr>
      <w:spacing w:after="60"/>
      <w:contextualSpacing w:val="0"/>
    </w:pPr>
    <w:rPr>
      <w:rFonts w:eastAsiaTheme="minorHAnsi"/>
      <w:sz w:val="24"/>
      <w:szCs w:val="24"/>
    </w:rPr>
  </w:style>
  <w:style w:type="character" w:customStyle="1" w:styleId="MBPointChar">
    <w:name w:val="MB Point Char"/>
    <w:basedOn w:val="DefaultParagraphFont"/>
    <w:link w:val="MBPoint"/>
    <w:rsid w:val="00186799"/>
    <w:rPr>
      <w:rFonts w:ascii="Times New Roman" w:hAnsi="Times New Roman" w:cs="Times New Roman"/>
      <w:sz w:val="24"/>
      <w:szCs w:val="24"/>
    </w:rPr>
  </w:style>
  <w:style w:type="table" w:styleId="TableGrid">
    <w:name w:val="Table Grid"/>
    <w:basedOn w:val="TableNormal"/>
    <w:uiPriority w:val="59"/>
    <w:rsid w:val="00B11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1E8"/>
    <w:pPr>
      <w:tabs>
        <w:tab w:val="center" w:pos="4513"/>
        <w:tab w:val="right" w:pos="9026"/>
      </w:tabs>
    </w:pPr>
  </w:style>
  <w:style w:type="character" w:customStyle="1" w:styleId="HeaderChar">
    <w:name w:val="Header Char"/>
    <w:basedOn w:val="DefaultParagraphFont"/>
    <w:link w:val="Header"/>
    <w:uiPriority w:val="99"/>
    <w:rsid w:val="008421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21E8"/>
    <w:pPr>
      <w:tabs>
        <w:tab w:val="center" w:pos="4513"/>
        <w:tab w:val="right" w:pos="9026"/>
      </w:tabs>
    </w:pPr>
  </w:style>
  <w:style w:type="character" w:customStyle="1" w:styleId="FooterChar">
    <w:name w:val="Footer Char"/>
    <w:basedOn w:val="DefaultParagraphFont"/>
    <w:link w:val="Footer"/>
    <w:uiPriority w:val="99"/>
    <w:rsid w:val="008421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00946">
      <w:bodyDiv w:val="1"/>
      <w:marLeft w:val="0"/>
      <w:marRight w:val="0"/>
      <w:marTop w:val="0"/>
      <w:marBottom w:val="0"/>
      <w:divBdr>
        <w:top w:val="none" w:sz="0" w:space="0" w:color="auto"/>
        <w:left w:val="none" w:sz="0" w:space="0" w:color="auto"/>
        <w:bottom w:val="none" w:sz="0" w:space="0" w:color="auto"/>
        <w:right w:val="none" w:sz="0" w:space="0" w:color="auto"/>
      </w:divBdr>
    </w:div>
    <w:div w:id="18088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8967473209015A4F9BBEA4420EF357AA" ma:contentTypeVersion="" ma:contentTypeDescription="PDMS Document Site Content Type" ma:contentTypeScope="" ma:versionID="c4af878bfcc78ed4fe6019dabedb3b47">
  <xsd:schema xmlns:xsd="http://www.w3.org/2001/XMLSchema" xmlns:xs="http://www.w3.org/2001/XMLSchema" xmlns:p="http://schemas.microsoft.com/office/2006/metadata/properties" xmlns:ns2="8C5E47CD-00D9-417B-89D7-BC29698F9336" targetNamespace="http://schemas.microsoft.com/office/2006/metadata/properties" ma:root="true" ma:fieldsID="f2523c7cc698d90d9f99ddd30ff290d7" ns2:_="">
    <xsd:import namespace="8C5E47CD-00D9-417B-89D7-BC29698F9336"/>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E47CD-00D9-417B-89D7-BC29698F9336"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8C5E47CD-00D9-417B-89D7-BC29698F933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0DC3-7999-4F30-A990-DD4A1EB27B65}">
  <ds:schemaRefs>
    <ds:schemaRef ds:uri="http://schemas.microsoft.com/sharepoint/v3/contenttype/forms"/>
  </ds:schemaRefs>
</ds:datastoreItem>
</file>

<file path=customXml/itemProps2.xml><?xml version="1.0" encoding="utf-8"?>
<ds:datastoreItem xmlns:ds="http://schemas.openxmlformats.org/officeDocument/2006/customXml" ds:itemID="{F3B312CF-8F63-40D1-87F1-806239AFCE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E47CD-00D9-417B-89D7-BC29698F9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7A079C-9770-417D-A72C-92DCF95A46AB}">
  <ds:schemaRefs>
    <ds:schemaRef ds:uri="http://purl.org/dc/dcmitype/"/>
    <ds:schemaRef ds:uri="http://schemas.microsoft.com/office/2006/documentManagement/types"/>
    <ds:schemaRef ds:uri="http://schemas.microsoft.com/office/2006/metadata/properties"/>
    <ds:schemaRef ds:uri="8C5E47CD-00D9-417B-89D7-BC29698F9336"/>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6A183057-22B1-4417-83E9-7CD0337E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AGR | Unlawful underpayment of employees' remuneration</dc:subject>
  <dc:creator>BORG,Amanda</dc:creator>
  <cp:lastModifiedBy>LAKEY,Tegan</cp:lastModifiedBy>
  <cp:revision>2</cp:revision>
  <dcterms:created xsi:type="dcterms:W3CDTF">2023-04-03T02:15:00Z</dcterms:created>
  <dcterms:modified xsi:type="dcterms:W3CDTF">2023-04-03T02:15:00Z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SecurityInformation">
    <vt:lpwstr/>
  </property>
  <property fmtid="{D5CDD505-2E9C-101B-9397-08002B2CF9AE}" pid="3" name="AgencyAttending">
    <vt:lpwstr/>
  </property>
  <property fmtid="{D5CDD505-2E9C-101B-9397-08002B2CF9AE}" pid="4" name="AgencyPosition">
    <vt:lpwstr/>
  </property>
  <property fmtid="{D5CDD505-2E9C-101B-9397-08002B2CF9AE}" pid="5" name="AgencyResponsibility">
    <vt:lpwstr>Lead</vt:lpwstr>
  </property>
  <property fmtid="{D5CDD505-2E9C-101B-9397-08002B2CF9AE}" pid="6" name="ClearanceDueDate">
    <vt:lpwstr>29 August 2022</vt:lpwstr>
  </property>
  <property fmtid="{D5CDD505-2E9C-101B-9397-08002B2CF9AE}" pid="7" name="CommitteeDueDate">
    <vt:lpwstr/>
  </property>
  <property fmtid="{D5CDD505-2E9C-101B-9397-08002B2CF9AE}" pid="8" name="CommitteeName">
    <vt:lpwstr>Standing Committees on Economics</vt:lpwstr>
  </property>
  <property fmtid="{D5CDD505-2E9C-101B-9397-08002B2CF9AE}" pid="9" name="CommitteeType">
    <vt:lpwstr>Senate</vt:lpwstr>
  </property>
  <property fmtid="{D5CDD505-2E9C-101B-9397-08002B2CF9AE}" pid="10" name="ContactOfficer">
    <vt:lpwstr/>
  </property>
  <property fmtid="{D5CDD505-2E9C-101B-9397-08002B2CF9AE}" pid="11" name="ContactOfficerPhone">
    <vt:lpwstr/>
  </property>
  <property fmtid="{D5CDD505-2E9C-101B-9397-08002B2CF9AE}" pid="12" name="ContentTypeId">
    <vt:lpwstr>0x010100266966F133664895A6EE3632470D45F5008967473209015A4F9BBEA4420EF357AA</vt:lpwstr>
  </property>
  <property fmtid="{D5CDD505-2E9C-101B-9397-08002B2CF9AE}" pid="13" name="ContributingAgency">
    <vt:lpwstr/>
  </property>
  <property fmtid="{D5CDD505-2E9C-101B-9397-08002B2CF9AE}" pid="14" name="DateFirstSentToMO">
    <vt:lpwstr/>
  </property>
  <property fmtid="{D5CDD505-2E9C-101B-9397-08002B2CF9AE}" pid="15" name="DateReferred">
    <vt:lpwstr/>
  </property>
  <property fmtid="{D5CDD505-2E9C-101B-9397-08002B2CF9AE}" pid="16" name="DateSentToCommittee">
    <vt:lpwstr/>
  </property>
  <property fmtid="{D5CDD505-2E9C-101B-9397-08002B2CF9AE}" pid="17" name="DateSentToMO">
    <vt:lpwstr/>
  </property>
  <property fmtid="{D5CDD505-2E9C-101B-9397-08002B2CF9AE}" pid="18" name="Electorates">
    <vt:lpwstr> </vt:lpwstr>
  </property>
  <property fmtid="{D5CDD505-2E9C-101B-9397-08002B2CF9AE}" pid="19" name="Executives">
    <vt:lpwstr/>
  </property>
  <property fmtid="{D5CDD505-2E9C-101B-9397-08002B2CF9AE}" pid="20" name="FinalReportTitle">
    <vt:lpwstr>Systemic, sustained and shameful</vt:lpwstr>
  </property>
  <property fmtid="{D5CDD505-2E9C-101B-9397-08002B2CF9AE}" pid="21" name="FinancialYear">
    <vt:lpwstr/>
  </property>
  <property fmtid="{D5CDD505-2E9C-101B-9397-08002B2CF9AE}" pid="22" name="GroupResponsible">
    <vt:lpwstr>| WR | Employee Entitlement Safeguards and Policy</vt:lpwstr>
  </property>
  <property fmtid="{D5CDD505-2E9C-101B-9397-08002B2CF9AE}" pid="23" name="HandlingProtocol">
    <vt:lpwstr>Standard</vt:lpwstr>
  </property>
  <property fmtid="{D5CDD505-2E9C-101B-9397-08002B2CF9AE}" pid="24" name="HansardPage">
    <vt:lpwstr/>
  </property>
  <property fmtid="{D5CDD505-2E9C-101B-9397-08002B2CF9AE}" pid="25" name="HearingDate">
    <vt:lpwstr/>
  </property>
  <property fmtid="{D5CDD505-2E9C-101B-9397-08002B2CF9AE}" pid="26" name="HearingType">
    <vt:lpwstr/>
  </property>
  <property fmtid="{D5CDD505-2E9C-101B-9397-08002B2CF9AE}" pid="27" name="ImplementationDetails">
    <vt:lpwstr/>
  </property>
  <property fmtid="{D5CDD505-2E9C-101B-9397-08002B2CF9AE}" pid="28" name="ImplementationStatus">
    <vt:lpwstr/>
  </property>
  <property fmtid="{D5CDD505-2E9C-101B-9397-08002B2CF9AE}" pid="29" name="InformationExecutive">
    <vt:lpwstr> </vt:lpwstr>
  </property>
  <property fmtid="{D5CDD505-2E9C-101B-9397-08002B2CF9AE}" pid="30" name="InformationMinister">
    <vt:lpwstr> </vt:lpwstr>
  </property>
  <property fmtid="{D5CDD505-2E9C-101B-9397-08002B2CF9AE}" pid="31" name="InitiatorAddressBlock">
    <vt:lpwstr/>
  </property>
  <property fmtid="{D5CDD505-2E9C-101B-9397-08002B2CF9AE}" pid="32" name="InitiatorAddressLine1">
    <vt:lpwstr/>
  </property>
  <property fmtid="{D5CDD505-2E9C-101B-9397-08002B2CF9AE}" pid="33" name="InitiatorAddressLine1And2">
    <vt:lpwstr/>
  </property>
  <property fmtid="{D5CDD505-2E9C-101B-9397-08002B2CF9AE}" pid="34" name="InitiatorAddressLine2">
    <vt:lpwstr/>
  </property>
  <property fmtid="{D5CDD505-2E9C-101B-9397-08002B2CF9AE}" pid="35" name="InitiatorContactDate">
    <vt:lpwstr/>
  </property>
  <property fmtid="{D5CDD505-2E9C-101B-9397-08002B2CF9AE}" pid="36" name="InitiatorContactName">
    <vt:lpwstr/>
  </property>
  <property fmtid="{D5CDD505-2E9C-101B-9397-08002B2CF9AE}" pid="37" name="InitiatorContactPosition">
    <vt:lpwstr/>
  </property>
  <property fmtid="{D5CDD505-2E9C-101B-9397-08002B2CF9AE}" pid="38" name="InitiatorCountry">
    <vt:lpwstr/>
  </property>
  <property fmtid="{D5CDD505-2E9C-101B-9397-08002B2CF9AE}" pid="39" name="InitiatorEmail">
    <vt:lpwstr/>
  </property>
  <property fmtid="{D5CDD505-2E9C-101B-9397-08002B2CF9AE}" pid="40" name="InitiatorFax">
    <vt:lpwstr/>
  </property>
  <property fmtid="{D5CDD505-2E9C-101B-9397-08002B2CF9AE}" pid="41" name="InitiatorFirstName">
    <vt:lpwstr/>
  </property>
  <property fmtid="{D5CDD505-2E9C-101B-9397-08002B2CF9AE}" pid="42" name="InitiatorFormalTitle">
    <vt:lpwstr/>
  </property>
  <property fmtid="{D5CDD505-2E9C-101B-9397-08002B2CF9AE}" pid="43" name="InitiatorFullName">
    <vt:lpwstr/>
  </property>
  <property fmtid="{D5CDD505-2E9C-101B-9397-08002B2CF9AE}" pid="44" name="InitiatorLastName">
    <vt:lpwstr/>
  </property>
  <property fmtid="{D5CDD505-2E9C-101B-9397-08002B2CF9AE}" pid="45" name="InitiatorMobile">
    <vt:lpwstr/>
  </property>
  <property fmtid="{D5CDD505-2E9C-101B-9397-08002B2CF9AE}" pid="46" name="InitiatorMPElectorate">
    <vt:lpwstr/>
  </property>
  <property fmtid="{D5CDD505-2E9C-101B-9397-08002B2CF9AE}" pid="47" name="InitiatorMPState">
    <vt:lpwstr/>
  </property>
  <property fmtid="{D5CDD505-2E9C-101B-9397-08002B2CF9AE}" pid="48" name="InitiatorName">
    <vt:lpwstr/>
  </property>
  <property fmtid="{D5CDD505-2E9C-101B-9397-08002B2CF9AE}" pid="49" name="InitiatorOnBehalfVia">
    <vt:lpwstr/>
  </property>
  <property fmtid="{D5CDD505-2E9C-101B-9397-08002B2CF9AE}" pid="50" name="InitiatorOrganisation">
    <vt:lpwstr/>
  </property>
  <property fmtid="{D5CDD505-2E9C-101B-9397-08002B2CF9AE}" pid="51" name="InitiatorOrganisationContactInformation">
    <vt:lpwstr/>
  </property>
  <property fmtid="{D5CDD505-2E9C-101B-9397-08002B2CF9AE}" pid="52" name="InitiatorOrganisationType">
    <vt:lpwstr/>
  </property>
  <property fmtid="{D5CDD505-2E9C-101B-9397-08002B2CF9AE}" pid="53" name="InitiatorOrganisationWebsite">
    <vt:lpwstr/>
  </property>
  <property fmtid="{D5CDD505-2E9C-101B-9397-08002B2CF9AE}" pid="54" name="InitiatorParliamentaryTitle">
    <vt:lpwstr/>
  </property>
  <property fmtid="{D5CDD505-2E9C-101B-9397-08002B2CF9AE}" pid="55" name="InitiatorPhone">
    <vt:lpwstr/>
  </property>
  <property fmtid="{D5CDD505-2E9C-101B-9397-08002B2CF9AE}" pid="56" name="InitiatorPostCode">
    <vt:lpwstr/>
  </property>
  <property fmtid="{D5CDD505-2E9C-101B-9397-08002B2CF9AE}" pid="57" name="InitiatorPostNominal">
    <vt:lpwstr/>
  </property>
  <property fmtid="{D5CDD505-2E9C-101B-9397-08002B2CF9AE}" pid="58" name="InitiatorState">
    <vt:lpwstr/>
  </property>
  <property fmtid="{D5CDD505-2E9C-101B-9397-08002B2CF9AE}" pid="59" name="InitiatorSuburbOrCity">
    <vt:lpwstr/>
  </property>
  <property fmtid="{D5CDD505-2E9C-101B-9397-08002B2CF9AE}" pid="60" name="InitiatorSuburbStatePostcode">
    <vt:lpwstr/>
  </property>
  <property fmtid="{D5CDD505-2E9C-101B-9397-08002B2CF9AE}" pid="61" name="InitiatorTitle">
    <vt:lpwstr/>
  </property>
  <property fmtid="{D5CDD505-2E9C-101B-9397-08002B2CF9AE}" pid="62" name="InitiatorTitledFullName">
    <vt:lpwstr/>
  </property>
  <property fmtid="{D5CDD505-2E9C-101B-9397-08002B2CF9AE}" pid="63" name="InquiryName">
    <vt:lpwstr/>
  </property>
  <property fmtid="{D5CDD505-2E9C-101B-9397-08002B2CF9AE}" pid="64" name="InquiryStatus">
    <vt:lpwstr>AGR in Draft</vt:lpwstr>
  </property>
  <property fmtid="{D5CDD505-2E9C-101B-9397-08002B2CF9AE}" pid="65" name="InquiryType">
    <vt:lpwstr>Inquiry</vt:lpwstr>
  </property>
  <property fmtid="{D5CDD505-2E9C-101B-9397-08002B2CF9AE}" pid="66" name="Location">
    <vt:lpwstr/>
  </property>
  <property fmtid="{D5CDD505-2E9C-101B-9397-08002B2CF9AE}" pid="67" name="Ministers">
    <vt:lpwstr>Tony Burke</vt:lpwstr>
  </property>
  <property fmtid="{D5CDD505-2E9C-101B-9397-08002B2CF9AE}" pid="68" name="MOActionActualDate">
    <vt:lpwstr/>
  </property>
  <property fmtid="{D5CDD505-2E9C-101B-9397-08002B2CF9AE}" pid="69" name="MOActionDueDate">
    <vt:lpwstr>30 August 2022</vt:lpwstr>
  </property>
  <property fmtid="{D5CDD505-2E9C-101B-9397-08002B2CF9AE}" pid="70" name="MSIP_Label_79d889eb-932f-4752-8739-64d25806ef64_ActionId">
    <vt:lpwstr>f5738bb4-59ba-4477-8be3-beb2db90cf70</vt:lpwstr>
  </property>
  <property fmtid="{D5CDD505-2E9C-101B-9397-08002B2CF9AE}" pid="71" name="MSIP_Label_79d889eb-932f-4752-8739-64d25806ef64_ContentBits">
    <vt:lpwstr>0</vt:lpwstr>
  </property>
  <property fmtid="{D5CDD505-2E9C-101B-9397-08002B2CF9AE}" pid="72" name="MSIP_Label_79d889eb-932f-4752-8739-64d25806ef64_Enabled">
    <vt:lpwstr>true</vt:lpwstr>
  </property>
  <property fmtid="{D5CDD505-2E9C-101B-9397-08002B2CF9AE}" pid="73" name="MSIP_Label_79d889eb-932f-4752-8739-64d25806ef64_Method">
    <vt:lpwstr>Privileged</vt:lpwstr>
  </property>
  <property fmtid="{D5CDD505-2E9C-101B-9397-08002B2CF9AE}" pid="74" name="MSIP_Label_79d889eb-932f-4752-8739-64d25806ef64_Name">
    <vt:lpwstr>79d889eb-932f-4752-8739-64d25806ef64</vt:lpwstr>
  </property>
  <property fmtid="{D5CDD505-2E9C-101B-9397-08002B2CF9AE}" pid="75" name="MSIP_Label_79d889eb-932f-4752-8739-64d25806ef64_SetDate">
    <vt:lpwstr>2022-07-14T06:54:01Z</vt:lpwstr>
  </property>
  <property fmtid="{D5CDD505-2E9C-101B-9397-08002B2CF9AE}" pid="76" name="MSIP_Label_79d889eb-932f-4752-8739-64d25806ef64_SiteId">
    <vt:lpwstr>dd0cfd15-4558-4b12-8bad-ea26984fc417</vt:lpwstr>
  </property>
  <property fmtid="{D5CDD505-2E9C-101B-9397-08002B2CF9AE}" pid="77" name="ParliamentaryCommitteeNumber">
    <vt:lpwstr>PC22-000009</vt:lpwstr>
  </property>
  <property fmtid="{D5CDD505-2E9C-101B-9397-08002B2CF9AE}" pid="78" name="PdrId">
    <vt:lpwstr>GR22-000004</vt:lpwstr>
  </property>
  <property fmtid="{D5CDD505-2E9C-101B-9397-08002B2CF9AE}" pid="79" name="PlannedDate">
    <vt:lpwstr/>
  </property>
  <property fmtid="{D5CDD505-2E9C-101B-9397-08002B2CF9AE}" pid="80" name="PMApprovalDate">
    <vt:lpwstr/>
  </property>
  <property fmtid="{D5CDD505-2E9C-101B-9397-08002B2CF9AE}" pid="81" name="PositionOnPage">
    <vt:lpwstr/>
  </property>
  <property fmtid="{D5CDD505-2E9C-101B-9397-08002B2CF9AE}" pid="82" name="Principal">
    <vt:lpwstr>Minister Burke</vt:lpwstr>
  </property>
  <property fmtid="{D5CDD505-2E9C-101B-9397-08002B2CF9AE}" pid="83" name="QoNNumber">
    <vt:lpwstr/>
  </property>
  <property fmtid="{D5CDD505-2E9C-101B-9397-08002B2CF9AE}" pid="84" name="QualityCheckActualDate">
    <vt:lpwstr/>
  </property>
  <property fmtid="{D5CDD505-2E9C-101B-9397-08002B2CF9AE}" pid="85" name="QualityCheckDueDate">
    <vt:lpwstr>29 August 2022</vt:lpwstr>
  </property>
  <property fmtid="{D5CDD505-2E9C-101B-9397-08002B2CF9AE}" pid="86" name="QuestionDate">
    <vt:lpwstr/>
  </property>
  <property fmtid="{D5CDD505-2E9C-101B-9397-08002B2CF9AE}" pid="87" name="QuestionFormat">
    <vt:lpwstr/>
  </property>
  <property fmtid="{D5CDD505-2E9C-101B-9397-08002B2CF9AE}" pid="88" name="QuestionSubmittedBy">
    <vt:lpwstr/>
  </property>
  <property fmtid="{D5CDD505-2E9C-101B-9397-08002B2CF9AE}" pid="89" name="QuestionText">
    <vt:lpwstr/>
  </property>
  <property fmtid="{D5CDD505-2E9C-101B-9397-08002B2CF9AE}" pid="90" name="ReasonForSensitivity">
    <vt:lpwstr/>
  </property>
  <property fmtid="{D5CDD505-2E9C-101B-9397-08002B2CF9AE}" pid="91" name="RecommendationText">
    <vt:lpwstr/>
  </property>
  <property fmtid="{D5CDD505-2E9C-101B-9397-08002B2CF9AE}" pid="92" name="RegisteredDate">
    <vt:lpwstr>16 August 2022</vt:lpwstr>
  </property>
  <property fmtid="{D5CDD505-2E9C-101B-9397-08002B2CF9AE}" pid="93" name="ReportingDate">
    <vt:lpwstr/>
  </property>
  <property fmtid="{D5CDD505-2E9C-101B-9397-08002B2CF9AE}" pid="94" name="ReportTabledDate">
    <vt:lpwstr>30 March 2022</vt:lpwstr>
  </property>
  <property fmtid="{D5CDD505-2E9C-101B-9397-08002B2CF9AE}" pid="95" name="ReportTitle">
    <vt:lpwstr>Systemic, sustained and shameful</vt:lpwstr>
  </property>
  <property fmtid="{D5CDD505-2E9C-101B-9397-08002B2CF9AE}" pid="96" name="ReportType">
    <vt:lpwstr/>
  </property>
  <property fmtid="{D5CDD505-2E9C-101B-9397-08002B2CF9AE}" pid="97" name="RequestedAction">
    <vt:lpwstr/>
  </property>
  <property fmtid="{D5CDD505-2E9C-101B-9397-08002B2CF9AE}" pid="98" name="ResponseDetails">
    <vt:lpwstr/>
  </property>
  <property fmtid="{D5CDD505-2E9C-101B-9397-08002B2CF9AE}" pid="99" name="ResponseDueDate">
    <vt:lpwstr>13 September 2022</vt:lpwstr>
  </property>
  <property fmtid="{D5CDD505-2E9C-101B-9397-08002B2CF9AE}" pid="100" name="ResponseStatus">
    <vt:lpwstr/>
  </property>
  <property fmtid="{D5CDD505-2E9C-101B-9397-08002B2CF9AE}" pid="101" name="ResponsibleExecutive">
    <vt:lpwstr> </vt:lpwstr>
  </property>
  <property fmtid="{D5CDD505-2E9C-101B-9397-08002B2CF9AE}" pid="102" name="ResponsibleMinister">
    <vt:lpwstr>Tony Burke</vt:lpwstr>
  </property>
  <property fmtid="{D5CDD505-2E9C-101B-9397-08002B2CF9AE}" pid="103" name="SecurityClassification">
    <vt:lpwstr>OFFICIAL  </vt:lpwstr>
  </property>
  <property fmtid="{D5CDD505-2E9C-101B-9397-08002B2CF9AE}" pid="104" name="SignedDate">
    <vt:lpwstr/>
  </property>
  <property fmtid="{D5CDD505-2E9C-101B-9397-08002B2CF9AE}" pid="105" name="Subject">
    <vt:lpwstr>AGR | Unlawful underpayment of employees' remuneration</vt:lpwstr>
  </property>
  <property fmtid="{D5CDD505-2E9C-101B-9397-08002B2CF9AE}" pid="106" name="SubmissionClosingDate">
    <vt:lpwstr/>
  </property>
  <property fmtid="{D5CDD505-2E9C-101B-9397-08002B2CF9AE}" pid="107" name="SubmissionProvidedBy">
    <vt:lpwstr/>
  </property>
  <property fmtid="{D5CDD505-2E9C-101B-9397-08002B2CF9AE}" pid="108" name="SubmissionType">
    <vt:lpwstr/>
  </property>
  <property fmtid="{D5CDD505-2E9C-101B-9397-08002B2CF9AE}" pid="109" name="TabledDate">
    <vt:lpwstr/>
  </property>
  <property fmtid="{D5CDD505-2E9C-101B-9397-08002B2CF9AE}" pid="110" name="TaskSeqNo">
    <vt:lpwstr>0</vt:lpwstr>
  </property>
  <property fmtid="{D5CDD505-2E9C-101B-9397-08002B2CF9AE}" pid="111" name="TemplateSubType">
    <vt:lpwstr>Standard</vt:lpwstr>
  </property>
  <property fmtid="{D5CDD505-2E9C-101B-9397-08002B2CF9AE}" pid="112" name="TemplateType">
    <vt:lpwstr>Information Submission</vt:lpwstr>
  </property>
  <property fmtid="{D5CDD505-2E9C-101B-9397-08002B2CF9AE}" pid="113" name="TrustedGroups">
    <vt:lpwstr>Business Administrator, DLO, Limited Distribution PC, Parliamentary Coordinator PC, Ministerial Staff - Labor 2022</vt:lpwstr>
  </property>
  <property fmtid="{D5CDD505-2E9C-101B-9397-08002B2CF9AE}" pid="114" name="Witnesses">
    <vt:lpwstr/>
  </property>
</Properties>
</file>