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5FCD0AAD" w:rsidR="005565B8" w:rsidRDefault="00286F3C" w:rsidP="00155F8B">
      <w:pPr>
        <w:spacing w:after="1560"/>
        <w:sectPr w:rsidR="005565B8" w:rsidSect="006F2229">
          <w:headerReference w:type="even" r:id="rId8"/>
          <w:headerReference w:type="default" r:id="rId9"/>
          <w:footerReference w:type="even" r:id="rId10"/>
          <w:footerReference w:type="default" r:id="rId11"/>
          <w:headerReference w:type="first" r:id="rId12"/>
          <w:footerReference w:type="first" r:id="rId13"/>
          <w:pgSz w:w="11906" w:h="16838"/>
          <w:pgMar w:top="737" w:right="851" w:bottom="1418" w:left="851" w:header="567" w:footer="2381" w:gutter="0"/>
          <w:cols w:space="708"/>
          <w:titlePg/>
          <w:docGrid w:linePitch="360"/>
        </w:sectPr>
      </w:pPr>
      <w:r>
        <w:rPr>
          <w:noProof/>
        </w:rPr>
        <w:drawing>
          <wp:inline distT="0" distB="0" distL="0" distR="0" wp14:anchorId="7D8C6F17" wp14:editId="581F7892">
            <wp:extent cx="3517200" cy="1162800"/>
            <wp:effectExtent l="0" t="0" r="7620" b="0"/>
            <wp:docPr id="6" name="Picture 6" descr="Australian Government &#10;Workforce Australia &#10;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 &#10;Workforce Australia &#10;Employ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7200" cy="1162800"/>
                    </a:xfrm>
                    <a:prstGeom prst="rect">
                      <a:avLst/>
                    </a:prstGeom>
                  </pic:spPr>
                </pic:pic>
              </a:graphicData>
            </a:graphic>
          </wp:inline>
        </w:drawing>
      </w:r>
      <w:r>
        <w:rPr>
          <w:noProof/>
        </w:rPr>
        <mc:AlternateContent>
          <mc:Choice Requires="wps">
            <w:drawing>
              <wp:anchor distT="0" distB="0" distL="114300" distR="114300" simplePos="0" relativeHeight="251661312" behindDoc="1" locked="0" layoutInCell="1" allowOverlap="1" wp14:anchorId="6EDC1A19" wp14:editId="7DF6ED4A">
                <wp:simplePos x="0" y="0"/>
                <wp:positionH relativeFrom="page">
                  <wp:align>left</wp:align>
                </wp:positionH>
                <wp:positionV relativeFrom="page">
                  <wp:posOffset>0</wp:posOffset>
                </wp:positionV>
                <wp:extent cx="7560000" cy="2016000"/>
                <wp:effectExtent l="0" t="0" r="3175" b="3810"/>
                <wp:wrapNone/>
                <wp:docPr id="3" name="Rectangle 3" descr="Decorative"/>
                <wp:cNvGraphicFramePr/>
                <a:graphic xmlns:a="http://schemas.openxmlformats.org/drawingml/2006/main">
                  <a:graphicData uri="http://schemas.microsoft.com/office/word/2010/wordprocessingShape">
                    <wps:wsp>
                      <wps:cNvSpPr/>
                      <wps:spPr>
                        <a:xfrm>
                          <a:off x="0" y="0"/>
                          <a:ext cx="7560000" cy="2016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DED49" id="Rectangle 3" o:spid="_x0000_s1026" alt="Decorative" style="position:absolute;margin-left:0;margin-top:0;width:595.3pt;height:158.7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" fillcolor="#051532" stroked="f" strokeweight="1pt">
                <w10:wrap anchorx="page" anchory="page"/>
              </v:rect>
            </w:pict>
          </mc:Fallback>
        </mc:AlternateContent>
      </w:r>
    </w:p>
    <w:p w14:paraId="6C4C3C48" w14:textId="19611B7F" w:rsidR="002430D4" w:rsidRPr="00623A74" w:rsidRDefault="002430D4" w:rsidP="00A30560">
      <w:pPr>
        <w:pStyle w:val="Title"/>
      </w:pPr>
      <w:r w:rsidRPr="00623A74">
        <w:t>Work for the Dole</w:t>
      </w:r>
    </w:p>
    <w:p w14:paraId="43B174A4" w14:textId="76D4B292" w:rsidR="002430D4" w:rsidRDefault="002430D4" w:rsidP="00A30560">
      <w:bookmarkStart w:id="0" w:name="_Toc30065222"/>
      <w:bookmarkStart w:id="1" w:name="_Toc364946116"/>
      <w:r w:rsidRPr="00256904">
        <w:t xml:space="preserve">Work for the Dole is a work experience program that </w:t>
      </w:r>
      <w:r>
        <w:t>offers</w:t>
      </w:r>
      <w:r w:rsidRPr="00256904">
        <w:t xml:space="preserve"> </w:t>
      </w:r>
      <w:r w:rsidR="00FF0264">
        <w:t>p</w:t>
      </w:r>
      <w:r>
        <w:t>articipants</w:t>
      </w:r>
      <w:r w:rsidRPr="00256904">
        <w:t xml:space="preserve"> </w:t>
      </w:r>
      <w:r>
        <w:t xml:space="preserve">the opportunity </w:t>
      </w:r>
      <w:r w:rsidRPr="00256904">
        <w:t>to demonstrate their capabilitie</w:t>
      </w:r>
      <w:r>
        <w:t>s, contribute</w:t>
      </w:r>
      <w:r w:rsidRPr="00256904">
        <w:t xml:space="preserve"> to their local </w:t>
      </w:r>
      <w:r>
        <w:t>community and</w:t>
      </w:r>
      <w:r w:rsidR="00AF5FD1">
        <w:t xml:space="preserve"> equip</w:t>
      </w:r>
      <w:r w:rsidR="00BC34DA">
        <w:t>s</w:t>
      </w:r>
      <w:r w:rsidR="00AF5FD1">
        <w:t xml:space="preserve"> them with </w:t>
      </w:r>
      <w:r>
        <w:t xml:space="preserve">skills to </w:t>
      </w:r>
      <w:r w:rsidRPr="00256904">
        <w:t xml:space="preserve">help </w:t>
      </w:r>
      <w:r>
        <w:t xml:space="preserve">find </w:t>
      </w:r>
      <w:r w:rsidR="00784F29">
        <w:t xml:space="preserve">secure </w:t>
      </w:r>
      <w:r w:rsidRPr="00256904">
        <w:t>work</w:t>
      </w:r>
      <w:r>
        <w:t>.</w:t>
      </w:r>
    </w:p>
    <w:p w14:paraId="09D4935E" w14:textId="7931B208" w:rsidR="002430D4" w:rsidRPr="00F51C18" w:rsidRDefault="002430D4" w:rsidP="00A30560">
      <w:pPr>
        <w:pStyle w:val="Heading1"/>
      </w:pPr>
      <w:bookmarkStart w:id="2" w:name="_Hlk103092412"/>
      <w:bookmarkEnd w:id="0"/>
      <w:r>
        <w:t xml:space="preserve">What is a Work for the Dole </w:t>
      </w:r>
      <w:r w:rsidR="0064713B">
        <w:t>a</w:t>
      </w:r>
      <w:r>
        <w:t>ctivity?</w:t>
      </w:r>
    </w:p>
    <w:p w14:paraId="17FC6078" w14:textId="77777777" w:rsidR="00D1456F" w:rsidRDefault="002430D4" w:rsidP="00C07DCF">
      <w:r>
        <w:t xml:space="preserve">A Work for the Dole </w:t>
      </w:r>
      <w:r w:rsidR="0064713B">
        <w:t>a</w:t>
      </w:r>
      <w:r>
        <w:t>ctivity</w:t>
      </w:r>
      <w:r w:rsidRPr="00A611CA">
        <w:t xml:space="preserve"> provid</w:t>
      </w:r>
      <w:r>
        <w:t>es</w:t>
      </w:r>
      <w:r w:rsidR="00AF5FD1">
        <w:t xml:space="preserve"> participants with </w:t>
      </w:r>
      <w:r w:rsidRPr="00A611CA">
        <w:t xml:space="preserve">work-like experiences </w:t>
      </w:r>
      <w:r>
        <w:t>and is run by</w:t>
      </w:r>
      <w:r w:rsidRPr="00A611CA">
        <w:t xml:space="preserve"> a </w:t>
      </w:r>
      <w:r w:rsidR="00AF5FD1">
        <w:t>h</w:t>
      </w:r>
      <w:r w:rsidRPr="00A611CA">
        <w:t xml:space="preserve">ost </w:t>
      </w:r>
      <w:r w:rsidR="00AF5FD1">
        <w:t>o</w:t>
      </w:r>
      <w:r w:rsidRPr="00A611CA">
        <w:t xml:space="preserve">rganisation. Activities are designed to help </w:t>
      </w:r>
      <w:r w:rsidR="00BF5D8B">
        <w:t>participant</w:t>
      </w:r>
      <w:r w:rsidRPr="00A611CA">
        <w:t xml:space="preserve">s </w:t>
      </w:r>
      <w:r w:rsidR="001254B2">
        <w:t>improve</w:t>
      </w:r>
      <w:r w:rsidRPr="00A611CA">
        <w:t xml:space="preserve"> their skills, increase </w:t>
      </w:r>
      <w:r>
        <w:t xml:space="preserve">their </w:t>
      </w:r>
      <w:r w:rsidRPr="00A611CA">
        <w:t>confidence, meet new people and make contacts</w:t>
      </w:r>
      <w:r>
        <w:t>,</w:t>
      </w:r>
      <w:r w:rsidRPr="00A611CA">
        <w:t xml:space="preserve"> </w:t>
      </w:r>
      <w:r>
        <w:t>while</w:t>
      </w:r>
      <w:r w:rsidRPr="00A611CA">
        <w:t xml:space="preserve"> </w:t>
      </w:r>
      <w:r>
        <w:t xml:space="preserve">also </w:t>
      </w:r>
      <w:r w:rsidRPr="00A611CA">
        <w:t>meeting</w:t>
      </w:r>
      <w:r>
        <w:t xml:space="preserve"> their </w:t>
      </w:r>
      <w:r w:rsidR="002C019A">
        <w:t xml:space="preserve">mutual obligation </w:t>
      </w:r>
      <w:r>
        <w:t xml:space="preserve">requirements. </w:t>
      </w:r>
    </w:p>
    <w:p w14:paraId="4FF07446" w14:textId="480D9750" w:rsidR="00081E45" w:rsidRDefault="002C019A" w:rsidP="00C07DCF">
      <w:r>
        <w:t>There are t</w:t>
      </w:r>
      <w:r w:rsidR="007A7107">
        <w:t>wo types of Work for the Dole activities:</w:t>
      </w:r>
      <w:bookmarkEnd w:id="2"/>
    </w:p>
    <w:tbl>
      <w:tblPr>
        <w:tblStyle w:val="TableGrid"/>
        <w:tblW w:w="9854" w:type="dxa"/>
        <w:tblLook w:val="04A0" w:firstRow="1" w:lastRow="0" w:firstColumn="1" w:lastColumn="0" w:noHBand="0" w:noVBand="1"/>
      </w:tblPr>
      <w:tblGrid>
        <w:gridCol w:w="4926"/>
        <w:gridCol w:w="4928"/>
      </w:tblGrid>
      <w:tr w:rsidR="00D1456F" w14:paraId="7222A09B" w14:textId="77777777" w:rsidTr="00D1456F">
        <w:trPr>
          <w:cnfStyle w:val="100000000000" w:firstRow="1" w:lastRow="0" w:firstColumn="0" w:lastColumn="0" w:oddVBand="0" w:evenVBand="0" w:oddHBand="0" w:evenHBand="0" w:firstRowFirstColumn="0" w:firstRowLastColumn="0" w:lastRowFirstColumn="0" w:lastRowLastColumn="0"/>
        </w:trPr>
        <w:tc>
          <w:tcPr>
            <w:tcW w:w="4926" w:type="dxa"/>
          </w:tcPr>
          <w:p w14:paraId="26855065" w14:textId="77777777" w:rsidR="00D1456F" w:rsidRPr="00B336E4" w:rsidRDefault="00D1456F" w:rsidP="0074721A">
            <w:pPr>
              <w:jc w:val="center"/>
              <w:rPr>
                <w:b w:val="0"/>
              </w:rPr>
            </w:pPr>
            <w:r>
              <w:t>Work for the Dole Placements</w:t>
            </w:r>
          </w:p>
        </w:tc>
        <w:tc>
          <w:tcPr>
            <w:tcW w:w="4928" w:type="dxa"/>
          </w:tcPr>
          <w:p w14:paraId="6369EFD5" w14:textId="77777777" w:rsidR="00D1456F" w:rsidRPr="00B336E4" w:rsidRDefault="00D1456F" w:rsidP="0074721A">
            <w:pPr>
              <w:jc w:val="center"/>
              <w:rPr>
                <w:b w:val="0"/>
              </w:rPr>
            </w:pPr>
            <w:r w:rsidRPr="00B336E4">
              <w:t>Work for the Dole Projects</w:t>
            </w:r>
          </w:p>
        </w:tc>
      </w:tr>
      <w:tr w:rsidR="00D1456F" w14:paraId="084F25C1" w14:textId="77777777" w:rsidTr="00D1456F">
        <w:tc>
          <w:tcPr>
            <w:tcW w:w="4926" w:type="dxa"/>
          </w:tcPr>
          <w:p w14:paraId="35785F88" w14:textId="77777777" w:rsidR="00D1456F" w:rsidRPr="00B336E4" w:rsidRDefault="00D1456F" w:rsidP="0074721A">
            <w:pPr>
              <w:pStyle w:val="ListBullet"/>
            </w:pPr>
            <w:r>
              <w:t>A</w:t>
            </w:r>
            <w:r w:rsidRPr="00B336E4">
              <w:t xml:space="preserve"> single participant or multiple participants doing individual tasks of the same related type, in one or more locations. </w:t>
            </w:r>
          </w:p>
          <w:p w14:paraId="65F5BCBF" w14:textId="57A63B73" w:rsidR="00D1456F" w:rsidRPr="00B336E4" w:rsidRDefault="00E6401B" w:rsidP="0074721A">
            <w:pPr>
              <w:pStyle w:val="ListBullet"/>
            </w:pPr>
            <w:r>
              <w:t>Placed</w:t>
            </w:r>
            <w:r w:rsidRPr="00B336E4">
              <w:t xml:space="preserve"> </w:t>
            </w:r>
            <w:r>
              <w:t>in the existing operations</w:t>
            </w:r>
            <w:r w:rsidR="00D1456F" w:rsidRPr="00B336E4">
              <w:t xml:space="preserve"> of the host organisation.</w:t>
            </w:r>
          </w:p>
          <w:p w14:paraId="1F56CB26" w14:textId="321AF132" w:rsidR="00D1456F" w:rsidRDefault="00D1456F" w:rsidP="00F75804">
            <w:pPr>
              <w:pStyle w:val="ListBullet"/>
              <w:contextualSpacing w:val="0"/>
            </w:pPr>
            <w:r>
              <w:t>A</w:t>
            </w:r>
            <w:r w:rsidRPr="00B336E4">
              <w:t>vailable from 4 July 2022.</w:t>
            </w:r>
          </w:p>
        </w:tc>
        <w:tc>
          <w:tcPr>
            <w:tcW w:w="4928" w:type="dxa"/>
            <w:vAlign w:val="top"/>
          </w:tcPr>
          <w:p w14:paraId="5FBC2986" w14:textId="77777777" w:rsidR="00D1456F" w:rsidRDefault="00D1456F" w:rsidP="00D1456F">
            <w:pPr>
              <w:pStyle w:val="ListBullet"/>
            </w:pPr>
            <w:r>
              <w:t>Specific community projects developed for the purpose of providing a work-like experience for a group of participants, working as a team to meet a common goal or deliverable.</w:t>
            </w:r>
          </w:p>
          <w:p w14:paraId="5091E6C6" w14:textId="77777777" w:rsidR="00D1456F" w:rsidRDefault="00D1456F" w:rsidP="00D1456F">
            <w:pPr>
              <w:pStyle w:val="ListBullet"/>
            </w:pPr>
            <w:r>
              <w:t>Available from 4 October 2022.</w:t>
            </w:r>
          </w:p>
        </w:tc>
      </w:tr>
      <w:tr w:rsidR="00D1456F" w14:paraId="47050FDB" w14:textId="77777777" w:rsidTr="00D1456F">
        <w:tc>
          <w:tcPr>
            <w:tcW w:w="4926" w:type="dxa"/>
          </w:tcPr>
          <w:p w14:paraId="5F681F33" w14:textId="77777777" w:rsidR="00D1456F" w:rsidRDefault="00D1456F" w:rsidP="0074721A">
            <w:r>
              <w:t>Examples include:</w:t>
            </w:r>
          </w:p>
          <w:p w14:paraId="3881C94F" w14:textId="77777777" w:rsidR="00D1456F" w:rsidRDefault="00D1456F" w:rsidP="0074721A">
            <w:pPr>
              <w:pStyle w:val="ListBullet"/>
            </w:pPr>
            <w:r>
              <w:t>retail work in the day-to-day operation of an op</w:t>
            </w:r>
            <w:r>
              <w:noBreakHyphen/>
              <w:t>shop</w:t>
            </w:r>
          </w:p>
          <w:p w14:paraId="6614B71C" w14:textId="77777777" w:rsidR="00D1456F" w:rsidRDefault="00D1456F" w:rsidP="0074721A">
            <w:pPr>
              <w:pStyle w:val="ListBullet"/>
            </w:pPr>
            <w:r>
              <w:t>creating website/media material and graphic designs for a community social enterprise</w:t>
            </w:r>
          </w:p>
          <w:p w14:paraId="43C19E17" w14:textId="77777777" w:rsidR="00D1456F" w:rsidRDefault="00D1456F" w:rsidP="0074721A">
            <w:pPr>
              <w:pStyle w:val="ListBullet"/>
            </w:pPr>
            <w:r>
              <w:t>maintaining gardens and lawns at a community facility.</w:t>
            </w:r>
          </w:p>
        </w:tc>
        <w:tc>
          <w:tcPr>
            <w:tcW w:w="4928" w:type="dxa"/>
          </w:tcPr>
          <w:p w14:paraId="75DAA7ED" w14:textId="77777777" w:rsidR="00D1456F" w:rsidRDefault="00D1456F" w:rsidP="0074721A">
            <w:r>
              <w:t>Examples include:</w:t>
            </w:r>
          </w:p>
          <w:p w14:paraId="60692B8D" w14:textId="77777777" w:rsidR="00D1456F" w:rsidRDefault="00D1456F" w:rsidP="0074721A">
            <w:pPr>
              <w:pStyle w:val="ListBullet"/>
            </w:pPr>
            <w:r>
              <w:t>construction of BBQ facilities and development/ restoration of a community garden area</w:t>
            </w:r>
          </w:p>
          <w:p w14:paraId="3DB8B530" w14:textId="77777777" w:rsidR="00D1456F" w:rsidRDefault="00D1456F" w:rsidP="0074721A">
            <w:pPr>
              <w:pStyle w:val="ListBullet"/>
            </w:pPr>
            <w:r>
              <w:t>helping a social enterprise to design and prepare for a cultural festival</w:t>
            </w:r>
          </w:p>
          <w:p w14:paraId="720BBAAA" w14:textId="77777777" w:rsidR="00D1456F" w:rsidRDefault="00D1456F" w:rsidP="0074721A">
            <w:pPr>
              <w:pStyle w:val="ListBullet"/>
            </w:pPr>
            <w:r>
              <w:t>a kitchen upgrade at a local community facility.</w:t>
            </w:r>
          </w:p>
        </w:tc>
      </w:tr>
    </w:tbl>
    <w:p w14:paraId="73276060" w14:textId="00BB7F9A" w:rsidR="00D1456F" w:rsidRDefault="002430D4" w:rsidP="00F75804">
      <w:pPr>
        <w:spacing w:before="120"/>
      </w:pPr>
      <w:bookmarkStart w:id="3" w:name="_Hlk98504326"/>
      <w:r>
        <w:t xml:space="preserve">Where possible, Work for the Dole </w:t>
      </w:r>
      <w:r w:rsidR="00F90C5D">
        <w:t>activities</w:t>
      </w:r>
      <w:r>
        <w:t xml:space="preserve"> should allow </w:t>
      </w:r>
      <w:r w:rsidR="00FF0264">
        <w:t>p</w:t>
      </w:r>
      <w:r>
        <w:t xml:space="preserve">articipants the opportunity to develop some or all of the </w:t>
      </w:r>
      <w:r w:rsidR="00415030">
        <w:t>c</w:t>
      </w:r>
      <w:r>
        <w:t xml:space="preserve">ore </w:t>
      </w:r>
      <w:r w:rsidR="00415030">
        <w:t>c</w:t>
      </w:r>
      <w:r>
        <w:t>ompetencies identified by the National Skills Commission</w:t>
      </w:r>
      <w:r w:rsidR="00E6401B">
        <w:t xml:space="preserve"> </w:t>
      </w:r>
      <w:r w:rsidR="00013B02">
        <w:t xml:space="preserve">as </w:t>
      </w:r>
      <w:r w:rsidR="00E6401B">
        <w:t xml:space="preserve">critical to the workplace. These are </w:t>
      </w:r>
      <w:r w:rsidR="008E1EA5" w:rsidRPr="00363B88">
        <w:t>teamwork, initiative and innovation, planning and organising, oral communication, digital engagement, reading, writing, problem solving, learning and numeracy.</w:t>
      </w:r>
      <w:r>
        <w:t xml:space="preserve"> </w:t>
      </w:r>
    </w:p>
    <w:p w14:paraId="3D9E2F16" w14:textId="79C54C9D" w:rsidR="00AF5FD1" w:rsidRDefault="002430D4" w:rsidP="002430D4">
      <w:r>
        <w:t xml:space="preserve">Participants </w:t>
      </w:r>
      <w:r w:rsidR="00713EC7">
        <w:t>may</w:t>
      </w:r>
      <w:r w:rsidR="007A7107">
        <w:t xml:space="preserve"> also</w:t>
      </w:r>
      <w:r w:rsidR="00713EC7">
        <w:t xml:space="preserve"> </w:t>
      </w:r>
      <w:r>
        <w:t xml:space="preserve">have the opportunity to attain a licence, qualification, </w:t>
      </w:r>
      <w:r w:rsidR="00415030">
        <w:t>m</w:t>
      </w:r>
      <w:r>
        <w:t xml:space="preserve">icro-credential or other recognised skill through </w:t>
      </w:r>
      <w:r w:rsidR="00D1456F">
        <w:t xml:space="preserve">engaging </w:t>
      </w:r>
      <w:r>
        <w:t xml:space="preserve">in the </w:t>
      </w:r>
      <w:r w:rsidR="0064713B">
        <w:t>a</w:t>
      </w:r>
      <w:r>
        <w:t xml:space="preserve">ctivity. </w:t>
      </w:r>
      <w:bookmarkEnd w:id="3"/>
    </w:p>
    <w:p w14:paraId="4E47FCCA" w14:textId="7BD3406D" w:rsidR="002430D4" w:rsidRDefault="002430D4" w:rsidP="002430D4">
      <w:r>
        <w:t xml:space="preserve">Work for the Dole </w:t>
      </w:r>
      <w:r w:rsidR="0064713B">
        <w:t>a</w:t>
      </w:r>
      <w:r>
        <w:t>ctivities can be established for up to 12 months, with a possible extension up to a maximum of 24</w:t>
      </w:r>
      <w:r w:rsidR="0064713B">
        <w:t> </w:t>
      </w:r>
      <w:r>
        <w:t xml:space="preserve">months. </w:t>
      </w:r>
      <w:r w:rsidR="00E6401B">
        <w:t>More than one p</w:t>
      </w:r>
      <w:r w:rsidR="00483BF6">
        <w:t xml:space="preserve">articipant </w:t>
      </w:r>
      <w:r w:rsidR="00E6401B">
        <w:t xml:space="preserve">may </w:t>
      </w:r>
      <w:r w:rsidR="00483BF6">
        <w:t>be placed into a Work for the Dole activity</w:t>
      </w:r>
      <w:r w:rsidR="00E6401B">
        <w:t xml:space="preserve"> over this period, with each individual participating</w:t>
      </w:r>
      <w:r w:rsidR="00483BF6">
        <w:t xml:space="preserve"> for at least 8 weeks.</w:t>
      </w:r>
    </w:p>
    <w:p w14:paraId="3AB9BA82" w14:textId="6B3A274E" w:rsidR="002430D4" w:rsidRPr="006C3256" w:rsidRDefault="002430D4" w:rsidP="002430D4">
      <w:r w:rsidRPr="006C3256">
        <w:lastRenderedPageBreak/>
        <w:t>Work for the Dole</w:t>
      </w:r>
      <w:r w:rsidR="00F75804">
        <w:t xml:space="preserve"> </w:t>
      </w:r>
      <w:r w:rsidR="0064713B">
        <w:t>a</w:t>
      </w:r>
      <w:r w:rsidRPr="006C3256">
        <w:t>ctivities must</w:t>
      </w:r>
      <w:r w:rsidR="00F75804">
        <w:t xml:space="preserve"> </w:t>
      </w:r>
      <w:r w:rsidRPr="006C3256">
        <w:t xml:space="preserve">not displace paid workers. Participants </w:t>
      </w:r>
      <w:r w:rsidR="006C3256" w:rsidRPr="006C3256">
        <w:t>cannot</w:t>
      </w:r>
      <w:r w:rsidRPr="006C3256">
        <w:t xml:space="preserve"> do tasks that would normally be done by a paid worker where it impacts casual or </w:t>
      </w:r>
      <w:r w:rsidRPr="00AF5FD1">
        <w:t>part-time</w:t>
      </w:r>
      <w:r w:rsidRPr="006C3256">
        <w:t xml:space="preserve"> work, reduces the hours of a paid worker or reduces available overtime for an existing employee.</w:t>
      </w:r>
    </w:p>
    <w:p w14:paraId="0234E100" w14:textId="218EFED2" w:rsidR="002430D4" w:rsidRPr="006508AB" w:rsidRDefault="002430D4" w:rsidP="006508AB">
      <w:pPr>
        <w:spacing w:after="160" w:line="259" w:lineRule="auto"/>
        <w:rPr>
          <w:rFonts w:ascii="Calibri" w:eastAsiaTheme="majorEastAsia" w:hAnsi="Calibri" w:cstheme="majorBidi"/>
          <w:b/>
          <w:color w:val="051532"/>
          <w:sz w:val="34"/>
          <w:szCs w:val="32"/>
        </w:rPr>
      </w:pPr>
      <w:r w:rsidRPr="006508AB">
        <w:rPr>
          <w:rFonts w:ascii="Calibri" w:eastAsiaTheme="majorEastAsia" w:hAnsi="Calibri" w:cstheme="majorBidi"/>
          <w:b/>
          <w:color w:val="051532"/>
          <w:sz w:val="34"/>
          <w:szCs w:val="32"/>
        </w:rPr>
        <w:t xml:space="preserve">What </w:t>
      </w:r>
      <w:r w:rsidR="000840DE" w:rsidRPr="006508AB">
        <w:rPr>
          <w:rFonts w:ascii="Calibri" w:eastAsiaTheme="majorEastAsia" w:hAnsi="Calibri" w:cstheme="majorBidi"/>
          <w:b/>
          <w:color w:val="051532"/>
          <w:sz w:val="34"/>
          <w:szCs w:val="32"/>
        </w:rPr>
        <w:t>are</w:t>
      </w:r>
      <w:r w:rsidRPr="006508AB">
        <w:rPr>
          <w:rFonts w:ascii="Calibri" w:eastAsiaTheme="majorEastAsia" w:hAnsi="Calibri" w:cstheme="majorBidi"/>
          <w:b/>
          <w:color w:val="051532"/>
          <w:sz w:val="34"/>
          <w:szCs w:val="32"/>
        </w:rPr>
        <w:t xml:space="preserve"> Indigenous specific Work for the Dole </w:t>
      </w:r>
      <w:r w:rsidR="0064713B">
        <w:rPr>
          <w:rFonts w:ascii="Calibri" w:eastAsiaTheme="majorEastAsia" w:hAnsi="Calibri" w:cstheme="majorBidi"/>
          <w:b/>
          <w:color w:val="051532"/>
          <w:sz w:val="34"/>
          <w:szCs w:val="32"/>
        </w:rPr>
        <w:t>a</w:t>
      </w:r>
      <w:r w:rsidRPr="006508AB">
        <w:rPr>
          <w:rFonts w:ascii="Calibri" w:eastAsiaTheme="majorEastAsia" w:hAnsi="Calibri" w:cstheme="majorBidi"/>
          <w:b/>
          <w:color w:val="051532"/>
          <w:sz w:val="34"/>
          <w:szCs w:val="32"/>
        </w:rPr>
        <w:t>ctivities?</w:t>
      </w:r>
    </w:p>
    <w:p w14:paraId="41A87353" w14:textId="5E88BC31" w:rsidR="002430D4" w:rsidRPr="00BC102D" w:rsidRDefault="00B0049D" w:rsidP="002430D4">
      <w:r>
        <w:t xml:space="preserve">Workforce Australia Employment Service </w:t>
      </w:r>
      <w:r w:rsidR="002430D4">
        <w:t>Providers</w:t>
      </w:r>
      <w:r w:rsidR="00F90C5D">
        <w:t xml:space="preserve"> (</w:t>
      </w:r>
      <w:r w:rsidR="00FF0264">
        <w:t>p</w:t>
      </w:r>
      <w:r w:rsidR="00F90C5D">
        <w:t>roviders)</w:t>
      </w:r>
      <w:r w:rsidR="002430D4" w:rsidRPr="00BC102D">
        <w:t xml:space="preserve"> </w:t>
      </w:r>
      <w:r w:rsidR="002430D4">
        <w:rPr>
          <w:rStyle w:val="normaltextrun"/>
          <w:rFonts w:ascii="Calibri" w:hAnsi="Calibri" w:cs="Calibri"/>
          <w:color w:val="000000"/>
          <w:bdr w:val="none" w:sz="0" w:space="0" w:color="auto" w:frame="1"/>
        </w:rPr>
        <w:t>should look for</w:t>
      </w:r>
      <w:r w:rsidR="002430D4" w:rsidRPr="00BC102D" w:rsidDel="004633E3">
        <w:t xml:space="preserve"> </w:t>
      </w:r>
      <w:r w:rsidR="002430D4">
        <w:t xml:space="preserve">opportunities to </w:t>
      </w:r>
      <w:r w:rsidR="002430D4" w:rsidRPr="00BC102D">
        <w:t xml:space="preserve">establish Indigenous specific Work for the Dole </w:t>
      </w:r>
      <w:r w:rsidR="0064713B">
        <w:t>a</w:t>
      </w:r>
      <w:r w:rsidR="002430D4" w:rsidRPr="00BC102D">
        <w:t>ctivities</w:t>
      </w:r>
      <w:r w:rsidR="002430D4">
        <w:t xml:space="preserve">. </w:t>
      </w:r>
      <w:r w:rsidR="00F90C5D">
        <w:t>These</w:t>
      </w:r>
      <w:r w:rsidR="002430D4">
        <w:t xml:space="preserve"> can be either </w:t>
      </w:r>
      <w:r w:rsidR="00AF5FD1">
        <w:t>p</w:t>
      </w:r>
      <w:r w:rsidR="002430D4">
        <w:t xml:space="preserve">lacements or </w:t>
      </w:r>
      <w:r w:rsidR="00AF5FD1">
        <w:t>p</w:t>
      </w:r>
      <w:r w:rsidR="002430D4">
        <w:t xml:space="preserve">rojects and must: </w:t>
      </w:r>
    </w:p>
    <w:p w14:paraId="765D0514" w14:textId="07E8B003" w:rsidR="002430D4" w:rsidRPr="00BC102D" w:rsidRDefault="00AF5FD1" w:rsidP="006C3256">
      <w:pPr>
        <w:pStyle w:val="ListBullet"/>
      </w:pPr>
      <w:r>
        <w:t xml:space="preserve">have </w:t>
      </w:r>
      <w:r w:rsidR="002430D4" w:rsidRPr="00BC102D">
        <w:t xml:space="preserve">an Indigenous </w:t>
      </w:r>
      <w:r>
        <w:t>h</w:t>
      </w:r>
      <w:r w:rsidR="002430D4" w:rsidRPr="00BC102D">
        <w:t xml:space="preserve">ost </w:t>
      </w:r>
      <w:r>
        <w:t>o</w:t>
      </w:r>
      <w:r w:rsidR="002430D4" w:rsidRPr="00BC102D">
        <w:t>rganisation and/or benefit an Indigenous community</w:t>
      </w:r>
    </w:p>
    <w:p w14:paraId="446E5595" w14:textId="78F84052" w:rsidR="00F90C5D" w:rsidRDefault="00AF5FD1" w:rsidP="006C3256">
      <w:pPr>
        <w:pStyle w:val="ListBullet"/>
      </w:pPr>
      <w:r>
        <w:t xml:space="preserve">have </w:t>
      </w:r>
      <w:r w:rsidR="002430D4">
        <w:t>links</w:t>
      </w:r>
      <w:r w:rsidR="002430D4" w:rsidRPr="00BC102D">
        <w:t xml:space="preserve"> to community </w:t>
      </w:r>
      <w:r w:rsidR="004F2BD8" w:rsidRPr="00BC102D">
        <w:t>goals</w:t>
      </w:r>
    </w:p>
    <w:p w14:paraId="6998BD82" w14:textId="107C9900" w:rsidR="002430D4" w:rsidRPr="006C3256" w:rsidRDefault="002430D4" w:rsidP="00C07DCF">
      <w:pPr>
        <w:pStyle w:val="ListBullet"/>
        <w:contextualSpacing w:val="0"/>
      </w:pPr>
      <w:r w:rsidRPr="00BC102D">
        <w:t xml:space="preserve">support achievable and meaningful career pathways for Indigenous </w:t>
      </w:r>
      <w:r w:rsidR="00FF0264">
        <w:t>p</w:t>
      </w:r>
      <w:r w:rsidRPr="00BC102D">
        <w:t>articipants</w:t>
      </w:r>
      <w:r w:rsidR="00F90C5D">
        <w:t>.</w:t>
      </w:r>
    </w:p>
    <w:p w14:paraId="76AFEC7E" w14:textId="67E9188D" w:rsidR="002430D4" w:rsidRPr="006C3256" w:rsidRDefault="002430D4" w:rsidP="002430D4">
      <w:pPr>
        <w:pStyle w:val="ListBullet"/>
        <w:numPr>
          <w:ilvl w:val="0"/>
          <w:numId w:val="0"/>
        </w:numPr>
      </w:pPr>
      <w:r w:rsidRPr="006C3256">
        <w:t>Non-Indigenous </w:t>
      </w:r>
      <w:r w:rsidR="00FF0264">
        <w:t>p</w:t>
      </w:r>
      <w:r w:rsidRPr="006C3256">
        <w:t xml:space="preserve">articipants can participate in an Indigenous specific </w:t>
      </w:r>
      <w:r w:rsidR="008E1EA5">
        <w:t>a</w:t>
      </w:r>
      <w:r w:rsidR="008E1EA5" w:rsidRPr="006C3256">
        <w:t>ctivity</w:t>
      </w:r>
      <w:r w:rsidR="006C3256">
        <w:t>.</w:t>
      </w:r>
      <w:r w:rsidRPr="006C3256">
        <w:t> </w:t>
      </w:r>
    </w:p>
    <w:p w14:paraId="56109E6D" w14:textId="3C761E41" w:rsidR="002430D4" w:rsidRPr="00396E00" w:rsidRDefault="002430D4" w:rsidP="002430D4">
      <w:pPr>
        <w:pStyle w:val="Heading1"/>
      </w:pPr>
      <w:r w:rsidRPr="00396E00">
        <w:t xml:space="preserve">What </w:t>
      </w:r>
      <w:r w:rsidRPr="00E41A6B">
        <w:t>are</w:t>
      </w:r>
      <w:r w:rsidRPr="00396E00">
        <w:t xml:space="preserve"> Community Support Projects?</w:t>
      </w:r>
    </w:p>
    <w:p w14:paraId="569A90CA" w14:textId="180E1E99" w:rsidR="002430D4" w:rsidRPr="000840DE" w:rsidRDefault="00415030" w:rsidP="002430D4">
      <w:r>
        <w:t>Community Support Projects</w:t>
      </w:r>
      <w:r w:rsidR="002430D4" w:rsidRPr="000840DE">
        <w:t xml:space="preserve"> are </w:t>
      </w:r>
      <w:r w:rsidR="00710286">
        <w:t>a</w:t>
      </w:r>
      <w:r w:rsidR="002430D4" w:rsidRPr="000840DE">
        <w:t xml:space="preserve">ctivities that contribute to recovery efforts following a disaster event or assist with nationally significant projects at a local level that have been identified as providing a social, economic, environmental, cultural and/or heritage benefit to the Australian community. </w:t>
      </w:r>
    </w:p>
    <w:p w14:paraId="02B18362" w14:textId="166B7B8C" w:rsidR="002430D4" w:rsidRDefault="006508AB" w:rsidP="002430D4">
      <w:r w:rsidRPr="000840DE">
        <w:t>C</w:t>
      </w:r>
      <w:r w:rsidR="00947451">
        <w:t xml:space="preserve">ommunity </w:t>
      </w:r>
      <w:r w:rsidRPr="000840DE">
        <w:t>S</w:t>
      </w:r>
      <w:r w:rsidR="00947451">
        <w:t xml:space="preserve">upport </w:t>
      </w:r>
      <w:r w:rsidRPr="000840DE">
        <w:t>P</w:t>
      </w:r>
      <w:r w:rsidR="00947451">
        <w:t>roject</w:t>
      </w:r>
      <w:r w:rsidRPr="000840DE">
        <w:t xml:space="preserve">s require the prior written approval of the </w:t>
      </w:r>
      <w:r w:rsidRPr="00897716">
        <w:t>Department</w:t>
      </w:r>
      <w:r w:rsidR="001D07A7" w:rsidRPr="00897716">
        <w:t xml:space="preserve"> of </w:t>
      </w:r>
      <w:r w:rsidR="001D07A7">
        <w:t>Employment</w:t>
      </w:r>
      <w:r w:rsidR="00D1456F">
        <w:t xml:space="preserve"> and Workplace Relations</w:t>
      </w:r>
      <w:r w:rsidRPr="000840DE">
        <w:t xml:space="preserve"> to proceed</w:t>
      </w:r>
      <w:r w:rsidR="00D1456F">
        <w:t>. W</w:t>
      </w:r>
      <w:r w:rsidR="009B3928" w:rsidRPr="009B3928">
        <w:t>here a C</w:t>
      </w:r>
      <w:r w:rsidR="00947451">
        <w:t>ommunity Support Project</w:t>
      </w:r>
      <w:r w:rsidR="009B3928" w:rsidRPr="009B3928">
        <w:t xml:space="preserve"> is assisting with a natural disaster, </w:t>
      </w:r>
      <w:r w:rsidR="00BC34DA">
        <w:t>it</w:t>
      </w:r>
      <w:r w:rsidR="009B3928" w:rsidRPr="009B3928">
        <w:t xml:space="preserve"> should not</w:t>
      </w:r>
      <w:r w:rsidR="009B3928" w:rsidRPr="009B3928" w:rsidDel="009B3928">
        <w:t xml:space="preserve"> </w:t>
      </w:r>
      <w:r w:rsidR="002430D4" w:rsidRPr="000840DE">
        <w:t>compete with the work of, or replace the roles of, specialised emergency services (such as the State Emergency Service). </w:t>
      </w:r>
    </w:p>
    <w:p w14:paraId="15DC4E0B" w14:textId="24147DD2" w:rsidR="008259C0" w:rsidRDefault="008259C0" w:rsidP="002430D4">
      <w:pPr>
        <w:pStyle w:val="Heading1"/>
      </w:pPr>
      <w:r>
        <w:t>Who can participate in Work for the Dole?</w:t>
      </w:r>
    </w:p>
    <w:p w14:paraId="41AEC117" w14:textId="77777777" w:rsidR="008259C0" w:rsidRDefault="008259C0" w:rsidP="008259C0">
      <w:r w:rsidRPr="00A33947">
        <w:t xml:space="preserve">Only </w:t>
      </w:r>
      <w:r>
        <w:t>p</w:t>
      </w:r>
      <w:r w:rsidRPr="00A33947">
        <w:t xml:space="preserve">articipants aged 18 years and over, in receipt of income support and referred to Workforce Australia Services are eligible to participate in Work for the Dole. Participants who are in receipt of Disability Support Pension (with </w:t>
      </w:r>
      <w:r>
        <w:t>c</w:t>
      </w:r>
      <w:r w:rsidRPr="00A33947">
        <w:t xml:space="preserve">ompulsory </w:t>
      </w:r>
      <w:r>
        <w:t>r</w:t>
      </w:r>
      <w:r w:rsidRPr="00A33947">
        <w:t xml:space="preserve">equirements) and referred to </w:t>
      </w:r>
      <w:r>
        <w:t>Workforce Australia Services</w:t>
      </w:r>
      <w:r w:rsidRPr="00A33947">
        <w:t xml:space="preserve"> may also be placed into a Work for the Dole activity.</w:t>
      </w:r>
    </w:p>
    <w:p w14:paraId="6F09EC96" w14:textId="3F8CC131" w:rsidR="002430D4" w:rsidRPr="00396E00" w:rsidRDefault="002430D4" w:rsidP="002430D4">
      <w:pPr>
        <w:pStyle w:val="Heading1"/>
      </w:pPr>
      <w:r w:rsidRPr="00396E00">
        <w:t xml:space="preserve">Do all </w:t>
      </w:r>
      <w:r w:rsidRPr="00E41A6B">
        <w:t>people</w:t>
      </w:r>
      <w:r w:rsidRPr="00396E00">
        <w:t xml:space="preserve"> on income support have to do Work for the Dole?</w:t>
      </w:r>
    </w:p>
    <w:p w14:paraId="6AC63A37" w14:textId="3B568205" w:rsidR="002430D4" w:rsidRPr="00A611CA" w:rsidRDefault="002430D4" w:rsidP="002430D4">
      <w:r>
        <w:t xml:space="preserve">No. It depends on a </w:t>
      </w:r>
      <w:r w:rsidR="00FF0264">
        <w:t>p</w:t>
      </w:r>
      <w:r>
        <w:t>articipant’s eligibility, individual circumstances, and whether they have met their activation requirement</w:t>
      </w:r>
      <w:r w:rsidR="008259C0">
        <w:t xml:space="preserve"> through engaging in other activities</w:t>
      </w:r>
      <w:r>
        <w:t xml:space="preserve">. </w:t>
      </w:r>
      <w:r w:rsidRPr="0085005F">
        <w:t xml:space="preserve">Work for the Dole is one of several approved </w:t>
      </w:r>
      <w:r w:rsidR="00710286">
        <w:t>a</w:t>
      </w:r>
      <w:r w:rsidRPr="0085005F">
        <w:t xml:space="preserve">ctivities that </w:t>
      </w:r>
      <w:r w:rsidR="008259C0">
        <w:t>participants</w:t>
      </w:r>
      <w:r w:rsidRPr="0085005F">
        <w:t xml:space="preserve"> can </w:t>
      </w:r>
      <w:r w:rsidR="008259C0">
        <w:t>undertake</w:t>
      </w:r>
      <w:r w:rsidRPr="0085005F">
        <w:t xml:space="preserve"> to meet their activation requirements.</w:t>
      </w:r>
      <w:r w:rsidRPr="00C30C0A">
        <w:t> </w:t>
      </w:r>
    </w:p>
    <w:p w14:paraId="51B44D56" w14:textId="560E4190" w:rsidR="002430D4" w:rsidRPr="00396E00" w:rsidRDefault="002430D4" w:rsidP="002430D4">
      <w:pPr>
        <w:pStyle w:val="Heading1"/>
      </w:pPr>
      <w:r w:rsidRPr="00396E00">
        <w:t xml:space="preserve">Do </w:t>
      </w:r>
      <w:r w:rsidR="00973F76">
        <w:t>p</w:t>
      </w:r>
      <w:r w:rsidRPr="00E41A6B">
        <w:t>articipants</w:t>
      </w:r>
      <w:r w:rsidRPr="00396E00">
        <w:t xml:space="preserve"> get </w:t>
      </w:r>
      <w:r w:rsidR="00986229">
        <w:t>paid</w:t>
      </w:r>
      <w:r w:rsidRPr="00396E00">
        <w:t xml:space="preserve"> for doing Work for the Dole?</w:t>
      </w:r>
    </w:p>
    <w:p w14:paraId="0D07B1BD" w14:textId="4780C113" w:rsidR="002430D4" w:rsidRPr="000840DE" w:rsidRDefault="00986229" w:rsidP="002430D4">
      <w:r w:rsidRPr="00897716">
        <w:t>No. Participants don’t get paid to participate in Work for the Dole</w:t>
      </w:r>
      <w:r w:rsidR="00E6401B">
        <w:t>. H</w:t>
      </w:r>
      <w:r w:rsidRPr="00897716">
        <w:t>owever, e</w:t>
      </w:r>
      <w:r w:rsidR="002430D4" w:rsidRPr="00897716">
        <w:t xml:space="preserve">ligible </w:t>
      </w:r>
      <w:r w:rsidR="00FF0264">
        <w:t>p</w:t>
      </w:r>
      <w:r w:rsidR="002430D4" w:rsidRPr="00897716">
        <w:t>articipants</w:t>
      </w:r>
      <w:r>
        <w:t xml:space="preserve"> will</w:t>
      </w:r>
      <w:r w:rsidR="002430D4" w:rsidRPr="000840DE">
        <w:t> receive an Approved Program of Work Supplement of $20.80 per fortnight while they are undertaking Work for the Dole </w:t>
      </w:r>
      <w:r w:rsidR="00710286">
        <w:t>a</w:t>
      </w:r>
      <w:r w:rsidR="002430D4" w:rsidRPr="000840DE">
        <w:t>ctivities to assist with the cost of participating in the </w:t>
      </w:r>
      <w:r w:rsidR="00710286">
        <w:t>a</w:t>
      </w:r>
      <w:r w:rsidR="002430D4" w:rsidRPr="000840DE">
        <w:t>ctivity, such as travel.</w:t>
      </w:r>
    </w:p>
    <w:p w14:paraId="7B3A5CCC" w14:textId="2EA0BD3B" w:rsidR="002430D4" w:rsidRPr="00396E00" w:rsidRDefault="002430D4" w:rsidP="002430D4">
      <w:pPr>
        <w:pStyle w:val="Heading1"/>
      </w:pPr>
      <w:r w:rsidRPr="00396E00">
        <w:t xml:space="preserve">Who can host a Work for the Dole </w:t>
      </w:r>
      <w:r w:rsidR="00710286">
        <w:t>a</w:t>
      </w:r>
      <w:r w:rsidRPr="00396E00">
        <w:t>ctivity?</w:t>
      </w:r>
    </w:p>
    <w:p w14:paraId="090706B5" w14:textId="29832E26" w:rsidR="002430D4" w:rsidRDefault="002430D4" w:rsidP="002430D4">
      <w:r w:rsidRPr="001E50B4">
        <w:t xml:space="preserve">Work for the Dole </w:t>
      </w:r>
      <w:r w:rsidR="00710286">
        <w:t>a</w:t>
      </w:r>
      <w:r w:rsidRPr="001E50B4">
        <w:t>ctivities can only be hosted by not-for-profit organisations</w:t>
      </w:r>
      <w:r>
        <w:t xml:space="preserve"> and charities;</w:t>
      </w:r>
      <w:r w:rsidRPr="001E50B4">
        <w:t xml:space="preserve"> local, state, territory and Australian </w:t>
      </w:r>
      <w:r w:rsidR="00EB39CA">
        <w:t>G</w:t>
      </w:r>
      <w:r w:rsidR="00EB39CA" w:rsidRPr="001E50B4">
        <w:t xml:space="preserve">overnment </w:t>
      </w:r>
      <w:r w:rsidRPr="001E50B4">
        <w:t>agencies</w:t>
      </w:r>
      <w:r>
        <w:t>; or a not-for-profit arm of for-profit organisations</w:t>
      </w:r>
      <w:r w:rsidRPr="001E50B4">
        <w:t>.</w:t>
      </w:r>
    </w:p>
    <w:p w14:paraId="6D990653" w14:textId="5FB9650A" w:rsidR="002430D4" w:rsidRDefault="00C67205" w:rsidP="002430D4">
      <w:r>
        <w:t xml:space="preserve">Providers work with </w:t>
      </w:r>
      <w:r w:rsidR="00C07DCF">
        <w:t>h</w:t>
      </w:r>
      <w:r w:rsidRPr="00B3391E">
        <w:t xml:space="preserve">ost </w:t>
      </w:r>
      <w:r w:rsidR="00C07DCF">
        <w:t>o</w:t>
      </w:r>
      <w:r w:rsidRPr="007D1F62">
        <w:t>rganisations</w:t>
      </w:r>
      <w:r>
        <w:t xml:space="preserve"> to source</w:t>
      </w:r>
      <w:r w:rsidR="00E76A6E">
        <w:t xml:space="preserve"> and run</w:t>
      </w:r>
      <w:r>
        <w:t xml:space="preserve"> suitable</w:t>
      </w:r>
      <w:r w:rsidR="00BC34DA">
        <w:t>, safe</w:t>
      </w:r>
      <w:r>
        <w:t xml:space="preserve"> Work for the Dole a</w:t>
      </w:r>
      <w:r w:rsidRPr="00B3391E">
        <w:t xml:space="preserve">ctivities </w:t>
      </w:r>
      <w:r>
        <w:t xml:space="preserve">for </w:t>
      </w:r>
      <w:r w:rsidR="00FF0264">
        <w:t>p</w:t>
      </w:r>
      <w:r>
        <w:t>articipants</w:t>
      </w:r>
      <w:r w:rsidRPr="00B3391E">
        <w:t xml:space="preserve">. </w:t>
      </w:r>
      <w:r w:rsidR="002430D4" w:rsidRPr="001E50B4">
        <w:t xml:space="preserve">Being a Work for the Dole host allows organisations to undertake </w:t>
      </w:r>
      <w:r w:rsidR="00710286">
        <w:t>a</w:t>
      </w:r>
      <w:r w:rsidR="002430D4" w:rsidRPr="001E50B4">
        <w:t xml:space="preserve">ctivities which they might </w:t>
      </w:r>
      <w:r w:rsidR="002430D4">
        <w:t xml:space="preserve">not </w:t>
      </w:r>
      <w:r w:rsidR="002430D4" w:rsidRPr="001E50B4">
        <w:t xml:space="preserve">otherwise have the capacity to do. </w:t>
      </w:r>
      <w:r w:rsidR="002430D4">
        <w:t>A</w:t>
      </w:r>
      <w:r w:rsidR="002430D4" w:rsidRPr="001E50B4">
        <w:t xml:space="preserve">ctivities must meet all relevant work health and safety requirements. </w:t>
      </w:r>
    </w:p>
    <w:p w14:paraId="22947D50" w14:textId="68A9FE10" w:rsidR="002430D4" w:rsidRDefault="002430D4" w:rsidP="006E077F">
      <w:pPr>
        <w:spacing w:after="240"/>
      </w:pPr>
      <w:r w:rsidRPr="00B3391E">
        <w:t xml:space="preserve">Organisations interested </w:t>
      </w:r>
      <w:r>
        <w:t xml:space="preserve">in hosting a Work for the Dole </w:t>
      </w:r>
      <w:r w:rsidR="00710286">
        <w:t>a</w:t>
      </w:r>
      <w:r w:rsidRPr="00B3391E">
        <w:t>ctiv</w:t>
      </w:r>
      <w:r>
        <w:t xml:space="preserve">ity should contact their local </w:t>
      </w:r>
      <w:r w:rsidR="00FF0264">
        <w:t>p</w:t>
      </w:r>
      <w:r w:rsidRPr="00B3391E">
        <w:t>rovider</w:t>
      </w:r>
      <w:r w:rsidR="00483BF6">
        <w:t xml:space="preserve"> for more information</w:t>
      </w:r>
      <w:r w:rsidRPr="00B3391E">
        <w:t xml:space="preserve">. </w:t>
      </w:r>
    </w:p>
    <w:tbl>
      <w:tblPr>
        <w:tblStyle w:val="TableGridLight"/>
        <w:tblW w:w="0" w:type="auto"/>
        <w:tblLook w:val="04A0" w:firstRow="1" w:lastRow="0" w:firstColumn="1" w:lastColumn="0" w:noHBand="0" w:noVBand="1"/>
      </w:tblPr>
      <w:tblGrid>
        <w:gridCol w:w="4417"/>
        <w:gridCol w:w="5447"/>
      </w:tblGrid>
      <w:tr w:rsidR="00F75804" w14:paraId="231E3DB0" w14:textId="77777777" w:rsidTr="00B77EC3">
        <w:tc>
          <w:tcPr>
            <w:tcW w:w="4417" w:type="dxa"/>
            <w:shd w:val="clear" w:color="auto" w:fill="0E77CD"/>
          </w:tcPr>
          <w:p w14:paraId="0D58C873" w14:textId="77777777" w:rsidR="00F75804" w:rsidRDefault="00F75804" w:rsidP="00B77EC3">
            <w:pPr>
              <w:pStyle w:val="Boxheader"/>
            </w:pPr>
            <w:r w:rsidRPr="008D0A87">
              <w:t>Do you need help with this fact sheet?</w:t>
            </w:r>
          </w:p>
        </w:tc>
        <w:tc>
          <w:tcPr>
            <w:tcW w:w="5447" w:type="dxa"/>
          </w:tcPr>
          <w:p w14:paraId="220E8C04" w14:textId="77777777" w:rsidR="00F75804" w:rsidRDefault="00F75804" w:rsidP="00B77EC3"/>
        </w:tc>
      </w:tr>
      <w:tr w:rsidR="00F75804" w14:paraId="7F348436" w14:textId="77777777" w:rsidTr="00B77EC3">
        <w:tc>
          <w:tcPr>
            <w:tcW w:w="9864" w:type="dxa"/>
            <w:gridSpan w:val="2"/>
          </w:tcPr>
          <w:p w14:paraId="5A31404F" w14:textId="77777777" w:rsidR="00F75804" w:rsidRPr="008D0A87" w:rsidRDefault="00F75804" w:rsidP="00B77EC3">
            <w:r w:rsidRPr="008D0A87">
              <w:t>If you need an interpreter, please call the Translating and Interpreting Service (TIS) on 131 450*</w:t>
            </w:r>
            <w:r>
              <w:t>.</w:t>
            </w:r>
          </w:p>
          <w:p w14:paraId="2E7CF975" w14:textId="77777777" w:rsidR="00F75804" w:rsidRPr="008D0A87" w:rsidRDefault="00F75804" w:rsidP="00B77EC3">
            <w:r w:rsidRPr="008D0A87">
              <w:t xml:space="preserve">If you are deaf or have a hearing or speech impairment you can use the National Relay Service. For more information, visit the </w:t>
            </w:r>
            <w:r w:rsidRPr="00561646">
              <w:t>National Relay Service</w:t>
            </w:r>
            <w:r w:rsidRPr="00561646">
              <w:rPr>
                <w:rStyle w:val="Hyperlink"/>
                <w:u w:val="none"/>
              </w:rPr>
              <w:t xml:space="preserve"> </w:t>
            </w:r>
            <w:r w:rsidRPr="008D0A87">
              <w:t>website</w:t>
            </w:r>
            <w:r>
              <w:t xml:space="preserve"> at </w:t>
            </w:r>
            <w:hyperlink r:id="rId15" w:history="1">
              <w:r w:rsidRPr="00F22919">
                <w:rPr>
                  <w:rStyle w:val="Hyperlink"/>
                </w:rPr>
                <w:t>www.relayservice.gov.au</w:t>
              </w:r>
            </w:hyperlink>
            <w:r w:rsidRPr="008D0A87">
              <w:t>.</w:t>
            </w:r>
          </w:p>
          <w:p w14:paraId="0B7AC06B" w14:textId="77777777" w:rsidR="00F75804" w:rsidRDefault="00F75804" w:rsidP="00B77EC3">
            <w:r w:rsidRPr="008D0A87">
              <w:rPr>
                <w:iCs/>
              </w:rPr>
              <w:t>* Note that call charges apply for calls to ‘13’ numbers from mobile phones.</w:t>
            </w:r>
          </w:p>
        </w:tc>
      </w:tr>
      <w:bookmarkEnd w:id="1"/>
    </w:tbl>
    <w:p w14:paraId="4A804E5E" w14:textId="77777777" w:rsidR="00B00423" w:rsidRDefault="00B00423" w:rsidP="009226C2">
      <w:pPr>
        <w:spacing w:after="160" w:line="259" w:lineRule="auto"/>
      </w:pPr>
    </w:p>
    <w:sectPr w:rsidR="00B00423" w:rsidSect="00F75804">
      <w:type w:val="continuous"/>
      <w:pgSz w:w="11906" w:h="16838"/>
      <w:pgMar w:top="1134" w:right="1021" w:bottom="851" w:left="1021"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D212" w14:textId="77777777" w:rsidR="00FE0BBC" w:rsidRDefault="00FE0BBC" w:rsidP="00EE7FDA">
      <w:pPr>
        <w:spacing w:after="0"/>
      </w:pPr>
      <w:r>
        <w:separator/>
      </w:r>
    </w:p>
  </w:endnote>
  <w:endnote w:type="continuationSeparator" w:id="0">
    <w:p w14:paraId="34DF2027" w14:textId="77777777" w:rsidR="00FE0BBC" w:rsidRDefault="00FE0BBC"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04B79" w14:textId="77777777" w:rsidR="000B5C3A" w:rsidRDefault="000B5C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5758C913" w:rsidR="00105919" w:rsidRDefault="00A1654A">
    <w:pPr>
      <w:pStyle w:val="Footer"/>
    </w:pPr>
    <w:r>
      <w:rPr>
        <w:noProof/>
      </w:rPr>
      <w:drawing>
        <wp:anchor distT="0" distB="0" distL="114300" distR="114300" simplePos="0" relativeHeight="251660288" behindDoc="1" locked="0" layoutInCell="1" allowOverlap="1" wp14:anchorId="0426B92B" wp14:editId="6D148A8D">
          <wp:simplePos x="0" y="0"/>
          <wp:positionH relativeFrom="page">
            <wp:posOffset>0</wp:posOffset>
          </wp:positionH>
          <wp:positionV relativeFrom="page">
            <wp:posOffset>10253980</wp:posOffset>
          </wp:positionV>
          <wp:extent cx="7560000" cy="428400"/>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4FEC9CA" w:rsidR="00105919" w:rsidRDefault="00105919">
    <w:pPr>
      <w:pStyle w:val="Footer"/>
    </w:pPr>
    <w:r>
      <w:rPr>
        <w:noProof/>
      </w:rPr>
      <w:drawing>
        <wp:anchor distT="0" distB="0" distL="114300" distR="114300" simplePos="0" relativeHeight="251658240" behindDoc="1" locked="0" layoutInCell="1" allowOverlap="1" wp14:anchorId="7D90293D" wp14:editId="7CBBBDA3">
          <wp:simplePos x="0" y="0"/>
          <wp:positionH relativeFrom="page">
            <wp:posOffset>0</wp:posOffset>
          </wp:positionH>
          <wp:positionV relativeFrom="page">
            <wp:align>bottom</wp:align>
          </wp:positionV>
          <wp:extent cx="7560000" cy="1425600"/>
          <wp:effectExtent l="0" t="0" r="3175" b="3175"/>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42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86D2" w14:textId="77777777" w:rsidR="00FE0BBC" w:rsidRDefault="00FE0BBC" w:rsidP="00D105E6">
      <w:pPr>
        <w:spacing w:after="60"/>
      </w:pPr>
      <w:r>
        <w:separator/>
      </w:r>
    </w:p>
  </w:footnote>
  <w:footnote w:type="continuationSeparator" w:id="0">
    <w:p w14:paraId="544B666E" w14:textId="77777777" w:rsidR="00FE0BBC" w:rsidRDefault="00FE0BBC" w:rsidP="00EE7F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D803" w14:textId="77777777" w:rsidR="000B5C3A" w:rsidRDefault="000B5C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47D35" w14:textId="77777777" w:rsidR="000B5C3A" w:rsidRDefault="000B5C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B2FF" w14:textId="77777777" w:rsidR="000B5C3A" w:rsidRDefault="000B5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FFA0299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753CC1"/>
    <w:multiLevelType w:val="hybridMultilevel"/>
    <w:tmpl w:val="FBDE3600"/>
    <w:lvl w:ilvl="0" w:tplc="0C090001">
      <w:start w:val="1"/>
      <w:numFmt w:val="bullet"/>
      <w:lvlText w:val=""/>
      <w:lvlJc w:val="left"/>
      <w:pPr>
        <w:ind w:left="436"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3"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8224E2"/>
    <w:multiLevelType w:val="multilevel"/>
    <w:tmpl w:val="B10A65AC"/>
    <w:numStyleLink w:val="Style1"/>
  </w:abstractNum>
  <w:abstractNum w:abstractNumId="6"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15:restartNumberingAfterBreak="0">
    <w:nsid w:val="24725C1E"/>
    <w:multiLevelType w:val="hybridMultilevel"/>
    <w:tmpl w:val="6798C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E53EF4"/>
    <w:multiLevelType w:val="multilevel"/>
    <w:tmpl w:val="4C06E666"/>
    <w:numStyleLink w:val="RSCBNumberList1"/>
  </w:abstractNum>
  <w:abstractNum w:abstractNumId="10" w15:restartNumberingAfterBreak="0">
    <w:nsid w:val="3D594D48"/>
    <w:multiLevelType w:val="hybridMultilevel"/>
    <w:tmpl w:val="F0CC72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2" w15:restartNumberingAfterBreak="0">
    <w:nsid w:val="57DD04F5"/>
    <w:multiLevelType w:val="multilevel"/>
    <w:tmpl w:val="4C06E666"/>
    <w:numStyleLink w:val="RSCBNumberList1"/>
  </w:abstractNum>
  <w:abstractNum w:abstractNumId="13"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DAF2F1C"/>
    <w:multiLevelType w:val="hybridMultilevel"/>
    <w:tmpl w:val="FCF25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5"/>
  </w:num>
  <w:num w:numId="5">
    <w:abstractNumId w:val="3"/>
  </w:num>
  <w:num w:numId="6">
    <w:abstractNumId w:val="6"/>
  </w:num>
  <w:num w:numId="7">
    <w:abstractNumId w:val="4"/>
  </w:num>
  <w:num w:numId="8">
    <w:abstractNumId w:val="7"/>
  </w:num>
  <w:num w:numId="9">
    <w:abstractNumId w:val="9"/>
  </w:num>
  <w:num w:numId="10">
    <w:abstractNumId w:val="0"/>
  </w:num>
  <w:num w:numId="11">
    <w:abstractNumId w:val="8"/>
  </w:num>
  <w:num w:numId="12">
    <w:abstractNumId w:val="10"/>
  </w:num>
  <w:num w:numId="13">
    <w:abstractNumId w:val="5"/>
  </w:num>
  <w:num w:numId="14">
    <w:abstractNumId w:val="5"/>
  </w:num>
  <w:num w:numId="15">
    <w:abstractNumId w:val="5"/>
  </w:num>
  <w:num w:numId="16">
    <w:abstractNumId w:val="5"/>
  </w:num>
  <w:num w:numId="17">
    <w:abstractNumId w:val="1"/>
  </w:num>
  <w:num w:numId="18">
    <w:abstractNumId w:val="14"/>
  </w:num>
  <w:num w:numId="19">
    <w:abstractNumId w:val="5"/>
  </w:num>
  <w:num w:numId="20">
    <w:abstractNumId w:val="5"/>
  </w:num>
  <w:num w:numId="21">
    <w:abstractNumId w:val="5"/>
  </w:num>
  <w:num w:numId="22">
    <w:abstractNumId w:val="2"/>
  </w:num>
  <w:num w:numId="23">
    <w:abstractNumId w:val="5"/>
  </w:num>
  <w:num w:numId="2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11BA5"/>
    <w:rsid w:val="00013B02"/>
    <w:rsid w:val="00037765"/>
    <w:rsid w:val="00052659"/>
    <w:rsid w:val="00052B07"/>
    <w:rsid w:val="0007247D"/>
    <w:rsid w:val="00081E45"/>
    <w:rsid w:val="000840DE"/>
    <w:rsid w:val="00086A8D"/>
    <w:rsid w:val="0009541A"/>
    <w:rsid w:val="000B5C3A"/>
    <w:rsid w:val="000D30DF"/>
    <w:rsid w:val="000D6CE9"/>
    <w:rsid w:val="000E406E"/>
    <w:rsid w:val="00105919"/>
    <w:rsid w:val="001254B2"/>
    <w:rsid w:val="001335A6"/>
    <w:rsid w:val="0013557F"/>
    <w:rsid w:val="00145A12"/>
    <w:rsid w:val="00155F8B"/>
    <w:rsid w:val="0016510A"/>
    <w:rsid w:val="00165A2C"/>
    <w:rsid w:val="00195EF0"/>
    <w:rsid w:val="001B2345"/>
    <w:rsid w:val="001B6D04"/>
    <w:rsid w:val="001C6347"/>
    <w:rsid w:val="001C65BE"/>
    <w:rsid w:val="001D07A7"/>
    <w:rsid w:val="001F27CB"/>
    <w:rsid w:val="001F444A"/>
    <w:rsid w:val="001F7332"/>
    <w:rsid w:val="00233410"/>
    <w:rsid w:val="002409F1"/>
    <w:rsid w:val="002430D4"/>
    <w:rsid w:val="00244DD6"/>
    <w:rsid w:val="002462D7"/>
    <w:rsid w:val="00253AD5"/>
    <w:rsid w:val="00257065"/>
    <w:rsid w:val="002678F4"/>
    <w:rsid w:val="00275860"/>
    <w:rsid w:val="00275D69"/>
    <w:rsid w:val="00286F3C"/>
    <w:rsid w:val="002C019A"/>
    <w:rsid w:val="002E766F"/>
    <w:rsid w:val="00312F55"/>
    <w:rsid w:val="0031425C"/>
    <w:rsid w:val="00316088"/>
    <w:rsid w:val="00324593"/>
    <w:rsid w:val="003267A5"/>
    <w:rsid w:val="00362673"/>
    <w:rsid w:val="00387D46"/>
    <w:rsid w:val="003B13B2"/>
    <w:rsid w:val="003E21F8"/>
    <w:rsid w:val="003F0880"/>
    <w:rsid w:val="003F5943"/>
    <w:rsid w:val="004035F9"/>
    <w:rsid w:val="00415030"/>
    <w:rsid w:val="00426E46"/>
    <w:rsid w:val="00434212"/>
    <w:rsid w:val="0044055B"/>
    <w:rsid w:val="00440F0C"/>
    <w:rsid w:val="00446EE2"/>
    <w:rsid w:val="0046637C"/>
    <w:rsid w:val="00467E8D"/>
    <w:rsid w:val="0047432C"/>
    <w:rsid w:val="00483BF6"/>
    <w:rsid w:val="004B48A5"/>
    <w:rsid w:val="004C0AE6"/>
    <w:rsid w:val="004C6350"/>
    <w:rsid w:val="004D00B2"/>
    <w:rsid w:val="004F2BD8"/>
    <w:rsid w:val="004F3CE3"/>
    <w:rsid w:val="004F5993"/>
    <w:rsid w:val="0051256C"/>
    <w:rsid w:val="00517064"/>
    <w:rsid w:val="00522E88"/>
    <w:rsid w:val="005565B8"/>
    <w:rsid w:val="00561646"/>
    <w:rsid w:val="00566A2E"/>
    <w:rsid w:val="00567ABA"/>
    <w:rsid w:val="005725B2"/>
    <w:rsid w:val="00575DFC"/>
    <w:rsid w:val="00577A33"/>
    <w:rsid w:val="00582D06"/>
    <w:rsid w:val="00586EA4"/>
    <w:rsid w:val="005A412C"/>
    <w:rsid w:val="005D150B"/>
    <w:rsid w:val="005D2489"/>
    <w:rsid w:val="005F08A3"/>
    <w:rsid w:val="0063350D"/>
    <w:rsid w:val="0064713B"/>
    <w:rsid w:val="006508AB"/>
    <w:rsid w:val="00654A65"/>
    <w:rsid w:val="00657B92"/>
    <w:rsid w:val="006645F0"/>
    <w:rsid w:val="00691F21"/>
    <w:rsid w:val="006A3880"/>
    <w:rsid w:val="006C3256"/>
    <w:rsid w:val="006C3DC6"/>
    <w:rsid w:val="006D1E27"/>
    <w:rsid w:val="006D7710"/>
    <w:rsid w:val="006E077F"/>
    <w:rsid w:val="006F2229"/>
    <w:rsid w:val="00706143"/>
    <w:rsid w:val="00710286"/>
    <w:rsid w:val="00713EC7"/>
    <w:rsid w:val="00721A05"/>
    <w:rsid w:val="00730B97"/>
    <w:rsid w:val="00737C1D"/>
    <w:rsid w:val="00774BA7"/>
    <w:rsid w:val="00784F29"/>
    <w:rsid w:val="0078584C"/>
    <w:rsid w:val="007937CC"/>
    <w:rsid w:val="0079664C"/>
    <w:rsid w:val="007A3566"/>
    <w:rsid w:val="007A7107"/>
    <w:rsid w:val="007B788B"/>
    <w:rsid w:val="007C3D4E"/>
    <w:rsid w:val="007D4962"/>
    <w:rsid w:val="007F63CC"/>
    <w:rsid w:val="0080594C"/>
    <w:rsid w:val="00813629"/>
    <w:rsid w:val="00817BD6"/>
    <w:rsid w:val="008259C0"/>
    <w:rsid w:val="00832F2D"/>
    <w:rsid w:val="008447BA"/>
    <w:rsid w:val="00876539"/>
    <w:rsid w:val="00890A0B"/>
    <w:rsid w:val="00897716"/>
    <w:rsid w:val="008A28DA"/>
    <w:rsid w:val="008D0A87"/>
    <w:rsid w:val="008E1EA5"/>
    <w:rsid w:val="008F24CE"/>
    <w:rsid w:val="009226C2"/>
    <w:rsid w:val="00931FEE"/>
    <w:rsid w:val="00947451"/>
    <w:rsid w:val="00961F5C"/>
    <w:rsid w:val="00963256"/>
    <w:rsid w:val="00973379"/>
    <w:rsid w:val="00973F76"/>
    <w:rsid w:val="00986229"/>
    <w:rsid w:val="00997BE6"/>
    <w:rsid w:val="009A0290"/>
    <w:rsid w:val="009B3928"/>
    <w:rsid w:val="009D079F"/>
    <w:rsid w:val="009F652B"/>
    <w:rsid w:val="00A012A2"/>
    <w:rsid w:val="00A112E2"/>
    <w:rsid w:val="00A1654A"/>
    <w:rsid w:val="00A23D73"/>
    <w:rsid w:val="00A24962"/>
    <w:rsid w:val="00A30560"/>
    <w:rsid w:val="00A34D39"/>
    <w:rsid w:val="00A37373"/>
    <w:rsid w:val="00A513A6"/>
    <w:rsid w:val="00A70EEB"/>
    <w:rsid w:val="00A713BC"/>
    <w:rsid w:val="00A74FD2"/>
    <w:rsid w:val="00A81FB9"/>
    <w:rsid w:val="00A82BDB"/>
    <w:rsid w:val="00AA03F6"/>
    <w:rsid w:val="00AA2FD8"/>
    <w:rsid w:val="00AB7789"/>
    <w:rsid w:val="00AF5FD1"/>
    <w:rsid w:val="00B00423"/>
    <w:rsid w:val="00B0049D"/>
    <w:rsid w:val="00B052FB"/>
    <w:rsid w:val="00B77853"/>
    <w:rsid w:val="00B81A68"/>
    <w:rsid w:val="00BA48C8"/>
    <w:rsid w:val="00BB57FE"/>
    <w:rsid w:val="00BC34DA"/>
    <w:rsid w:val="00BD6E26"/>
    <w:rsid w:val="00BE133B"/>
    <w:rsid w:val="00BE54EE"/>
    <w:rsid w:val="00BE6D94"/>
    <w:rsid w:val="00BF2EE7"/>
    <w:rsid w:val="00BF5D8B"/>
    <w:rsid w:val="00BF7BDF"/>
    <w:rsid w:val="00C04E0C"/>
    <w:rsid w:val="00C07DCF"/>
    <w:rsid w:val="00C230BC"/>
    <w:rsid w:val="00C30A1E"/>
    <w:rsid w:val="00C50AA1"/>
    <w:rsid w:val="00C55508"/>
    <w:rsid w:val="00C66B71"/>
    <w:rsid w:val="00C67205"/>
    <w:rsid w:val="00CA2C25"/>
    <w:rsid w:val="00CD38C9"/>
    <w:rsid w:val="00CD5F0D"/>
    <w:rsid w:val="00CF6EBF"/>
    <w:rsid w:val="00CF7AC3"/>
    <w:rsid w:val="00D00D7B"/>
    <w:rsid w:val="00D105E6"/>
    <w:rsid w:val="00D134AC"/>
    <w:rsid w:val="00D1456F"/>
    <w:rsid w:val="00D37BC8"/>
    <w:rsid w:val="00D43F67"/>
    <w:rsid w:val="00D73F0A"/>
    <w:rsid w:val="00D84DC0"/>
    <w:rsid w:val="00D85E9B"/>
    <w:rsid w:val="00D87DCA"/>
    <w:rsid w:val="00D910F9"/>
    <w:rsid w:val="00D97626"/>
    <w:rsid w:val="00DA46BB"/>
    <w:rsid w:val="00DD4EBE"/>
    <w:rsid w:val="00DE1663"/>
    <w:rsid w:val="00DF0B8A"/>
    <w:rsid w:val="00DF45B3"/>
    <w:rsid w:val="00DF60E1"/>
    <w:rsid w:val="00E13A5E"/>
    <w:rsid w:val="00E55470"/>
    <w:rsid w:val="00E57440"/>
    <w:rsid w:val="00E6401B"/>
    <w:rsid w:val="00E70599"/>
    <w:rsid w:val="00E76A6E"/>
    <w:rsid w:val="00E814A0"/>
    <w:rsid w:val="00EB39CA"/>
    <w:rsid w:val="00EC4486"/>
    <w:rsid w:val="00EC63BF"/>
    <w:rsid w:val="00ED3F85"/>
    <w:rsid w:val="00EE3600"/>
    <w:rsid w:val="00EE511B"/>
    <w:rsid w:val="00EE59F7"/>
    <w:rsid w:val="00EE68B6"/>
    <w:rsid w:val="00EE7FDA"/>
    <w:rsid w:val="00EF27F0"/>
    <w:rsid w:val="00F121AC"/>
    <w:rsid w:val="00F23048"/>
    <w:rsid w:val="00F23C4B"/>
    <w:rsid w:val="00F25A17"/>
    <w:rsid w:val="00F26A28"/>
    <w:rsid w:val="00F33632"/>
    <w:rsid w:val="00F36B35"/>
    <w:rsid w:val="00F50B25"/>
    <w:rsid w:val="00F54B75"/>
    <w:rsid w:val="00F55BB9"/>
    <w:rsid w:val="00F740F9"/>
    <w:rsid w:val="00F75804"/>
    <w:rsid w:val="00F90C5D"/>
    <w:rsid w:val="00FA1736"/>
    <w:rsid w:val="00FA663B"/>
    <w:rsid w:val="00FB1C4B"/>
    <w:rsid w:val="00FC5503"/>
    <w:rsid w:val="00FD1F89"/>
    <w:rsid w:val="00FD42D7"/>
    <w:rsid w:val="00FD6726"/>
    <w:rsid w:val="00FE0BBC"/>
    <w:rsid w:val="00FF0264"/>
    <w:rsid w:val="00FF5068"/>
    <w:rsid w:val="00FF73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18785"/>
    <o:shapelayout v:ext="edit">
      <o:idmap v:ext="edit" data="1"/>
    </o:shapelayout>
  </w:shapeDefaults>
  <w:decimalSymbol w:val="."/>
  <w:listSeparator w:val=","/>
  <w14:docId w14:val="3EE4060C"/>
  <w15:chartTrackingRefBased/>
  <w15:docId w15:val="{5DCBC3CB-3BCE-480D-8FA1-92A0E3D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7"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4A"/>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7"/>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7"/>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aliases w:val="List Paragraph1,Recommendation,List Paragraph11,Bullet Point,L,Bullet points,Content descriptions,Body Bullets 1,Bullet point,Main,CV text,Table text,F5 List Paragraph,Dot pt,List Paragraph111,Medium Grid 1 - Accent 21,Numbered Paragraph"/>
    <w:basedOn w:val="Normal"/>
    <w:link w:val="ListParagraphChar"/>
    <w:uiPriority w:val="34"/>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rsid w:val="003F5943"/>
    <w:rPr>
      <w:szCs w:val="20"/>
    </w:rPr>
  </w:style>
  <w:style w:type="character" w:customStyle="1" w:styleId="CommentTextChar">
    <w:name w:val="Comment Text Char"/>
    <w:basedOn w:val="DefaultParagraphFont"/>
    <w:link w:val="CommentText"/>
    <w:uiPriority w:val="99"/>
    <w:semiHidden/>
    <w:rsid w:val="003F5943"/>
    <w:rPr>
      <w:sz w:val="20"/>
      <w:szCs w:val="20"/>
    </w:rPr>
  </w:style>
  <w:style w:type="character" w:styleId="CommentReference">
    <w:name w:val="annotation reference"/>
    <w:basedOn w:val="DefaultParagraphFont"/>
    <w:uiPriority w:val="99"/>
    <w:semiHidden/>
    <w:unhideWhenUsed/>
    <w:rsid w:val="003F5943"/>
    <w:rPr>
      <w:sz w:val="16"/>
      <w:szCs w:val="16"/>
    </w:rPr>
  </w:style>
  <w:style w:type="character" w:customStyle="1" w:styleId="ListParagraphChar">
    <w:name w:val="List Paragraph Char"/>
    <w:aliases w:val="List Paragraph1 Char,Recommendation Char,List Paragraph11 Char,Bullet Point Char,L Char,Bullet points Char,Content descriptions Char,Body Bullets 1 Char,Bullet point Char,Main Char,CV text Char,Table text Char,F5 List Paragraph Char"/>
    <w:basedOn w:val="DefaultParagraphFont"/>
    <w:link w:val="ListParagraph"/>
    <w:uiPriority w:val="34"/>
    <w:qFormat/>
    <w:locked/>
    <w:rsid w:val="002430D4"/>
    <w:rPr>
      <w:sz w:val="20"/>
    </w:rPr>
  </w:style>
  <w:style w:type="paragraph" w:customStyle="1" w:styleId="Heading1table">
    <w:name w:val="Heading 1 table"/>
    <w:basedOn w:val="Heading1"/>
    <w:qFormat/>
    <w:rsid w:val="002430D4"/>
    <w:pPr>
      <w:spacing w:before="0"/>
    </w:pPr>
    <w:rPr>
      <w:color w:val="FFFFFF" w:themeColor="background1"/>
      <w:sz w:val="32"/>
    </w:rPr>
  </w:style>
  <w:style w:type="table" w:customStyle="1" w:styleId="wordtablegrey">
    <w:name w:val="word table grey"/>
    <w:basedOn w:val="TableNormal"/>
    <w:uiPriority w:val="99"/>
    <w:rsid w:val="002430D4"/>
    <w:pPr>
      <w:spacing w:after="0" w:line="240" w:lineRule="auto"/>
    </w:pPr>
    <w:tblPr>
      <w:tblCellMar>
        <w:top w:w="142" w:type="dxa"/>
        <w:left w:w="142" w:type="dxa"/>
        <w:bottom w:w="142" w:type="dxa"/>
        <w:right w:w="142" w:type="dxa"/>
      </w:tblCellMar>
    </w:tblPr>
    <w:tcPr>
      <w:shd w:val="clear" w:color="auto" w:fill="595959" w:themeFill="text1" w:themeFillTint="A6"/>
    </w:tcPr>
  </w:style>
  <w:style w:type="character" w:customStyle="1" w:styleId="normaltextrun">
    <w:name w:val="normaltextrun"/>
    <w:basedOn w:val="DefaultParagraphFont"/>
    <w:rsid w:val="002430D4"/>
  </w:style>
  <w:style w:type="character" w:customStyle="1" w:styleId="eop">
    <w:name w:val="eop"/>
    <w:basedOn w:val="DefaultParagraphFont"/>
    <w:rsid w:val="002430D4"/>
  </w:style>
  <w:style w:type="character" w:customStyle="1" w:styleId="findhit">
    <w:name w:val="findhit"/>
    <w:basedOn w:val="DefaultParagraphFont"/>
    <w:rsid w:val="002430D4"/>
  </w:style>
  <w:style w:type="paragraph" w:styleId="CommentSubject">
    <w:name w:val="annotation subject"/>
    <w:basedOn w:val="CommentText"/>
    <w:next w:val="CommentText"/>
    <w:link w:val="CommentSubjectChar"/>
    <w:uiPriority w:val="99"/>
    <w:semiHidden/>
    <w:unhideWhenUsed/>
    <w:rsid w:val="008D0A87"/>
    <w:rPr>
      <w:b/>
      <w:bCs/>
    </w:rPr>
  </w:style>
  <w:style w:type="character" w:customStyle="1" w:styleId="CommentSubjectChar">
    <w:name w:val="Comment Subject Char"/>
    <w:basedOn w:val="CommentTextChar"/>
    <w:link w:val="CommentSubject"/>
    <w:uiPriority w:val="99"/>
    <w:semiHidden/>
    <w:rsid w:val="008D0A87"/>
    <w:rPr>
      <w:b/>
      <w:bCs/>
      <w:sz w:val="20"/>
      <w:szCs w:val="20"/>
    </w:rPr>
  </w:style>
  <w:style w:type="character" w:styleId="UnresolvedMention">
    <w:name w:val="Unresolved Mention"/>
    <w:basedOn w:val="DefaultParagraphFont"/>
    <w:uiPriority w:val="99"/>
    <w:semiHidden/>
    <w:unhideWhenUsed/>
    <w:rsid w:val="008D0A87"/>
    <w:rPr>
      <w:color w:val="605E5C"/>
      <w:shd w:val="clear" w:color="auto" w:fill="E1DFDD"/>
    </w:rPr>
  </w:style>
  <w:style w:type="paragraph" w:styleId="Revision">
    <w:name w:val="Revision"/>
    <w:hidden/>
    <w:uiPriority w:val="99"/>
    <w:semiHidden/>
    <w:rsid w:val="00BC34DA"/>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relayservice.gov.au"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930</Words>
  <Characters>5173</Characters>
  <Application>Microsoft Office Word</Application>
  <DocSecurity>0</DocSecurity>
  <Lines>87</Lines>
  <Paragraphs>55</Paragraphs>
  <ScaleCrop>false</ScaleCrop>
  <HeadingPairs>
    <vt:vector size="2" baseType="variant">
      <vt:variant>
        <vt:lpstr>Title</vt:lpstr>
      </vt:variant>
      <vt:variant>
        <vt:i4>1</vt:i4>
      </vt:variant>
    </vt:vector>
  </HeadingPairs>
  <TitlesOfParts>
    <vt:vector size="1" baseType="lpstr">
      <vt:lpstr>Australian Government Workforce Australia</vt:lpstr>
    </vt:vector>
  </TitlesOfParts>
  <Company>Australian Government</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Workforce Australia</dc:title>
  <dc:subject/>
  <dc:creator>BRENNAN,Kate</dc:creator>
  <cp:keywords/>
  <dc:description/>
  <cp:lastModifiedBy>RANYARD,Suzanne</cp:lastModifiedBy>
  <cp:revision>3</cp:revision>
  <dcterms:created xsi:type="dcterms:W3CDTF">2022-07-11T00:46:00Z</dcterms:created>
  <dcterms:modified xsi:type="dcterms:W3CDTF">2022-07-11T23:41:00Z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2022-04-12T00:03:12Z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b6326ac5-78e6-4b2a-8793-7f0390fc0d42</vt:lpwstr>
  </property>
  <property fmtid="{D5CDD505-2E9C-101B-9397-08002B2CF9AE}" pid="8" name="MSIP_Label_79d889eb-932f-4752-8739-64d25806ef64_ContentBits">
    <vt:lpwstr>0</vt:lpwstr>
  </property>
</Properties>
</file>