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2363"/>
        <w:tblW w:w="11894" w:type="dxa"/>
        <w:tblLook w:val="04A0" w:firstRow="1" w:lastRow="0" w:firstColumn="1" w:lastColumn="0" w:noHBand="0" w:noVBand="1"/>
        <w:tblDescription w:val="Safety advice description"/>
      </w:tblPr>
      <w:tblGrid>
        <w:gridCol w:w="11894"/>
      </w:tblGrid>
      <w:tr w:rsidR="00816C0C" w14:paraId="17CA7FCD" w14:textId="77777777" w:rsidTr="00925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tcW w:w="11894" w:type="dxa"/>
            <w:tcBorders>
              <w:top w:val="nil"/>
              <w:left w:val="nil"/>
              <w:bottom w:val="nil"/>
              <w:right w:val="nil"/>
            </w:tcBorders>
            <w:shd w:val="clear" w:color="auto" w:fill="0E77CD"/>
          </w:tcPr>
          <w:p w14:paraId="0C258E23" w14:textId="7B18B35E" w:rsidR="00816C0C" w:rsidRPr="0058741B" w:rsidRDefault="00472E36" w:rsidP="00925D1E">
            <w:pPr>
              <w:pStyle w:val="Boxheader"/>
              <w:jc w:val="center"/>
              <w:rPr>
                <w:b/>
                <w:bCs/>
              </w:rPr>
            </w:pPr>
            <w:r w:rsidRPr="00DD4BBD">
              <w:rPr>
                <w:b/>
              </w:rPr>
              <w:t>For Safety advice on Work for the Dole please visit</w:t>
            </w:r>
            <w:r>
              <w:rPr>
                <w:b/>
              </w:rPr>
              <w:t xml:space="preserve"> </w:t>
            </w:r>
            <w:hyperlink r:id="rId7" w:history="1">
              <w:r>
                <w:rPr>
                  <w:rStyle w:val="Hyperlink"/>
                </w:rPr>
                <w:t>www.workforceaustralia.gov.au/r/keeping-you-safe-fact-sheet.pdf</w:t>
              </w:r>
            </w:hyperlink>
          </w:p>
        </w:tc>
      </w:tr>
    </w:tbl>
    <w:p w14:paraId="7AD9547C" w14:textId="04F128F0" w:rsidR="005565B8" w:rsidRDefault="00286F3C" w:rsidP="00344B34">
      <w:pPr>
        <w:tabs>
          <w:tab w:val="left" w:pos="7530"/>
        </w:tabs>
        <w:spacing w:after="1560"/>
        <w:sectPr w:rsidR="005565B8" w:rsidSect="006F22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37" w:right="851" w:bottom="1418" w:left="851" w:header="567" w:footer="2381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D8C6F17" wp14:editId="581F7892">
            <wp:extent cx="3517200" cy="1162800"/>
            <wp:effectExtent l="0" t="0" r="7620" b="0"/>
            <wp:docPr id="6" name="Picture 6" descr="Australian Government &#10;Workforce Australia &#10;Em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ustralian Government &#10;Workforce Australia &#10;Employ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DC1A19" wp14:editId="7DF6ED4A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7560000" cy="2016000"/>
                <wp:effectExtent l="0" t="0" r="3175" b="3810"/>
                <wp:wrapNone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016000"/>
                        </a:xfrm>
                        <a:prstGeom prst="rect">
                          <a:avLst/>
                        </a:prstGeom>
                        <a:solidFill>
                          <a:srgbClr val="0515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ED49" id="Rectangle 3" o:spid="_x0000_s1026" alt="Decorative" style="position:absolute;margin-left:0;margin-top:0;width:595.3pt;height:158.7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" fillcolor="#051532" stroked="f" strokeweight="1pt">
                <w10:wrap anchorx="page" anchory="page"/>
              </v:rect>
            </w:pict>
          </mc:Fallback>
        </mc:AlternateContent>
      </w:r>
      <w:r w:rsidR="00344B34">
        <w:tab/>
      </w:r>
    </w:p>
    <w:p w14:paraId="4E1DE1AB" w14:textId="45D3E5FD" w:rsidR="00A36FB8" w:rsidRPr="00623A74" w:rsidRDefault="00830B9B" w:rsidP="00402063">
      <w:pPr>
        <w:pStyle w:val="Title"/>
      </w:pPr>
      <w:r>
        <w:t xml:space="preserve">Workforce Australia - </w:t>
      </w:r>
      <w:r w:rsidR="00A36FB8" w:rsidRPr="00623A74">
        <w:t>Work for the Dole</w:t>
      </w:r>
    </w:p>
    <w:p w14:paraId="1FD3BD98" w14:textId="77777777" w:rsidR="00061F2D" w:rsidRDefault="00061F2D" w:rsidP="00402063">
      <w:pPr>
        <w:pStyle w:val="Subtitle"/>
      </w:pPr>
      <w:bookmarkStart w:id="0" w:name="_Toc364946114"/>
      <w:r w:rsidRPr="00D432D4">
        <w:t>Information for Host Organisations</w:t>
      </w:r>
    </w:p>
    <w:p w14:paraId="12C98229" w14:textId="77777777" w:rsidR="00BE6772" w:rsidRDefault="00BE6772" w:rsidP="00402063">
      <w:bookmarkStart w:id="1" w:name="_Toc30065222"/>
      <w:bookmarkStart w:id="2" w:name="_Toc364946116"/>
      <w:bookmarkEnd w:id="0"/>
      <w:r>
        <w:t>Work for the Dole is a work experience program that offers participants the opportunity to demonstrate their capabilities, contribute to their local community and equips them with skills to help find secure work.</w:t>
      </w:r>
      <w:bookmarkEnd w:id="1"/>
    </w:p>
    <w:p w14:paraId="0F146826" w14:textId="06F55194" w:rsidR="00061F2D" w:rsidRDefault="00061F2D" w:rsidP="00402063">
      <w:r>
        <w:t xml:space="preserve">As a Work for the Dole </w:t>
      </w:r>
      <w:r w:rsidR="00EA4CA1">
        <w:t>h</w:t>
      </w:r>
      <w:r>
        <w:t xml:space="preserve">ost </w:t>
      </w:r>
      <w:r w:rsidR="00EA4CA1">
        <w:t>organisation</w:t>
      </w:r>
      <w:r>
        <w:t xml:space="preserve">, you are a critical part of the program and can get access to an extra set of hands to undertake </w:t>
      </w:r>
      <w:r w:rsidR="00B77769">
        <w:t>activities</w:t>
      </w:r>
      <w:r w:rsidR="00816C0C">
        <w:t xml:space="preserve"> </w:t>
      </w:r>
      <w:r>
        <w:t xml:space="preserve">and projects that may not normally get done. </w:t>
      </w:r>
    </w:p>
    <w:p w14:paraId="1CEC2E7B" w14:textId="59B67B7F" w:rsidR="00061F2D" w:rsidRDefault="00061F2D" w:rsidP="00402063">
      <w:r w:rsidRPr="00EC16DA">
        <w:t xml:space="preserve">Workforce Australia </w:t>
      </w:r>
      <w:r w:rsidR="009A161C">
        <w:t xml:space="preserve">Employment </w:t>
      </w:r>
      <w:r w:rsidR="00172922" w:rsidRPr="00EC16DA">
        <w:t xml:space="preserve">Services </w:t>
      </w:r>
      <w:r w:rsidRPr="00EC16DA">
        <w:t xml:space="preserve">Providers </w:t>
      </w:r>
      <w:r w:rsidR="00663F07" w:rsidRPr="00EC16DA">
        <w:t>(</w:t>
      </w:r>
      <w:r w:rsidR="001569C1">
        <w:t>p</w:t>
      </w:r>
      <w:r w:rsidR="00663F07">
        <w:t xml:space="preserve">roviders) </w:t>
      </w:r>
      <w:r w:rsidR="00BE6772">
        <w:t>in your area</w:t>
      </w:r>
      <w:r>
        <w:t xml:space="preserve"> will work with you to identify</w:t>
      </w:r>
      <w:r w:rsidR="00663F07">
        <w:t xml:space="preserve"> and run</w:t>
      </w:r>
      <w:r>
        <w:t xml:space="preserve"> suitable Work for the Dole </w:t>
      </w:r>
      <w:r w:rsidR="00B77769">
        <w:t>activities</w:t>
      </w:r>
      <w:r w:rsidR="00482B9D">
        <w:t>,</w:t>
      </w:r>
      <w:r w:rsidR="00B77769">
        <w:t xml:space="preserve"> </w:t>
      </w:r>
      <w:r>
        <w:t xml:space="preserve">which benefit the local community. </w:t>
      </w:r>
    </w:p>
    <w:p w14:paraId="15A42C10" w14:textId="77777777" w:rsidR="00BE6772" w:rsidRPr="007C6256" w:rsidRDefault="00BE6772" w:rsidP="00402063">
      <w:pPr>
        <w:pStyle w:val="Heading1"/>
      </w:pPr>
      <w:r>
        <w:t>Types of Work for the Dole activities</w:t>
      </w:r>
    </w:p>
    <w:p w14:paraId="563B2253" w14:textId="3FCA5F4C" w:rsidR="00BE6772" w:rsidRDefault="00BE6772" w:rsidP="00402063">
      <w:r>
        <w:t>There are two types of Work for the Dole activities</w:t>
      </w:r>
      <w:r w:rsidR="00402063">
        <w:t>:</w:t>
      </w:r>
      <w:r>
        <w:t xml:space="preserve"> 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4926"/>
        <w:gridCol w:w="4928"/>
      </w:tblGrid>
      <w:tr w:rsidR="00BE6772" w14:paraId="16396856" w14:textId="77777777" w:rsidTr="00402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6" w:type="dxa"/>
            <w:tcBorders>
              <w:top w:val="single" w:sz="4" w:space="0" w:color="32375D"/>
              <w:left w:val="single" w:sz="4" w:space="0" w:color="32375D"/>
              <w:bottom w:val="single" w:sz="4" w:space="0" w:color="32375D"/>
              <w:right w:val="single" w:sz="4" w:space="0" w:color="32375D"/>
            </w:tcBorders>
            <w:hideMark/>
          </w:tcPr>
          <w:p w14:paraId="426A9F0B" w14:textId="77777777" w:rsidR="00BE6772" w:rsidRDefault="00BE6772">
            <w:pPr>
              <w:jc w:val="center"/>
              <w:rPr>
                <w:b w:val="0"/>
              </w:rPr>
            </w:pPr>
            <w:r>
              <w:t>Work for the Dole Placements</w:t>
            </w:r>
          </w:p>
        </w:tc>
        <w:tc>
          <w:tcPr>
            <w:tcW w:w="4928" w:type="dxa"/>
            <w:tcBorders>
              <w:top w:val="single" w:sz="4" w:space="0" w:color="32375D"/>
              <w:left w:val="single" w:sz="4" w:space="0" w:color="32375D"/>
              <w:bottom w:val="single" w:sz="4" w:space="0" w:color="32375D"/>
              <w:right w:val="single" w:sz="4" w:space="0" w:color="32375D"/>
            </w:tcBorders>
            <w:hideMark/>
          </w:tcPr>
          <w:p w14:paraId="0F644F0D" w14:textId="77777777" w:rsidR="00BE6772" w:rsidRDefault="00BE6772">
            <w:pPr>
              <w:jc w:val="center"/>
              <w:rPr>
                <w:b w:val="0"/>
              </w:rPr>
            </w:pPr>
            <w:r>
              <w:t>Work for the Dole Projects</w:t>
            </w:r>
          </w:p>
        </w:tc>
      </w:tr>
      <w:tr w:rsidR="00BE6772" w14:paraId="5E09AE0E" w14:textId="77777777" w:rsidTr="00402063">
        <w:tc>
          <w:tcPr>
            <w:tcW w:w="4926" w:type="dxa"/>
            <w:tcBorders>
              <w:top w:val="single" w:sz="4" w:space="0" w:color="32375D"/>
              <w:left w:val="single" w:sz="4" w:space="0" w:color="32375D"/>
              <w:bottom w:val="single" w:sz="4" w:space="0" w:color="32375D"/>
              <w:right w:val="single" w:sz="4" w:space="0" w:color="32375D"/>
            </w:tcBorders>
          </w:tcPr>
          <w:p w14:paraId="33647114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 xml:space="preserve">A single participant or multiple participants doing individual tasks of the same related type, in one or more locations. </w:t>
            </w:r>
          </w:p>
          <w:p w14:paraId="2F52CAD5" w14:textId="4950BA4A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Placed in the existing operations of the host organisation.</w:t>
            </w:r>
            <w:r w:rsidR="00656B02">
              <w:t xml:space="preserve"> </w:t>
            </w:r>
          </w:p>
          <w:p w14:paraId="1AD396E0" w14:textId="77777777" w:rsidR="00BE6772" w:rsidRPr="00656B02" w:rsidRDefault="00BE6772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rPr>
                <w:sz w:val="12"/>
                <w:szCs w:val="12"/>
              </w:rPr>
            </w:pPr>
          </w:p>
        </w:tc>
        <w:tc>
          <w:tcPr>
            <w:tcW w:w="4928" w:type="dxa"/>
            <w:tcBorders>
              <w:top w:val="single" w:sz="4" w:space="0" w:color="32375D"/>
              <w:left w:val="single" w:sz="4" w:space="0" w:color="32375D"/>
              <w:bottom w:val="single" w:sz="4" w:space="0" w:color="32375D"/>
              <w:right w:val="single" w:sz="4" w:space="0" w:color="32375D"/>
            </w:tcBorders>
            <w:vAlign w:val="top"/>
            <w:hideMark/>
          </w:tcPr>
          <w:p w14:paraId="424FC852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Specific community projects developed for the purpose of providing a work-like experience for a group of participants, working as a team to meet a common goal or deliverable.</w:t>
            </w:r>
          </w:p>
          <w:p w14:paraId="09C4CD6E" w14:textId="5C6679AB" w:rsidR="00BE6772" w:rsidRDefault="00BE6772" w:rsidP="00656B02">
            <w:pPr>
              <w:pStyle w:val="ListBullet"/>
              <w:numPr>
                <w:ilvl w:val="0"/>
                <w:numId w:val="0"/>
              </w:numPr>
              <w:ind w:left="284"/>
            </w:pPr>
          </w:p>
        </w:tc>
      </w:tr>
      <w:tr w:rsidR="00BE6772" w14:paraId="5442A8EF" w14:textId="77777777" w:rsidTr="00402063">
        <w:tc>
          <w:tcPr>
            <w:tcW w:w="4926" w:type="dxa"/>
            <w:tcBorders>
              <w:top w:val="single" w:sz="4" w:space="0" w:color="32375D"/>
              <w:left w:val="single" w:sz="4" w:space="0" w:color="32375D"/>
              <w:bottom w:val="single" w:sz="4" w:space="0" w:color="32375D"/>
              <w:right w:val="single" w:sz="4" w:space="0" w:color="32375D"/>
            </w:tcBorders>
            <w:hideMark/>
          </w:tcPr>
          <w:p w14:paraId="346738A9" w14:textId="77777777" w:rsidR="00BE6772" w:rsidRDefault="00BE6772">
            <w:r>
              <w:t>Examples include:</w:t>
            </w:r>
          </w:p>
          <w:p w14:paraId="76F5829C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retail work in the day-to-day operation of an op</w:t>
            </w:r>
            <w:r>
              <w:noBreakHyphen/>
              <w:t>shop</w:t>
            </w:r>
          </w:p>
          <w:p w14:paraId="43A084FF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creating website/media material and graphic designs for a community social enterprise</w:t>
            </w:r>
          </w:p>
          <w:p w14:paraId="001AFAE4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maintaining gardens and lawns at a community facility.</w:t>
            </w:r>
          </w:p>
        </w:tc>
        <w:tc>
          <w:tcPr>
            <w:tcW w:w="4928" w:type="dxa"/>
            <w:tcBorders>
              <w:top w:val="single" w:sz="4" w:space="0" w:color="32375D"/>
              <w:left w:val="single" w:sz="4" w:space="0" w:color="32375D"/>
              <w:bottom w:val="single" w:sz="4" w:space="0" w:color="32375D"/>
              <w:right w:val="single" w:sz="4" w:space="0" w:color="32375D"/>
            </w:tcBorders>
            <w:hideMark/>
          </w:tcPr>
          <w:p w14:paraId="26179E8C" w14:textId="77777777" w:rsidR="00BE6772" w:rsidRDefault="00BE6772">
            <w:r>
              <w:t>Examples include:</w:t>
            </w:r>
          </w:p>
          <w:p w14:paraId="732A30A8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construction of BBQ facilities and development/ restoration of a community garden area</w:t>
            </w:r>
          </w:p>
          <w:p w14:paraId="3499966B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helping a social enterprise to design and prepare for a cultural festival</w:t>
            </w:r>
          </w:p>
          <w:p w14:paraId="032C443E" w14:textId="77777777" w:rsidR="00BE6772" w:rsidRDefault="00BE6772" w:rsidP="00BE6772">
            <w:pPr>
              <w:pStyle w:val="ListBullet"/>
              <w:numPr>
                <w:ilvl w:val="0"/>
                <w:numId w:val="17"/>
              </w:numPr>
            </w:pPr>
            <w:r>
              <w:t>a kitchen upgrade at a local community facility.</w:t>
            </w:r>
          </w:p>
        </w:tc>
      </w:tr>
    </w:tbl>
    <w:p w14:paraId="36FDEAF6" w14:textId="7A251161" w:rsidR="00656B02" w:rsidRDefault="00402063" w:rsidP="00656B02">
      <w:pPr>
        <w:spacing w:before="120"/>
        <w:rPr>
          <w:rFonts w:ascii="Calibri" w:hAnsi="Calibri" w:cs="Calibri"/>
          <w:noProof/>
          <w:szCs w:val="20"/>
        </w:rPr>
      </w:pPr>
      <w:r>
        <w:t xml:space="preserve">Work for the Dole </w:t>
      </w:r>
      <w:r w:rsidR="00502CAB">
        <w:t xml:space="preserve">Placements </w:t>
      </w:r>
      <w:r>
        <w:t xml:space="preserve">can be established for up to 12 months, with a possible extension up to a maximum of 24 months. </w:t>
      </w:r>
      <w:r w:rsidR="00502CAB">
        <w:t xml:space="preserve">Work for the Dole Projects must have start and end dates in the same financial year. </w:t>
      </w:r>
      <w:r w:rsidR="00656B02">
        <w:rPr>
          <w:rFonts w:ascii="Calibri" w:hAnsi="Calibri" w:cs="Calibri"/>
          <w:noProof/>
          <w:szCs w:val="20"/>
        </w:rPr>
        <w:t xml:space="preserve">If you wish to continue </w:t>
      </w:r>
      <w:r w:rsidR="006C3833">
        <w:rPr>
          <w:rFonts w:ascii="Calibri" w:hAnsi="Calibri" w:cs="Calibri"/>
          <w:noProof/>
          <w:szCs w:val="20"/>
        </w:rPr>
        <w:t xml:space="preserve">a </w:t>
      </w:r>
      <w:r w:rsidR="00656B02">
        <w:rPr>
          <w:rFonts w:ascii="Calibri" w:hAnsi="Calibri" w:cs="Calibri"/>
          <w:noProof/>
          <w:szCs w:val="20"/>
        </w:rPr>
        <w:t xml:space="preserve">project beyond 30 June, you must discuss this with </w:t>
      </w:r>
      <w:r w:rsidR="006C3833">
        <w:rPr>
          <w:rFonts w:ascii="Calibri" w:hAnsi="Calibri" w:cs="Calibri"/>
          <w:noProof/>
          <w:szCs w:val="20"/>
        </w:rPr>
        <w:t>your</w:t>
      </w:r>
      <w:r w:rsidR="00656B02">
        <w:rPr>
          <w:rFonts w:ascii="Calibri" w:hAnsi="Calibri" w:cs="Calibri"/>
          <w:noProof/>
          <w:szCs w:val="20"/>
        </w:rPr>
        <w:t xml:space="preserve"> provider. </w:t>
      </w:r>
    </w:p>
    <w:p w14:paraId="3D7A868C" w14:textId="462BA281" w:rsidR="00BE6772" w:rsidRDefault="00402063" w:rsidP="00402063">
      <w:pPr>
        <w:spacing w:before="120"/>
      </w:pPr>
      <w:r>
        <w:t xml:space="preserve">More than one participant may be placed into a Work for the Dole activity over this period, with each individual participating for at least 8 weeks. </w:t>
      </w:r>
      <w:r w:rsidR="00BE6772">
        <w:t>Your provider can help you to determine the most suitable activity for their participants and the length of the activity.</w:t>
      </w:r>
    </w:p>
    <w:p w14:paraId="2BBFF2C3" w14:textId="091CAF30" w:rsidR="00061F2D" w:rsidRPr="007C6256" w:rsidRDefault="00061F2D" w:rsidP="00402063">
      <w:pPr>
        <w:pStyle w:val="Heading1"/>
      </w:pPr>
      <w:r w:rsidRPr="007C6256">
        <w:lastRenderedPageBreak/>
        <w:t xml:space="preserve">Who can host a Work for the Dole </w:t>
      </w:r>
      <w:r w:rsidR="00B77769">
        <w:t>a</w:t>
      </w:r>
      <w:r w:rsidR="00B77769" w:rsidRPr="007C6256">
        <w:t>ctivity</w:t>
      </w:r>
      <w:r w:rsidRPr="007C6256">
        <w:t>?</w:t>
      </w:r>
    </w:p>
    <w:p w14:paraId="4EEF58F9" w14:textId="3450889F" w:rsidR="00F2299C" w:rsidRDefault="00061F2D" w:rsidP="00402063">
      <w:r w:rsidRPr="001E50B4">
        <w:t xml:space="preserve">Work for the Dole </w:t>
      </w:r>
      <w:r w:rsidR="00B77769">
        <w:t>a</w:t>
      </w:r>
      <w:r w:rsidR="00B77769" w:rsidRPr="001E50B4">
        <w:t xml:space="preserve">ctivities </w:t>
      </w:r>
      <w:r w:rsidRPr="001E50B4">
        <w:t>can only be hosted by</w:t>
      </w:r>
      <w:r w:rsidR="00F2299C">
        <w:t>:</w:t>
      </w:r>
    </w:p>
    <w:p w14:paraId="3363F661" w14:textId="237E47BD" w:rsidR="00F2299C" w:rsidRDefault="00061F2D" w:rsidP="00F2299C">
      <w:pPr>
        <w:pStyle w:val="ListParagraph"/>
        <w:numPr>
          <w:ilvl w:val="0"/>
          <w:numId w:val="16"/>
        </w:numPr>
      </w:pPr>
      <w:r w:rsidRPr="001E50B4">
        <w:t xml:space="preserve">not-for-profit organisations </w:t>
      </w:r>
      <w:r>
        <w:t xml:space="preserve">and charities </w:t>
      </w:r>
    </w:p>
    <w:p w14:paraId="31AFD1E4" w14:textId="45E94AE4" w:rsidR="00F2299C" w:rsidRDefault="00061F2D" w:rsidP="00F2299C">
      <w:pPr>
        <w:pStyle w:val="ListParagraph"/>
        <w:numPr>
          <w:ilvl w:val="0"/>
          <w:numId w:val="16"/>
        </w:numPr>
      </w:pPr>
      <w:r w:rsidRPr="001E50B4">
        <w:t xml:space="preserve">local, state, territory and Australian </w:t>
      </w:r>
      <w:r w:rsidR="00482B9D">
        <w:t>G</w:t>
      </w:r>
      <w:r w:rsidR="00482B9D" w:rsidRPr="001E50B4">
        <w:t xml:space="preserve">overnment </w:t>
      </w:r>
      <w:r w:rsidRPr="001E50B4">
        <w:t>agencies</w:t>
      </w:r>
    </w:p>
    <w:p w14:paraId="7DD0E0A7" w14:textId="3E92E3F1" w:rsidR="00061F2D" w:rsidRDefault="00061F2D" w:rsidP="00F2299C">
      <w:pPr>
        <w:pStyle w:val="ListParagraph"/>
        <w:numPr>
          <w:ilvl w:val="0"/>
          <w:numId w:val="16"/>
        </w:numPr>
      </w:pPr>
      <w:r>
        <w:t xml:space="preserve">a </w:t>
      </w:r>
      <w:r w:rsidRPr="006C4358">
        <w:t>not-for-profit arm of for-profit organisations</w:t>
      </w:r>
      <w:r w:rsidRPr="001E50B4">
        <w:t>.</w:t>
      </w:r>
      <w:r w:rsidRPr="007011BA">
        <w:t xml:space="preserve"> </w:t>
      </w:r>
    </w:p>
    <w:p w14:paraId="51476140" w14:textId="5CF12226" w:rsidR="00061F2D" w:rsidRDefault="00061F2D" w:rsidP="00402063">
      <w:r w:rsidRPr="00C13D87">
        <w:t>Work for the Dole </w:t>
      </w:r>
      <w:r w:rsidR="00B77769">
        <w:t>a</w:t>
      </w:r>
      <w:r w:rsidR="00B77769" w:rsidRPr="00C13D87">
        <w:t xml:space="preserve">ctivities </w:t>
      </w:r>
      <w:r w:rsidRPr="00C13D87">
        <w:t xml:space="preserve">must not displace paid workers. </w:t>
      </w:r>
      <w:r w:rsidRPr="006C4358">
        <w:t xml:space="preserve">Participants </w:t>
      </w:r>
      <w:r w:rsidR="00402063">
        <w:t xml:space="preserve">cannot </w:t>
      </w:r>
      <w:r w:rsidRPr="006C4358">
        <w:t>do tasks that would normally be done by a paid worker</w:t>
      </w:r>
      <w:r w:rsidR="009C65F9">
        <w:t xml:space="preserve"> </w:t>
      </w:r>
      <w:r w:rsidRPr="006C4358">
        <w:t xml:space="preserve">where it impacts casual or </w:t>
      </w:r>
      <w:r w:rsidRPr="009A161C">
        <w:t>part-time</w:t>
      </w:r>
      <w:r w:rsidRPr="006C4358">
        <w:t xml:space="preserve"> work, reduces the hours of a paid worker or reduces</w:t>
      </w:r>
      <w:r w:rsidR="00663F07">
        <w:t xml:space="preserve"> the</w:t>
      </w:r>
      <w:r w:rsidRPr="006C4358">
        <w:t xml:space="preserve"> available overtime for an existing employee.</w:t>
      </w:r>
    </w:p>
    <w:p w14:paraId="3A6AB462" w14:textId="7761D603" w:rsidR="00061F2D" w:rsidRPr="007C6256" w:rsidRDefault="00061F2D" w:rsidP="00402063">
      <w:pPr>
        <w:pStyle w:val="Heading1"/>
      </w:pPr>
      <w:r w:rsidRPr="007C6256">
        <w:t xml:space="preserve">What is the role of the </w:t>
      </w:r>
      <w:r w:rsidR="00BE6772">
        <w:t>h</w:t>
      </w:r>
      <w:r w:rsidRPr="007C6256">
        <w:t>ost</w:t>
      </w:r>
      <w:r w:rsidR="008B49FC">
        <w:t xml:space="preserve"> </w:t>
      </w:r>
      <w:r w:rsidR="00BE6772">
        <w:t>o</w:t>
      </w:r>
      <w:r w:rsidR="008B49FC">
        <w:t>rganisation</w:t>
      </w:r>
      <w:r w:rsidRPr="007C6256">
        <w:t>?</w:t>
      </w:r>
    </w:p>
    <w:p w14:paraId="2A96EF2A" w14:textId="7B289E67" w:rsidR="00061F2D" w:rsidRDefault="00061F2D" w:rsidP="00402063">
      <w:r>
        <w:t xml:space="preserve">As a Work for the Dole </w:t>
      </w:r>
      <w:r w:rsidR="00B9716E">
        <w:t>h</w:t>
      </w:r>
      <w:r>
        <w:t>ost</w:t>
      </w:r>
      <w:r w:rsidR="008B49FC">
        <w:t xml:space="preserve"> organisation</w:t>
      </w:r>
      <w:r>
        <w:t xml:space="preserve">, you will provide work-like </w:t>
      </w:r>
      <w:r w:rsidR="00B77769">
        <w:t>activities</w:t>
      </w:r>
      <w:r>
        <w:t>, with supervision and on-the-job training</w:t>
      </w:r>
      <w:r w:rsidR="00663F07">
        <w:t xml:space="preserve"> for </w:t>
      </w:r>
      <w:r w:rsidR="001569C1">
        <w:t>p</w:t>
      </w:r>
      <w:r w:rsidR="00663F07">
        <w:t>articipants</w:t>
      </w:r>
      <w:r>
        <w:t xml:space="preserve">. Where possible, you will assist </w:t>
      </w:r>
      <w:r w:rsidR="00C7513C">
        <w:t>p</w:t>
      </w:r>
      <w:r>
        <w:t xml:space="preserve">articipants to develop some or all of the </w:t>
      </w:r>
      <w:r w:rsidR="00F3239C">
        <w:t xml:space="preserve">core </w:t>
      </w:r>
      <w:r w:rsidR="00BD02DE">
        <w:t xml:space="preserve">competencies </w:t>
      </w:r>
      <w:r>
        <w:t xml:space="preserve">identified by the </w:t>
      </w:r>
      <w:r w:rsidRPr="00C946EA">
        <w:t>National Skills Commission</w:t>
      </w:r>
      <w:r>
        <w:t xml:space="preserve"> </w:t>
      </w:r>
      <w:r w:rsidR="00BE6772">
        <w:t xml:space="preserve">as critical to the workplace. These are </w:t>
      </w:r>
      <w:r w:rsidRPr="00363B88">
        <w:t>teamwork, initiative and innovation, planning and organising, oral communication, digital engagement, reading, writing, problem solving, learning and numeracy.</w:t>
      </w:r>
      <w:r>
        <w:t xml:space="preserve"> </w:t>
      </w:r>
    </w:p>
    <w:p w14:paraId="7B61F6BF" w14:textId="68C30BE3" w:rsidR="00061F2D" w:rsidRDefault="00663F07" w:rsidP="00402063">
      <w:r>
        <w:t>You</w:t>
      </w:r>
      <w:r w:rsidR="00061F2D">
        <w:t xml:space="preserve"> are also encouraged to work with </w:t>
      </w:r>
      <w:r w:rsidR="008B49FC">
        <w:t xml:space="preserve">your </w:t>
      </w:r>
      <w:r w:rsidR="001569C1">
        <w:t>p</w:t>
      </w:r>
      <w:r w:rsidR="00061F2D" w:rsidRPr="00B77769">
        <w:t>rovider</w:t>
      </w:r>
      <w:r w:rsidR="00061F2D">
        <w:t xml:space="preserve"> to include the </w:t>
      </w:r>
      <w:r w:rsidR="009C65F9">
        <w:t xml:space="preserve">opportunity </w:t>
      </w:r>
      <w:r>
        <w:t xml:space="preserve">for </w:t>
      </w:r>
      <w:r w:rsidR="00940B14">
        <w:t>p</w:t>
      </w:r>
      <w:r>
        <w:t xml:space="preserve">articipants </w:t>
      </w:r>
      <w:r w:rsidR="009C65F9">
        <w:t>to gain</w:t>
      </w:r>
      <w:r w:rsidR="00061F2D">
        <w:t xml:space="preserve"> a licence, qualification, micro-credentials or other recognised skill as part of the Work for the Dole </w:t>
      </w:r>
      <w:r w:rsidR="00B77769">
        <w:t>activity</w:t>
      </w:r>
      <w:r w:rsidR="00061F2D">
        <w:t>.</w:t>
      </w:r>
    </w:p>
    <w:p w14:paraId="7843EB14" w14:textId="1D3BF6EC" w:rsidR="00061F2D" w:rsidRDefault="00061F2D" w:rsidP="00402063">
      <w:r>
        <w:t xml:space="preserve">It is important to remember Work for the Dole can only take place where it is safe to do so. As a </w:t>
      </w:r>
      <w:r w:rsidR="00B9716E">
        <w:t>h</w:t>
      </w:r>
      <w:r>
        <w:t xml:space="preserve">ost </w:t>
      </w:r>
      <w:r w:rsidR="00B9716E">
        <w:t>o</w:t>
      </w:r>
      <w:r>
        <w:t xml:space="preserve">rganisation, you must ensure that your </w:t>
      </w:r>
      <w:r w:rsidR="00B77769">
        <w:t xml:space="preserve">activity </w:t>
      </w:r>
      <w:r>
        <w:t xml:space="preserve">meets all relevant work health and safety requirements. </w:t>
      </w:r>
    </w:p>
    <w:p w14:paraId="609E5B78" w14:textId="365E2B7C" w:rsidR="00061F2D" w:rsidRDefault="00061F2D" w:rsidP="00402063">
      <w:r>
        <w:t xml:space="preserve">A </w:t>
      </w:r>
      <w:r w:rsidRPr="008B49FC">
        <w:t>Host Organisation Handbook</w:t>
      </w:r>
      <w:r w:rsidR="008B49FC" w:rsidRPr="008B49FC">
        <w:rPr>
          <w:rStyle w:val="Hyperlink"/>
          <w:u w:val="none"/>
        </w:rPr>
        <w:t xml:space="preserve"> </w:t>
      </w:r>
      <w:r w:rsidR="00C354B9">
        <w:t>with more information is a</w:t>
      </w:r>
      <w:r>
        <w:t>vailable on the</w:t>
      </w:r>
      <w:r w:rsidR="00246E2C">
        <w:t xml:space="preserve"> </w:t>
      </w:r>
      <w:r w:rsidR="0062196E">
        <w:t>department’s</w:t>
      </w:r>
      <w:r w:rsidR="00246E2C">
        <w:t xml:space="preserve"> </w:t>
      </w:r>
      <w:r>
        <w:t xml:space="preserve">website </w:t>
      </w:r>
      <w:r w:rsidR="009A161C">
        <w:t xml:space="preserve">at </w:t>
      </w:r>
      <w:hyperlink r:id="rId15" w:history="1">
        <w:r w:rsidR="0062196E" w:rsidRPr="00D0063C">
          <w:rPr>
            <w:rStyle w:val="Hyperlink"/>
          </w:rPr>
          <w:t>www.dese.gov.au/work-dole/resources/host-organisation-handbook</w:t>
        </w:r>
      </w:hyperlink>
      <w:r w:rsidR="008D72DE" w:rsidRPr="00BD4DA1">
        <w:rPr>
          <w:rStyle w:val="Hyperlink"/>
          <w:u w:val="none"/>
        </w:rPr>
        <w:t>.</w:t>
      </w:r>
      <w:r w:rsidR="0062196E">
        <w:t xml:space="preserve"> </w:t>
      </w:r>
    </w:p>
    <w:p w14:paraId="1FCE9CE3" w14:textId="36B5E798" w:rsidR="00061F2D" w:rsidRPr="007C6256" w:rsidRDefault="00061F2D" w:rsidP="00402063">
      <w:pPr>
        <w:pStyle w:val="Heading1"/>
      </w:pPr>
      <w:r w:rsidRPr="007C6256">
        <w:t xml:space="preserve">What support is available to </w:t>
      </w:r>
      <w:r w:rsidR="00083B04">
        <w:t>h</w:t>
      </w:r>
      <w:r w:rsidRPr="007C6256">
        <w:t>ost</w:t>
      </w:r>
      <w:r w:rsidR="008B49FC">
        <w:t xml:space="preserve"> </w:t>
      </w:r>
      <w:r w:rsidR="00083B04">
        <w:t>o</w:t>
      </w:r>
      <w:r w:rsidR="008B49FC">
        <w:t>rganisations</w:t>
      </w:r>
      <w:r w:rsidRPr="007C6256">
        <w:t>?</w:t>
      </w:r>
    </w:p>
    <w:p w14:paraId="546580C9" w14:textId="020AE299" w:rsidR="00061F2D" w:rsidRDefault="00061F2D" w:rsidP="00402063">
      <w:r>
        <w:t xml:space="preserve">Your </w:t>
      </w:r>
      <w:r w:rsidR="00520A9D">
        <w:t>p</w:t>
      </w:r>
      <w:r>
        <w:t xml:space="preserve">rovider will work closely with you to ensure your needs are met, including having </w:t>
      </w:r>
      <w:r w:rsidR="00520A9D">
        <w:t>p</w:t>
      </w:r>
      <w:r>
        <w:t>articipants complete any necessary training</w:t>
      </w:r>
      <w:r w:rsidR="00402063">
        <w:t xml:space="preserve"> or checks</w:t>
      </w:r>
      <w:r>
        <w:t xml:space="preserve"> before commencing, and resolving any issues that may come up.</w:t>
      </w:r>
    </w:p>
    <w:p w14:paraId="666D3B18" w14:textId="0F9C680B" w:rsidR="00083B04" w:rsidRDefault="0048591A" w:rsidP="00402063">
      <w:r>
        <w:t>You</w:t>
      </w:r>
      <w:r w:rsidR="00061F2D">
        <w:t xml:space="preserve"> are eligible for assistance with some costs for running a</w:t>
      </w:r>
      <w:r w:rsidR="00402063">
        <w:t xml:space="preserve"> Work for the Dole</w:t>
      </w:r>
      <w:r w:rsidR="00061F2D">
        <w:t xml:space="preserve"> </w:t>
      </w:r>
      <w:r w:rsidR="00B77769">
        <w:t>activity</w:t>
      </w:r>
      <w:r w:rsidR="00061F2D">
        <w:t>. The</w:t>
      </w:r>
      <w:r w:rsidR="00584312">
        <w:t xml:space="preserve"> funding to support these costs </w:t>
      </w:r>
      <w:r w:rsidR="00061F2D">
        <w:t xml:space="preserve">will depend on </w:t>
      </w:r>
      <w:r w:rsidR="00083B04">
        <w:t>the type of activity</w:t>
      </w:r>
      <w:r w:rsidR="008A537B">
        <w:t>.</w:t>
      </w:r>
      <w:r w:rsidR="00061F2D">
        <w:t xml:space="preserve"> </w:t>
      </w:r>
      <w:r w:rsidR="00083B04">
        <w:t>For p</w:t>
      </w:r>
      <w:r w:rsidR="00083B04" w:rsidRPr="00294671">
        <w:t>lacement</w:t>
      </w:r>
      <w:r w:rsidR="00083B04">
        <w:t>s, a f</w:t>
      </w:r>
      <w:r w:rsidR="00083B04" w:rsidRPr="00294671">
        <w:t xml:space="preserve">ee </w:t>
      </w:r>
      <w:r w:rsidR="00083B04">
        <w:t xml:space="preserve">of </w:t>
      </w:r>
      <w:r w:rsidR="00083B04" w:rsidRPr="00294671">
        <w:t>$500</w:t>
      </w:r>
      <w:bookmarkStart w:id="3" w:name="_Ref107397542"/>
      <w:r w:rsidR="00083B04">
        <w:rPr>
          <w:rStyle w:val="FootnoteReference"/>
        </w:rPr>
        <w:footnoteReference w:id="1"/>
      </w:r>
      <w:bookmarkEnd w:id="3"/>
      <w:r w:rsidR="00083B04" w:rsidRPr="00294671">
        <w:t xml:space="preserve"> </w:t>
      </w:r>
      <w:r w:rsidR="00083B04">
        <w:t>is paid to the provider to support the upfront costs of placing each p</w:t>
      </w:r>
      <w:r w:rsidR="00083B04" w:rsidRPr="00294671">
        <w:t xml:space="preserve">articipant </w:t>
      </w:r>
      <w:r w:rsidR="00A2253F">
        <w:t>in the activity</w:t>
      </w:r>
      <w:r w:rsidR="00083B04">
        <w:t>. The provider must transfer at least $250</w:t>
      </w:r>
      <w:r w:rsidR="00083B04" w:rsidRPr="003B7C83">
        <w:rPr>
          <w:rStyle w:val="FootnoteReference"/>
        </w:rPr>
        <w:fldChar w:fldCharType="begin"/>
      </w:r>
      <w:r w:rsidR="00083B04" w:rsidRPr="003B7C83">
        <w:rPr>
          <w:rStyle w:val="FootnoteReference"/>
        </w:rPr>
        <w:instrText xml:space="preserve"> NOTEREF _Ref107397542 \h </w:instrText>
      </w:r>
      <w:r w:rsidR="00083B04">
        <w:rPr>
          <w:rStyle w:val="FootnoteReference"/>
        </w:rPr>
        <w:instrText xml:space="preserve"> \* MERGEFORMAT </w:instrText>
      </w:r>
      <w:r w:rsidR="00083B04" w:rsidRPr="003B7C83">
        <w:rPr>
          <w:rStyle w:val="FootnoteReference"/>
        </w:rPr>
      </w:r>
      <w:r w:rsidR="00083B04" w:rsidRPr="003B7C83">
        <w:rPr>
          <w:rStyle w:val="FootnoteReference"/>
        </w:rPr>
        <w:fldChar w:fldCharType="separate"/>
      </w:r>
      <w:r w:rsidR="00BD4DE4">
        <w:rPr>
          <w:rStyle w:val="FootnoteReference"/>
        </w:rPr>
        <w:t>1</w:t>
      </w:r>
      <w:r w:rsidR="00083B04" w:rsidRPr="003B7C83">
        <w:rPr>
          <w:rStyle w:val="FootnoteReference"/>
        </w:rPr>
        <w:fldChar w:fldCharType="end"/>
      </w:r>
      <w:r w:rsidR="00083B04" w:rsidRPr="003B7C83">
        <w:rPr>
          <w:rStyle w:val="FootnoteReference"/>
        </w:rPr>
        <w:t xml:space="preserve"> </w:t>
      </w:r>
      <w:r w:rsidR="00083B04">
        <w:t>of this</w:t>
      </w:r>
      <w:r w:rsidR="00083B04" w:rsidRPr="00294671">
        <w:t xml:space="preserve"> </w:t>
      </w:r>
      <w:r w:rsidR="00083B04">
        <w:t>placement fee to</w:t>
      </w:r>
      <w:r w:rsidR="00083B04" w:rsidRPr="00294671">
        <w:t xml:space="preserve"> the </w:t>
      </w:r>
      <w:r w:rsidR="00083B04">
        <w:t>h</w:t>
      </w:r>
      <w:r w:rsidR="00083B04" w:rsidRPr="00294671">
        <w:t xml:space="preserve">ost </w:t>
      </w:r>
      <w:r w:rsidR="00083B04">
        <w:t>o</w:t>
      </w:r>
      <w:r w:rsidR="00083B04" w:rsidRPr="00294671">
        <w:t>rganisation</w:t>
      </w:r>
      <w:r w:rsidR="00083B04">
        <w:t>. For projects, provider</w:t>
      </w:r>
      <w:r w:rsidR="00A2253F">
        <w:t>s</w:t>
      </w:r>
      <w:r w:rsidR="00083B04">
        <w:t xml:space="preserve"> will</w:t>
      </w:r>
      <w:r w:rsidR="00CC69B5">
        <w:t xml:space="preserve"> receive a notional funding allocatio</w:t>
      </w:r>
      <w:r w:rsidR="00E423E5">
        <w:t>n in the department’s IT system</w:t>
      </w:r>
      <w:r w:rsidR="00A2253F">
        <w:t>.</w:t>
      </w:r>
      <w:r w:rsidR="00E423E5">
        <w:t xml:space="preserve"> </w:t>
      </w:r>
      <w:r w:rsidR="00A2253F">
        <w:t>O</w:t>
      </w:r>
      <w:r w:rsidR="00E423E5">
        <w:t xml:space="preserve">nce a Work for the Dole </w:t>
      </w:r>
      <w:r w:rsidR="00A2253F">
        <w:t>p</w:t>
      </w:r>
      <w:r w:rsidR="00E423E5">
        <w:t>roject is approved</w:t>
      </w:r>
      <w:r w:rsidR="00A2253F">
        <w:t>, providers will be able to draw down funds to</w:t>
      </w:r>
      <w:r w:rsidR="00E423E5">
        <w:t xml:space="preserve"> support costs directly related to the </w:t>
      </w:r>
      <w:r w:rsidR="00A2253F">
        <w:t>p</w:t>
      </w:r>
      <w:r w:rsidR="00E423E5">
        <w:t xml:space="preserve">roject. </w:t>
      </w:r>
    </w:p>
    <w:p w14:paraId="550A946E" w14:textId="55B70CE9" w:rsidR="00061F2D" w:rsidRDefault="00061F2D" w:rsidP="00402063">
      <w:r w:rsidRPr="00B77769">
        <w:t>Providers</w:t>
      </w:r>
      <w:r w:rsidR="0048591A">
        <w:t xml:space="preserve"> are expected</w:t>
      </w:r>
      <w:r w:rsidRPr="00B77769">
        <w:t xml:space="preserve"> </w:t>
      </w:r>
      <w:r>
        <w:t xml:space="preserve">to clearly explain the funding available to help offset the costs of the </w:t>
      </w:r>
      <w:r w:rsidR="00B77769">
        <w:t>activity</w:t>
      </w:r>
      <w:r w:rsidR="0048591A">
        <w:t xml:space="preserve"> when negotiating Work for the Dole activities with potential </w:t>
      </w:r>
      <w:r w:rsidR="00B9716E">
        <w:t>h</w:t>
      </w:r>
      <w:r w:rsidR="0048591A">
        <w:t xml:space="preserve">ost </w:t>
      </w:r>
      <w:r w:rsidR="00B9716E">
        <w:t>o</w:t>
      </w:r>
      <w:r w:rsidR="0048591A">
        <w:t>rganisations</w:t>
      </w:r>
      <w:r>
        <w:t>. More information is outlined in the Host Organisation Handbook.</w:t>
      </w:r>
    </w:p>
    <w:p w14:paraId="6A7730D1" w14:textId="77777777" w:rsidR="008D72DE" w:rsidRDefault="008D72DE" w:rsidP="00402063"/>
    <w:tbl>
      <w:tblPr>
        <w:tblStyle w:val="TableGridLight"/>
        <w:tblW w:w="9864" w:type="dxa"/>
        <w:tblInd w:w="-108" w:type="dxa"/>
        <w:tblLook w:val="04A0" w:firstRow="1" w:lastRow="0" w:firstColumn="1" w:lastColumn="0" w:noHBand="0" w:noVBand="1"/>
      </w:tblPr>
      <w:tblGrid>
        <w:gridCol w:w="4417"/>
        <w:gridCol w:w="5447"/>
      </w:tblGrid>
      <w:tr w:rsidR="00A76FF3" w14:paraId="29814DCF" w14:textId="77777777" w:rsidTr="00402063">
        <w:tc>
          <w:tcPr>
            <w:tcW w:w="4417" w:type="dxa"/>
            <w:shd w:val="clear" w:color="auto" w:fill="0E77CD"/>
          </w:tcPr>
          <w:bookmarkEnd w:id="2"/>
          <w:p w14:paraId="76E6F211" w14:textId="77777777" w:rsidR="00A76FF3" w:rsidRDefault="00A76FF3" w:rsidP="00E74F5C">
            <w:pPr>
              <w:pStyle w:val="Boxheader"/>
              <w:ind w:left="284"/>
            </w:pPr>
            <w:r w:rsidRPr="00C250E7">
              <w:t>Want more information?</w:t>
            </w:r>
          </w:p>
        </w:tc>
        <w:tc>
          <w:tcPr>
            <w:tcW w:w="5447" w:type="dxa"/>
          </w:tcPr>
          <w:p w14:paraId="14E17CE6" w14:textId="77777777" w:rsidR="00A76FF3" w:rsidRDefault="00A76FF3" w:rsidP="00E74F5C">
            <w:pPr>
              <w:ind w:left="284"/>
            </w:pPr>
          </w:p>
        </w:tc>
      </w:tr>
      <w:tr w:rsidR="00A76FF3" w14:paraId="3EE8CC66" w14:textId="77777777" w:rsidTr="00402063">
        <w:tc>
          <w:tcPr>
            <w:tcW w:w="9864" w:type="dxa"/>
            <w:gridSpan w:val="2"/>
          </w:tcPr>
          <w:p w14:paraId="676416E4" w14:textId="77777777" w:rsidR="00472E36" w:rsidRPr="008D0A87" w:rsidRDefault="00472E36" w:rsidP="00472E36">
            <w:pPr>
              <w:ind w:left="284"/>
            </w:pPr>
            <w:r w:rsidRPr="008D0A87">
              <w:t xml:space="preserve">Go to the </w:t>
            </w:r>
            <w:r>
              <w:t xml:space="preserve">Workforce Australia </w:t>
            </w:r>
            <w:r w:rsidRPr="008D0A87">
              <w:t>website</w:t>
            </w:r>
            <w:r>
              <w:t xml:space="preserve"> at </w:t>
            </w:r>
            <w:hyperlink r:id="rId16" w:history="1">
              <w:r>
                <w:rPr>
                  <w:rStyle w:val="Hyperlink"/>
                </w:rPr>
                <w:t>www.workforceaustralia.gov.au/r/work-for-the-dole</w:t>
              </w:r>
            </w:hyperlink>
            <w:r>
              <w:t>.</w:t>
            </w:r>
          </w:p>
          <w:p w14:paraId="7C7F68EA" w14:textId="130DBF58" w:rsidR="00A76FF3" w:rsidRDefault="00A76FF3" w:rsidP="00E74F5C">
            <w:pPr>
              <w:ind w:left="284"/>
            </w:pPr>
            <w:r w:rsidRPr="008D0A87">
              <w:t>Call the National Customer Service Line on 1800 805 260</w:t>
            </w:r>
            <w:r w:rsidR="00876285">
              <w:t>.</w:t>
            </w:r>
          </w:p>
        </w:tc>
      </w:tr>
    </w:tbl>
    <w:p w14:paraId="03F63468" w14:textId="77777777" w:rsidR="00A76FF3" w:rsidRPr="00656B02" w:rsidRDefault="00A76FF3" w:rsidP="00E74F5C">
      <w:pPr>
        <w:pStyle w:val="Title"/>
        <w:spacing w:before="0" w:after="0"/>
        <w:ind w:left="284"/>
        <w:rPr>
          <w:sz w:val="12"/>
          <w:szCs w:val="12"/>
        </w:rPr>
      </w:pPr>
    </w:p>
    <w:tbl>
      <w:tblPr>
        <w:tblStyle w:val="TableGridLight"/>
        <w:tblW w:w="9864" w:type="dxa"/>
        <w:tblInd w:w="-108" w:type="dxa"/>
        <w:tblLook w:val="04A0" w:firstRow="1" w:lastRow="0" w:firstColumn="1" w:lastColumn="0" w:noHBand="0" w:noVBand="1"/>
      </w:tblPr>
      <w:tblGrid>
        <w:gridCol w:w="4417"/>
        <w:gridCol w:w="5447"/>
      </w:tblGrid>
      <w:tr w:rsidR="00A76FF3" w14:paraId="102281B0" w14:textId="77777777" w:rsidTr="00402063">
        <w:tc>
          <w:tcPr>
            <w:tcW w:w="4417" w:type="dxa"/>
            <w:shd w:val="clear" w:color="auto" w:fill="0E77CD"/>
          </w:tcPr>
          <w:p w14:paraId="17453AF9" w14:textId="77777777" w:rsidR="00A76FF3" w:rsidRDefault="00A76FF3" w:rsidP="00E74F5C">
            <w:pPr>
              <w:pStyle w:val="Boxheader"/>
              <w:ind w:left="284"/>
            </w:pPr>
            <w:r w:rsidRPr="008D0A87">
              <w:t>Do you need help with this fact sheet?</w:t>
            </w:r>
          </w:p>
        </w:tc>
        <w:tc>
          <w:tcPr>
            <w:tcW w:w="5447" w:type="dxa"/>
          </w:tcPr>
          <w:p w14:paraId="55F416FB" w14:textId="77777777" w:rsidR="00A76FF3" w:rsidRDefault="00A76FF3" w:rsidP="00E74F5C">
            <w:pPr>
              <w:ind w:left="284"/>
            </w:pPr>
          </w:p>
        </w:tc>
      </w:tr>
      <w:tr w:rsidR="00A76FF3" w14:paraId="3D796FF5" w14:textId="77777777" w:rsidTr="00402063">
        <w:tc>
          <w:tcPr>
            <w:tcW w:w="9864" w:type="dxa"/>
            <w:gridSpan w:val="2"/>
          </w:tcPr>
          <w:p w14:paraId="16D60300" w14:textId="7408D240" w:rsidR="00A76FF3" w:rsidRPr="008D0A87" w:rsidRDefault="00A76FF3" w:rsidP="00E74F5C">
            <w:pPr>
              <w:ind w:left="284"/>
            </w:pPr>
            <w:r w:rsidRPr="008D0A87">
              <w:t>If you need an interpreter, please call the Translating and Interpreting Service (TIS) on 131 450</w:t>
            </w:r>
            <w:r w:rsidR="00577751">
              <w:t>*</w:t>
            </w:r>
            <w:r w:rsidRPr="008D0A87">
              <w:t>.</w:t>
            </w:r>
          </w:p>
          <w:p w14:paraId="2B3DC41C" w14:textId="2EC252F2" w:rsidR="00A76FF3" w:rsidRPr="008D0A87" w:rsidRDefault="00A76FF3" w:rsidP="00E74F5C">
            <w:pPr>
              <w:ind w:left="284"/>
            </w:pPr>
            <w:r w:rsidRPr="008D0A87">
              <w:t xml:space="preserve">If you are deaf or have a hearing or speech impairment you can use the National Relay Service. For more information, visit the </w:t>
            </w:r>
            <w:r w:rsidRPr="00584312">
              <w:t>National Relay Service</w:t>
            </w:r>
            <w:r w:rsidRPr="008D0A87">
              <w:t xml:space="preserve"> website</w:t>
            </w:r>
            <w:r w:rsidR="00584312">
              <w:t xml:space="preserve"> at </w:t>
            </w:r>
            <w:hyperlink r:id="rId17" w:history="1">
              <w:r w:rsidR="00584312" w:rsidRPr="004A2C38">
                <w:rPr>
                  <w:rStyle w:val="Hyperlink"/>
                </w:rPr>
                <w:t>www.relayservice.gov.au</w:t>
              </w:r>
            </w:hyperlink>
            <w:r w:rsidRPr="008D0A87">
              <w:t>.</w:t>
            </w:r>
          </w:p>
          <w:p w14:paraId="7B9926FB" w14:textId="77777777" w:rsidR="00A76FF3" w:rsidRDefault="00A76FF3" w:rsidP="00E74F5C">
            <w:pPr>
              <w:ind w:left="284"/>
            </w:pPr>
            <w:r w:rsidRPr="008D0A87">
              <w:rPr>
                <w:iCs/>
              </w:rPr>
              <w:t>* Note that call charges apply for calls to ‘13’ numbers from mobile phones.</w:t>
            </w:r>
          </w:p>
        </w:tc>
      </w:tr>
    </w:tbl>
    <w:p w14:paraId="0D3890F6" w14:textId="6D091419" w:rsidR="00A36FB8" w:rsidRPr="00E74F5C" w:rsidRDefault="00A36FB8" w:rsidP="00E74F5C">
      <w:pPr>
        <w:spacing w:after="160" w:line="259" w:lineRule="auto"/>
        <w:ind w:left="284"/>
        <w:rPr>
          <w:rFonts w:ascii="Calibri" w:eastAsiaTheme="majorEastAsia" w:hAnsi="Calibri" w:cstheme="majorBidi"/>
          <w:b/>
          <w:color w:val="051532"/>
          <w:spacing w:val="-10"/>
          <w:kern w:val="28"/>
          <w:szCs w:val="20"/>
        </w:rPr>
      </w:pPr>
    </w:p>
    <w:sectPr w:rsidR="00A36FB8" w:rsidRPr="00E74F5C" w:rsidSect="00876539">
      <w:type w:val="continuous"/>
      <w:pgSz w:w="11906" w:h="16838"/>
      <w:pgMar w:top="1134" w:right="1021" w:bottom="1134" w:left="1021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4736" w14:textId="77777777" w:rsidR="008D46FF" w:rsidRDefault="008D46FF" w:rsidP="00EE7FDA">
      <w:pPr>
        <w:spacing w:after="0"/>
      </w:pPr>
      <w:r>
        <w:separator/>
      </w:r>
    </w:p>
  </w:endnote>
  <w:endnote w:type="continuationSeparator" w:id="0">
    <w:p w14:paraId="34FA352E" w14:textId="77777777" w:rsidR="008D46FF" w:rsidRDefault="008D46FF" w:rsidP="00EE7F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42C2" w14:textId="77777777" w:rsidR="002647D0" w:rsidRDefault="002647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5758C913" w:rsidR="00105919" w:rsidRDefault="00A1654A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26B92B" wp14:editId="6D148A8D">
          <wp:simplePos x="0" y="0"/>
          <wp:positionH relativeFrom="page">
            <wp:posOffset>0</wp:posOffset>
          </wp:positionH>
          <wp:positionV relativeFrom="page">
            <wp:posOffset>10253980</wp:posOffset>
          </wp:positionV>
          <wp:extent cx="7560000" cy="428400"/>
          <wp:effectExtent l="0" t="0" r="0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42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44FEC9CA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7CBBBDA3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60000" cy="1425600"/>
          <wp:effectExtent l="0" t="0" r="3175" b="3175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4F684" w14:textId="77777777" w:rsidR="008D46FF" w:rsidRDefault="008D46FF" w:rsidP="00D105E6">
      <w:pPr>
        <w:spacing w:after="60"/>
      </w:pPr>
      <w:r>
        <w:separator/>
      </w:r>
    </w:p>
  </w:footnote>
  <w:footnote w:type="continuationSeparator" w:id="0">
    <w:p w14:paraId="036DE7AA" w14:textId="77777777" w:rsidR="008D46FF" w:rsidRDefault="008D46FF" w:rsidP="00EE7FDA">
      <w:pPr>
        <w:spacing w:after="0"/>
      </w:pPr>
      <w:r>
        <w:continuationSeparator/>
      </w:r>
    </w:p>
  </w:footnote>
  <w:footnote w:id="1">
    <w:p w14:paraId="2DEDFA31" w14:textId="77777777" w:rsidR="00083B04" w:rsidRDefault="00083B04" w:rsidP="00083B04">
      <w:pPr>
        <w:pStyle w:val="FootnoteText"/>
      </w:pPr>
      <w:r>
        <w:rPr>
          <w:rStyle w:val="FootnoteReference"/>
        </w:rPr>
        <w:footnoteRef/>
      </w:r>
      <w:r>
        <w:t xml:space="preserve"> Funding amount as at 1 July 2022, subject to future indexation.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4DF0" w14:textId="77777777" w:rsidR="002647D0" w:rsidRDefault="002647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53C3" w14:textId="77777777" w:rsidR="002647D0" w:rsidRDefault="002647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A417" w14:textId="77777777" w:rsidR="002647D0" w:rsidRDefault="00264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244AE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24E2"/>
    <w:multiLevelType w:val="multilevel"/>
    <w:tmpl w:val="B10A65AC"/>
    <w:numStyleLink w:val="Style1"/>
  </w:abstractNum>
  <w:abstractNum w:abstractNumId="5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EE53EF4"/>
    <w:multiLevelType w:val="multilevel"/>
    <w:tmpl w:val="4C06E666"/>
    <w:numStyleLink w:val="RSCBNumberList1"/>
  </w:abstractNum>
  <w:abstractNum w:abstractNumId="8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9" w15:restartNumberingAfterBreak="0">
    <w:nsid w:val="4F34473F"/>
    <w:multiLevelType w:val="hybridMultilevel"/>
    <w:tmpl w:val="08AAE4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D04F5"/>
    <w:multiLevelType w:val="multilevel"/>
    <w:tmpl w:val="4C06E666"/>
    <w:numStyleLink w:val="RSCBNumberList1"/>
  </w:abstractNum>
  <w:abstractNum w:abstractNumId="11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3699E"/>
    <w:multiLevelType w:val="hybridMultilevel"/>
    <w:tmpl w:val="3B42DD82"/>
    <w:lvl w:ilvl="0" w:tplc="77A2EE06">
      <w:start w:val="1"/>
      <w:numFmt w:val="bullet"/>
      <w:pStyle w:val="Listbulletwhi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  <w:num w:numId="12">
    <w:abstractNumId w:val="12"/>
  </w:num>
  <w:num w:numId="13">
    <w:abstractNumId w:val="4"/>
  </w:num>
  <w:num w:numId="14">
    <w:abstractNumId w:val="4"/>
  </w:num>
  <w:num w:numId="15">
    <w:abstractNumId w:val="4"/>
  </w:num>
  <w:num w:numId="16">
    <w:abstractNumId w:val="9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37765"/>
    <w:rsid w:val="000442FB"/>
    <w:rsid w:val="00052659"/>
    <w:rsid w:val="00052B07"/>
    <w:rsid w:val="00060B6F"/>
    <w:rsid w:val="00061F2D"/>
    <w:rsid w:val="00083B04"/>
    <w:rsid w:val="0009541A"/>
    <w:rsid w:val="000C01B0"/>
    <w:rsid w:val="000E406E"/>
    <w:rsid w:val="00105919"/>
    <w:rsid w:val="0013557F"/>
    <w:rsid w:val="001367AA"/>
    <w:rsid w:val="00145A12"/>
    <w:rsid w:val="00155F8B"/>
    <w:rsid w:val="001569C1"/>
    <w:rsid w:val="0016510A"/>
    <w:rsid w:val="00165A2C"/>
    <w:rsid w:val="001672AE"/>
    <w:rsid w:val="00172922"/>
    <w:rsid w:val="00195EF0"/>
    <w:rsid w:val="001A243A"/>
    <w:rsid w:val="001B0D9F"/>
    <w:rsid w:val="001B6D04"/>
    <w:rsid w:val="001C04CB"/>
    <w:rsid w:val="001C6347"/>
    <w:rsid w:val="001C65BE"/>
    <w:rsid w:val="001C73BB"/>
    <w:rsid w:val="001D430A"/>
    <w:rsid w:val="001F444A"/>
    <w:rsid w:val="001F7332"/>
    <w:rsid w:val="002068F9"/>
    <w:rsid w:val="00216AB1"/>
    <w:rsid w:val="00220395"/>
    <w:rsid w:val="00224506"/>
    <w:rsid w:val="002268B0"/>
    <w:rsid w:val="00244DD6"/>
    <w:rsid w:val="002462D7"/>
    <w:rsid w:val="00246E2C"/>
    <w:rsid w:val="00253AD5"/>
    <w:rsid w:val="00257065"/>
    <w:rsid w:val="0026372A"/>
    <w:rsid w:val="002647D0"/>
    <w:rsid w:val="00264BCF"/>
    <w:rsid w:val="002678F4"/>
    <w:rsid w:val="00275860"/>
    <w:rsid w:val="00275D69"/>
    <w:rsid w:val="00286F3C"/>
    <w:rsid w:val="002A4B39"/>
    <w:rsid w:val="002E766F"/>
    <w:rsid w:val="00312F55"/>
    <w:rsid w:val="0031425C"/>
    <w:rsid w:val="00316088"/>
    <w:rsid w:val="003267A5"/>
    <w:rsid w:val="0034067D"/>
    <w:rsid w:val="00344B34"/>
    <w:rsid w:val="0035462B"/>
    <w:rsid w:val="003B13B2"/>
    <w:rsid w:val="003B7C83"/>
    <w:rsid w:val="003C3819"/>
    <w:rsid w:val="003C5F1B"/>
    <w:rsid w:val="003C627E"/>
    <w:rsid w:val="003E189B"/>
    <w:rsid w:val="003E21F8"/>
    <w:rsid w:val="003F0880"/>
    <w:rsid w:val="00402063"/>
    <w:rsid w:val="00426E46"/>
    <w:rsid w:val="00440F0C"/>
    <w:rsid w:val="00453DAA"/>
    <w:rsid w:val="0046637C"/>
    <w:rsid w:val="00472E36"/>
    <w:rsid w:val="0047432C"/>
    <w:rsid w:val="00480372"/>
    <w:rsid w:val="00482B9D"/>
    <w:rsid w:val="0048591A"/>
    <w:rsid w:val="004A2C38"/>
    <w:rsid w:val="004B48A5"/>
    <w:rsid w:val="004C2537"/>
    <w:rsid w:val="004D00B2"/>
    <w:rsid w:val="004F3CE3"/>
    <w:rsid w:val="004F5993"/>
    <w:rsid w:val="00502CAB"/>
    <w:rsid w:val="005117E5"/>
    <w:rsid w:val="00517064"/>
    <w:rsid w:val="00520A9D"/>
    <w:rsid w:val="00522E88"/>
    <w:rsid w:val="005565B8"/>
    <w:rsid w:val="005611B2"/>
    <w:rsid w:val="00561E95"/>
    <w:rsid w:val="00566A2E"/>
    <w:rsid w:val="005725B2"/>
    <w:rsid w:val="00575DFC"/>
    <w:rsid w:val="00577751"/>
    <w:rsid w:val="00577A33"/>
    <w:rsid w:val="00582D06"/>
    <w:rsid w:val="00584312"/>
    <w:rsid w:val="00586D09"/>
    <w:rsid w:val="00586EA4"/>
    <w:rsid w:val="005B561F"/>
    <w:rsid w:val="005C486E"/>
    <w:rsid w:val="005D150B"/>
    <w:rsid w:val="005D2489"/>
    <w:rsid w:val="005F08A3"/>
    <w:rsid w:val="0062076E"/>
    <w:rsid w:val="0062196E"/>
    <w:rsid w:val="0063350D"/>
    <w:rsid w:val="00654A65"/>
    <w:rsid w:val="00656B02"/>
    <w:rsid w:val="00657B92"/>
    <w:rsid w:val="00663F07"/>
    <w:rsid w:val="006712FA"/>
    <w:rsid w:val="00690AC9"/>
    <w:rsid w:val="00691F21"/>
    <w:rsid w:val="006B43F5"/>
    <w:rsid w:val="006C3833"/>
    <w:rsid w:val="006C4358"/>
    <w:rsid w:val="006D1E27"/>
    <w:rsid w:val="006D7710"/>
    <w:rsid w:val="006E142C"/>
    <w:rsid w:val="006F2229"/>
    <w:rsid w:val="007012DF"/>
    <w:rsid w:val="00706143"/>
    <w:rsid w:val="00730B97"/>
    <w:rsid w:val="00737C1D"/>
    <w:rsid w:val="00767BB3"/>
    <w:rsid w:val="00774BA7"/>
    <w:rsid w:val="0078584C"/>
    <w:rsid w:val="007A0D46"/>
    <w:rsid w:val="007A3566"/>
    <w:rsid w:val="007C3D4E"/>
    <w:rsid w:val="007D4962"/>
    <w:rsid w:val="007E3696"/>
    <w:rsid w:val="007E48D2"/>
    <w:rsid w:val="007F63CC"/>
    <w:rsid w:val="00801B67"/>
    <w:rsid w:val="0080594C"/>
    <w:rsid w:val="008120DB"/>
    <w:rsid w:val="00813629"/>
    <w:rsid w:val="00816C0C"/>
    <w:rsid w:val="00817BD6"/>
    <w:rsid w:val="00830B9B"/>
    <w:rsid w:val="00832F2D"/>
    <w:rsid w:val="008447BA"/>
    <w:rsid w:val="00855361"/>
    <w:rsid w:val="008756EB"/>
    <w:rsid w:val="00876285"/>
    <w:rsid w:val="00876539"/>
    <w:rsid w:val="008977A3"/>
    <w:rsid w:val="008A28DA"/>
    <w:rsid w:val="008A537B"/>
    <w:rsid w:val="008B49FC"/>
    <w:rsid w:val="008D46FF"/>
    <w:rsid w:val="008D72DE"/>
    <w:rsid w:val="008D797F"/>
    <w:rsid w:val="008F24CE"/>
    <w:rsid w:val="00907143"/>
    <w:rsid w:val="00924806"/>
    <w:rsid w:val="00925174"/>
    <w:rsid w:val="00925D1E"/>
    <w:rsid w:val="00931FEE"/>
    <w:rsid w:val="00940B14"/>
    <w:rsid w:val="00961F5C"/>
    <w:rsid w:val="0096308B"/>
    <w:rsid w:val="00973379"/>
    <w:rsid w:val="00981194"/>
    <w:rsid w:val="00997BE6"/>
    <w:rsid w:val="009A161C"/>
    <w:rsid w:val="009A3E94"/>
    <w:rsid w:val="009C65F9"/>
    <w:rsid w:val="009D079F"/>
    <w:rsid w:val="009E11B5"/>
    <w:rsid w:val="009E2082"/>
    <w:rsid w:val="009F652B"/>
    <w:rsid w:val="00A0430A"/>
    <w:rsid w:val="00A112E2"/>
    <w:rsid w:val="00A1654A"/>
    <w:rsid w:val="00A2253F"/>
    <w:rsid w:val="00A23D73"/>
    <w:rsid w:val="00A34D39"/>
    <w:rsid w:val="00A36FB8"/>
    <w:rsid w:val="00A461FF"/>
    <w:rsid w:val="00A513A6"/>
    <w:rsid w:val="00A70EEB"/>
    <w:rsid w:val="00A713BC"/>
    <w:rsid w:val="00A74FD2"/>
    <w:rsid w:val="00A76FF3"/>
    <w:rsid w:val="00A81164"/>
    <w:rsid w:val="00A81FB9"/>
    <w:rsid w:val="00A82BDB"/>
    <w:rsid w:val="00A8781E"/>
    <w:rsid w:val="00AA03F6"/>
    <w:rsid w:val="00AA2FD8"/>
    <w:rsid w:val="00AC5626"/>
    <w:rsid w:val="00AE7F08"/>
    <w:rsid w:val="00B00423"/>
    <w:rsid w:val="00B71A44"/>
    <w:rsid w:val="00B77769"/>
    <w:rsid w:val="00B81A68"/>
    <w:rsid w:val="00B9716E"/>
    <w:rsid w:val="00BA48C8"/>
    <w:rsid w:val="00BB57FE"/>
    <w:rsid w:val="00BD02DE"/>
    <w:rsid w:val="00BD4DA1"/>
    <w:rsid w:val="00BD4DE4"/>
    <w:rsid w:val="00BD6E26"/>
    <w:rsid w:val="00BE07BD"/>
    <w:rsid w:val="00BE133B"/>
    <w:rsid w:val="00BE54EE"/>
    <w:rsid w:val="00BE6772"/>
    <w:rsid w:val="00BE6D94"/>
    <w:rsid w:val="00BF2EE7"/>
    <w:rsid w:val="00BF7BDF"/>
    <w:rsid w:val="00C03D2B"/>
    <w:rsid w:val="00C04E0C"/>
    <w:rsid w:val="00C230BC"/>
    <w:rsid w:val="00C30A1E"/>
    <w:rsid w:val="00C354B9"/>
    <w:rsid w:val="00C37F5C"/>
    <w:rsid w:val="00C50AA1"/>
    <w:rsid w:val="00C55508"/>
    <w:rsid w:val="00C66B71"/>
    <w:rsid w:val="00C7513C"/>
    <w:rsid w:val="00C946EA"/>
    <w:rsid w:val="00CC09CB"/>
    <w:rsid w:val="00CC69B5"/>
    <w:rsid w:val="00CD38C9"/>
    <w:rsid w:val="00CD5F0D"/>
    <w:rsid w:val="00CF6EBF"/>
    <w:rsid w:val="00D105E6"/>
    <w:rsid w:val="00D61641"/>
    <w:rsid w:val="00D84DC0"/>
    <w:rsid w:val="00D910F9"/>
    <w:rsid w:val="00D97626"/>
    <w:rsid w:val="00DA46BB"/>
    <w:rsid w:val="00DA4AC4"/>
    <w:rsid w:val="00DA4E3C"/>
    <w:rsid w:val="00DD3558"/>
    <w:rsid w:val="00DD4EBE"/>
    <w:rsid w:val="00DE1663"/>
    <w:rsid w:val="00DE65BD"/>
    <w:rsid w:val="00DF0B8A"/>
    <w:rsid w:val="00DF60E1"/>
    <w:rsid w:val="00E32F1F"/>
    <w:rsid w:val="00E40D9C"/>
    <w:rsid w:val="00E423E5"/>
    <w:rsid w:val="00E46B06"/>
    <w:rsid w:val="00E55470"/>
    <w:rsid w:val="00E74F5C"/>
    <w:rsid w:val="00E814A0"/>
    <w:rsid w:val="00EA4CA1"/>
    <w:rsid w:val="00EC16DA"/>
    <w:rsid w:val="00EC4486"/>
    <w:rsid w:val="00EC63BF"/>
    <w:rsid w:val="00ED3F85"/>
    <w:rsid w:val="00EE511B"/>
    <w:rsid w:val="00EE59F7"/>
    <w:rsid w:val="00EE68B6"/>
    <w:rsid w:val="00EE7FDA"/>
    <w:rsid w:val="00EF27F0"/>
    <w:rsid w:val="00EF45E7"/>
    <w:rsid w:val="00F121AC"/>
    <w:rsid w:val="00F2299C"/>
    <w:rsid w:val="00F23048"/>
    <w:rsid w:val="00F23C4B"/>
    <w:rsid w:val="00F25A17"/>
    <w:rsid w:val="00F3239C"/>
    <w:rsid w:val="00F36B35"/>
    <w:rsid w:val="00F54B75"/>
    <w:rsid w:val="00F55BB9"/>
    <w:rsid w:val="00FA1736"/>
    <w:rsid w:val="00FB49BB"/>
    <w:rsid w:val="00FD0224"/>
    <w:rsid w:val="00FD6726"/>
    <w:rsid w:val="00FE0BBC"/>
    <w:rsid w:val="00FF5068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7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54A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A12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5153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5919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0E77C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05919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515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10591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  <w:color w:val="0E77CD"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7"/>
    <w:qFormat/>
    <w:rsid w:val="00105919"/>
    <w:pPr>
      <w:spacing w:before="600"/>
      <w:contextualSpacing/>
    </w:pPr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105919"/>
    <w:rPr>
      <w:rFonts w:ascii="Calibri" w:eastAsiaTheme="majorEastAsia" w:hAnsi="Calibri" w:cstheme="majorBidi"/>
      <w:b/>
      <w:color w:val="051532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145A12"/>
    <w:rPr>
      <w:rFonts w:ascii="Calibri" w:eastAsiaTheme="majorEastAsia" w:hAnsi="Calibri" w:cstheme="majorBidi"/>
      <w:b/>
      <w:color w:val="05153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919"/>
    <w:rPr>
      <w:rFonts w:ascii="Calibri" w:eastAsiaTheme="majorEastAsia" w:hAnsi="Calibri" w:cstheme="majorBidi"/>
      <w:b/>
      <w:color w:val="0E77CD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5919"/>
    <w:rPr>
      <w:rFonts w:ascii="Calibri" w:eastAsiaTheme="majorEastAsia" w:hAnsi="Calibri" w:cstheme="majorBidi"/>
      <w:b/>
      <w:color w:val="0515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5919"/>
    <w:rPr>
      <w:rFonts w:ascii="Calibri" w:eastAsiaTheme="majorEastAsia" w:hAnsi="Calibri" w:cstheme="majorBidi"/>
      <w:b/>
      <w:i/>
      <w:iCs/>
      <w:color w:val="0E77CD"/>
      <w:sz w:val="20"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9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9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105919"/>
    <w:pPr>
      <w:spacing w:after="40" w:line="240" w:lineRule="auto"/>
    </w:pPr>
    <w:tblPr>
      <w:tblBorders>
        <w:top w:val="single" w:sz="4" w:space="0" w:color="32375D"/>
        <w:left w:val="single" w:sz="4" w:space="0" w:color="32375D"/>
        <w:bottom w:val="single" w:sz="4" w:space="0" w:color="32375D"/>
        <w:right w:val="single" w:sz="4" w:space="0" w:color="32375D"/>
        <w:insideH w:val="single" w:sz="4" w:space="0" w:color="32375D"/>
        <w:insideV w:val="single" w:sz="4" w:space="0" w:color="32375D"/>
      </w:tblBorders>
      <w:tblCellMar>
        <w:top w:w="45" w:type="dxa"/>
      </w:tblCellMar>
    </w:tblPr>
    <w:tcP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51532"/>
      </w:tcPr>
    </w:tblStylePr>
  </w:style>
  <w:style w:type="paragraph" w:styleId="Caption">
    <w:name w:val="caption"/>
    <w:basedOn w:val="Normal"/>
    <w:next w:val="Normal"/>
    <w:uiPriority w:val="35"/>
    <w:qFormat/>
    <w:rsid w:val="00706143"/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9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9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19"/>
    <w:pPr>
      <w:numPr>
        <w:ilvl w:val="1"/>
      </w:numPr>
      <w:spacing w:after="600"/>
    </w:pPr>
    <w:rPr>
      <w:rFonts w:ascii="Calibri" w:eastAsiaTheme="minorEastAsia" w:hAnsi="Calibri"/>
      <w:b/>
      <w:color w:val="0E77CD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05919"/>
    <w:rPr>
      <w:rFonts w:ascii="Calibri" w:eastAsiaTheme="minorEastAsia" w:hAnsi="Calibri"/>
      <w:b/>
      <w:color w:val="0E77CD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286F3C"/>
    <w:pPr>
      <w:spacing w:after="80" w:line="240" w:lineRule="auto"/>
    </w:pPr>
    <w:rPr>
      <w:sz w:val="20"/>
    </w:rPr>
    <w:tblPr/>
    <w:tcPr>
      <w:shd w:val="clear" w:color="auto" w:fill="F4F4F4"/>
      <w:tcMar>
        <w:top w:w="45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344B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B34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B34"/>
    <w:rPr>
      <w:sz w:val="16"/>
      <w:szCs w:val="16"/>
    </w:rPr>
  </w:style>
  <w:style w:type="paragraph" w:customStyle="1" w:styleId="Heading1table">
    <w:name w:val="Heading 1 table"/>
    <w:basedOn w:val="Heading1"/>
    <w:qFormat/>
    <w:rsid w:val="00061F2D"/>
    <w:pPr>
      <w:spacing w:before="0"/>
    </w:pPr>
    <w:rPr>
      <w:color w:val="FFFFFF" w:themeColor="background1"/>
      <w:sz w:val="32"/>
    </w:rPr>
  </w:style>
  <w:style w:type="paragraph" w:customStyle="1" w:styleId="Listbulletwhite">
    <w:name w:val="List bullet white"/>
    <w:basedOn w:val="ListBullet"/>
    <w:qFormat/>
    <w:rsid w:val="00061F2D"/>
    <w:pPr>
      <w:numPr>
        <w:numId w:val="12"/>
      </w:numPr>
      <w:spacing w:after="0" w:line="280" w:lineRule="exact"/>
      <w:ind w:left="284" w:hanging="284"/>
    </w:pPr>
    <w:rPr>
      <w:color w:val="FFFFFF" w:themeColor="background1"/>
      <w:sz w:val="22"/>
    </w:rPr>
  </w:style>
  <w:style w:type="table" w:customStyle="1" w:styleId="wordtablegrey">
    <w:name w:val="word table grey"/>
    <w:basedOn w:val="TableNormal"/>
    <w:uiPriority w:val="99"/>
    <w:rsid w:val="00061F2D"/>
    <w:pPr>
      <w:spacing w:after="0" w:line="240" w:lineRule="auto"/>
    </w:pPr>
    <w:tblPr>
      <w:tblCellMar>
        <w:top w:w="142" w:type="dxa"/>
        <w:left w:w="142" w:type="dxa"/>
        <w:bottom w:w="142" w:type="dxa"/>
        <w:right w:w="142" w:type="dxa"/>
      </w:tblCellMar>
    </w:tblPr>
    <w:tcPr>
      <w:shd w:val="clear" w:color="auto" w:fill="595959" w:themeFill="text1" w:themeFillTint="A6"/>
    </w:tcPr>
  </w:style>
  <w:style w:type="character" w:customStyle="1" w:styleId="normaltextrun">
    <w:name w:val="normaltextrun"/>
    <w:basedOn w:val="DefaultParagraphFont"/>
    <w:rsid w:val="00061F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36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537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D3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977A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7012D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12D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01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kforceaustralia.gov.au/r/keeping-you-safe-fact-sheet.pdf" TargetMode="External"/><Relationship Id="rId12" Type="http://schemas.openxmlformats.org/officeDocument/2006/relationships/header" Target="header3.xml"/><Relationship Id="rId17" Type="http://schemas.openxmlformats.org/officeDocument/2006/relationships/hyperlink" Target="http://www.relayservice.gov.a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rkforceaustralia.gov.au/r/work-for-the-do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dese.gov.au/work-dole/resources/host-organisation-handbook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for the Dole - Information for Host Organisations (Updated)</dc:title>
  <dc:subject/>
  <dc:creator/>
  <cp:keywords/>
  <dc:description/>
  <cp:lastModifiedBy/>
  <cp:revision>1</cp:revision>
  <dcterms:created xsi:type="dcterms:W3CDTF">2022-11-21T23:52:00Z</dcterms:created>
  <dcterms:modified xsi:type="dcterms:W3CDTF">2022-11-21T23:52:00Z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2022-11-21T23:52:37Z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b92370aa-d527-4bbb-ae2d-deb2b15d6d8e</vt:lpwstr>
  </property>
  <property fmtid="{D5CDD505-2E9C-101B-9397-08002B2CF9AE}" pid="8" name="MSIP_Label_79d889eb-932f-4752-8739-64d25806ef64_ContentBits">
    <vt:lpwstr>0</vt:lpwstr>
  </property>
</Properties>
</file>